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27608" w14:textId="77777777" w:rsidR="002711B8" w:rsidRDefault="002711B8" w:rsidP="002711B8">
      <w:pPr>
        <w:pStyle w:val="NormalWeb"/>
        <w:shd w:val="clear" w:color="auto" w:fill="FFFFFF"/>
        <w:spacing w:before="0" w:beforeAutospacing="0" w:after="0" w:afterAutospacing="0" w:line="360" w:lineRule="auto"/>
        <w:rPr>
          <w:b/>
          <w:bCs/>
          <w:color w:val="000000" w:themeColor="text1"/>
        </w:rPr>
      </w:pPr>
    </w:p>
    <w:p w14:paraId="6BA140FF" w14:textId="77777777" w:rsidR="002711B8" w:rsidRDefault="002711B8" w:rsidP="002711B8">
      <w:pPr>
        <w:pStyle w:val="NormalWeb"/>
        <w:shd w:val="clear" w:color="auto" w:fill="FFFFFF"/>
        <w:spacing w:before="0" w:beforeAutospacing="0" w:after="0" w:afterAutospacing="0" w:line="360" w:lineRule="auto"/>
        <w:rPr>
          <w:b/>
          <w:bCs/>
          <w:color w:val="000000" w:themeColor="text1"/>
        </w:rPr>
      </w:pPr>
    </w:p>
    <w:p w14:paraId="41F20CAB" w14:textId="77777777" w:rsidR="0061045A" w:rsidRDefault="0061045A" w:rsidP="002711B8">
      <w:pPr>
        <w:pStyle w:val="NormalWeb"/>
        <w:shd w:val="clear" w:color="auto" w:fill="FFFFFF"/>
        <w:spacing w:before="0" w:beforeAutospacing="0" w:after="0" w:afterAutospacing="0" w:line="360" w:lineRule="auto"/>
        <w:rPr>
          <w:b/>
          <w:bCs/>
          <w:color w:val="000000" w:themeColor="text1"/>
        </w:rPr>
      </w:pPr>
    </w:p>
    <w:p w14:paraId="1E70345E" w14:textId="77777777" w:rsidR="0061045A" w:rsidRDefault="0061045A" w:rsidP="002711B8">
      <w:pPr>
        <w:pStyle w:val="NormalWeb"/>
        <w:shd w:val="clear" w:color="auto" w:fill="FFFFFF"/>
        <w:spacing w:before="0" w:beforeAutospacing="0" w:after="0" w:afterAutospacing="0" w:line="360" w:lineRule="auto"/>
        <w:rPr>
          <w:b/>
          <w:bCs/>
          <w:color w:val="000000" w:themeColor="text1"/>
        </w:rPr>
      </w:pPr>
    </w:p>
    <w:p w14:paraId="7632A4CB" w14:textId="77777777" w:rsidR="0061045A" w:rsidRDefault="0061045A" w:rsidP="002711B8">
      <w:pPr>
        <w:pStyle w:val="NormalWeb"/>
        <w:shd w:val="clear" w:color="auto" w:fill="FFFFFF"/>
        <w:spacing w:before="0" w:beforeAutospacing="0" w:after="0" w:afterAutospacing="0" w:line="360" w:lineRule="auto"/>
        <w:rPr>
          <w:b/>
          <w:bCs/>
          <w:color w:val="000000" w:themeColor="text1"/>
        </w:rPr>
      </w:pPr>
    </w:p>
    <w:p w14:paraId="789E9FCC" w14:textId="77777777" w:rsidR="0061045A" w:rsidRDefault="0061045A" w:rsidP="002711B8">
      <w:pPr>
        <w:pStyle w:val="NormalWeb"/>
        <w:shd w:val="clear" w:color="auto" w:fill="FFFFFF"/>
        <w:spacing w:before="0" w:beforeAutospacing="0" w:after="0" w:afterAutospacing="0" w:line="360" w:lineRule="auto"/>
        <w:rPr>
          <w:b/>
          <w:bCs/>
          <w:color w:val="000000" w:themeColor="text1"/>
        </w:rPr>
      </w:pPr>
    </w:p>
    <w:p w14:paraId="64AF878A" w14:textId="77777777" w:rsidR="002711B8" w:rsidRDefault="002711B8" w:rsidP="002711B8">
      <w:pPr>
        <w:pStyle w:val="NormalWeb"/>
        <w:shd w:val="clear" w:color="auto" w:fill="FFFFFF"/>
        <w:spacing w:before="0" w:beforeAutospacing="0" w:after="0" w:afterAutospacing="0" w:line="360" w:lineRule="auto"/>
        <w:rPr>
          <w:b/>
          <w:bCs/>
          <w:color w:val="000000" w:themeColor="text1"/>
        </w:rPr>
      </w:pPr>
    </w:p>
    <w:p w14:paraId="4E114A30" w14:textId="77777777" w:rsidR="002711B8" w:rsidRDefault="002711B8" w:rsidP="002711B8">
      <w:pPr>
        <w:pStyle w:val="NormalWeb"/>
        <w:shd w:val="clear" w:color="auto" w:fill="FFFFFF"/>
        <w:spacing w:before="0" w:beforeAutospacing="0" w:after="0" w:afterAutospacing="0" w:line="360" w:lineRule="auto"/>
        <w:rPr>
          <w:b/>
          <w:bCs/>
          <w:color w:val="000000" w:themeColor="text1"/>
        </w:rPr>
      </w:pPr>
    </w:p>
    <w:p w14:paraId="32615582" w14:textId="2BE9AA4B" w:rsidR="002711B8" w:rsidRPr="00B36A23" w:rsidRDefault="00BE4495" w:rsidP="002711B8">
      <w:pPr>
        <w:pStyle w:val="NormalWeb"/>
        <w:shd w:val="clear" w:color="auto" w:fill="FFFFFF"/>
        <w:spacing w:before="0" w:beforeAutospacing="0" w:after="0" w:afterAutospacing="0" w:line="360" w:lineRule="auto"/>
        <w:rPr>
          <w:rFonts w:ascii="Bell MT" w:hAnsi="Bell MT"/>
          <w:b/>
          <w:bCs/>
          <w:color w:val="000000" w:themeColor="text1"/>
          <w:sz w:val="40"/>
          <w:szCs w:val="40"/>
        </w:rPr>
      </w:pPr>
      <w:r>
        <w:rPr>
          <w:b/>
          <w:bCs/>
          <w:color w:val="000000" w:themeColor="text1"/>
          <w:sz w:val="40"/>
          <w:szCs w:val="40"/>
        </w:rPr>
        <w:t xml:space="preserve">     </w:t>
      </w:r>
      <w:r w:rsidRPr="00B36A23">
        <w:rPr>
          <w:rFonts w:ascii="Bell MT" w:hAnsi="Bell MT"/>
          <w:b/>
          <w:bCs/>
          <w:color w:val="000000" w:themeColor="text1"/>
          <w:sz w:val="40"/>
          <w:szCs w:val="40"/>
        </w:rPr>
        <w:t xml:space="preserve">HUMAN RESOURCE </w:t>
      </w:r>
      <w:r w:rsidRPr="00B36A23">
        <w:rPr>
          <w:rFonts w:ascii="Bell MT" w:hAnsi="Bell MT"/>
          <w:b/>
          <w:bCs/>
          <w:sz w:val="40"/>
          <w:szCs w:val="40"/>
        </w:rPr>
        <w:t xml:space="preserve">MANAGEMNET </w:t>
      </w:r>
      <w:r w:rsidRPr="00B36A23">
        <w:rPr>
          <w:rFonts w:ascii="Arial" w:hAnsi="Arial" w:cs="Arial"/>
          <w:b/>
          <w:bCs/>
          <w:sz w:val="40"/>
          <w:szCs w:val="40"/>
        </w:rPr>
        <w:t>50</w:t>
      </w:r>
      <w:r w:rsidRPr="00B36A23">
        <w:rPr>
          <w:rFonts w:ascii="Bell MT" w:hAnsi="Bell MT"/>
          <w:b/>
          <w:bCs/>
          <w:sz w:val="40"/>
          <w:szCs w:val="40"/>
        </w:rPr>
        <w:t>%</w:t>
      </w:r>
    </w:p>
    <w:p w14:paraId="1351CD20" w14:textId="1C5F1FD0" w:rsidR="002711B8" w:rsidRPr="00B36A23" w:rsidRDefault="00B36A23" w:rsidP="002711B8">
      <w:pPr>
        <w:pStyle w:val="NormalWeb"/>
        <w:shd w:val="clear" w:color="auto" w:fill="FFFFFF"/>
        <w:spacing w:before="0" w:beforeAutospacing="0" w:after="0" w:afterAutospacing="0" w:line="360" w:lineRule="auto"/>
        <w:rPr>
          <w:rFonts w:ascii="Bell MT" w:hAnsi="Bell MT"/>
          <w:b/>
          <w:bCs/>
          <w:color w:val="000000" w:themeColor="text1"/>
        </w:rPr>
      </w:pPr>
      <w:r>
        <w:rPr>
          <w:rFonts w:ascii="Bell MT" w:hAnsi="Bell MT"/>
          <w:b/>
          <w:bCs/>
          <w:color w:val="000000" w:themeColor="text1"/>
        </w:rPr>
        <w:t xml:space="preserve">                                          </w:t>
      </w:r>
      <w:r w:rsidR="0061045A">
        <w:rPr>
          <w:rFonts w:ascii="Bell MT" w:hAnsi="Bell MT"/>
          <w:b/>
          <w:bCs/>
          <w:color w:val="000000" w:themeColor="text1"/>
        </w:rPr>
        <w:t xml:space="preserve">       Submitted</w:t>
      </w:r>
      <w:r>
        <w:rPr>
          <w:rFonts w:ascii="Bell MT" w:hAnsi="Bell MT"/>
          <w:b/>
          <w:bCs/>
          <w:color w:val="000000" w:themeColor="text1"/>
        </w:rPr>
        <w:t xml:space="preserve"> By Rahul Kumar </w:t>
      </w:r>
    </w:p>
    <w:p w14:paraId="0B5D34AF" w14:textId="77777777" w:rsidR="002711B8" w:rsidRDefault="002711B8" w:rsidP="002711B8">
      <w:pPr>
        <w:pStyle w:val="NormalWeb"/>
        <w:shd w:val="clear" w:color="auto" w:fill="FFFFFF"/>
        <w:spacing w:before="0" w:beforeAutospacing="0" w:after="0" w:afterAutospacing="0" w:line="360" w:lineRule="auto"/>
        <w:rPr>
          <w:b/>
          <w:bCs/>
          <w:color w:val="000000" w:themeColor="text1"/>
        </w:rPr>
      </w:pPr>
    </w:p>
    <w:p w14:paraId="44B0EB64" w14:textId="77777777" w:rsidR="002711B8" w:rsidRDefault="002711B8" w:rsidP="002711B8">
      <w:pPr>
        <w:pStyle w:val="NormalWeb"/>
        <w:shd w:val="clear" w:color="auto" w:fill="FFFFFF"/>
        <w:spacing w:before="0" w:beforeAutospacing="0" w:after="0" w:afterAutospacing="0" w:line="360" w:lineRule="auto"/>
        <w:rPr>
          <w:b/>
          <w:bCs/>
          <w:color w:val="000000" w:themeColor="text1"/>
        </w:rPr>
      </w:pPr>
    </w:p>
    <w:p w14:paraId="74F18018" w14:textId="77777777" w:rsidR="002711B8" w:rsidRDefault="002711B8" w:rsidP="002711B8">
      <w:pPr>
        <w:pStyle w:val="NormalWeb"/>
        <w:shd w:val="clear" w:color="auto" w:fill="FFFFFF"/>
        <w:spacing w:before="0" w:beforeAutospacing="0" w:after="0" w:afterAutospacing="0" w:line="360" w:lineRule="auto"/>
        <w:rPr>
          <w:b/>
          <w:bCs/>
          <w:color w:val="000000" w:themeColor="text1"/>
        </w:rPr>
      </w:pPr>
    </w:p>
    <w:p w14:paraId="04608200" w14:textId="77777777" w:rsidR="002711B8" w:rsidRPr="00500471" w:rsidRDefault="002711B8" w:rsidP="002711B8">
      <w:pPr>
        <w:pStyle w:val="NormalWeb"/>
        <w:shd w:val="clear" w:color="auto" w:fill="FFFFFF"/>
        <w:spacing w:before="0" w:beforeAutospacing="0" w:after="0" w:afterAutospacing="0" w:line="360" w:lineRule="auto"/>
        <w:rPr>
          <w:b/>
          <w:bCs/>
          <w:color w:val="000000" w:themeColor="text1"/>
          <w:sz w:val="30"/>
          <w:szCs w:val="30"/>
        </w:rPr>
      </w:pPr>
    </w:p>
    <w:p w14:paraId="19E6E222" w14:textId="77777777" w:rsidR="002711B8" w:rsidRPr="00500471" w:rsidRDefault="002711B8" w:rsidP="002711B8">
      <w:pPr>
        <w:pStyle w:val="NormalWeb"/>
        <w:shd w:val="clear" w:color="auto" w:fill="FFFFFF"/>
        <w:spacing w:before="0" w:beforeAutospacing="0" w:after="0" w:afterAutospacing="0" w:line="360" w:lineRule="auto"/>
        <w:jc w:val="center"/>
        <w:rPr>
          <w:b/>
          <w:bCs/>
          <w:color w:val="000000" w:themeColor="text1"/>
          <w:sz w:val="30"/>
          <w:szCs w:val="30"/>
        </w:rPr>
      </w:pPr>
      <w:r w:rsidRPr="00500471">
        <w:rPr>
          <w:b/>
          <w:bCs/>
          <w:color w:val="222A35" w:themeColor="text2" w:themeShade="80"/>
          <w:sz w:val="30"/>
          <w:szCs w:val="30"/>
        </w:rPr>
        <w:t xml:space="preserve">     </w:t>
      </w:r>
      <w:r w:rsidRPr="00500471">
        <w:rPr>
          <w:b/>
          <w:bCs/>
          <w:color w:val="222A35" w:themeColor="text2" w:themeShade="80"/>
          <w:sz w:val="30"/>
          <w:szCs w:val="30"/>
          <w:u w:val="single"/>
        </w:rPr>
        <w:t>STUDENT NAME</w:t>
      </w:r>
      <w:r w:rsidRPr="00500471">
        <w:rPr>
          <w:b/>
          <w:bCs/>
          <w:color w:val="222A35" w:themeColor="text2" w:themeShade="80"/>
          <w:sz w:val="30"/>
          <w:szCs w:val="30"/>
        </w:rPr>
        <w:t xml:space="preserve">: </w:t>
      </w:r>
      <w:r w:rsidRPr="00500471">
        <w:rPr>
          <w:b/>
          <w:bCs/>
          <w:color w:val="000000" w:themeColor="text1"/>
          <w:sz w:val="30"/>
          <w:szCs w:val="30"/>
        </w:rPr>
        <w:t>RAHUL KUMAR</w:t>
      </w:r>
    </w:p>
    <w:p w14:paraId="497DE1EE" w14:textId="77777777" w:rsidR="002711B8" w:rsidRPr="00500471" w:rsidRDefault="002711B8" w:rsidP="002711B8">
      <w:pPr>
        <w:pStyle w:val="NormalWeb"/>
        <w:shd w:val="clear" w:color="auto" w:fill="FFFFFF"/>
        <w:spacing w:before="0" w:beforeAutospacing="0" w:after="0" w:afterAutospacing="0" w:line="360" w:lineRule="auto"/>
        <w:jc w:val="center"/>
        <w:rPr>
          <w:b/>
          <w:bCs/>
          <w:color w:val="222A35" w:themeColor="text2" w:themeShade="80"/>
          <w:sz w:val="30"/>
          <w:szCs w:val="30"/>
        </w:rPr>
      </w:pPr>
      <w:r w:rsidRPr="00500471">
        <w:rPr>
          <w:b/>
          <w:bCs/>
          <w:color w:val="222A35" w:themeColor="text2" w:themeShade="80"/>
          <w:sz w:val="30"/>
          <w:szCs w:val="30"/>
          <w:u w:val="single"/>
        </w:rPr>
        <w:t>STUDENT ID NUMBER</w:t>
      </w:r>
      <w:r w:rsidRPr="00500471">
        <w:rPr>
          <w:b/>
          <w:bCs/>
          <w:color w:val="222A35" w:themeColor="text2" w:themeShade="80"/>
          <w:sz w:val="30"/>
          <w:szCs w:val="30"/>
        </w:rPr>
        <w:t xml:space="preserve">: </w:t>
      </w:r>
      <w:r w:rsidRPr="00500471">
        <w:rPr>
          <w:b/>
          <w:bCs/>
          <w:color w:val="000000" w:themeColor="text1"/>
          <w:sz w:val="30"/>
          <w:szCs w:val="30"/>
        </w:rPr>
        <w:t>2126814</w:t>
      </w:r>
    </w:p>
    <w:p w14:paraId="7D514E69" w14:textId="064A4B15" w:rsidR="002711B8" w:rsidRPr="00500471" w:rsidRDefault="002711B8" w:rsidP="002711B8">
      <w:pPr>
        <w:pStyle w:val="NormalWeb"/>
        <w:shd w:val="clear" w:color="auto" w:fill="FFFFFF"/>
        <w:spacing w:before="0" w:beforeAutospacing="0" w:after="0" w:afterAutospacing="0" w:line="360" w:lineRule="auto"/>
        <w:jc w:val="center"/>
        <w:rPr>
          <w:b/>
          <w:bCs/>
          <w:color w:val="222A35" w:themeColor="text2" w:themeShade="80"/>
          <w:sz w:val="30"/>
          <w:szCs w:val="30"/>
        </w:rPr>
      </w:pPr>
      <w:r w:rsidRPr="00500471">
        <w:rPr>
          <w:b/>
          <w:bCs/>
          <w:color w:val="222A35" w:themeColor="text2" w:themeShade="80"/>
          <w:sz w:val="30"/>
          <w:szCs w:val="30"/>
        </w:rPr>
        <w:t xml:space="preserve">            </w:t>
      </w:r>
      <w:r w:rsidRPr="00500471">
        <w:rPr>
          <w:b/>
          <w:bCs/>
          <w:color w:val="222A35" w:themeColor="text2" w:themeShade="80"/>
          <w:sz w:val="30"/>
          <w:szCs w:val="30"/>
          <w:u w:val="single"/>
        </w:rPr>
        <w:t>MODULE</w:t>
      </w:r>
      <w:r w:rsidRPr="00500471">
        <w:rPr>
          <w:b/>
          <w:bCs/>
          <w:color w:val="222A35" w:themeColor="text2" w:themeShade="80"/>
          <w:sz w:val="30"/>
          <w:szCs w:val="30"/>
        </w:rPr>
        <w:t xml:space="preserve">: </w:t>
      </w:r>
      <w:r w:rsidR="00B8186B" w:rsidRPr="00500471">
        <w:rPr>
          <w:b/>
          <w:bCs/>
          <w:color w:val="000000" w:themeColor="text1"/>
          <w:sz w:val="30"/>
          <w:szCs w:val="30"/>
        </w:rPr>
        <w:t>HUM</w:t>
      </w:r>
      <w:r w:rsidR="001227C6" w:rsidRPr="00500471">
        <w:rPr>
          <w:b/>
          <w:bCs/>
          <w:color w:val="000000" w:themeColor="text1"/>
          <w:sz w:val="30"/>
          <w:szCs w:val="30"/>
        </w:rPr>
        <w:t>A</w:t>
      </w:r>
      <w:r w:rsidR="00B8186B" w:rsidRPr="00500471">
        <w:rPr>
          <w:b/>
          <w:bCs/>
          <w:color w:val="000000" w:themeColor="text1"/>
          <w:sz w:val="30"/>
          <w:szCs w:val="30"/>
        </w:rPr>
        <w:t>N RESO</w:t>
      </w:r>
      <w:r w:rsidR="009F12E4" w:rsidRPr="00500471">
        <w:rPr>
          <w:b/>
          <w:bCs/>
          <w:color w:val="000000" w:themeColor="text1"/>
          <w:sz w:val="30"/>
          <w:szCs w:val="30"/>
        </w:rPr>
        <w:t>URCE</w:t>
      </w:r>
      <w:r w:rsidR="00B8186B" w:rsidRPr="00500471">
        <w:rPr>
          <w:b/>
          <w:bCs/>
          <w:color w:val="000000" w:themeColor="text1"/>
          <w:sz w:val="30"/>
          <w:szCs w:val="30"/>
        </w:rPr>
        <w:t xml:space="preserve"> </w:t>
      </w:r>
      <w:r w:rsidR="00B8186B" w:rsidRPr="00500471">
        <w:rPr>
          <w:b/>
          <w:bCs/>
          <w:sz w:val="30"/>
          <w:szCs w:val="30"/>
        </w:rPr>
        <w:t>MANAGEMNET</w:t>
      </w:r>
      <w:r w:rsidR="00500471" w:rsidRPr="00500471">
        <w:rPr>
          <w:b/>
          <w:bCs/>
          <w:sz w:val="30"/>
          <w:szCs w:val="30"/>
        </w:rPr>
        <w:t xml:space="preserve"> 50%</w:t>
      </w:r>
    </w:p>
    <w:p w14:paraId="333A0203" w14:textId="1F32B110" w:rsidR="002711B8" w:rsidRPr="00500471" w:rsidRDefault="002711B8" w:rsidP="002711B8">
      <w:pPr>
        <w:pStyle w:val="NormalWeb"/>
        <w:shd w:val="clear" w:color="auto" w:fill="FFFFFF"/>
        <w:spacing w:before="0" w:beforeAutospacing="0" w:after="0" w:afterAutospacing="0" w:line="360" w:lineRule="auto"/>
        <w:rPr>
          <w:b/>
          <w:bCs/>
          <w:color w:val="222A35" w:themeColor="text2" w:themeShade="80"/>
          <w:sz w:val="30"/>
          <w:szCs w:val="30"/>
          <w:u w:val="single"/>
        </w:rPr>
      </w:pPr>
      <w:r w:rsidRPr="00500471">
        <w:rPr>
          <w:b/>
          <w:bCs/>
          <w:color w:val="222A35" w:themeColor="text2" w:themeShade="80"/>
          <w:sz w:val="30"/>
          <w:szCs w:val="30"/>
        </w:rPr>
        <w:t xml:space="preserve">                        </w:t>
      </w:r>
      <w:r w:rsidRPr="00500471">
        <w:rPr>
          <w:b/>
          <w:bCs/>
          <w:color w:val="222A35" w:themeColor="text2" w:themeShade="80"/>
          <w:sz w:val="30"/>
          <w:szCs w:val="30"/>
          <w:u w:val="single"/>
        </w:rPr>
        <w:t xml:space="preserve"> LECTURER: </w:t>
      </w:r>
      <w:r w:rsidR="003B711E" w:rsidRPr="00500471">
        <w:rPr>
          <w:b/>
          <w:bCs/>
          <w:color w:val="C00000"/>
          <w:sz w:val="30"/>
          <w:szCs w:val="30"/>
          <w:u w:val="single"/>
        </w:rPr>
        <w:t>Dr. G</w:t>
      </w:r>
      <w:r w:rsidR="00681E52" w:rsidRPr="00500471">
        <w:rPr>
          <w:b/>
          <w:bCs/>
          <w:color w:val="C00000"/>
          <w:sz w:val="30"/>
          <w:szCs w:val="30"/>
          <w:u w:val="single"/>
        </w:rPr>
        <w:t>LADIUS KULOTHUNGAN</w:t>
      </w:r>
    </w:p>
    <w:p w14:paraId="536C0E45" w14:textId="77777777" w:rsidR="002711B8" w:rsidRPr="00500471" w:rsidRDefault="002711B8" w:rsidP="002711B8">
      <w:pPr>
        <w:pStyle w:val="NormalWeb"/>
        <w:shd w:val="clear" w:color="auto" w:fill="FFFFFF"/>
        <w:spacing w:before="0" w:beforeAutospacing="0" w:after="0" w:afterAutospacing="0" w:line="360" w:lineRule="auto"/>
        <w:jc w:val="center"/>
        <w:rPr>
          <w:b/>
          <w:bCs/>
          <w:color w:val="000000" w:themeColor="text1"/>
          <w:sz w:val="30"/>
          <w:szCs w:val="30"/>
        </w:rPr>
      </w:pPr>
      <w:r w:rsidRPr="00500471">
        <w:rPr>
          <w:b/>
          <w:bCs/>
          <w:color w:val="222A35" w:themeColor="text2" w:themeShade="80"/>
          <w:sz w:val="30"/>
          <w:szCs w:val="30"/>
          <w:u w:val="single"/>
        </w:rPr>
        <w:t xml:space="preserve">COURSE: </w:t>
      </w:r>
      <w:r w:rsidRPr="00500471">
        <w:rPr>
          <w:b/>
          <w:bCs/>
          <w:color w:val="000000" w:themeColor="text1"/>
          <w:sz w:val="30"/>
          <w:szCs w:val="30"/>
        </w:rPr>
        <w:t>MASTERS OF BUSSINESS ADMINSTRATION GENERAL</w:t>
      </w:r>
    </w:p>
    <w:p w14:paraId="736C5D75" w14:textId="4FA38E3C" w:rsidR="002711B8" w:rsidRPr="00500471" w:rsidRDefault="002711B8" w:rsidP="002711B8">
      <w:pPr>
        <w:pStyle w:val="NormalWeb"/>
        <w:shd w:val="clear" w:color="auto" w:fill="FFFFFF"/>
        <w:spacing w:before="0" w:beforeAutospacing="0" w:after="0" w:afterAutospacing="0" w:line="360" w:lineRule="auto"/>
        <w:jc w:val="center"/>
        <w:rPr>
          <w:b/>
          <w:bCs/>
          <w:color w:val="000000" w:themeColor="text1"/>
          <w:sz w:val="30"/>
          <w:szCs w:val="30"/>
        </w:rPr>
      </w:pPr>
      <w:r w:rsidRPr="00500471">
        <w:rPr>
          <w:b/>
          <w:bCs/>
          <w:color w:val="222A35" w:themeColor="text2" w:themeShade="80"/>
          <w:sz w:val="30"/>
          <w:szCs w:val="30"/>
          <w:u w:val="single"/>
        </w:rPr>
        <w:t>SUBMISSION DATE</w:t>
      </w:r>
      <w:r w:rsidRPr="00500471">
        <w:rPr>
          <w:b/>
          <w:bCs/>
          <w:color w:val="000000" w:themeColor="text1"/>
          <w:sz w:val="30"/>
          <w:szCs w:val="30"/>
        </w:rPr>
        <w:t>: 1</w:t>
      </w:r>
      <w:r w:rsidR="00B94B1F">
        <w:rPr>
          <w:b/>
          <w:bCs/>
          <w:color w:val="000000" w:themeColor="text1"/>
          <w:sz w:val="30"/>
          <w:szCs w:val="30"/>
        </w:rPr>
        <w:t>0</w:t>
      </w:r>
      <w:r w:rsidRPr="00500471">
        <w:rPr>
          <w:b/>
          <w:bCs/>
          <w:color w:val="000000" w:themeColor="text1"/>
          <w:sz w:val="30"/>
          <w:szCs w:val="30"/>
          <w:vertAlign w:val="superscript"/>
        </w:rPr>
        <w:t>TH</w:t>
      </w:r>
      <w:r w:rsidRPr="00500471">
        <w:rPr>
          <w:b/>
          <w:bCs/>
          <w:color w:val="000000" w:themeColor="text1"/>
          <w:sz w:val="30"/>
          <w:szCs w:val="30"/>
        </w:rPr>
        <w:t xml:space="preserve"> SEP 2022</w:t>
      </w:r>
    </w:p>
    <w:p w14:paraId="1F4A3D07" w14:textId="753826DA" w:rsidR="002711B8" w:rsidRPr="00500471" w:rsidRDefault="002711B8" w:rsidP="002711B8">
      <w:pPr>
        <w:pStyle w:val="NormalWeb"/>
        <w:shd w:val="clear" w:color="auto" w:fill="FFFFFF"/>
        <w:spacing w:before="0" w:beforeAutospacing="0" w:after="0" w:afterAutospacing="0" w:line="360" w:lineRule="auto"/>
        <w:jc w:val="center"/>
        <w:rPr>
          <w:b/>
          <w:bCs/>
          <w:color w:val="222A35" w:themeColor="text2" w:themeShade="80"/>
          <w:sz w:val="30"/>
          <w:szCs w:val="30"/>
          <w:u w:val="single"/>
        </w:rPr>
      </w:pPr>
      <w:r w:rsidRPr="00500471">
        <w:rPr>
          <w:b/>
          <w:bCs/>
          <w:color w:val="222A35" w:themeColor="text2" w:themeShade="80"/>
          <w:sz w:val="30"/>
          <w:szCs w:val="30"/>
          <w:u w:val="single"/>
        </w:rPr>
        <w:t>PAGES:</w:t>
      </w:r>
      <w:r w:rsidRPr="00500471">
        <w:rPr>
          <w:b/>
          <w:bCs/>
          <w:color w:val="000000" w:themeColor="text1"/>
          <w:sz w:val="30"/>
          <w:szCs w:val="30"/>
        </w:rPr>
        <w:t xml:space="preserve"> </w:t>
      </w:r>
      <w:r w:rsidR="007C2F89">
        <w:rPr>
          <w:b/>
          <w:bCs/>
          <w:color w:val="000000" w:themeColor="text1"/>
          <w:sz w:val="30"/>
          <w:szCs w:val="30"/>
        </w:rPr>
        <w:t>11</w:t>
      </w:r>
    </w:p>
    <w:p w14:paraId="7E140231" w14:textId="3D92100A" w:rsidR="002711B8" w:rsidRPr="00391719" w:rsidRDefault="001227C6" w:rsidP="001227C6">
      <w:pPr>
        <w:pStyle w:val="NormalWeb"/>
        <w:shd w:val="clear" w:color="auto" w:fill="FFFFFF"/>
        <w:spacing w:before="0" w:beforeAutospacing="0" w:after="0" w:afterAutospacing="0" w:line="360" w:lineRule="auto"/>
        <w:rPr>
          <w:b/>
          <w:bCs/>
          <w:sz w:val="30"/>
          <w:szCs w:val="30"/>
          <w:u w:val="single"/>
        </w:rPr>
      </w:pPr>
      <w:r w:rsidRPr="00391719">
        <w:rPr>
          <w:b/>
          <w:bCs/>
          <w:color w:val="222A35" w:themeColor="text2" w:themeShade="80"/>
          <w:sz w:val="30"/>
          <w:szCs w:val="30"/>
        </w:rPr>
        <w:t xml:space="preserve"> </w:t>
      </w:r>
      <w:r w:rsidR="00391719" w:rsidRPr="00391719">
        <w:rPr>
          <w:b/>
          <w:bCs/>
          <w:color w:val="222A35" w:themeColor="text2" w:themeShade="80"/>
          <w:sz w:val="30"/>
          <w:szCs w:val="30"/>
        </w:rPr>
        <w:t xml:space="preserve">             </w:t>
      </w:r>
      <w:r w:rsidR="00391719">
        <w:rPr>
          <w:b/>
          <w:bCs/>
          <w:color w:val="222A35" w:themeColor="text2" w:themeShade="80"/>
          <w:sz w:val="30"/>
          <w:szCs w:val="30"/>
        </w:rPr>
        <w:t xml:space="preserve">           </w:t>
      </w:r>
      <w:r w:rsidR="00391719" w:rsidRPr="00391719">
        <w:rPr>
          <w:b/>
          <w:bCs/>
          <w:color w:val="222A35" w:themeColor="text2" w:themeShade="80"/>
          <w:sz w:val="30"/>
          <w:szCs w:val="30"/>
        </w:rPr>
        <w:t xml:space="preserve">      </w:t>
      </w:r>
      <w:r w:rsidR="00391719">
        <w:rPr>
          <w:b/>
          <w:bCs/>
          <w:color w:val="222A35" w:themeColor="text2" w:themeShade="80"/>
          <w:sz w:val="30"/>
          <w:szCs w:val="30"/>
          <w:u w:val="single"/>
        </w:rPr>
        <w:t>MODULE CODE</w:t>
      </w:r>
      <w:r w:rsidR="00391719" w:rsidRPr="00391719">
        <w:rPr>
          <w:b/>
          <w:bCs/>
          <w:sz w:val="30"/>
          <w:szCs w:val="30"/>
          <w:u w:val="single"/>
        </w:rPr>
        <w:t>: LCMB7000</w:t>
      </w:r>
    </w:p>
    <w:p w14:paraId="60A50B08" w14:textId="0266B9E2" w:rsidR="002711B8" w:rsidRPr="00500471" w:rsidRDefault="00391719" w:rsidP="002711B8">
      <w:pPr>
        <w:pStyle w:val="NormalWeb"/>
        <w:shd w:val="clear" w:color="auto" w:fill="FFFFFF"/>
        <w:spacing w:before="0" w:beforeAutospacing="0" w:after="0" w:afterAutospacing="0" w:line="360" w:lineRule="auto"/>
        <w:rPr>
          <w:b/>
          <w:bCs/>
          <w:color w:val="000000" w:themeColor="text1"/>
          <w:sz w:val="30"/>
          <w:szCs w:val="30"/>
        </w:rPr>
      </w:pPr>
      <w:r>
        <w:rPr>
          <w:b/>
          <w:bCs/>
          <w:color w:val="000000" w:themeColor="text1"/>
          <w:sz w:val="30"/>
          <w:szCs w:val="30"/>
        </w:rPr>
        <w:t xml:space="preserve">  </w:t>
      </w:r>
    </w:p>
    <w:p w14:paraId="74859FFA" w14:textId="77777777" w:rsidR="00B66CD4" w:rsidRPr="00500471" w:rsidRDefault="00B66CD4" w:rsidP="009F0ECB">
      <w:pPr>
        <w:spacing w:line="360" w:lineRule="auto"/>
        <w:jc w:val="both"/>
        <w:rPr>
          <w:rFonts w:ascii="Times New Roman" w:hAnsi="Times New Roman" w:cs="Times New Roman"/>
          <w:b/>
          <w:color w:val="000000" w:themeColor="text1"/>
          <w:sz w:val="30"/>
          <w:szCs w:val="30"/>
        </w:rPr>
      </w:pPr>
    </w:p>
    <w:p w14:paraId="3B9989B0" w14:textId="77777777" w:rsidR="00B66CD4" w:rsidRPr="00500471" w:rsidRDefault="00B66CD4" w:rsidP="009F0ECB">
      <w:pPr>
        <w:spacing w:line="360" w:lineRule="auto"/>
        <w:jc w:val="both"/>
        <w:rPr>
          <w:rFonts w:ascii="Times New Roman" w:hAnsi="Times New Roman" w:cs="Times New Roman"/>
          <w:b/>
          <w:color w:val="000000" w:themeColor="text1"/>
          <w:sz w:val="30"/>
          <w:szCs w:val="30"/>
        </w:rPr>
      </w:pPr>
    </w:p>
    <w:p w14:paraId="7457419B"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1784AF72"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61EAFF24"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479B9C9A" w14:textId="7D0CCB9E" w:rsidR="002711B8" w:rsidRPr="00822C56" w:rsidRDefault="002711B8" w:rsidP="002711B8">
      <w:pPr>
        <w:spacing w:line="360" w:lineRule="auto"/>
        <w:jc w:val="center"/>
        <w:rPr>
          <w:rFonts w:ascii="Times New Roman" w:hAnsi="Times New Roman" w:cs="Times New Roman"/>
          <w:b/>
          <w:sz w:val="40"/>
          <w:szCs w:val="40"/>
        </w:rPr>
      </w:pPr>
      <w:r w:rsidRPr="00822C56">
        <w:rPr>
          <w:rFonts w:ascii="Times New Roman" w:hAnsi="Times New Roman" w:cs="Times New Roman"/>
          <w:b/>
          <w:sz w:val="40"/>
          <w:szCs w:val="40"/>
        </w:rPr>
        <w:t>INDEX</w:t>
      </w:r>
    </w:p>
    <w:p w14:paraId="4C971BFE" w14:textId="2F08AFDB" w:rsidR="002711B8" w:rsidRPr="00822C56" w:rsidRDefault="0061045A" w:rsidP="00926AA5">
      <w:pPr>
        <w:pStyle w:val="ListParagraph"/>
        <w:numPr>
          <w:ilvl w:val="0"/>
          <w:numId w:val="4"/>
        </w:numPr>
        <w:spacing w:line="360" w:lineRule="auto"/>
        <w:jc w:val="both"/>
        <w:rPr>
          <w:rFonts w:ascii="Times New Roman" w:hAnsi="Times New Roman" w:cs="Times New Roman"/>
          <w:bCs/>
          <w:sz w:val="30"/>
          <w:szCs w:val="30"/>
        </w:rPr>
      </w:pPr>
      <w:r>
        <w:rPr>
          <w:rFonts w:ascii="Times New Roman" w:hAnsi="Times New Roman" w:cs="Times New Roman"/>
          <w:bCs/>
          <w:sz w:val="30"/>
          <w:szCs w:val="30"/>
        </w:rPr>
        <w:t>Laboure</w:t>
      </w:r>
      <w:r w:rsidR="00822C56" w:rsidRPr="00822C56">
        <w:rPr>
          <w:rFonts w:ascii="Times New Roman" w:hAnsi="Times New Roman" w:cs="Times New Roman"/>
          <w:bCs/>
          <w:sz w:val="30"/>
          <w:szCs w:val="30"/>
        </w:rPr>
        <w:t xml:space="preserve"> market </w:t>
      </w:r>
      <w:r w:rsidR="00926AA5" w:rsidRPr="00822C56">
        <w:rPr>
          <w:rFonts w:ascii="Times New Roman" w:hAnsi="Times New Roman" w:cs="Times New Roman"/>
          <w:bCs/>
          <w:sz w:val="30"/>
          <w:szCs w:val="30"/>
        </w:rPr>
        <w:t>………………………………</w:t>
      </w:r>
      <w:r w:rsidR="00A6194E" w:rsidRPr="00822C56">
        <w:rPr>
          <w:rFonts w:ascii="Times New Roman" w:hAnsi="Times New Roman" w:cs="Times New Roman"/>
          <w:bCs/>
          <w:sz w:val="30"/>
          <w:szCs w:val="30"/>
        </w:rPr>
        <w:t>…………….….</w:t>
      </w:r>
      <w:r w:rsidR="00926AA5" w:rsidRPr="00822C56">
        <w:rPr>
          <w:rFonts w:ascii="Times New Roman" w:hAnsi="Times New Roman" w:cs="Times New Roman"/>
          <w:bCs/>
          <w:sz w:val="30"/>
          <w:szCs w:val="30"/>
        </w:rPr>
        <w:t>……</w:t>
      </w:r>
      <w:r w:rsidR="00822C56" w:rsidRPr="00822C56">
        <w:rPr>
          <w:rFonts w:ascii="Times New Roman" w:hAnsi="Times New Roman" w:cs="Times New Roman"/>
          <w:bCs/>
          <w:sz w:val="30"/>
          <w:szCs w:val="30"/>
        </w:rPr>
        <w:t>…</w:t>
      </w:r>
      <w:r w:rsidR="001E212F" w:rsidRPr="00822C56">
        <w:rPr>
          <w:rFonts w:ascii="Times New Roman" w:hAnsi="Times New Roman" w:cs="Times New Roman"/>
          <w:bCs/>
          <w:sz w:val="30"/>
          <w:szCs w:val="30"/>
        </w:rPr>
        <w:t>3</w:t>
      </w:r>
    </w:p>
    <w:p w14:paraId="0D2E7366" w14:textId="267EEA3E" w:rsidR="00EC70F1" w:rsidRPr="00822C56" w:rsidRDefault="00EC70F1" w:rsidP="00EC70F1">
      <w:pPr>
        <w:pStyle w:val="ListParagraph"/>
        <w:numPr>
          <w:ilvl w:val="0"/>
          <w:numId w:val="4"/>
        </w:numPr>
        <w:spacing w:line="360" w:lineRule="auto"/>
        <w:jc w:val="both"/>
        <w:rPr>
          <w:rFonts w:ascii="Times New Roman" w:hAnsi="Times New Roman" w:cs="Times New Roman"/>
          <w:bCs/>
          <w:sz w:val="30"/>
          <w:szCs w:val="30"/>
        </w:rPr>
      </w:pPr>
      <w:r w:rsidRPr="00822C56">
        <w:rPr>
          <w:rFonts w:ascii="Times New Roman" w:hAnsi="Times New Roman" w:cs="Times New Roman"/>
          <w:bCs/>
          <w:sz w:val="30"/>
          <w:szCs w:val="30"/>
        </w:rPr>
        <w:t>What</w:t>
      </w:r>
      <w:r w:rsidR="00822C56" w:rsidRPr="00822C56">
        <w:rPr>
          <w:rFonts w:ascii="Times New Roman" w:hAnsi="Times New Roman" w:cs="Times New Roman"/>
          <w:bCs/>
          <w:sz w:val="30"/>
          <w:szCs w:val="30"/>
        </w:rPr>
        <w:t xml:space="preserve"> </w:t>
      </w:r>
      <w:r w:rsidRPr="00822C56">
        <w:rPr>
          <w:rFonts w:ascii="Times New Roman" w:hAnsi="Times New Roman" w:cs="Times New Roman"/>
          <w:bCs/>
          <w:sz w:val="30"/>
          <w:szCs w:val="30"/>
        </w:rPr>
        <w:t xml:space="preserve">happened to the </w:t>
      </w:r>
      <w:r w:rsidR="0061045A">
        <w:rPr>
          <w:rFonts w:ascii="Times New Roman" w:hAnsi="Times New Roman" w:cs="Times New Roman"/>
          <w:bCs/>
          <w:sz w:val="30"/>
          <w:szCs w:val="30"/>
        </w:rPr>
        <w:t>Laboure</w:t>
      </w:r>
      <w:r w:rsidRPr="00822C56">
        <w:rPr>
          <w:rFonts w:ascii="Times New Roman" w:hAnsi="Times New Roman" w:cs="Times New Roman"/>
          <w:bCs/>
          <w:sz w:val="30"/>
          <w:szCs w:val="30"/>
        </w:rPr>
        <w:t xml:space="preserve"> market during the Covid Perio</w:t>
      </w:r>
      <w:r w:rsidR="00822C56" w:rsidRPr="00822C56">
        <w:rPr>
          <w:rFonts w:ascii="Times New Roman" w:hAnsi="Times New Roman" w:cs="Times New Roman"/>
          <w:bCs/>
          <w:sz w:val="30"/>
          <w:szCs w:val="30"/>
        </w:rPr>
        <w:t>d….</w:t>
      </w:r>
      <w:r w:rsidRPr="00822C56">
        <w:rPr>
          <w:rFonts w:ascii="Times New Roman" w:hAnsi="Times New Roman" w:cs="Times New Roman"/>
          <w:bCs/>
          <w:sz w:val="30"/>
          <w:szCs w:val="30"/>
        </w:rPr>
        <w:t>4</w:t>
      </w:r>
    </w:p>
    <w:p w14:paraId="360E7EE7" w14:textId="3655C9DE" w:rsidR="00EC70F1" w:rsidRPr="00822C56" w:rsidRDefault="00EC70F1" w:rsidP="00EC70F1">
      <w:pPr>
        <w:pStyle w:val="ListParagraph"/>
        <w:numPr>
          <w:ilvl w:val="0"/>
          <w:numId w:val="4"/>
        </w:numPr>
        <w:spacing w:line="360" w:lineRule="auto"/>
        <w:jc w:val="both"/>
        <w:rPr>
          <w:rFonts w:ascii="Times New Roman" w:hAnsi="Times New Roman" w:cs="Times New Roman"/>
          <w:bCs/>
          <w:sz w:val="30"/>
          <w:szCs w:val="30"/>
        </w:rPr>
      </w:pPr>
      <w:r w:rsidRPr="00822C56">
        <w:rPr>
          <w:rFonts w:ascii="Times New Roman" w:hAnsi="Times New Roman" w:cs="Times New Roman"/>
          <w:bCs/>
          <w:sz w:val="30"/>
          <w:szCs w:val="30"/>
        </w:rPr>
        <w:t>Resourcing</w:t>
      </w:r>
      <w:r w:rsidR="00A6194E" w:rsidRPr="00822C56">
        <w:rPr>
          <w:rFonts w:ascii="Times New Roman" w:hAnsi="Times New Roman" w:cs="Times New Roman"/>
          <w:bCs/>
          <w:sz w:val="30"/>
          <w:szCs w:val="30"/>
        </w:rPr>
        <w:t xml:space="preserve"> </w:t>
      </w:r>
      <w:r w:rsidRPr="00822C56">
        <w:rPr>
          <w:rFonts w:ascii="Times New Roman" w:hAnsi="Times New Roman" w:cs="Times New Roman"/>
          <w:bCs/>
          <w:sz w:val="30"/>
          <w:szCs w:val="30"/>
        </w:rPr>
        <w:t>Strategies……</w:t>
      </w:r>
      <w:r w:rsidR="00A6194E" w:rsidRPr="00822C56">
        <w:rPr>
          <w:rFonts w:ascii="Times New Roman" w:hAnsi="Times New Roman" w:cs="Times New Roman"/>
          <w:bCs/>
          <w:sz w:val="30"/>
          <w:szCs w:val="30"/>
        </w:rPr>
        <w:t>………………………………….…</w:t>
      </w:r>
      <w:proofErr w:type="gramStart"/>
      <w:r w:rsidR="00822C56" w:rsidRPr="00822C56">
        <w:rPr>
          <w:rFonts w:ascii="Times New Roman" w:hAnsi="Times New Roman" w:cs="Times New Roman"/>
          <w:bCs/>
          <w:sz w:val="30"/>
          <w:szCs w:val="30"/>
        </w:rPr>
        <w:t>…..</w:t>
      </w:r>
      <w:proofErr w:type="gramEnd"/>
      <w:r w:rsidRPr="00822C56">
        <w:rPr>
          <w:rFonts w:ascii="Times New Roman" w:hAnsi="Times New Roman" w:cs="Times New Roman"/>
          <w:bCs/>
          <w:sz w:val="30"/>
          <w:szCs w:val="30"/>
        </w:rPr>
        <w:t>….5</w:t>
      </w:r>
    </w:p>
    <w:p w14:paraId="36C48A12" w14:textId="2DB79600" w:rsidR="002711B8" w:rsidRPr="00822C56" w:rsidRDefault="00EC70F1" w:rsidP="009F0ECB">
      <w:pPr>
        <w:pStyle w:val="ListParagraph"/>
        <w:numPr>
          <w:ilvl w:val="0"/>
          <w:numId w:val="4"/>
        </w:numPr>
        <w:spacing w:line="360" w:lineRule="auto"/>
        <w:jc w:val="both"/>
        <w:rPr>
          <w:rFonts w:ascii="Times New Roman" w:hAnsi="Times New Roman" w:cs="Times New Roman"/>
          <w:bCs/>
          <w:sz w:val="30"/>
          <w:szCs w:val="30"/>
        </w:rPr>
      </w:pPr>
      <w:r w:rsidRPr="00822C56">
        <w:rPr>
          <w:rFonts w:ascii="Times New Roman" w:hAnsi="Times New Roman" w:cs="Times New Roman"/>
          <w:bCs/>
          <w:sz w:val="30"/>
          <w:szCs w:val="30"/>
        </w:rPr>
        <w:t>Post Covid Resourcing Strategies</w:t>
      </w:r>
      <w:r w:rsidR="00A6194E" w:rsidRPr="00822C56">
        <w:rPr>
          <w:rFonts w:ascii="Times New Roman" w:hAnsi="Times New Roman" w:cs="Times New Roman"/>
          <w:bCs/>
          <w:sz w:val="30"/>
          <w:szCs w:val="30"/>
        </w:rPr>
        <w:t>…………………</w:t>
      </w:r>
      <w:proofErr w:type="gramStart"/>
      <w:r w:rsidR="00A6194E" w:rsidRPr="00822C56">
        <w:rPr>
          <w:rFonts w:ascii="Times New Roman" w:hAnsi="Times New Roman" w:cs="Times New Roman"/>
          <w:bCs/>
          <w:sz w:val="30"/>
          <w:szCs w:val="30"/>
        </w:rPr>
        <w:t>…..</w:t>
      </w:r>
      <w:proofErr w:type="gramEnd"/>
      <w:r w:rsidR="00A6194E" w:rsidRPr="00822C56">
        <w:rPr>
          <w:rFonts w:ascii="Times New Roman" w:hAnsi="Times New Roman" w:cs="Times New Roman"/>
          <w:bCs/>
          <w:sz w:val="30"/>
          <w:szCs w:val="30"/>
        </w:rPr>
        <w:t>……..……</w:t>
      </w:r>
      <w:r w:rsidR="00822C56" w:rsidRPr="00822C56">
        <w:rPr>
          <w:rFonts w:ascii="Times New Roman" w:hAnsi="Times New Roman" w:cs="Times New Roman"/>
          <w:bCs/>
          <w:sz w:val="30"/>
          <w:szCs w:val="30"/>
        </w:rPr>
        <w:t>.</w:t>
      </w:r>
      <w:r w:rsidR="00A6194E" w:rsidRPr="00822C56">
        <w:rPr>
          <w:rFonts w:ascii="Times New Roman" w:hAnsi="Times New Roman" w:cs="Times New Roman"/>
          <w:bCs/>
          <w:sz w:val="30"/>
          <w:szCs w:val="30"/>
        </w:rPr>
        <w:t>6-7</w:t>
      </w:r>
    </w:p>
    <w:p w14:paraId="5E63C8F3" w14:textId="71B52584" w:rsidR="00A6194E" w:rsidRPr="00822C56" w:rsidRDefault="00A6194E" w:rsidP="00A6194E">
      <w:pPr>
        <w:pStyle w:val="ListParagraph"/>
        <w:numPr>
          <w:ilvl w:val="0"/>
          <w:numId w:val="4"/>
        </w:numPr>
        <w:spacing w:line="360" w:lineRule="auto"/>
        <w:jc w:val="both"/>
        <w:rPr>
          <w:rFonts w:ascii="Times New Roman" w:hAnsi="Times New Roman" w:cs="Times New Roman"/>
          <w:bCs/>
          <w:color w:val="000000" w:themeColor="text1"/>
          <w:sz w:val="30"/>
          <w:szCs w:val="30"/>
        </w:rPr>
      </w:pPr>
      <w:r w:rsidRPr="00822C56">
        <w:rPr>
          <w:rFonts w:ascii="Times New Roman" w:hAnsi="Times New Roman" w:cs="Times New Roman"/>
          <w:bCs/>
          <w:sz w:val="30"/>
          <w:szCs w:val="30"/>
        </w:rPr>
        <w:t xml:space="preserve">Post Brexit Resourcing </w:t>
      </w:r>
      <w:r w:rsidRPr="00822C56">
        <w:rPr>
          <w:rFonts w:ascii="Times New Roman" w:hAnsi="Times New Roman" w:cs="Times New Roman"/>
          <w:bCs/>
          <w:color w:val="000000" w:themeColor="text1"/>
          <w:sz w:val="30"/>
          <w:szCs w:val="30"/>
        </w:rPr>
        <w:t>Strategies………………………………</w:t>
      </w:r>
      <w:r w:rsidR="003F5C15">
        <w:rPr>
          <w:rFonts w:ascii="Times New Roman" w:hAnsi="Times New Roman" w:cs="Times New Roman"/>
          <w:bCs/>
          <w:color w:val="000000" w:themeColor="text1"/>
          <w:sz w:val="30"/>
          <w:szCs w:val="30"/>
        </w:rPr>
        <w:t>.</w:t>
      </w:r>
      <w:r w:rsidR="00822C56" w:rsidRPr="00822C56">
        <w:rPr>
          <w:rFonts w:ascii="Times New Roman" w:hAnsi="Times New Roman" w:cs="Times New Roman"/>
          <w:bCs/>
          <w:color w:val="000000" w:themeColor="text1"/>
          <w:sz w:val="30"/>
          <w:szCs w:val="30"/>
        </w:rPr>
        <w:t>..</w:t>
      </w:r>
      <w:r w:rsidRPr="00822C56">
        <w:rPr>
          <w:rFonts w:ascii="Times New Roman" w:hAnsi="Times New Roman" w:cs="Times New Roman"/>
          <w:bCs/>
          <w:color w:val="000000" w:themeColor="text1"/>
          <w:sz w:val="30"/>
          <w:szCs w:val="30"/>
        </w:rPr>
        <w:t>8</w:t>
      </w:r>
    </w:p>
    <w:p w14:paraId="021530CC" w14:textId="555DB857" w:rsidR="00822C56" w:rsidRPr="00822C56" w:rsidRDefault="00822C56" w:rsidP="00822C56">
      <w:pPr>
        <w:pStyle w:val="ListParagraph"/>
        <w:numPr>
          <w:ilvl w:val="0"/>
          <w:numId w:val="4"/>
        </w:numPr>
        <w:spacing w:line="360" w:lineRule="auto"/>
        <w:jc w:val="both"/>
        <w:rPr>
          <w:rFonts w:ascii="Times New Roman" w:hAnsi="Times New Roman" w:cs="Times New Roman"/>
          <w:bCs/>
          <w:color w:val="000000" w:themeColor="text1"/>
          <w:sz w:val="30"/>
          <w:szCs w:val="30"/>
        </w:rPr>
      </w:pPr>
      <w:r w:rsidRPr="00822C56">
        <w:rPr>
          <w:rFonts w:ascii="Times New Roman" w:hAnsi="Times New Roman" w:cs="Times New Roman"/>
          <w:bCs/>
          <w:color w:val="000000" w:themeColor="text1"/>
          <w:sz w:val="30"/>
          <w:szCs w:val="30"/>
        </w:rPr>
        <w:t>Conclusion &amp; Recommendations…………………………</w:t>
      </w:r>
      <w:r>
        <w:rPr>
          <w:rFonts w:ascii="Times New Roman" w:hAnsi="Times New Roman" w:cs="Times New Roman"/>
          <w:bCs/>
          <w:color w:val="000000" w:themeColor="text1"/>
          <w:sz w:val="30"/>
          <w:szCs w:val="30"/>
        </w:rPr>
        <w:t>…</w:t>
      </w:r>
      <w:r w:rsidRPr="00822C56">
        <w:rPr>
          <w:rFonts w:ascii="Times New Roman" w:hAnsi="Times New Roman" w:cs="Times New Roman"/>
          <w:bCs/>
          <w:color w:val="000000" w:themeColor="text1"/>
          <w:sz w:val="30"/>
          <w:szCs w:val="30"/>
        </w:rPr>
        <w:t>……9</w:t>
      </w:r>
    </w:p>
    <w:p w14:paraId="205B7415" w14:textId="70D2E573" w:rsidR="00A6194E" w:rsidRPr="00822C56" w:rsidRDefault="00822C56" w:rsidP="00822C56">
      <w:pPr>
        <w:pStyle w:val="ListParagraph"/>
        <w:numPr>
          <w:ilvl w:val="0"/>
          <w:numId w:val="4"/>
        </w:numPr>
        <w:spacing w:line="360" w:lineRule="auto"/>
        <w:jc w:val="both"/>
        <w:rPr>
          <w:rFonts w:ascii="Times New Roman" w:hAnsi="Times New Roman" w:cs="Times New Roman"/>
          <w:bCs/>
          <w:color w:val="000000" w:themeColor="text1"/>
          <w:sz w:val="30"/>
          <w:szCs w:val="30"/>
        </w:rPr>
      </w:pPr>
      <w:r w:rsidRPr="00822C56">
        <w:rPr>
          <w:rFonts w:ascii="Times New Roman" w:hAnsi="Times New Roman" w:cs="Times New Roman"/>
          <w:bCs/>
          <w:color w:val="000000" w:themeColor="text1"/>
          <w:sz w:val="30"/>
          <w:szCs w:val="30"/>
        </w:rPr>
        <w:t>References……….……………………</w:t>
      </w:r>
      <w:r>
        <w:rPr>
          <w:rFonts w:ascii="Times New Roman" w:hAnsi="Times New Roman" w:cs="Times New Roman"/>
          <w:bCs/>
          <w:color w:val="000000" w:themeColor="text1"/>
          <w:sz w:val="30"/>
          <w:szCs w:val="30"/>
        </w:rPr>
        <w:t>.</w:t>
      </w:r>
      <w:r w:rsidRPr="00822C56">
        <w:rPr>
          <w:rFonts w:ascii="Times New Roman" w:hAnsi="Times New Roman" w:cs="Times New Roman"/>
          <w:bCs/>
          <w:color w:val="000000" w:themeColor="text1"/>
          <w:sz w:val="30"/>
          <w:szCs w:val="30"/>
        </w:rPr>
        <w:t>……………………</w:t>
      </w:r>
      <w:proofErr w:type="gramStart"/>
      <w:r w:rsidRPr="00822C56">
        <w:rPr>
          <w:rFonts w:ascii="Times New Roman" w:hAnsi="Times New Roman" w:cs="Times New Roman"/>
          <w:bCs/>
          <w:color w:val="000000" w:themeColor="text1"/>
          <w:sz w:val="30"/>
          <w:szCs w:val="30"/>
        </w:rPr>
        <w:t>…..</w:t>
      </w:r>
      <w:proofErr w:type="gramEnd"/>
      <w:r w:rsidRPr="00822C56">
        <w:rPr>
          <w:rFonts w:ascii="Times New Roman" w:hAnsi="Times New Roman" w:cs="Times New Roman"/>
          <w:bCs/>
          <w:color w:val="000000" w:themeColor="text1"/>
          <w:sz w:val="30"/>
          <w:szCs w:val="30"/>
        </w:rPr>
        <w:t>10-11</w:t>
      </w:r>
    </w:p>
    <w:p w14:paraId="4DD87B20" w14:textId="77777777" w:rsidR="002711B8" w:rsidRPr="00822C56" w:rsidRDefault="002711B8" w:rsidP="009F0ECB">
      <w:pPr>
        <w:spacing w:line="360" w:lineRule="auto"/>
        <w:jc w:val="both"/>
        <w:rPr>
          <w:rFonts w:ascii="Times New Roman" w:hAnsi="Times New Roman" w:cs="Times New Roman"/>
          <w:bCs/>
          <w:color w:val="000000" w:themeColor="text1"/>
          <w:sz w:val="30"/>
          <w:szCs w:val="30"/>
        </w:rPr>
      </w:pPr>
    </w:p>
    <w:p w14:paraId="4887AB7A"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4488FB32"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2E3D0D70"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6EC0F87B"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10893241"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5D00F79C"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25EB853A" w14:textId="77777777" w:rsidR="0061045A" w:rsidRDefault="0061045A" w:rsidP="009F0ECB">
      <w:pPr>
        <w:spacing w:line="360" w:lineRule="auto"/>
        <w:jc w:val="both"/>
        <w:rPr>
          <w:rFonts w:ascii="Times New Roman" w:hAnsi="Times New Roman" w:cs="Times New Roman"/>
          <w:b/>
          <w:color w:val="000000" w:themeColor="text1"/>
          <w:sz w:val="24"/>
          <w:szCs w:val="24"/>
        </w:rPr>
      </w:pPr>
    </w:p>
    <w:p w14:paraId="1DBF6AA3" w14:textId="77777777" w:rsidR="0061045A" w:rsidRDefault="0061045A" w:rsidP="009F0ECB">
      <w:pPr>
        <w:spacing w:line="360" w:lineRule="auto"/>
        <w:jc w:val="both"/>
        <w:rPr>
          <w:rFonts w:ascii="Times New Roman" w:hAnsi="Times New Roman" w:cs="Times New Roman"/>
          <w:b/>
          <w:color w:val="000000" w:themeColor="text1"/>
          <w:sz w:val="24"/>
          <w:szCs w:val="24"/>
        </w:rPr>
      </w:pPr>
    </w:p>
    <w:p w14:paraId="5E4465C7" w14:textId="77777777" w:rsidR="002711B8" w:rsidRDefault="002711B8" w:rsidP="009F0ECB">
      <w:pPr>
        <w:spacing w:line="360" w:lineRule="auto"/>
        <w:jc w:val="both"/>
        <w:rPr>
          <w:rFonts w:ascii="Times New Roman" w:hAnsi="Times New Roman" w:cs="Times New Roman"/>
          <w:b/>
          <w:color w:val="000000" w:themeColor="text1"/>
          <w:sz w:val="24"/>
          <w:szCs w:val="24"/>
        </w:rPr>
      </w:pPr>
    </w:p>
    <w:p w14:paraId="33640C7F" w14:textId="77777777" w:rsidR="00B66CD4" w:rsidRDefault="00B66CD4" w:rsidP="009F0ECB">
      <w:pPr>
        <w:spacing w:line="360" w:lineRule="auto"/>
        <w:jc w:val="both"/>
        <w:rPr>
          <w:rFonts w:ascii="Times New Roman" w:hAnsi="Times New Roman" w:cs="Times New Roman"/>
          <w:b/>
          <w:color w:val="000000" w:themeColor="text1"/>
          <w:sz w:val="24"/>
          <w:szCs w:val="24"/>
        </w:rPr>
      </w:pPr>
    </w:p>
    <w:p w14:paraId="58913448" w14:textId="77777777" w:rsidR="00B66CD4" w:rsidRDefault="00B66CD4" w:rsidP="009F0ECB">
      <w:pPr>
        <w:spacing w:line="360" w:lineRule="auto"/>
        <w:jc w:val="both"/>
        <w:rPr>
          <w:rFonts w:ascii="Times New Roman" w:hAnsi="Times New Roman" w:cs="Times New Roman"/>
          <w:b/>
          <w:color w:val="000000" w:themeColor="text1"/>
          <w:sz w:val="24"/>
          <w:szCs w:val="24"/>
        </w:rPr>
      </w:pPr>
    </w:p>
    <w:p w14:paraId="75F6BA71" w14:textId="5B61D55F" w:rsidR="00D649BD" w:rsidRPr="00765769" w:rsidRDefault="009E3B99" w:rsidP="009F0ECB">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Laboure</w:t>
      </w:r>
      <w:r w:rsidR="00D649BD" w:rsidRPr="00765769">
        <w:rPr>
          <w:rFonts w:ascii="Times New Roman" w:hAnsi="Times New Roman" w:cs="Times New Roman"/>
          <w:b/>
          <w:color w:val="000000" w:themeColor="text1"/>
          <w:sz w:val="24"/>
          <w:szCs w:val="24"/>
        </w:rPr>
        <w:t xml:space="preserve"> Market in the UK</w:t>
      </w:r>
    </w:p>
    <w:p w14:paraId="155B8886" w14:textId="69629AD9" w:rsidR="00D649BD" w:rsidRPr="00765769" w:rsidRDefault="00D649BD" w:rsidP="009F0ECB">
      <w:pPr>
        <w:pStyle w:val="ListParagraph"/>
        <w:numPr>
          <w:ilvl w:val="0"/>
          <w:numId w:val="1"/>
        </w:num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What do we mean by </w:t>
      </w:r>
      <w:r w:rsidR="0061045A">
        <w:rPr>
          <w:rFonts w:ascii="Times New Roman" w:hAnsi="Times New Roman" w:cs="Times New Roman"/>
          <w:b/>
          <w:color w:val="000000" w:themeColor="text1"/>
          <w:sz w:val="24"/>
          <w:szCs w:val="24"/>
        </w:rPr>
        <w:t>Laboure</w:t>
      </w:r>
      <w:r w:rsidRPr="00765769">
        <w:rPr>
          <w:rFonts w:ascii="Times New Roman" w:hAnsi="Times New Roman" w:cs="Times New Roman"/>
          <w:b/>
          <w:color w:val="000000" w:themeColor="text1"/>
          <w:sz w:val="24"/>
          <w:szCs w:val="24"/>
        </w:rPr>
        <w:t xml:space="preserve"> market? </w:t>
      </w:r>
    </w:p>
    <w:p w14:paraId="73913FBD" w14:textId="2AE897A9" w:rsidR="00765769" w:rsidRDefault="00765769" w:rsidP="00765769">
      <w:pPr>
        <w:spacing w:line="360" w:lineRule="auto"/>
        <w:ind w:left="36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 </w:t>
      </w:r>
      <w:r w:rsidR="0061045A">
        <w:rPr>
          <w:rFonts w:ascii="Times New Roman" w:hAnsi="Times New Roman" w:cs="Times New Roman"/>
          <w:color w:val="000000" w:themeColor="text1"/>
          <w:sz w:val="24"/>
          <w:szCs w:val="24"/>
          <w:shd w:val="clear" w:color="auto" w:fill="FFFFFF"/>
        </w:rPr>
        <w:t>Laboure</w:t>
      </w:r>
      <w:r w:rsidRPr="00765769">
        <w:rPr>
          <w:rFonts w:ascii="Times New Roman" w:hAnsi="Times New Roman" w:cs="Times New Roman"/>
          <w:color w:val="000000" w:themeColor="text1"/>
          <w:sz w:val="24"/>
          <w:szCs w:val="24"/>
          <w:shd w:val="clear" w:color="auto" w:fill="FFFFFF"/>
        </w:rPr>
        <w:t xml:space="preserve"> market is where the market interest for business crash, with representatives or work providing the administrations that businesses need. The specialist may be anyone who needs to give his abilities for an expense, while the business can be a solitary element or an association that needs somebody to achieve a specific work or complete an errand. The laborer is thusly closely resembling a merchant, while the business is comparable to a purchaser (Nickell and Layard, 1999).</w:t>
      </w:r>
    </w:p>
    <w:p w14:paraId="2647254E" w14:textId="2B6B057A" w:rsidR="00D649BD" w:rsidRPr="00765769" w:rsidRDefault="00D649BD" w:rsidP="00765769">
      <w:pPr>
        <w:pStyle w:val="ListParagraph"/>
        <w:numPr>
          <w:ilvl w:val="0"/>
          <w:numId w:val="1"/>
        </w:num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How was the </w:t>
      </w:r>
      <w:r w:rsidR="009E3B99">
        <w:rPr>
          <w:rFonts w:ascii="Times New Roman" w:hAnsi="Times New Roman" w:cs="Times New Roman"/>
          <w:b/>
          <w:color w:val="000000" w:themeColor="text1"/>
          <w:sz w:val="24"/>
          <w:szCs w:val="24"/>
        </w:rPr>
        <w:t>Laboure</w:t>
      </w:r>
      <w:r w:rsidRPr="00765769">
        <w:rPr>
          <w:rFonts w:ascii="Times New Roman" w:hAnsi="Times New Roman" w:cs="Times New Roman"/>
          <w:b/>
          <w:color w:val="000000" w:themeColor="text1"/>
          <w:sz w:val="24"/>
          <w:szCs w:val="24"/>
        </w:rPr>
        <w:t xml:space="preserve"> market around and before</w:t>
      </w:r>
      <w:r w:rsidR="00BD14D9" w:rsidRPr="00765769">
        <w:rPr>
          <w:rFonts w:ascii="Times New Roman" w:hAnsi="Times New Roman" w:cs="Times New Roman"/>
          <w:b/>
          <w:color w:val="000000" w:themeColor="text1"/>
          <w:sz w:val="24"/>
          <w:szCs w:val="24"/>
        </w:rPr>
        <w:t xml:space="preserve"> 2000-</w:t>
      </w:r>
      <w:r w:rsidRPr="00765769">
        <w:rPr>
          <w:rFonts w:ascii="Times New Roman" w:hAnsi="Times New Roman" w:cs="Times New Roman"/>
          <w:b/>
          <w:color w:val="000000" w:themeColor="text1"/>
          <w:sz w:val="24"/>
          <w:szCs w:val="24"/>
        </w:rPr>
        <w:t xml:space="preserve">2019 </w:t>
      </w:r>
    </w:p>
    <w:p w14:paraId="126EEDB1" w14:textId="77777777" w:rsidR="00BD14D9" w:rsidRPr="00765769" w:rsidRDefault="00B94B1F" w:rsidP="009F0ECB">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pict w14:anchorId="1AE905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2pt;height:3in">
            <v:imagedata r:id="rId8" o:title="19"/>
          </v:shape>
        </w:pict>
      </w:r>
    </w:p>
    <w:p w14:paraId="44A1564C" w14:textId="77777777" w:rsidR="00BD14D9" w:rsidRPr="00765769" w:rsidRDefault="00BD14D9" w:rsidP="009F0ECB">
      <w:pPr>
        <w:spacing w:line="360" w:lineRule="auto"/>
        <w:jc w:val="center"/>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Picture 1</w:t>
      </w:r>
    </w:p>
    <w:p w14:paraId="7C7887E2" w14:textId="77777777" w:rsidR="009C3A96" w:rsidRDefault="00A96757" w:rsidP="009C3A96">
      <w:pPr>
        <w:spacing w:line="360" w:lineRule="auto"/>
        <w:jc w:val="both"/>
        <w:rPr>
          <w:rFonts w:ascii="Times New Roman" w:hAnsi="Times New Roman" w:cs="Times New Roman"/>
          <w:color w:val="000000" w:themeColor="text1"/>
          <w:sz w:val="24"/>
          <w:szCs w:val="24"/>
        </w:rPr>
      </w:pPr>
      <w:r w:rsidRPr="00A96757">
        <w:rPr>
          <w:rFonts w:ascii="Times New Roman" w:hAnsi="Times New Roman" w:cs="Times New Roman"/>
          <w:color w:val="000000" w:themeColor="text1"/>
          <w:sz w:val="24"/>
          <w:szCs w:val="24"/>
        </w:rPr>
        <w:t xml:space="preserve">The chart on page 1 portrays the occasionally changed unemployment rate from 2000 to 2019. The Great Recession in the United Kingdom started in the second quarter of 2008 and endured five quarters, as shown by the obscured district. The unemployment rate in the second quarter of 2009 expanded from 5.4% to 7.8%. After then, it stayed high at a minimal under 8% until 2011, when it began to diminish. The decrease in unemployment strengthened in late 2013, and as of the second last quarter of 2019, UK unemployment was more than an entire rate point lower than before the emergency, at 3.8%. The image on page 1 likewise portrays the overt repetitiveness rate (the number of redundancies per 1,000 laborers) and the work opportunity proportion (the number of </w:t>
      </w:r>
      <w:r w:rsidRPr="00A96757">
        <w:rPr>
          <w:rFonts w:ascii="Times New Roman" w:hAnsi="Times New Roman" w:cs="Times New Roman"/>
          <w:color w:val="000000" w:themeColor="text1"/>
          <w:sz w:val="24"/>
          <w:szCs w:val="24"/>
        </w:rPr>
        <w:lastRenderedPageBreak/>
        <w:t>openings per 100 representative positions), the two of which have been distributed by the Office for National Statistics (ONS) since the second quarter of 2001. The overt repetitiveness rate, which had been consistently declining until the second quarter of 2008, spiked during the emergency before quickly returning to pre-downturn levels. Opportunities, then again, were smothered for a long time following the conventional finish of the downturn; however, at that point started to rise strongly, coming to pre-downturn levels toward the finish of 2014. (</w:t>
      </w:r>
      <w:proofErr w:type="spellStart"/>
      <w:r w:rsidRPr="00A96757">
        <w:rPr>
          <w:rFonts w:ascii="Times New Roman" w:hAnsi="Times New Roman" w:cs="Times New Roman"/>
          <w:color w:val="000000" w:themeColor="text1"/>
          <w:sz w:val="24"/>
          <w:szCs w:val="24"/>
        </w:rPr>
        <w:t>Herz</w:t>
      </w:r>
      <w:proofErr w:type="spellEnd"/>
      <w:r w:rsidRPr="00A96757">
        <w:rPr>
          <w:rFonts w:ascii="Times New Roman" w:hAnsi="Times New Roman" w:cs="Times New Roman"/>
          <w:color w:val="000000" w:themeColor="text1"/>
          <w:sz w:val="24"/>
          <w:szCs w:val="24"/>
        </w:rPr>
        <w:t xml:space="preserve"> and Van, 2020). </w:t>
      </w:r>
      <w:r w:rsidR="009C3A96" w:rsidRPr="009C3A96">
        <w:rPr>
          <w:rFonts w:ascii="Times New Roman" w:hAnsi="Times New Roman" w:cs="Times New Roman"/>
          <w:color w:val="000000" w:themeColor="text1"/>
          <w:sz w:val="24"/>
          <w:szCs w:val="24"/>
        </w:rPr>
        <w:t xml:space="preserve">Accordingly, while the expansion in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during the slump was brought about by both expanded redundancies (inflows into the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pool) and less enlisting (decreased overflows), the supported expansion in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after 2009 seems to have been caused essentially by the trouble that jobless experts had in getting new positions. While the UK work market was seriously affected by the 2008 monetary emergency, it outflanked other European work markets. As of January 1, 2014, the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rate across the eurozone's 18 part nations (EA18) was just about three rate focuses higher than in the UK for indications of mix preceding the 2008 emergency. The 2008 downturn greatly affected the EA18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rate more than it did in the UK. Thus, the </w:t>
      </w:r>
      <w:proofErr w:type="spellStart"/>
      <w:r w:rsidR="00403654">
        <w:rPr>
          <w:rFonts w:ascii="Times New Roman" w:hAnsi="Times New Roman" w:cs="Times New Roman"/>
          <w:color w:val="000000" w:themeColor="text1"/>
          <w:sz w:val="24"/>
          <w:szCs w:val="24"/>
        </w:rPr>
        <w:t>unemployement</w:t>
      </w:r>
      <w:proofErr w:type="spellEnd"/>
      <w:r w:rsidR="009C3A96" w:rsidRPr="009C3A96">
        <w:rPr>
          <w:rFonts w:ascii="Times New Roman" w:hAnsi="Times New Roman" w:cs="Times New Roman"/>
          <w:color w:val="000000" w:themeColor="text1"/>
          <w:sz w:val="24"/>
          <w:szCs w:val="24"/>
        </w:rPr>
        <w:t xml:space="preserve"> rate in the EA18 stayed high for quite a while after the financial emergencies and remained so in 2019. </w:t>
      </w:r>
    </w:p>
    <w:p w14:paraId="3701E6FB" w14:textId="1FFF5D2D" w:rsidR="00D649BD" w:rsidRPr="00765769" w:rsidRDefault="00D649BD" w:rsidP="009C3A96">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What started happening to the </w:t>
      </w:r>
      <w:proofErr w:type="spellStart"/>
      <w:r w:rsidR="009E3B99">
        <w:rPr>
          <w:rFonts w:ascii="Times New Roman" w:hAnsi="Times New Roman" w:cs="Times New Roman"/>
          <w:b/>
          <w:color w:val="000000" w:themeColor="text1"/>
          <w:sz w:val="24"/>
          <w:szCs w:val="24"/>
        </w:rPr>
        <w:t>laboure</w:t>
      </w:r>
      <w:proofErr w:type="spellEnd"/>
      <w:r w:rsidRPr="00765769">
        <w:rPr>
          <w:rFonts w:ascii="Times New Roman" w:hAnsi="Times New Roman" w:cs="Times New Roman"/>
          <w:b/>
          <w:color w:val="000000" w:themeColor="text1"/>
          <w:sz w:val="24"/>
          <w:szCs w:val="24"/>
        </w:rPr>
        <w:t xml:space="preserve"> market after Brexit was confirmed (little bit)</w:t>
      </w:r>
    </w:p>
    <w:p w14:paraId="5F070B04" w14:textId="77777777" w:rsidR="00FD2A0A" w:rsidRPr="00FD2A0A" w:rsidRDefault="00FD2A0A" w:rsidP="00FD2A0A">
      <w:pPr>
        <w:spacing w:line="360" w:lineRule="auto"/>
        <w:jc w:val="both"/>
        <w:rPr>
          <w:rFonts w:ascii="Times New Roman" w:hAnsi="Times New Roman" w:cs="Times New Roman"/>
          <w:b/>
          <w:color w:val="000000" w:themeColor="text1"/>
          <w:sz w:val="24"/>
          <w:szCs w:val="24"/>
        </w:rPr>
      </w:pPr>
      <w:r w:rsidRPr="00FD2A0A">
        <w:rPr>
          <w:rFonts w:ascii="Times New Roman" w:hAnsi="Times New Roman" w:cs="Times New Roman"/>
          <w:color w:val="000000" w:themeColor="text1"/>
          <w:sz w:val="24"/>
          <w:szCs w:val="24"/>
        </w:rPr>
        <w:t xml:space="preserve">There has been no lawful meaning to "hard" and "delicate" Brexit. Although these expressions are losing ubiquity in the traditional press, they are applicable in considering the broad ramifications for the work market and following HR rehearses. All business concurrences with the EU would be ended in a "hard" Brexit situation (Menon and Fowler, 2016; </w:t>
      </w:r>
      <w:proofErr w:type="spellStart"/>
      <w:r w:rsidRPr="00FD2A0A">
        <w:rPr>
          <w:rFonts w:ascii="Times New Roman" w:hAnsi="Times New Roman" w:cs="Times New Roman"/>
          <w:color w:val="000000" w:themeColor="text1"/>
          <w:sz w:val="24"/>
          <w:szCs w:val="24"/>
        </w:rPr>
        <w:t>Brakman</w:t>
      </w:r>
      <w:proofErr w:type="spellEnd"/>
      <w:r w:rsidRPr="00FD2A0A">
        <w:rPr>
          <w:rFonts w:ascii="Times New Roman" w:hAnsi="Times New Roman" w:cs="Times New Roman"/>
          <w:color w:val="000000" w:themeColor="text1"/>
          <w:sz w:val="24"/>
          <w:szCs w:val="24"/>
        </w:rPr>
        <w:t xml:space="preserve"> et al., 2018). While this situation might appear to "Leave" sponsor to be great since it considers a more complex situation on movement, a new white paper (HM Government, 2018) shows that the public authority's goal is for a gentler Brexit. A "delicate" Brexit would make the UK a non-EU individual from the EEA, requiring a guarantee of unlimited development (Menon and Fowler, 2016). If a "hard" Brexit happens, the proposition itemized in this paper will be reinforced. The deficiency of opportunity for development and the chance of requiring current EU representatives in the UK to get some work license would likely result in a mass takeoff, bringing about a significant work lack. As the requirement for work develops quickly, the limitations made by the suspension of free development would offer a resourcing issue, particularly in ventures that depend fundamentally </w:t>
      </w:r>
      <w:r w:rsidRPr="00FD2A0A">
        <w:rPr>
          <w:rFonts w:ascii="Times New Roman" w:hAnsi="Times New Roman" w:cs="Times New Roman"/>
          <w:color w:val="000000" w:themeColor="text1"/>
          <w:sz w:val="24"/>
          <w:szCs w:val="24"/>
        </w:rPr>
        <w:lastRenderedPageBreak/>
        <w:t xml:space="preserve">on traveler work, like cordiality (Baum et al., 2007). Besides, pay expansion in response to work market conditions is accounted for by the Bank of England (2018). The ascent in remuneration stands out from the 2008-2009 downturn when compensations were stifled attributable to expanded </w:t>
      </w:r>
      <w:proofErr w:type="spellStart"/>
      <w:r w:rsidR="00403654">
        <w:rPr>
          <w:rFonts w:ascii="Times New Roman" w:hAnsi="Times New Roman" w:cs="Times New Roman"/>
          <w:color w:val="000000" w:themeColor="text1"/>
          <w:sz w:val="24"/>
          <w:szCs w:val="24"/>
        </w:rPr>
        <w:t>unemployement</w:t>
      </w:r>
      <w:proofErr w:type="spellEnd"/>
      <w:r w:rsidRPr="00FD2A0A">
        <w:rPr>
          <w:rFonts w:ascii="Times New Roman" w:hAnsi="Times New Roman" w:cs="Times New Roman"/>
          <w:color w:val="000000" w:themeColor="text1"/>
          <w:sz w:val="24"/>
          <w:szCs w:val="24"/>
        </w:rPr>
        <w:t>. Work market limitations might impact organizations' decisions to raise pay to safeguard seriousness. Yet, the friendly trade hypothesis recommends that in return for more prominent remuneration, businesses expect better quality returns confirmed by expanding responsibility and limits (</w:t>
      </w:r>
      <w:proofErr w:type="spellStart"/>
      <w:r w:rsidRPr="00FD2A0A">
        <w:rPr>
          <w:rFonts w:ascii="Times New Roman" w:hAnsi="Times New Roman" w:cs="Times New Roman"/>
          <w:color w:val="000000" w:themeColor="text1"/>
          <w:sz w:val="24"/>
          <w:szCs w:val="24"/>
        </w:rPr>
        <w:t>Khoreva</w:t>
      </w:r>
      <w:proofErr w:type="spellEnd"/>
      <w:r w:rsidRPr="00FD2A0A">
        <w:rPr>
          <w:rFonts w:ascii="Times New Roman" w:hAnsi="Times New Roman" w:cs="Times New Roman"/>
          <w:color w:val="000000" w:themeColor="text1"/>
          <w:sz w:val="24"/>
          <w:szCs w:val="24"/>
        </w:rPr>
        <w:t xml:space="preserve"> et al., 2017).</w:t>
      </w:r>
    </w:p>
    <w:p w14:paraId="2C3E7E82" w14:textId="3ADD7260" w:rsidR="00D649BD" w:rsidRPr="00765769" w:rsidRDefault="00D649BD" w:rsidP="00FD2A0A">
      <w:pPr>
        <w:pStyle w:val="ListParagraph"/>
        <w:numPr>
          <w:ilvl w:val="0"/>
          <w:numId w:val="1"/>
        </w:num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What happened to the </w:t>
      </w:r>
      <w:proofErr w:type="spellStart"/>
      <w:r w:rsidR="0061045A">
        <w:rPr>
          <w:rFonts w:ascii="Times New Roman" w:hAnsi="Times New Roman" w:cs="Times New Roman"/>
          <w:b/>
          <w:color w:val="000000" w:themeColor="text1"/>
          <w:sz w:val="24"/>
          <w:szCs w:val="24"/>
        </w:rPr>
        <w:t>laboure</w:t>
      </w:r>
      <w:proofErr w:type="spellEnd"/>
      <w:r w:rsidRPr="00765769">
        <w:rPr>
          <w:rFonts w:ascii="Times New Roman" w:hAnsi="Times New Roman" w:cs="Times New Roman"/>
          <w:b/>
          <w:color w:val="000000" w:themeColor="text1"/>
          <w:sz w:val="24"/>
          <w:szCs w:val="24"/>
        </w:rPr>
        <w:t xml:space="preserve"> market during the Covid Period?</w:t>
      </w:r>
    </w:p>
    <w:p w14:paraId="748803D6" w14:textId="77777777" w:rsidR="00FD2A0A" w:rsidRDefault="00FD2A0A" w:rsidP="00FD2A0A">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The general well-being response to COVID-19 has brought about emotional drops in labor interest in a few regions of the UK economy. The fast authoritative response to the plague required the conclusion of significant areas of the economy, including trivial retail, friendship, and relaxation endeavors. Air travel has stopped inferable from movement limitations. Before the emergency, these ventures alone utilized more than 5 million individuals in the UK, and many were laid off following the lockdown on March 23. When the thump on impacts of these terminations on different enterprises in those areas' stockpile chains is considered, the level of the UK labor force without helpful work to do in the initial not many months of this emergency expanded with unrivaled energy. As indicated by accurate information, toward the finish of May, almost 8 million individuals had lost their positions, for a brief time, because of vacations. Official figures for long-lasting employment misfortunes are not yet accessible at the hour of composing. However, the quick ascent in general credit claims during April shows that they, as well, have expanded (Joyce et al., 2020).</w:t>
      </w:r>
    </w:p>
    <w:p w14:paraId="210814F1" w14:textId="6ED3B573" w:rsidR="00D649BD" w:rsidRPr="00FD2A0A" w:rsidRDefault="00D649BD" w:rsidP="00FD2A0A">
      <w:pPr>
        <w:pStyle w:val="ListParagraph"/>
        <w:numPr>
          <w:ilvl w:val="0"/>
          <w:numId w:val="1"/>
        </w:numPr>
        <w:spacing w:line="360" w:lineRule="auto"/>
        <w:jc w:val="both"/>
        <w:rPr>
          <w:rFonts w:ascii="Times New Roman" w:hAnsi="Times New Roman" w:cs="Times New Roman"/>
          <w:b/>
          <w:color w:val="000000" w:themeColor="text1"/>
          <w:sz w:val="24"/>
          <w:szCs w:val="24"/>
        </w:rPr>
      </w:pPr>
      <w:r w:rsidRPr="00FD2A0A">
        <w:rPr>
          <w:rFonts w:ascii="Times New Roman" w:hAnsi="Times New Roman" w:cs="Times New Roman"/>
          <w:b/>
          <w:color w:val="000000" w:themeColor="text1"/>
          <w:sz w:val="24"/>
          <w:szCs w:val="24"/>
        </w:rPr>
        <w:t xml:space="preserve">Current state of </w:t>
      </w:r>
      <w:r w:rsidR="009E3B99">
        <w:rPr>
          <w:rFonts w:ascii="Times New Roman" w:hAnsi="Times New Roman" w:cs="Times New Roman"/>
          <w:b/>
          <w:color w:val="000000" w:themeColor="text1"/>
          <w:sz w:val="24"/>
          <w:szCs w:val="24"/>
        </w:rPr>
        <w:t>Laboure</w:t>
      </w:r>
      <w:r w:rsidRPr="00FD2A0A">
        <w:rPr>
          <w:rFonts w:ascii="Times New Roman" w:hAnsi="Times New Roman" w:cs="Times New Roman"/>
          <w:b/>
          <w:color w:val="000000" w:themeColor="text1"/>
          <w:sz w:val="24"/>
          <w:szCs w:val="24"/>
        </w:rPr>
        <w:t xml:space="preserve"> market (major part)</w:t>
      </w:r>
    </w:p>
    <w:p w14:paraId="4E18201E" w14:textId="77777777" w:rsidR="00FD2A0A" w:rsidRDefault="00FD2A0A" w:rsidP="00FD2A0A">
      <w:pPr>
        <w:spacing w:line="360" w:lineRule="auto"/>
        <w:jc w:val="both"/>
        <w:rPr>
          <w:rFonts w:ascii="Times New Roman" w:hAnsi="Times New Roman" w:cs="Times New Roman"/>
          <w:color w:val="000000" w:themeColor="text1"/>
          <w:sz w:val="24"/>
          <w:szCs w:val="24"/>
          <w:shd w:val="clear" w:color="auto" w:fill="FFFFFF"/>
        </w:rPr>
      </w:pPr>
      <w:r w:rsidRPr="00FD2A0A">
        <w:rPr>
          <w:rFonts w:ascii="Times New Roman" w:hAnsi="Times New Roman" w:cs="Times New Roman"/>
          <w:color w:val="000000" w:themeColor="text1"/>
          <w:sz w:val="24"/>
          <w:szCs w:val="24"/>
          <w:shd w:val="clear" w:color="auto" w:fill="FFFFFF"/>
        </w:rPr>
        <w:t xml:space="preserve">As indicated by the latest information, </w:t>
      </w:r>
      <w:proofErr w:type="spellStart"/>
      <w:r w:rsidR="00403654">
        <w:rPr>
          <w:rFonts w:ascii="Times New Roman" w:hAnsi="Times New Roman" w:cs="Times New Roman"/>
          <w:color w:val="000000" w:themeColor="text1"/>
          <w:sz w:val="24"/>
          <w:szCs w:val="24"/>
          <w:shd w:val="clear" w:color="auto" w:fill="FFFFFF"/>
        </w:rPr>
        <w:t>unemployement</w:t>
      </w:r>
      <w:proofErr w:type="spellEnd"/>
      <w:r w:rsidRPr="00FD2A0A">
        <w:rPr>
          <w:rFonts w:ascii="Times New Roman" w:hAnsi="Times New Roman" w:cs="Times New Roman"/>
          <w:color w:val="000000" w:themeColor="text1"/>
          <w:sz w:val="24"/>
          <w:szCs w:val="24"/>
          <w:shd w:val="clear" w:color="auto" w:fill="FFFFFF"/>
        </w:rPr>
        <w:t xml:space="preserve"> declined to 3.8% from December 2021 to February 2022, while businesses stayed unaltered at 75.5%. (Office for National Statistics, ONS, 2022). In contrast with the period from December to February 2020 (the latest pre-pandemic measurements from two years sooner), the </w:t>
      </w:r>
      <w:proofErr w:type="spellStart"/>
      <w:r w:rsidR="00403654">
        <w:rPr>
          <w:rFonts w:ascii="Times New Roman" w:hAnsi="Times New Roman" w:cs="Times New Roman"/>
          <w:color w:val="000000" w:themeColor="text1"/>
          <w:sz w:val="24"/>
          <w:szCs w:val="24"/>
          <w:shd w:val="clear" w:color="auto" w:fill="FFFFFF"/>
        </w:rPr>
        <w:t>unemployement</w:t>
      </w:r>
      <w:proofErr w:type="spellEnd"/>
      <w:r w:rsidRPr="00FD2A0A">
        <w:rPr>
          <w:rFonts w:ascii="Times New Roman" w:hAnsi="Times New Roman" w:cs="Times New Roman"/>
          <w:color w:val="000000" w:themeColor="text1"/>
          <w:sz w:val="24"/>
          <w:szCs w:val="24"/>
          <w:shd w:val="clear" w:color="auto" w:fill="FFFFFF"/>
        </w:rPr>
        <w:t xml:space="preserve"> rate is currently marginally lower, even though business is as yet a rating point lower (see Figure 1).</w:t>
      </w:r>
    </w:p>
    <w:p w14:paraId="0E94EC14" w14:textId="77777777" w:rsidR="0044143C" w:rsidRPr="00765769" w:rsidRDefault="0044143C" w:rsidP="00FD2A0A">
      <w:pPr>
        <w:spacing w:line="360" w:lineRule="auto"/>
        <w:jc w:val="center"/>
        <w:rPr>
          <w:rFonts w:ascii="Times New Roman" w:hAnsi="Times New Roman" w:cs="Times New Roman"/>
          <w:color w:val="000000" w:themeColor="text1"/>
          <w:sz w:val="24"/>
          <w:szCs w:val="24"/>
        </w:rPr>
      </w:pPr>
      <w:r w:rsidRPr="00765769">
        <w:rPr>
          <w:rFonts w:ascii="Times New Roman" w:hAnsi="Times New Roman" w:cs="Times New Roman"/>
          <w:noProof/>
          <w:color w:val="000000" w:themeColor="text1"/>
          <w:sz w:val="24"/>
          <w:szCs w:val="24"/>
        </w:rPr>
        <w:lastRenderedPageBreak/>
        <w:drawing>
          <wp:inline distT="0" distB="0" distL="0" distR="0" wp14:anchorId="787E598E" wp14:editId="223E87F6">
            <wp:extent cx="4124325" cy="2695575"/>
            <wp:effectExtent l="0" t="0" r="9525" b="9525"/>
            <wp:docPr id="1" name="Picture 1" descr="C:\Users\adnan\AppData\Local\Microsoft\Windows\INetCache\Content.MSO\4BBD6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nan\AppData\Local\Microsoft\Windows\INetCache\Content.MSO\4BBD6F4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4325" cy="2695575"/>
                    </a:xfrm>
                    <a:prstGeom prst="rect">
                      <a:avLst/>
                    </a:prstGeom>
                    <a:noFill/>
                    <a:ln>
                      <a:noFill/>
                    </a:ln>
                  </pic:spPr>
                </pic:pic>
              </a:graphicData>
            </a:graphic>
          </wp:inline>
        </w:drawing>
      </w:r>
    </w:p>
    <w:p w14:paraId="02317231" w14:textId="77777777" w:rsidR="009F0ECB" w:rsidRPr="00765769" w:rsidRDefault="009F0ECB" w:rsidP="009F0ECB">
      <w:pPr>
        <w:spacing w:line="360" w:lineRule="auto"/>
        <w:jc w:val="center"/>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Picture 2</w:t>
      </w:r>
    </w:p>
    <w:p w14:paraId="3DF67ABF" w14:textId="77777777" w:rsidR="00FD2A0A" w:rsidRDefault="00FD2A0A" w:rsidP="009F0ECB">
      <w:pPr>
        <w:spacing w:line="360" w:lineRule="auto"/>
        <w:jc w:val="both"/>
        <w:rPr>
          <w:rFonts w:ascii="Times New Roman" w:hAnsi="Times New Roman" w:cs="Times New Roman"/>
          <w:color w:val="000000" w:themeColor="text1"/>
          <w:sz w:val="24"/>
          <w:szCs w:val="24"/>
          <w:shd w:val="clear" w:color="auto" w:fill="FFFFFF"/>
        </w:rPr>
      </w:pPr>
      <w:r w:rsidRPr="00FD2A0A">
        <w:rPr>
          <w:rFonts w:ascii="Times New Roman" w:hAnsi="Times New Roman" w:cs="Times New Roman"/>
          <w:color w:val="000000" w:themeColor="text1"/>
          <w:sz w:val="24"/>
          <w:szCs w:val="24"/>
          <w:shd w:val="clear" w:color="auto" w:fill="FFFFFF"/>
        </w:rPr>
        <w:t>These measurements are not two of a kind, which might appear strange to non-financial specialists. Individuals are classed as jobless provided they have looked for work in the earlier month and are accessible to start working inside the accompanying two weeks (financial matters observatory, 2021).</w:t>
      </w:r>
    </w:p>
    <w:p w14:paraId="33CFCD07" w14:textId="77777777" w:rsidR="00D649BD" w:rsidRPr="00FD2A0A" w:rsidRDefault="00D649BD" w:rsidP="009F0ECB">
      <w:pPr>
        <w:spacing w:line="360" w:lineRule="auto"/>
        <w:jc w:val="both"/>
        <w:rPr>
          <w:rFonts w:ascii="Times New Roman" w:hAnsi="Times New Roman" w:cs="Times New Roman"/>
          <w:b/>
          <w:color w:val="000000" w:themeColor="text1"/>
          <w:sz w:val="24"/>
          <w:szCs w:val="24"/>
          <w:u w:val="single"/>
        </w:rPr>
      </w:pPr>
      <w:r w:rsidRPr="00FD2A0A">
        <w:rPr>
          <w:rFonts w:ascii="Times New Roman" w:hAnsi="Times New Roman" w:cs="Times New Roman"/>
          <w:b/>
          <w:color w:val="000000" w:themeColor="text1"/>
          <w:sz w:val="24"/>
          <w:szCs w:val="24"/>
          <w:u w:val="single"/>
        </w:rPr>
        <w:t>Resourcing Strategies</w:t>
      </w:r>
    </w:p>
    <w:p w14:paraId="45F955A4" w14:textId="77777777" w:rsidR="00D649BD" w:rsidRPr="00FD2A0A" w:rsidRDefault="00D649BD" w:rsidP="009F0ECB">
      <w:pPr>
        <w:pStyle w:val="ListParagraph"/>
        <w:numPr>
          <w:ilvl w:val="0"/>
          <w:numId w:val="2"/>
        </w:numPr>
        <w:spacing w:line="360" w:lineRule="auto"/>
        <w:jc w:val="both"/>
        <w:rPr>
          <w:rFonts w:ascii="Times New Roman" w:hAnsi="Times New Roman" w:cs="Times New Roman"/>
          <w:b/>
          <w:color w:val="000000" w:themeColor="text1"/>
          <w:sz w:val="24"/>
          <w:szCs w:val="24"/>
        </w:rPr>
      </w:pPr>
      <w:r w:rsidRPr="00FD2A0A">
        <w:rPr>
          <w:rFonts w:ascii="Times New Roman" w:hAnsi="Times New Roman" w:cs="Times New Roman"/>
          <w:b/>
          <w:color w:val="000000" w:themeColor="text1"/>
          <w:sz w:val="24"/>
          <w:szCs w:val="24"/>
        </w:rPr>
        <w:t>What do popular academic authors says about resourcing strategies?</w:t>
      </w:r>
    </w:p>
    <w:p w14:paraId="09575517" w14:textId="77777777" w:rsidR="00FD2A0A" w:rsidRPr="00FD2A0A" w:rsidRDefault="00FD2A0A" w:rsidP="00FD2A0A">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The association's resourcing plan ensures that representatives in different jobs are selected and held. It is generally acknowledged that when HR are productive and have the required instructive certifications, abilities, and gifts, they will want to sufficiently play out their work commitments. The essential objective of resourcing methodology is to distinguish the most appropriate faculty for the firm. It is essential for HR to enhance their capabilities and abilities consistently, and they should do as such by utilizing strategies and approaches. These incorporate preparing through signing up for instructive organizations and preparing focuses outside the firm, going to inward preparation and advancement programs, carrying out the groundwork, etc. The primary objective of the resourcing technique is to ensure that the firm acquires an upper hand by recruiting more qualified individuals. This technique likewise expects to hold representatives by giving more prominent possibilities and motivations than contenders and building a genuine organizational culture (Cristian and Stefania, n.d.).</w:t>
      </w:r>
    </w:p>
    <w:p w14:paraId="76680508" w14:textId="77777777" w:rsidR="00403654" w:rsidRDefault="00FD2A0A" w:rsidP="00403654">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lastRenderedPageBreak/>
        <w:t xml:space="preserve">The resourcing technique should incorporate the general methodology of the firm and appreciate the essential headings wherein the association is moving. Certain things should be viewed in a fruitful resourcing plan. </w:t>
      </w:r>
      <w:r w:rsidR="00403654" w:rsidRPr="00403654">
        <w:rPr>
          <w:rFonts w:ascii="Times New Roman" w:hAnsi="Times New Roman" w:cs="Times New Roman"/>
          <w:color w:val="000000" w:themeColor="text1"/>
          <w:sz w:val="24"/>
          <w:szCs w:val="24"/>
        </w:rPr>
        <w:t>These incorporate the number of individuals expected to address business issues, the capacities and approaches to acting expected to help the achievement of business strategies, the impact of progressive modification because of decentralization, conceding, solidifications, things or market headway, and the introduction of advancement, and plans for accomplishing changes in the association's lifestyle according to different viewpoints. These incorporate deliverability, execution standards, client care, facilitated exertion, and versatility, showing the requirement for assorted mindsets, perspectives, and qualities. These components are vigorously impacted by the association's expected movement and promoted system (Cristian and Stefania, n.d.).</w:t>
      </w:r>
    </w:p>
    <w:p w14:paraId="0F95EE28" w14:textId="77777777" w:rsidR="00D649BD" w:rsidRPr="00EC70F1" w:rsidRDefault="00D649BD" w:rsidP="00403654">
      <w:pPr>
        <w:spacing w:line="360" w:lineRule="auto"/>
        <w:jc w:val="both"/>
        <w:rPr>
          <w:rFonts w:ascii="Times New Roman" w:hAnsi="Times New Roman" w:cs="Times New Roman"/>
          <w:b/>
          <w:color w:val="000000" w:themeColor="text1"/>
          <w:sz w:val="24"/>
          <w:szCs w:val="24"/>
          <w:u w:val="single"/>
        </w:rPr>
      </w:pPr>
      <w:r w:rsidRPr="00EC70F1">
        <w:rPr>
          <w:rFonts w:ascii="Times New Roman" w:hAnsi="Times New Roman" w:cs="Times New Roman"/>
          <w:b/>
          <w:color w:val="000000" w:themeColor="text1"/>
          <w:sz w:val="24"/>
          <w:szCs w:val="24"/>
          <w:u w:val="single"/>
        </w:rPr>
        <w:t>Post Covid Resourcing Strategies</w:t>
      </w:r>
    </w:p>
    <w:p w14:paraId="05DE3DE4" w14:textId="77777777" w:rsidR="005133D4" w:rsidRPr="00765769" w:rsidRDefault="00BD51C0"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F</w:t>
      </w:r>
      <w:r w:rsidR="00327235" w:rsidRPr="00765769">
        <w:rPr>
          <w:rFonts w:ascii="Times New Roman" w:hAnsi="Times New Roman" w:cs="Times New Roman"/>
          <w:b/>
          <w:color w:val="000000" w:themeColor="text1"/>
          <w:sz w:val="24"/>
          <w:szCs w:val="24"/>
        </w:rPr>
        <w:t xml:space="preserve">lexibility Plans </w:t>
      </w:r>
    </w:p>
    <w:p w14:paraId="39F900A3"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The essential objective of adaptability plans is to cultivate greater adaptability in utilizing HR. When HR is completing their obligations, they mustn't feel stressed or under tension. For instance, if they are locked in on an exploration project, they ought to be permitted sufficient opportunity to complete their responsibilities. Representatives might be expected to put a hold on work inferable from private matters in specific examples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209A3885" w14:textId="77777777" w:rsidR="005133D4" w:rsidRPr="00765769" w:rsidRDefault="00327235"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Talent Management </w:t>
      </w:r>
    </w:p>
    <w:p w14:paraId="57770ED9"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The capacity and gifts of individuals to complete a task or action are alluded to as ability. All individuals have one fundamental point while doing their commitments: doing their work obligations efficiently and accomplishing the shared objectives and targets. HR should enhance its capacities to accomplish the necessary outcomes. It is essential to continuously practice controlling one's abilities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0D816E15" w14:textId="77777777" w:rsidR="005133D4" w:rsidRPr="00765769" w:rsidRDefault="00327235"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 xml:space="preserve">Technological Advancements </w:t>
      </w:r>
    </w:p>
    <w:p w14:paraId="3968C78A" w14:textId="77777777" w:rsidR="00FD2A0A" w:rsidRPr="00FD2A0A" w:rsidRDefault="00FD2A0A" w:rsidP="00FD2A0A">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Innovative enhancements are perceived as one of the significant variables that work with the execution of work exercises. People that use innovation can complete their work commitments more proficiently and quicker than expected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03BBBD8C" w14:textId="77777777" w:rsidR="00FD2A0A" w:rsidRDefault="00FD2A0A" w:rsidP="00FD2A0A">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lastRenderedPageBreak/>
        <w:t>Accordingly, HR must be knowledgeable in the utilization of innovation. With enough practice, one might become capable of the utilization of innovation. When workers are not exceptional in utilizing innovation, they might confront misfortunes over playing out their commitments. Therefore, they must participate in continuous practice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5463511D" w14:textId="77777777" w:rsidR="005133D4" w:rsidRPr="00765769" w:rsidRDefault="00BD51C0" w:rsidP="00FD2A0A">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Employee learning and Growth</w:t>
      </w:r>
      <w:r w:rsidR="00327235" w:rsidRPr="00765769">
        <w:rPr>
          <w:rFonts w:ascii="Times New Roman" w:hAnsi="Times New Roman" w:cs="Times New Roman"/>
          <w:b/>
          <w:color w:val="000000" w:themeColor="text1"/>
          <w:sz w:val="24"/>
          <w:szCs w:val="24"/>
        </w:rPr>
        <w:t xml:space="preserve"> </w:t>
      </w:r>
    </w:p>
    <w:p w14:paraId="012BBAA7"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Representative learning and advancement are alluded to as continuous learning and responsiveness. One of the organizations' essential missions is to give fruitful staff learning and advancement. Certain elements should be considered while enrolling and choosing staff inside a business, like instructive certifications, abilities, inclination, capacities, and character characteristics (</w:t>
      </w:r>
      <w:proofErr w:type="spellStart"/>
      <w:r w:rsidRPr="00FD2A0A">
        <w:rPr>
          <w:rFonts w:ascii="Times New Roman" w:hAnsi="Times New Roman" w:cs="Times New Roman"/>
          <w:color w:val="000000" w:themeColor="text1"/>
          <w:sz w:val="24"/>
          <w:szCs w:val="24"/>
        </w:rPr>
        <w:t>Kapur</w:t>
      </w:r>
      <w:proofErr w:type="spellEnd"/>
      <w:r w:rsidRPr="00FD2A0A">
        <w:rPr>
          <w:rFonts w:ascii="Times New Roman" w:hAnsi="Times New Roman" w:cs="Times New Roman"/>
          <w:color w:val="000000" w:themeColor="text1"/>
          <w:sz w:val="24"/>
          <w:szCs w:val="24"/>
        </w:rPr>
        <w:t>, 2021).</w:t>
      </w:r>
    </w:p>
    <w:p w14:paraId="05A4487A" w14:textId="77777777" w:rsidR="00D649BD" w:rsidRPr="00765769" w:rsidRDefault="00D649BD"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Post Brexit Resourcing Strategies</w:t>
      </w:r>
    </w:p>
    <w:p w14:paraId="0A7D1F74" w14:textId="77777777" w:rsidR="00551FCA" w:rsidRPr="00765769" w:rsidRDefault="00551FCA"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Increased flexible working arrangements</w:t>
      </w:r>
    </w:p>
    <w:p w14:paraId="7D2C6DC7"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As per REC (2012), there is an expansion in flexible working in the UK. Flexible work has been recognized as a maintenance procedure (Chubb et al., 2010); even though it was situated as an expense-cutting technique during the 2008-2009 downturn, it is now utilized as a strategy for commitment, prize, and inspiration. Besides, it is accepted that adaptability draws in a more comprehensive assortment of abilities (Cheese, 2010). REC (2010) demonstrated that transitory business, despite potential precariousness, is more engaging than stable position attributable to its additional adaptability, in opposition to discernments that the 2008-2009 emergency was liable for a flood in impermanent work. As of late, REC (2012) shows that flexible work rehearses are more commonly available in the UK than in most of the EU practically identical countries, advancing the UK as an engaging business objective. This hypothesis indicates that protecting working environment adaptability is significant to keeping and enlisting EU representatives after Brexit.</w:t>
      </w:r>
    </w:p>
    <w:p w14:paraId="2C7C548D" w14:textId="77777777" w:rsidR="00551FCA" w:rsidRPr="00765769" w:rsidRDefault="00551FCA"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Increased immigration from outside of the EU</w:t>
      </w:r>
    </w:p>
    <w:p w14:paraId="38C4686F" w14:textId="77777777" w:rsidR="00FD2A0A"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 xml:space="preserve">As per REC (2012), there is an expansion in flexible working in the UK. Flexible work has been recognized as a maintenance procedure (Chubb et al., 2010); even though it was situated as an expense-cutting technique during the 2008-2009 downturn, it is now utilized as a strategy for commitment, prize, and inspiration. Besides, it is accepted that adaptability draws in a more </w:t>
      </w:r>
      <w:r w:rsidRPr="00FD2A0A">
        <w:rPr>
          <w:rFonts w:ascii="Times New Roman" w:hAnsi="Times New Roman" w:cs="Times New Roman"/>
          <w:color w:val="000000" w:themeColor="text1"/>
          <w:sz w:val="24"/>
          <w:szCs w:val="24"/>
        </w:rPr>
        <w:lastRenderedPageBreak/>
        <w:t>comprehensive assortment of abilities (Cheese, 2010). REC (2010) showed that brief business, notwithstanding conceivable shakiness, is more engaging than extremely durable occupation attributable to its additional adaptability, in opposition to discernments that the 2008-2009 emergency was liable for a flood in transitory work. As of late, REC (2012) shows that flexible work rehearses are more commonly available in the UK than in most EU equivalent countries, advancing the UK as an engaging business objective. As per this hypothesis, safeguarding working environment adaptability is essential to keeping and enrolling EU representatives after Brexit.</w:t>
      </w:r>
    </w:p>
    <w:p w14:paraId="61E7418A" w14:textId="77777777" w:rsidR="004A41B5" w:rsidRPr="00765769" w:rsidRDefault="00D649BD" w:rsidP="009F0ECB">
      <w:pPr>
        <w:spacing w:line="360" w:lineRule="auto"/>
        <w:jc w:val="both"/>
        <w:rPr>
          <w:rFonts w:ascii="Times New Roman" w:hAnsi="Times New Roman" w:cs="Times New Roman"/>
          <w:b/>
          <w:color w:val="000000" w:themeColor="text1"/>
          <w:sz w:val="24"/>
          <w:szCs w:val="24"/>
        </w:rPr>
      </w:pPr>
      <w:r w:rsidRPr="00765769">
        <w:rPr>
          <w:rFonts w:ascii="Times New Roman" w:hAnsi="Times New Roman" w:cs="Times New Roman"/>
          <w:b/>
          <w:color w:val="000000" w:themeColor="text1"/>
          <w:sz w:val="24"/>
          <w:szCs w:val="24"/>
        </w:rPr>
        <w:t>Conclusion</w:t>
      </w:r>
      <w:r w:rsidR="004A41B5" w:rsidRPr="00765769">
        <w:rPr>
          <w:rFonts w:ascii="Times New Roman" w:hAnsi="Times New Roman" w:cs="Times New Roman"/>
          <w:b/>
          <w:color w:val="000000" w:themeColor="text1"/>
          <w:sz w:val="24"/>
          <w:szCs w:val="24"/>
        </w:rPr>
        <w:t xml:space="preserve"> &amp; Recommendations</w:t>
      </w:r>
    </w:p>
    <w:p w14:paraId="7FCA3574" w14:textId="77777777" w:rsidR="00A816BF" w:rsidRDefault="00FD2A0A" w:rsidP="009F0ECB">
      <w:pPr>
        <w:spacing w:line="360" w:lineRule="auto"/>
        <w:jc w:val="both"/>
        <w:rPr>
          <w:rFonts w:ascii="Times New Roman" w:hAnsi="Times New Roman" w:cs="Times New Roman"/>
          <w:color w:val="000000" w:themeColor="text1"/>
          <w:sz w:val="24"/>
          <w:szCs w:val="24"/>
        </w:rPr>
      </w:pPr>
      <w:r w:rsidRPr="00FD2A0A">
        <w:rPr>
          <w:rFonts w:ascii="Times New Roman" w:hAnsi="Times New Roman" w:cs="Times New Roman"/>
          <w:color w:val="000000" w:themeColor="text1"/>
          <w:sz w:val="24"/>
          <w:szCs w:val="24"/>
        </w:rPr>
        <w:t xml:space="preserve">As a beautiful financial occasion, the 2008-2009 downturn gave a supportive differentiation to the ongoing climate; as anticipated, old questions, like the battle for ability, have returned. Brexit may suggest "the same old thing" to help handle what Brexit implies as a general rule, mainly because of staff resourcing. The "fight for ability" and changing working environment socioeconomics are not exclusively Brexit-related concerns; instead, the advancing political setting has modified how these challenges may be addressed. The economic effect connected with COVID-19 is very remarkable. Not exclusively is the extent of the rut liable to be extreme, yet the types of financial activities we participate in in the UK have moved emphatically surprisingly fast. A lot of that commotion is supposed to be temporary, and strategy has up to this point - and accurately - focused on setting up the economy to get back to "the same old thing" as quickly as conceivable once the emergency has passed. Critical resourcing is an essential part of the crucial human asset of the board. This involves comparing HR to the association's vital and functional objectives and guaranteeing total asset usage. It is concerned with getting and keeping a labor force, yet additionally with picking and advancing staff workers, particularly those who are consistence with the association's necessities. Labor force arranging, the improvement of an association's representative incentive and manager brand, resourcing plans, maintenance plans, adaptability plans, the ability of the executives, innovative headways, worker learning and development, a helpful workplace, and viable asset the board are parts of vital representative resourcing. When individuals from the organization know about these parts, they </w:t>
      </w:r>
      <w:proofErr w:type="spellStart"/>
      <w:r w:rsidRPr="00FD2A0A">
        <w:rPr>
          <w:rFonts w:ascii="Times New Roman" w:hAnsi="Times New Roman" w:cs="Times New Roman"/>
          <w:color w:val="000000" w:themeColor="text1"/>
          <w:sz w:val="24"/>
          <w:szCs w:val="24"/>
        </w:rPr>
        <w:t>can not</w:t>
      </w:r>
      <w:proofErr w:type="spellEnd"/>
      <w:r w:rsidRPr="00FD2A0A">
        <w:rPr>
          <w:rFonts w:ascii="Times New Roman" w:hAnsi="Times New Roman" w:cs="Times New Roman"/>
          <w:color w:val="000000" w:themeColor="text1"/>
          <w:sz w:val="24"/>
          <w:szCs w:val="24"/>
        </w:rPr>
        <w:t xml:space="preserve"> just contribute fundamentally to expanding efficiency and productivity. Yet, they can likewise prompt an expansion in consistency standards.</w:t>
      </w:r>
    </w:p>
    <w:p w14:paraId="2021697A" w14:textId="77777777" w:rsidR="000138F8" w:rsidRPr="00822C56" w:rsidRDefault="000138F8" w:rsidP="009F0ECB">
      <w:pPr>
        <w:spacing w:line="360" w:lineRule="auto"/>
        <w:jc w:val="both"/>
        <w:rPr>
          <w:rFonts w:ascii="Times New Roman" w:hAnsi="Times New Roman" w:cs="Times New Roman"/>
          <w:b/>
          <w:color w:val="000000" w:themeColor="text1"/>
          <w:sz w:val="30"/>
          <w:szCs w:val="30"/>
          <w:u w:val="single"/>
        </w:rPr>
      </w:pPr>
      <w:r w:rsidRPr="00822C56">
        <w:rPr>
          <w:rFonts w:ascii="Times New Roman" w:hAnsi="Times New Roman" w:cs="Times New Roman"/>
          <w:b/>
          <w:color w:val="000000" w:themeColor="text1"/>
          <w:sz w:val="30"/>
          <w:szCs w:val="30"/>
          <w:u w:val="single"/>
        </w:rPr>
        <w:t>Reference</w:t>
      </w:r>
    </w:p>
    <w:p w14:paraId="3CD828D0"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lastRenderedPageBreak/>
        <w:t xml:space="preserve">Alfano, M., </w:t>
      </w:r>
      <w:proofErr w:type="spellStart"/>
      <w:r>
        <w:rPr>
          <w:rFonts w:ascii="Times New Roman" w:hAnsi="Times New Roman" w:cs="Times New Roman"/>
          <w:color w:val="000000" w:themeColor="text1"/>
          <w:sz w:val="24"/>
          <w:szCs w:val="24"/>
          <w:shd w:val="clear" w:color="auto" w:fill="FFFFFF"/>
        </w:rPr>
        <w:t>Dustmann</w:t>
      </w:r>
      <w:proofErr w:type="spellEnd"/>
      <w:r>
        <w:rPr>
          <w:rFonts w:ascii="Times New Roman" w:hAnsi="Times New Roman" w:cs="Times New Roman"/>
          <w:color w:val="000000" w:themeColor="text1"/>
          <w:sz w:val="24"/>
          <w:szCs w:val="24"/>
          <w:shd w:val="clear" w:color="auto" w:fill="FFFFFF"/>
        </w:rPr>
        <w:t xml:space="preserve">, C. and Frattini, T. (2016), “Immigration and the UK: reflections after Brexit”, in </w:t>
      </w:r>
      <w:r>
        <w:rPr>
          <w:rFonts w:ascii="Times New Roman" w:hAnsi="Times New Roman" w:cs="Times New Roman"/>
          <w:color w:val="000000" w:themeColor="text1"/>
          <w:sz w:val="24"/>
          <w:szCs w:val="24"/>
        </w:rPr>
        <w:t>Britain’”, Papers in Regional Science, Vol. 97 No. 1, pp. 55-72.</w:t>
      </w:r>
    </w:p>
    <w:p w14:paraId="4BA295F1"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Bank of England (2018), “Inflation report”, Bank of England, London, available at: www. bankofengland.co.uk (accessed 16 August 2018).</w:t>
      </w:r>
    </w:p>
    <w:p w14:paraId="375F2B59"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Baum, T., Dutton, E., Karimi, S., </w:t>
      </w:r>
      <w:proofErr w:type="spellStart"/>
      <w:r>
        <w:rPr>
          <w:rFonts w:ascii="Times New Roman" w:hAnsi="Times New Roman" w:cs="Times New Roman"/>
          <w:color w:val="000000" w:themeColor="text1"/>
          <w:sz w:val="24"/>
          <w:szCs w:val="24"/>
        </w:rPr>
        <w:t>Kokkranikal</w:t>
      </w:r>
      <w:proofErr w:type="spellEnd"/>
      <w:r>
        <w:rPr>
          <w:rFonts w:ascii="Times New Roman" w:hAnsi="Times New Roman" w:cs="Times New Roman"/>
          <w:color w:val="000000" w:themeColor="text1"/>
          <w:sz w:val="24"/>
          <w:szCs w:val="24"/>
        </w:rPr>
        <w:t>, J., Devine, F. and Hearns, N. (2007), “Cultural diversity in hospitality work”, Cross Cultural Management: An International Journal, Vol. 14 No. 3, pp. 229-239.</w:t>
      </w:r>
    </w:p>
    <w:p w14:paraId="590EC548" w14:textId="77777777" w:rsidR="000138F8" w:rsidRDefault="000138F8" w:rsidP="000138F8">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t>Brakman</w:t>
      </w:r>
      <w:proofErr w:type="spellEnd"/>
      <w:r>
        <w:rPr>
          <w:rFonts w:ascii="Times New Roman" w:hAnsi="Times New Roman" w:cs="Times New Roman"/>
          <w:color w:val="000000" w:themeColor="text1"/>
          <w:sz w:val="24"/>
          <w:szCs w:val="24"/>
        </w:rPr>
        <w:t xml:space="preserve">, S., </w:t>
      </w:r>
      <w:proofErr w:type="spellStart"/>
      <w:r>
        <w:rPr>
          <w:rFonts w:ascii="Times New Roman" w:hAnsi="Times New Roman" w:cs="Times New Roman"/>
          <w:color w:val="000000" w:themeColor="text1"/>
          <w:sz w:val="24"/>
          <w:szCs w:val="24"/>
        </w:rPr>
        <w:t>Garretsen</w:t>
      </w:r>
      <w:proofErr w:type="spellEnd"/>
      <w:r>
        <w:rPr>
          <w:rFonts w:ascii="Times New Roman" w:hAnsi="Times New Roman" w:cs="Times New Roman"/>
          <w:color w:val="000000" w:themeColor="text1"/>
          <w:sz w:val="24"/>
          <w:szCs w:val="24"/>
        </w:rPr>
        <w:t xml:space="preserve">, H. and Kohl, T. (2018), “Consequences of </w:t>
      </w:r>
      <w:proofErr w:type="spellStart"/>
      <w:r>
        <w:rPr>
          <w:rFonts w:ascii="Times New Roman" w:hAnsi="Times New Roman" w:cs="Times New Roman"/>
          <w:color w:val="000000" w:themeColor="text1"/>
          <w:sz w:val="24"/>
          <w:szCs w:val="24"/>
        </w:rPr>
        <w:t>brexit</w:t>
      </w:r>
      <w:proofErr w:type="spellEnd"/>
      <w:r>
        <w:rPr>
          <w:rFonts w:ascii="Times New Roman" w:hAnsi="Times New Roman" w:cs="Times New Roman"/>
          <w:color w:val="000000" w:themeColor="text1"/>
          <w:sz w:val="24"/>
          <w:szCs w:val="24"/>
        </w:rPr>
        <w:t xml:space="preserve"> and options for a ‘Global</w:t>
      </w:r>
    </w:p>
    <w:p w14:paraId="26B32DBB"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Cheese, P. (2010), “Talent management for a new era: what we have learned from the recession.</w:t>
      </w:r>
    </w:p>
    <w:p w14:paraId="42EE18DA"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Chubb, C., Reilly, P. and Usher, T. (2010), Learning from the Downturn: Key Messages from an</w:t>
      </w:r>
    </w:p>
    <w:p w14:paraId="433C4CB2"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corporate HR function in the global recession”, Human Resource Management, Vol. 1 No. 78,</w:t>
      </w:r>
    </w:p>
    <w:p w14:paraId="7B5718E9"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Cristian, M., &amp; Stefania, P.R. (n.d.). Human Resources Strategies – Resourcing Strategy. Retrieved February 05, 2020 from steconomiceuoradea.ro </w:t>
      </w:r>
    </w:p>
    <w:p w14:paraId="57639116"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Employer Perspective, Institute for Employment Studies, Brighton. </w:t>
      </w:r>
      <w:r>
        <w:rPr>
          <w:rFonts w:ascii="Times New Roman" w:hAnsi="Times New Roman" w:cs="Times New Roman"/>
          <w:color w:val="000000" w:themeColor="text1"/>
          <w:sz w:val="24"/>
          <w:szCs w:val="24"/>
          <w:shd w:val="clear" w:color="auto" w:fill="FFFFFF"/>
        </w:rPr>
        <w:t>expatriates, in the civil engineering industry, when considering employment opportunities in</w:t>
      </w:r>
    </w:p>
    <w:p w14:paraId="21C1EF4E"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Fasani</w:t>
      </w:r>
      <w:proofErr w:type="spellEnd"/>
      <w:r>
        <w:rPr>
          <w:rFonts w:ascii="Times New Roman" w:hAnsi="Times New Roman" w:cs="Times New Roman"/>
          <w:color w:val="000000" w:themeColor="text1"/>
          <w:sz w:val="24"/>
          <w:szCs w:val="24"/>
          <w:shd w:val="clear" w:color="auto" w:fill="FFFFFF"/>
        </w:rPr>
        <w:t>, F. (Ed.), Refugees and Economic Migrants: Facts, Policies and Challenges, CEPR Press,</w:t>
      </w:r>
    </w:p>
    <w:p w14:paraId="280655E9"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Herz</w:t>
      </w:r>
      <w:proofErr w:type="spellEnd"/>
      <w:r>
        <w:rPr>
          <w:rFonts w:ascii="Times New Roman" w:hAnsi="Times New Roman" w:cs="Times New Roman"/>
          <w:color w:val="000000" w:themeColor="text1"/>
          <w:sz w:val="24"/>
          <w:szCs w:val="24"/>
          <w:shd w:val="clear" w:color="auto" w:fill="FFFFFF"/>
        </w:rPr>
        <w:t xml:space="preserve">, B. and Van </w:t>
      </w:r>
      <w:proofErr w:type="spellStart"/>
      <w:r>
        <w:rPr>
          <w:rFonts w:ascii="Times New Roman" w:hAnsi="Times New Roman" w:cs="Times New Roman"/>
          <w:color w:val="000000" w:themeColor="text1"/>
          <w:sz w:val="24"/>
          <w:szCs w:val="24"/>
          <w:shd w:val="clear" w:color="auto" w:fill="FFFFFF"/>
        </w:rPr>
        <w:t>Rens</w:t>
      </w:r>
      <w:proofErr w:type="spellEnd"/>
      <w:r>
        <w:rPr>
          <w:rFonts w:ascii="Times New Roman" w:hAnsi="Times New Roman" w:cs="Times New Roman"/>
          <w:color w:val="000000" w:themeColor="text1"/>
          <w:sz w:val="24"/>
          <w:szCs w:val="24"/>
          <w:shd w:val="clear" w:color="auto" w:fill="FFFFFF"/>
        </w:rPr>
        <w:t>, T., 2020. The labor market in the UK, 2000-2019. </w:t>
      </w:r>
      <w:r>
        <w:rPr>
          <w:rFonts w:ascii="Times New Roman" w:hAnsi="Times New Roman" w:cs="Times New Roman"/>
          <w:i/>
          <w:iCs/>
          <w:color w:val="000000" w:themeColor="text1"/>
          <w:sz w:val="24"/>
          <w:szCs w:val="24"/>
          <w:shd w:val="clear" w:color="auto" w:fill="FFFFFF"/>
        </w:rPr>
        <w:t>IZA World of Labor</w:t>
      </w:r>
      <w:r>
        <w:rPr>
          <w:rFonts w:ascii="Times New Roman" w:hAnsi="Times New Roman" w:cs="Times New Roman"/>
          <w:color w:val="000000" w:themeColor="text1"/>
          <w:sz w:val="24"/>
          <w:szCs w:val="24"/>
          <w:shd w:val="clear" w:color="auto" w:fill="FFFFFF"/>
        </w:rPr>
        <w:t>, (422v2).</w:t>
      </w:r>
    </w:p>
    <w:p w14:paraId="161A8591"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HM Government (2018), “The UK’s future skills-based immigration system”, HM Government, London, available at: https://assets.publishing.service.gov.uk (accessed 20 March 2019).</w:t>
      </w:r>
    </w:p>
    <w:p w14:paraId="1282CED1" w14:textId="4E3A15F6" w:rsidR="000138F8" w:rsidRDefault="00B94B1F" w:rsidP="000138F8">
      <w:pPr>
        <w:spacing w:line="360" w:lineRule="auto"/>
        <w:jc w:val="both"/>
        <w:rPr>
          <w:rFonts w:ascii="Times New Roman" w:hAnsi="Times New Roman" w:cs="Times New Roman"/>
          <w:color w:val="000000" w:themeColor="text1"/>
          <w:sz w:val="24"/>
          <w:szCs w:val="24"/>
        </w:rPr>
      </w:pPr>
      <w:hyperlink r:id="rId10" w:history="1">
        <w:r w:rsidR="000138F8">
          <w:rPr>
            <w:rStyle w:val="Hyperlink"/>
            <w:rFonts w:ascii="Times New Roman" w:hAnsi="Times New Roman" w:cs="Times New Roman"/>
            <w:color w:val="000000" w:themeColor="text1"/>
            <w:sz w:val="24"/>
            <w:szCs w:val="24"/>
          </w:rPr>
          <w:t>https://www.economicsobservatory.com/what-do-new-uk-</w:t>
        </w:r>
        <w:r w:rsidR="009E3B99">
          <w:rPr>
            <w:rStyle w:val="Hyperlink"/>
            <w:rFonts w:ascii="Times New Roman" w:hAnsi="Times New Roman" w:cs="Times New Roman"/>
            <w:color w:val="000000" w:themeColor="text1"/>
            <w:sz w:val="24"/>
            <w:szCs w:val="24"/>
          </w:rPr>
          <w:t>laboure</w:t>
        </w:r>
        <w:r w:rsidR="000138F8">
          <w:rPr>
            <w:rStyle w:val="Hyperlink"/>
            <w:rFonts w:ascii="Times New Roman" w:hAnsi="Times New Roman" w:cs="Times New Roman"/>
            <w:color w:val="000000" w:themeColor="text1"/>
            <w:sz w:val="24"/>
            <w:szCs w:val="24"/>
          </w:rPr>
          <w:t>-market-data-reveal-about-the-post-covid-19-recovery</w:t>
        </w:r>
      </w:hyperlink>
    </w:p>
    <w:p w14:paraId="3F44D1D0" w14:textId="56585031"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Joyce, R., </w:t>
      </w:r>
      <w:proofErr w:type="spellStart"/>
      <w:r>
        <w:rPr>
          <w:rFonts w:ascii="Times New Roman" w:hAnsi="Times New Roman" w:cs="Times New Roman"/>
          <w:color w:val="000000" w:themeColor="text1"/>
          <w:sz w:val="24"/>
          <w:szCs w:val="24"/>
          <w:shd w:val="clear" w:color="auto" w:fill="FFFFFF"/>
        </w:rPr>
        <w:t>Postel</w:t>
      </w:r>
      <w:proofErr w:type="spellEnd"/>
      <w:r>
        <w:rPr>
          <w:rFonts w:ascii="Times New Roman" w:hAnsi="Times New Roman" w:cs="Times New Roman"/>
          <w:color w:val="000000" w:themeColor="text1"/>
          <w:sz w:val="24"/>
          <w:szCs w:val="24"/>
          <w:shd w:val="clear" w:color="auto" w:fill="FFFFFF"/>
        </w:rPr>
        <w:t xml:space="preserve">-Vinay, F. and Xu, X., 2020. The Challenges for </w:t>
      </w:r>
      <w:r w:rsidR="009E3B99">
        <w:rPr>
          <w:rFonts w:ascii="Times New Roman" w:hAnsi="Times New Roman" w:cs="Times New Roman"/>
          <w:color w:val="000000" w:themeColor="text1"/>
          <w:sz w:val="24"/>
          <w:szCs w:val="24"/>
          <w:shd w:val="clear" w:color="auto" w:fill="FFFFFF"/>
        </w:rPr>
        <w:t>Laboure</w:t>
      </w:r>
      <w:r>
        <w:rPr>
          <w:rFonts w:ascii="Times New Roman" w:hAnsi="Times New Roman" w:cs="Times New Roman"/>
          <w:color w:val="000000" w:themeColor="text1"/>
          <w:sz w:val="24"/>
          <w:szCs w:val="24"/>
          <w:shd w:val="clear" w:color="auto" w:fill="FFFFFF"/>
        </w:rPr>
        <w:t xml:space="preserve"> Market Policy during the COVID-19 Pandemic. </w:t>
      </w:r>
      <w:r>
        <w:rPr>
          <w:rFonts w:ascii="Times New Roman" w:hAnsi="Times New Roman" w:cs="Times New Roman"/>
          <w:i/>
          <w:iCs/>
          <w:color w:val="000000" w:themeColor="text1"/>
          <w:sz w:val="24"/>
          <w:szCs w:val="24"/>
          <w:shd w:val="clear" w:color="auto" w:fill="FFFFFF"/>
        </w:rPr>
        <w:t>Fiscal Studies</w:t>
      </w:r>
      <w:r>
        <w:rPr>
          <w:rFonts w:ascii="Times New Roman" w:hAnsi="Times New Roman" w:cs="Times New Roman"/>
          <w:color w:val="000000" w:themeColor="text1"/>
          <w:sz w:val="24"/>
          <w:szCs w:val="24"/>
          <w:shd w:val="clear" w:color="auto" w:fill="FFFFFF"/>
        </w:rPr>
        <w:t>. London, pp. 55-80.</w:t>
      </w:r>
      <w:r>
        <w:rPr>
          <w:rFonts w:ascii="Times New Roman" w:hAnsi="Times New Roman" w:cs="Times New Roman"/>
          <w:color w:val="000000" w:themeColor="text1"/>
          <w:sz w:val="24"/>
          <w:szCs w:val="24"/>
        </w:rPr>
        <w:t>London.</w:t>
      </w:r>
    </w:p>
    <w:p w14:paraId="4E31E0A5"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proofErr w:type="spellStart"/>
      <w:r>
        <w:rPr>
          <w:rFonts w:ascii="Times New Roman" w:hAnsi="Times New Roman" w:cs="Times New Roman"/>
          <w:color w:val="000000" w:themeColor="text1"/>
          <w:sz w:val="24"/>
          <w:szCs w:val="24"/>
          <w:shd w:val="clear" w:color="auto" w:fill="FFFFFF"/>
        </w:rPr>
        <w:t>Kapur</w:t>
      </w:r>
      <w:proofErr w:type="spellEnd"/>
      <w:r>
        <w:rPr>
          <w:rFonts w:ascii="Times New Roman" w:hAnsi="Times New Roman" w:cs="Times New Roman"/>
          <w:color w:val="000000" w:themeColor="text1"/>
          <w:sz w:val="24"/>
          <w:szCs w:val="24"/>
          <w:shd w:val="clear" w:color="auto" w:fill="FFFFFF"/>
        </w:rPr>
        <w:t>, R., 2021. Strategic Resourcing as Key Aspect of Strategic Human Resource Management. </w:t>
      </w:r>
      <w:r>
        <w:rPr>
          <w:rFonts w:ascii="Times New Roman" w:hAnsi="Times New Roman" w:cs="Times New Roman"/>
          <w:i/>
          <w:iCs/>
          <w:color w:val="000000" w:themeColor="text1"/>
          <w:sz w:val="24"/>
          <w:szCs w:val="24"/>
          <w:shd w:val="clear" w:color="auto" w:fill="FFFFFF"/>
        </w:rPr>
        <w:t>International Journal of Information, Business and Management</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13</w:t>
      </w:r>
      <w:r>
        <w:rPr>
          <w:rFonts w:ascii="Times New Roman" w:hAnsi="Times New Roman" w:cs="Times New Roman"/>
          <w:color w:val="000000" w:themeColor="text1"/>
          <w:sz w:val="24"/>
          <w:szCs w:val="24"/>
          <w:shd w:val="clear" w:color="auto" w:fill="FFFFFF"/>
        </w:rPr>
        <w:t>(4), pp.47-56.</w:t>
      </w:r>
    </w:p>
    <w:p w14:paraId="6A83E9BD" w14:textId="77777777" w:rsidR="000138F8" w:rsidRDefault="000138F8" w:rsidP="000138F8">
      <w:pPr>
        <w:spacing w:line="360" w:lineRule="auto"/>
        <w:jc w:val="both"/>
        <w:rPr>
          <w:rFonts w:ascii="Times New Roman" w:hAnsi="Times New Roman" w:cs="Times New Roman"/>
          <w:color w:val="000000" w:themeColor="text1"/>
          <w:sz w:val="24"/>
          <w:szCs w:val="24"/>
        </w:rPr>
      </w:pPr>
      <w:proofErr w:type="spellStart"/>
      <w:r>
        <w:rPr>
          <w:rFonts w:ascii="Times New Roman" w:hAnsi="Times New Roman" w:cs="Times New Roman"/>
          <w:color w:val="000000" w:themeColor="text1"/>
          <w:sz w:val="24"/>
          <w:szCs w:val="24"/>
        </w:rPr>
        <w:lastRenderedPageBreak/>
        <w:t>Khoreva</w:t>
      </w:r>
      <w:proofErr w:type="spellEnd"/>
      <w:r>
        <w:rPr>
          <w:rFonts w:ascii="Times New Roman" w:hAnsi="Times New Roman" w:cs="Times New Roman"/>
          <w:color w:val="000000" w:themeColor="text1"/>
          <w:sz w:val="24"/>
          <w:szCs w:val="24"/>
        </w:rPr>
        <w:t xml:space="preserve">, V., </w:t>
      </w:r>
      <w:proofErr w:type="spellStart"/>
      <w:r>
        <w:rPr>
          <w:rFonts w:ascii="Times New Roman" w:hAnsi="Times New Roman" w:cs="Times New Roman"/>
          <w:color w:val="000000" w:themeColor="text1"/>
          <w:sz w:val="24"/>
          <w:szCs w:val="24"/>
        </w:rPr>
        <w:t>Vaiman</w:t>
      </w:r>
      <w:proofErr w:type="spellEnd"/>
      <w:r>
        <w:rPr>
          <w:rFonts w:ascii="Times New Roman" w:hAnsi="Times New Roman" w:cs="Times New Roman"/>
          <w:color w:val="000000" w:themeColor="text1"/>
          <w:sz w:val="24"/>
          <w:szCs w:val="24"/>
        </w:rPr>
        <w:t xml:space="preserve">, V. and Van </w:t>
      </w:r>
      <w:proofErr w:type="spellStart"/>
      <w:r>
        <w:rPr>
          <w:rFonts w:ascii="Times New Roman" w:hAnsi="Times New Roman" w:cs="Times New Roman"/>
          <w:color w:val="000000" w:themeColor="text1"/>
          <w:sz w:val="24"/>
          <w:szCs w:val="24"/>
        </w:rPr>
        <w:t>Zalk</w:t>
      </w:r>
      <w:proofErr w:type="spellEnd"/>
      <w:r>
        <w:rPr>
          <w:rFonts w:ascii="Times New Roman" w:hAnsi="Times New Roman" w:cs="Times New Roman"/>
          <w:color w:val="000000" w:themeColor="text1"/>
          <w:sz w:val="24"/>
          <w:szCs w:val="24"/>
        </w:rPr>
        <w:t>, M. (2017), “Talent management practice effectiveness: investigating employee perspective”, Employee Relations, Vol. 39 No. 1, pp. 19-33.</w:t>
      </w:r>
    </w:p>
    <w:p w14:paraId="61AAE2A8"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Menon, A. and Fowler, B. (2016), “Hard or soft? The politics of Brexit”, National Institute Economic</w:t>
      </w:r>
    </w:p>
    <w:p w14:paraId="73C62F8E"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Nickell, S. and Layard, R., 1999. Labor market institutions and economic performance. </w:t>
      </w:r>
      <w:r>
        <w:rPr>
          <w:rFonts w:ascii="Times New Roman" w:hAnsi="Times New Roman" w:cs="Times New Roman"/>
          <w:i/>
          <w:iCs/>
          <w:color w:val="000000" w:themeColor="text1"/>
          <w:sz w:val="24"/>
          <w:szCs w:val="24"/>
          <w:shd w:val="clear" w:color="auto" w:fill="FFFFFF"/>
        </w:rPr>
        <w:t>Handbook of labor economics</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 pp.3029-3084.</w:t>
      </w:r>
    </w:p>
    <w:p w14:paraId="151B4357"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REC (2010), “Flex Appeal”, The Recruitment &amp; Employment Confederation, London.</w:t>
      </w:r>
    </w:p>
    <w:p w14:paraId="51F311AF"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REC (2012), “REC flexible work commission report”, The Recruitment &amp; Employment Confederation,</w:t>
      </w:r>
    </w:p>
    <w:p w14:paraId="74FA3F70" w14:textId="77777777" w:rsidR="000138F8" w:rsidRDefault="000138F8" w:rsidP="000138F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Ridgway, M. and Robson, F. (2018), “Exploring the motivation and willingness of self-initiated </w:t>
      </w:r>
      <w:r>
        <w:rPr>
          <w:rFonts w:ascii="Times New Roman" w:hAnsi="Times New Roman" w:cs="Times New Roman"/>
          <w:color w:val="000000" w:themeColor="text1"/>
          <w:sz w:val="24"/>
          <w:szCs w:val="24"/>
        </w:rPr>
        <w:t xml:space="preserve">No. 3, pp. 3-5. </w:t>
      </w:r>
      <w:r>
        <w:rPr>
          <w:rFonts w:ascii="Times New Roman" w:hAnsi="Times New Roman" w:cs="Times New Roman"/>
          <w:color w:val="000000" w:themeColor="text1"/>
          <w:sz w:val="24"/>
          <w:szCs w:val="24"/>
          <w:shd w:val="clear" w:color="auto" w:fill="FFFFFF"/>
        </w:rPr>
        <w:t>organizational support”, Employee Relations, Vol. 38 No. 2, pp. 200-223.</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shd w:val="clear" w:color="auto" w:fill="FFFFFF"/>
        </w:rPr>
        <w:t>pp. 97-114</w:t>
      </w:r>
    </w:p>
    <w:p w14:paraId="3F6095DC"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Scullion, H., Sparrow, P. and Farndale, E. (2011), “Global talent management: new challenges for the Qatar”, Human Resource Development International, Vol. 21 No. 1, pp. 24-45.</w:t>
      </w:r>
    </w:p>
    <w:p w14:paraId="77620198" w14:textId="77777777" w:rsidR="000138F8" w:rsidRDefault="000138F8" w:rsidP="000138F8">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Varma, A. and Russell, L. (2016), “Women and expatriate assignments: exploring the role of perceived </w:t>
      </w:r>
      <w:r>
        <w:rPr>
          <w:rFonts w:ascii="Times New Roman" w:hAnsi="Times New Roman" w:cs="Times New Roman"/>
          <w:color w:val="000000" w:themeColor="text1"/>
          <w:sz w:val="24"/>
          <w:szCs w:val="24"/>
        </w:rPr>
        <w:t>what we need to focus on next”, Human Resource Management International Digest, Vol. 18</w:t>
      </w:r>
    </w:p>
    <w:p w14:paraId="05E41AE9" w14:textId="77777777" w:rsidR="000138F8" w:rsidRPr="000138F8" w:rsidRDefault="000138F8" w:rsidP="009F0ECB">
      <w:pPr>
        <w:spacing w:line="360" w:lineRule="auto"/>
        <w:jc w:val="both"/>
        <w:rPr>
          <w:rFonts w:ascii="Times New Roman" w:hAnsi="Times New Roman" w:cs="Times New Roman"/>
          <w:b/>
          <w:color w:val="000000" w:themeColor="text1"/>
          <w:sz w:val="24"/>
          <w:szCs w:val="24"/>
        </w:rPr>
      </w:pPr>
    </w:p>
    <w:sectPr w:rsidR="000138F8" w:rsidRPr="000138F8">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07A88" w14:textId="77777777" w:rsidR="00EC70F1" w:rsidRDefault="00EC70F1" w:rsidP="00EC70F1">
      <w:pPr>
        <w:spacing w:after="0" w:line="240" w:lineRule="auto"/>
      </w:pPr>
      <w:r>
        <w:separator/>
      </w:r>
    </w:p>
  </w:endnote>
  <w:endnote w:type="continuationSeparator" w:id="0">
    <w:p w14:paraId="74318533" w14:textId="77777777" w:rsidR="00EC70F1" w:rsidRDefault="00EC70F1" w:rsidP="00EC7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982987"/>
      <w:docPartObj>
        <w:docPartGallery w:val="Page Numbers (Bottom of Page)"/>
        <w:docPartUnique/>
      </w:docPartObj>
    </w:sdtPr>
    <w:sdtEndPr>
      <w:rPr>
        <w:noProof/>
      </w:rPr>
    </w:sdtEndPr>
    <w:sdtContent>
      <w:p w14:paraId="7E5A89AB" w14:textId="27917FCD" w:rsidR="00EC70F1" w:rsidRDefault="00EC70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8D8870" w14:textId="77777777" w:rsidR="00EC70F1" w:rsidRDefault="00EC70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EB9DD" w14:textId="77777777" w:rsidR="00EC70F1" w:rsidRDefault="00EC70F1" w:rsidP="00EC70F1">
      <w:pPr>
        <w:spacing w:after="0" w:line="240" w:lineRule="auto"/>
      </w:pPr>
      <w:r>
        <w:separator/>
      </w:r>
    </w:p>
  </w:footnote>
  <w:footnote w:type="continuationSeparator" w:id="0">
    <w:p w14:paraId="2A25F39B" w14:textId="77777777" w:rsidR="00EC70F1" w:rsidRDefault="00EC70F1" w:rsidP="00EC70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D826B2"/>
    <w:multiLevelType w:val="hybridMultilevel"/>
    <w:tmpl w:val="B37C1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E9E3C7B"/>
    <w:multiLevelType w:val="hybridMultilevel"/>
    <w:tmpl w:val="62E8B4D6"/>
    <w:lvl w:ilvl="0" w:tplc="E4F6400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A5A2056"/>
    <w:multiLevelType w:val="hybridMultilevel"/>
    <w:tmpl w:val="8BEA1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56181C9A"/>
    <w:multiLevelType w:val="hybridMultilevel"/>
    <w:tmpl w:val="7C72B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756315046">
    <w:abstractNumId w:val="3"/>
  </w:num>
  <w:num w:numId="2" w16cid:durableId="1991010082">
    <w:abstractNumId w:val="0"/>
  </w:num>
  <w:num w:numId="3" w16cid:durableId="1435632737">
    <w:abstractNumId w:val="2"/>
  </w:num>
  <w:num w:numId="4" w16cid:durableId="1191722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FAB"/>
    <w:rsid w:val="000138F8"/>
    <w:rsid w:val="001227C6"/>
    <w:rsid w:val="001C0FAE"/>
    <w:rsid w:val="001C3A6C"/>
    <w:rsid w:val="001E212F"/>
    <w:rsid w:val="002711B8"/>
    <w:rsid w:val="0031378A"/>
    <w:rsid w:val="00327235"/>
    <w:rsid w:val="00391719"/>
    <w:rsid w:val="003B711E"/>
    <w:rsid w:val="003F5C15"/>
    <w:rsid w:val="00403654"/>
    <w:rsid w:val="00430453"/>
    <w:rsid w:val="0044143C"/>
    <w:rsid w:val="004746A8"/>
    <w:rsid w:val="004A41B5"/>
    <w:rsid w:val="004F7B25"/>
    <w:rsid w:val="00500471"/>
    <w:rsid w:val="00502003"/>
    <w:rsid w:val="005133D4"/>
    <w:rsid w:val="00551FCA"/>
    <w:rsid w:val="0061045A"/>
    <w:rsid w:val="006337F8"/>
    <w:rsid w:val="00643C98"/>
    <w:rsid w:val="00663C31"/>
    <w:rsid w:val="00681E52"/>
    <w:rsid w:val="006E5A43"/>
    <w:rsid w:val="007538FA"/>
    <w:rsid w:val="00765769"/>
    <w:rsid w:val="007C2F89"/>
    <w:rsid w:val="007F42B4"/>
    <w:rsid w:val="00804936"/>
    <w:rsid w:val="00822C56"/>
    <w:rsid w:val="0083547C"/>
    <w:rsid w:val="00850CEB"/>
    <w:rsid w:val="008C6ACD"/>
    <w:rsid w:val="00926AA5"/>
    <w:rsid w:val="00935FAB"/>
    <w:rsid w:val="009C3A96"/>
    <w:rsid w:val="009E3B99"/>
    <w:rsid w:val="009F0ECB"/>
    <w:rsid w:val="009F12E4"/>
    <w:rsid w:val="00A33808"/>
    <w:rsid w:val="00A35457"/>
    <w:rsid w:val="00A6194E"/>
    <w:rsid w:val="00A816BF"/>
    <w:rsid w:val="00A96757"/>
    <w:rsid w:val="00AD7DFE"/>
    <w:rsid w:val="00B36A23"/>
    <w:rsid w:val="00B66CD4"/>
    <w:rsid w:val="00B8186B"/>
    <w:rsid w:val="00B92F6D"/>
    <w:rsid w:val="00B94B1F"/>
    <w:rsid w:val="00BD14D9"/>
    <w:rsid w:val="00BD51C0"/>
    <w:rsid w:val="00BE4495"/>
    <w:rsid w:val="00C04342"/>
    <w:rsid w:val="00C066E4"/>
    <w:rsid w:val="00C80659"/>
    <w:rsid w:val="00D649BD"/>
    <w:rsid w:val="00E502EA"/>
    <w:rsid w:val="00E93C88"/>
    <w:rsid w:val="00EC70F1"/>
    <w:rsid w:val="00EE07C7"/>
    <w:rsid w:val="00FD2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00ABBE"/>
  <w15:chartTrackingRefBased/>
  <w15:docId w15:val="{FD6DBAF0-0354-4AC7-84FD-35BE8D08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9B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49BD"/>
    <w:pPr>
      <w:ind w:left="720"/>
      <w:contextualSpacing/>
    </w:pPr>
  </w:style>
  <w:style w:type="character" w:styleId="Hyperlink">
    <w:name w:val="Hyperlink"/>
    <w:basedOn w:val="DefaultParagraphFont"/>
    <w:uiPriority w:val="99"/>
    <w:semiHidden/>
    <w:unhideWhenUsed/>
    <w:rsid w:val="0083547C"/>
    <w:rPr>
      <w:color w:val="0000FF"/>
      <w:u w:val="single"/>
    </w:rPr>
  </w:style>
  <w:style w:type="paragraph" w:styleId="NormalWeb">
    <w:name w:val="Normal (Web)"/>
    <w:basedOn w:val="Normal"/>
    <w:uiPriority w:val="99"/>
    <w:semiHidden/>
    <w:unhideWhenUsed/>
    <w:rsid w:val="002711B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C70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0F1"/>
  </w:style>
  <w:style w:type="paragraph" w:styleId="Footer">
    <w:name w:val="footer"/>
    <w:basedOn w:val="Normal"/>
    <w:link w:val="FooterChar"/>
    <w:uiPriority w:val="99"/>
    <w:unhideWhenUsed/>
    <w:rsid w:val="00EC70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0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2823399">
      <w:bodyDiv w:val="1"/>
      <w:marLeft w:val="0"/>
      <w:marRight w:val="0"/>
      <w:marTop w:val="0"/>
      <w:marBottom w:val="0"/>
      <w:divBdr>
        <w:top w:val="none" w:sz="0" w:space="0" w:color="auto"/>
        <w:left w:val="none" w:sz="0" w:space="0" w:color="auto"/>
        <w:bottom w:val="none" w:sz="0" w:space="0" w:color="auto"/>
        <w:right w:val="none" w:sz="0" w:space="0" w:color="auto"/>
      </w:divBdr>
    </w:div>
    <w:div w:id="1678801339">
      <w:bodyDiv w:val="1"/>
      <w:marLeft w:val="0"/>
      <w:marRight w:val="0"/>
      <w:marTop w:val="0"/>
      <w:marBottom w:val="0"/>
      <w:divBdr>
        <w:top w:val="none" w:sz="0" w:space="0" w:color="auto"/>
        <w:left w:val="none" w:sz="0" w:space="0" w:color="auto"/>
        <w:bottom w:val="none" w:sz="0" w:space="0" w:color="auto"/>
        <w:right w:val="none" w:sz="0" w:space="0" w:color="auto"/>
      </w:divBdr>
    </w:div>
    <w:div w:id="1948930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conomicsobservatory.com/what-do-new-uk-labour-market-data-reveal-about-the-post-covid-19-recovery"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D4D10-226B-4286-AC92-2A6D3B128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2870</Words>
  <Characters>16363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Kumar</dc:creator>
  <cp:keywords/>
  <dc:description/>
  <cp:lastModifiedBy>Rahul Kumar</cp:lastModifiedBy>
  <cp:revision>33</cp:revision>
  <dcterms:created xsi:type="dcterms:W3CDTF">2022-08-29T09:39:00Z</dcterms:created>
  <dcterms:modified xsi:type="dcterms:W3CDTF">2022-09-05T20:30:00Z</dcterms:modified>
</cp:coreProperties>
</file>