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88B9FA" w14:textId="01FCE44B" w:rsidR="00E07263" w:rsidRPr="00E07263" w:rsidRDefault="00E07263" w:rsidP="00E07263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E07263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0BFBDCCD" wp14:editId="3FF05515">
            <wp:extent cx="2057400" cy="853440"/>
            <wp:effectExtent l="0" t="0" r="0" b="3810"/>
            <wp:docPr id="2" name="Picture 2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53A92D" w14:textId="77777777" w:rsidR="00E07263" w:rsidRPr="00E07263" w:rsidRDefault="00E07263" w:rsidP="00E07263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288DF8D8" w14:textId="77777777" w:rsidR="00E07263" w:rsidRPr="00E07263" w:rsidRDefault="00E07263" w:rsidP="00E07263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6990339C" w14:textId="77777777" w:rsidR="00E07263" w:rsidRPr="00E07263" w:rsidRDefault="00E07263" w:rsidP="00E07263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E07263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5C18C9E7" w14:textId="77777777" w:rsidR="00E07263" w:rsidRPr="00E07263" w:rsidRDefault="00E07263" w:rsidP="00E07263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E07263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3E0681C7" w14:textId="77777777" w:rsidR="00E07263" w:rsidRPr="00E07263" w:rsidRDefault="00E07263" w:rsidP="00E07263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1AAD877C" w14:textId="77777777" w:rsidR="00E07263" w:rsidRPr="00E07263" w:rsidRDefault="00E07263" w:rsidP="00E07263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E07263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0E3371DF" w14:textId="77777777" w:rsidR="00E07263" w:rsidRPr="00E07263" w:rsidRDefault="00E07263" w:rsidP="00E07263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07263" w:rsidRPr="00E07263" w14:paraId="452A94CE" w14:textId="77777777" w:rsidTr="00E72ADB">
        <w:trPr>
          <w:trHeight w:val="614"/>
        </w:trPr>
        <w:tc>
          <w:tcPr>
            <w:tcW w:w="8856" w:type="dxa"/>
            <w:gridSpan w:val="5"/>
          </w:tcPr>
          <w:p w14:paraId="66A438F9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: </w:t>
            </w:r>
          </w:p>
        </w:tc>
      </w:tr>
      <w:tr w:rsidR="00E07263" w:rsidRPr="00E07263" w14:paraId="0912892C" w14:textId="77777777" w:rsidTr="00E72ADB">
        <w:trPr>
          <w:trHeight w:val="718"/>
        </w:trPr>
        <w:tc>
          <w:tcPr>
            <w:tcW w:w="8856" w:type="dxa"/>
            <w:gridSpan w:val="5"/>
          </w:tcPr>
          <w:p w14:paraId="0D9B6F57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Student Name: Daniel Annenberg</w:t>
            </w:r>
          </w:p>
          <w:p w14:paraId="1F0B218B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E07263" w:rsidRPr="00E07263" w14:paraId="5C45AC40" w14:textId="77777777" w:rsidTr="00E72ADB">
        <w:trPr>
          <w:trHeight w:val="849"/>
        </w:trPr>
        <w:tc>
          <w:tcPr>
            <w:tcW w:w="4788" w:type="dxa"/>
          </w:tcPr>
          <w:p w14:paraId="27250EE3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 w:rsidRPr="00E07263">
              <w:rPr>
                <w:rFonts w:ascii="Georgia" w:eastAsia="SimSun" w:hAnsi="Georgia" w:cs="Times New Roman"/>
                <w:color w:val="000000"/>
                <w:sz w:val="21"/>
                <w:szCs w:val="21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color w:val="000000"/>
                <w:sz w:val="21"/>
                <w:szCs w:val="21"/>
                <w:lang w:eastAsia="zh-CN"/>
              </w:rPr>
              <w:t>TRDL7064</w:t>
            </w:r>
          </w:p>
          <w:p w14:paraId="53B8F341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958E7D1" w14:textId="6E8EA098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title: Islamic Law in the Contemporary World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(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Encyclopaedia Article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2)</w:t>
            </w:r>
          </w:p>
          <w:p w14:paraId="62C229A5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DC48E5C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08963D16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br/>
            </w:r>
            <w:r w:rsidRPr="00E07263">
              <w:rPr>
                <w:rFonts w:ascii="Calibri" w:eastAsia="SimSun" w:hAnsi="Calibri" w:cs="Calibri"/>
                <w:color w:val="000000"/>
                <w:lang w:eastAsia="zh-CN"/>
              </w:rPr>
              <w:t>1704048</w:t>
            </w:r>
          </w:p>
        </w:tc>
        <w:tc>
          <w:tcPr>
            <w:tcW w:w="1802" w:type="dxa"/>
          </w:tcPr>
          <w:p w14:paraId="06B22A6B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7C1211E6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Yes/</w:t>
            </w: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No</w:t>
            </w:r>
          </w:p>
        </w:tc>
      </w:tr>
      <w:tr w:rsidR="00E07263" w:rsidRPr="00E07263" w14:paraId="57D2A245" w14:textId="77777777" w:rsidTr="00E72ADB">
        <w:trPr>
          <w:trHeight w:val="1139"/>
        </w:trPr>
        <w:tc>
          <w:tcPr>
            <w:tcW w:w="8856" w:type="dxa"/>
            <w:gridSpan w:val="5"/>
          </w:tcPr>
          <w:p w14:paraId="77EDEB4A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tutor: Shadaab Rahemtulla</w:t>
            </w:r>
          </w:p>
          <w:p w14:paraId="7D686021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83CC1B5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DE01000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Assignment due date:24/01/2018</w:t>
            </w:r>
          </w:p>
        </w:tc>
      </w:tr>
      <w:tr w:rsidR="00E07263" w:rsidRPr="00E07263" w14:paraId="46917FF5" w14:textId="77777777" w:rsidTr="00E72AD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6A81BD7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E07263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E07263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3A40DABA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6513E051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1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D2310">
              <w:rPr>
                <w:rFonts w:ascii="Arial" w:eastAsia="SimSun" w:hAnsi="Arial" w:cs="Arial"/>
                <w:lang w:eastAsia="zh-CN"/>
              </w:rPr>
            </w:r>
            <w:r w:rsidR="00DD231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E07263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4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D2310">
              <w:rPr>
                <w:rFonts w:ascii="Arial" w:eastAsia="SimSun" w:hAnsi="Arial" w:cs="Arial"/>
                <w:lang w:eastAsia="zh-CN"/>
              </w:rPr>
            </w:r>
            <w:r w:rsidR="00DD231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E07263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D2310">
              <w:rPr>
                <w:rFonts w:ascii="Arial" w:eastAsia="SimSun" w:hAnsi="Arial" w:cs="Arial"/>
                <w:lang w:eastAsia="zh-CN"/>
              </w:rPr>
            </w:r>
            <w:r w:rsidR="00DD231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E07263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D2310">
              <w:rPr>
                <w:rFonts w:ascii="Arial" w:eastAsia="SimSun" w:hAnsi="Arial" w:cs="Arial"/>
                <w:lang w:eastAsia="zh-CN"/>
              </w:rPr>
            </w:r>
            <w:r w:rsidR="00DD231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E07263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D2310">
              <w:rPr>
                <w:rFonts w:ascii="Arial" w:eastAsia="SimSun" w:hAnsi="Arial" w:cs="Arial"/>
                <w:lang w:eastAsia="zh-CN"/>
              </w:rPr>
            </w:r>
            <w:r w:rsidR="00DD231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E07263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D2310">
              <w:rPr>
                <w:rFonts w:ascii="Arial" w:eastAsia="SimSun" w:hAnsi="Arial" w:cs="Arial"/>
                <w:lang w:eastAsia="zh-CN"/>
              </w:rPr>
            </w:r>
            <w:r w:rsidR="00DD231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E07263" w:rsidRPr="00E07263" w14:paraId="0B9B1E84" w14:textId="77777777" w:rsidTr="00E72AD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6E6AF7F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6AE77EA4" w14:textId="667FC22E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Signed </w:t>
            </w:r>
            <w:r w:rsidRPr="00E07263">
              <w:rPr>
                <w:rFonts w:ascii="Arial" w:eastAsia="SimSun" w:hAnsi="Arial" w:cs="Arial"/>
                <w:noProof/>
                <w:color w:val="000000"/>
                <w:lang w:eastAsia="zh-CN"/>
              </w:rPr>
              <w:drawing>
                <wp:inline distT="0" distB="0" distL="0" distR="0" wp14:anchorId="585268BB" wp14:editId="0628CE52">
                  <wp:extent cx="2164080" cy="304800"/>
                  <wp:effectExtent l="0" t="0" r="7620" b="0"/>
                  <wp:docPr id="1" name="Picture 1" descr="E:\LIFE ADMIN\Signature\signature000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E:\LIFE ADMIN\Signature\signature000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408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DF23BCF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E07263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E07263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14:paraId="60ED5322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E07263" w:rsidRPr="00E07263" w14:paraId="70474CDD" w14:textId="77777777" w:rsidTr="00E72ADB">
        <w:trPr>
          <w:trHeight w:val="3972"/>
        </w:trPr>
        <w:tc>
          <w:tcPr>
            <w:tcW w:w="8856" w:type="dxa"/>
            <w:gridSpan w:val="5"/>
          </w:tcPr>
          <w:p w14:paraId="58EE554A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4A4ADF95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E07263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07263" w:rsidRPr="00E07263" w14:paraId="17A69900" w14:textId="77777777" w:rsidTr="00E72ADB">
              <w:tc>
                <w:tcPr>
                  <w:tcW w:w="6970" w:type="dxa"/>
                </w:tcPr>
                <w:p w14:paraId="35703FF4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2E5251E7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71CD1BA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E07263" w:rsidRPr="00E07263" w14:paraId="3385921D" w14:textId="77777777" w:rsidTr="00E72ADB">
              <w:tc>
                <w:tcPr>
                  <w:tcW w:w="6970" w:type="dxa"/>
                </w:tcPr>
                <w:p w14:paraId="6D4852F7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0AA3AFE4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449F6F81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E07263" w:rsidRPr="00E07263" w14:paraId="039ADC8A" w14:textId="77777777" w:rsidTr="00E72ADB">
              <w:tc>
                <w:tcPr>
                  <w:tcW w:w="6970" w:type="dxa"/>
                </w:tcPr>
                <w:p w14:paraId="26432BBE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Agreed Internal Mark: </w:t>
                  </w:r>
                </w:p>
                <w:p w14:paraId="79F1DD41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4EC20085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</w:tr>
            <w:tr w:rsidR="00E07263" w:rsidRPr="00E07263" w14:paraId="3C1EA3B9" w14:textId="77777777" w:rsidTr="00E72ADB">
              <w:tc>
                <w:tcPr>
                  <w:tcW w:w="6970" w:type="dxa"/>
                </w:tcPr>
                <w:p w14:paraId="670B5506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38C9BE8B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2E9F9B89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E07263" w:rsidRPr="00E07263" w14:paraId="7F145B47" w14:textId="77777777" w:rsidTr="00E72ADB">
              <w:tc>
                <w:tcPr>
                  <w:tcW w:w="6970" w:type="dxa"/>
                </w:tcPr>
                <w:p w14:paraId="7E7BB896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6B653E29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260EABD9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1BE36E8A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4AFEA702" w14:textId="77777777" w:rsidR="00E07263" w:rsidRPr="00E07263" w:rsidRDefault="00E07263" w:rsidP="00E07263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659C714" w14:textId="77777777" w:rsidR="00E07263" w:rsidRPr="00E07263" w:rsidRDefault="00E07263" w:rsidP="00E07263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5D370B74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3BF3C08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A6EBF0B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5A3F56C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E0ADD6A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 xml:space="preserve">For completion by Marker </w:t>
            </w:r>
            <w:proofErr w:type="gramStart"/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1 :</w:t>
            </w:r>
            <w:proofErr w:type="gramEnd"/>
          </w:p>
          <w:p w14:paraId="01DD19A8" w14:textId="77777777" w:rsidR="00E07263" w:rsidRPr="00E07263" w:rsidRDefault="00E07263" w:rsidP="00E07263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1A2DF61C" w14:textId="77777777" w:rsidR="00E07263" w:rsidRPr="00E07263" w:rsidRDefault="00E07263" w:rsidP="00E07263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E07263" w:rsidRPr="00E07263" w14:paraId="1258C34B" w14:textId="77777777" w:rsidTr="00E72ADB">
        <w:trPr>
          <w:trHeight w:val="492"/>
        </w:trPr>
        <w:tc>
          <w:tcPr>
            <w:tcW w:w="6768" w:type="dxa"/>
            <w:gridSpan w:val="3"/>
          </w:tcPr>
          <w:p w14:paraId="7A5CB012" w14:textId="77777777" w:rsidR="00E07263" w:rsidRPr="00E07263" w:rsidRDefault="00E07263" w:rsidP="00E07263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50DB910F" w14:textId="77777777" w:rsidR="00E07263" w:rsidRPr="00E07263" w:rsidRDefault="00E07263" w:rsidP="00E07263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E07263" w:rsidRPr="00E07263" w14:paraId="48B76B87" w14:textId="77777777" w:rsidTr="00E72ADB">
        <w:tc>
          <w:tcPr>
            <w:tcW w:w="8856" w:type="dxa"/>
            <w:gridSpan w:val="5"/>
          </w:tcPr>
          <w:p w14:paraId="7248DBBA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70225359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6FE46302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27B7304D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39C4B517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A641942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D29D403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E07263" w:rsidRPr="00E07263" w14:paraId="4485CC03" w14:textId="77777777" w:rsidTr="00E72ADB">
        <w:trPr>
          <w:trHeight w:val="720"/>
        </w:trPr>
        <w:tc>
          <w:tcPr>
            <w:tcW w:w="5211" w:type="dxa"/>
            <w:gridSpan w:val="2"/>
          </w:tcPr>
          <w:p w14:paraId="3FA4FE5F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37BF64AB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E07263" w:rsidRPr="00E07263" w14:paraId="1CEE8141" w14:textId="77777777" w:rsidTr="00E72ADB">
        <w:trPr>
          <w:trHeight w:val="720"/>
        </w:trPr>
        <w:tc>
          <w:tcPr>
            <w:tcW w:w="8856" w:type="dxa"/>
            <w:gridSpan w:val="5"/>
          </w:tcPr>
          <w:p w14:paraId="5BF06B66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AGREED INTERNAL MARK (where necessary):</w:t>
            </w:r>
          </w:p>
          <w:p w14:paraId="31551FDE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29B44C22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Comment on process on arriving at agreed mark:</w:t>
            </w:r>
          </w:p>
          <w:p w14:paraId="04D98EF2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294D7E2E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</w:tc>
      </w:tr>
      <w:tr w:rsidR="00E07263" w:rsidRPr="00E07263" w14:paraId="42C6B7A8" w14:textId="77777777" w:rsidTr="00E72ADB">
        <w:trPr>
          <w:trHeight w:val="720"/>
        </w:trPr>
        <w:tc>
          <w:tcPr>
            <w:tcW w:w="8856" w:type="dxa"/>
            <w:gridSpan w:val="5"/>
          </w:tcPr>
          <w:p w14:paraId="04E16C97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570F8564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97D3170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2DE3C94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E07263" w:rsidRPr="00E07263" w14:paraId="57F099FF" w14:textId="77777777" w:rsidTr="00E72ADB">
        <w:trPr>
          <w:trHeight w:val="720"/>
        </w:trPr>
        <w:tc>
          <w:tcPr>
            <w:tcW w:w="5211" w:type="dxa"/>
            <w:gridSpan w:val="2"/>
          </w:tcPr>
          <w:p w14:paraId="5C808338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936D75B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4450A09B" w14:textId="3A976F4A" w:rsidR="00E07263" w:rsidRDefault="00E07263" w:rsidP="00E07263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9FD25FE" w14:textId="1DB034C3" w:rsidR="001101A0" w:rsidRPr="00E07263" w:rsidRDefault="00E07263" w:rsidP="00E07263">
      <w:pP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  <w: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  <w:br w:type="page"/>
      </w:r>
      <w:r w:rsidR="00BF43F0" w:rsidRPr="00BF43F0">
        <w:rPr>
          <w:b/>
          <w:sz w:val="32"/>
          <w:szCs w:val="32"/>
        </w:rPr>
        <w:lastRenderedPageBreak/>
        <w:t>Encyclopaedia Article 1</w:t>
      </w:r>
      <w:r w:rsidR="00F54637">
        <w:rPr>
          <w:b/>
          <w:sz w:val="32"/>
          <w:szCs w:val="32"/>
        </w:rPr>
        <w:t xml:space="preserve"> </w:t>
      </w:r>
      <w:r w:rsidR="00F54637" w:rsidRPr="00F54637">
        <w:rPr>
          <w:sz w:val="32"/>
          <w:szCs w:val="32"/>
        </w:rPr>
        <w:t>(Oxford Islamic Studies Online)</w:t>
      </w:r>
      <w:r w:rsidR="00F54637">
        <w:rPr>
          <w:sz w:val="32"/>
          <w:szCs w:val="32"/>
        </w:rPr>
        <w:br/>
      </w:r>
      <w:r w:rsidR="00F54637">
        <w:rPr>
          <w:b/>
          <w:sz w:val="32"/>
          <w:szCs w:val="32"/>
        </w:rPr>
        <w:br/>
      </w:r>
      <w:r w:rsidR="001101A0" w:rsidRPr="001101A0">
        <w:rPr>
          <w:rFonts w:ascii="Times New Roman" w:hAnsi="Times New Roman" w:cs="Times New Roman"/>
          <w:b/>
          <w:i/>
          <w:iCs/>
          <w:sz w:val="36"/>
          <w:szCs w:val="36"/>
        </w:rPr>
        <w:t>Ijtihād</w:t>
      </w:r>
      <w:r w:rsidR="001101A0" w:rsidRPr="001101A0">
        <w:rPr>
          <w:rFonts w:ascii="Times New Roman" w:hAnsi="Times New Roman" w:cs="Times New Roman"/>
          <w:b/>
          <w:i/>
          <w:sz w:val="36"/>
          <w:szCs w:val="36"/>
        </w:rPr>
        <w:t xml:space="preserve">  </w:t>
      </w:r>
    </w:p>
    <w:p w14:paraId="3D0BB776" w14:textId="7450A2F5" w:rsidR="00BF43F0" w:rsidRPr="001101A0" w:rsidRDefault="001101A0" w:rsidP="001101A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01A0">
        <w:rPr>
          <w:rFonts w:ascii="Times New Roman" w:hAnsi="Times New Roman" w:cs="Times New Roman"/>
          <w:sz w:val="24"/>
          <w:szCs w:val="24"/>
        </w:rPr>
        <w:t xml:space="preserve">Arabic term </w:t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 xml:space="preserve">(lit. “effort”) </w:t>
      </w:r>
      <w:r w:rsidR="00BF43F0" w:rsidRPr="001101A0">
        <w:rPr>
          <w:rFonts w:ascii="Times New Roman" w:hAnsi="Times New Roman" w:cs="Times New Roman"/>
          <w:sz w:val="24"/>
          <w:szCs w:val="24"/>
        </w:rPr>
        <w:t>describ</w:t>
      </w:r>
      <w:r w:rsidRPr="001101A0">
        <w:rPr>
          <w:rFonts w:ascii="Times New Roman" w:hAnsi="Times New Roman" w:cs="Times New Roman"/>
          <w:sz w:val="24"/>
          <w:szCs w:val="24"/>
        </w:rPr>
        <w:t>ing</w:t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the method of independent reasoning within </w:t>
      </w:r>
      <w:r w:rsidRPr="001101A0">
        <w:rPr>
          <w:rFonts w:ascii="Times New Roman" w:hAnsi="Times New Roman" w:cs="Times New Roman"/>
          <w:sz w:val="24"/>
          <w:szCs w:val="24"/>
        </w:rPr>
        <w:t>the</w:t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</w:t>
      </w:r>
      <w:bookmarkStart w:id="6" w:name="_Hlk504264976"/>
      <w:r w:rsidRPr="001101A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sharīʿa</w:t>
      </w:r>
      <w:bookmarkEnd w:id="6"/>
      <w:r w:rsidR="00BF43F0" w:rsidRPr="001101A0">
        <w:rPr>
          <w:rFonts w:ascii="Times New Roman" w:hAnsi="Times New Roman" w:cs="Times New Roman"/>
          <w:i/>
          <w:sz w:val="24"/>
          <w:szCs w:val="24"/>
        </w:rPr>
        <w:t>.</w:t>
      </w:r>
      <w:r w:rsidR="00BF43F0" w:rsidRPr="001101A0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1"/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BF43F0" w:rsidRPr="001101A0">
        <w:rPr>
          <w:rFonts w:ascii="Times New Roman" w:hAnsi="Times New Roman" w:cs="Times New Roman"/>
          <w:sz w:val="24"/>
          <w:szCs w:val="24"/>
        </w:rPr>
        <w:t>Sharing a common root with</w:t>
      </w:r>
      <w:r w:rsidRPr="001101A0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Pr="001101A0">
        <w:rPr>
          <w:rFonts w:ascii="Times New Roman" w:hAnsi="Times New Roman" w:cs="Times New Roman"/>
          <w:i/>
          <w:sz w:val="24"/>
          <w:szCs w:val="24"/>
        </w:rPr>
        <w:t>jihād</w:t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="00BF43F0" w:rsidRPr="001101A0">
        <w:rPr>
          <w:rFonts w:ascii="Times New Roman" w:hAnsi="Times New Roman" w:cs="Times New Roman"/>
          <w:sz w:val="24"/>
          <w:szCs w:val="24"/>
        </w:rPr>
        <w:t>i</w:t>
      </w:r>
      <w:r w:rsidR="00B331A5">
        <w:rPr>
          <w:rFonts w:ascii="Times New Roman" w:hAnsi="Times New Roman" w:cs="Times New Roman"/>
          <w:sz w:val="24"/>
          <w:szCs w:val="24"/>
        </w:rPr>
        <w:t xml:space="preserve">t described </w:t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the ‘effort’ jurists </w:t>
      </w:r>
      <w:r w:rsidR="00B331A5">
        <w:rPr>
          <w:rFonts w:ascii="Times New Roman" w:hAnsi="Times New Roman" w:cs="Times New Roman"/>
          <w:sz w:val="24"/>
          <w:szCs w:val="24"/>
        </w:rPr>
        <w:t>make</w:t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to </w:t>
      </w:r>
      <w:r w:rsidR="00B331A5">
        <w:rPr>
          <w:rFonts w:ascii="Times New Roman" w:hAnsi="Times New Roman" w:cs="Times New Roman"/>
          <w:sz w:val="24"/>
          <w:szCs w:val="24"/>
        </w:rPr>
        <w:t>generate</w:t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new legal precepts.</w:t>
      </w:r>
      <w:r w:rsidR="00BF43F0"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It represents a central tenet of Islamic jurisprudence </w:t>
      </w:r>
      <w:r w:rsidRPr="001101A0">
        <w:rPr>
          <w:rFonts w:ascii="Times New Roman" w:hAnsi="Times New Roman" w:cs="Times New Roman"/>
          <w:sz w:val="24"/>
          <w:szCs w:val="24"/>
        </w:rPr>
        <w:t>(</w:t>
      </w:r>
      <w:bookmarkStart w:id="7" w:name="_Hlk504234930"/>
      <w:r w:rsidRPr="001101A0">
        <w:rPr>
          <w:rFonts w:ascii="Times New Roman" w:hAnsi="Times New Roman" w:cs="Times New Roman"/>
          <w:i/>
          <w:iCs/>
          <w:sz w:val="24"/>
          <w:szCs w:val="24"/>
        </w:rPr>
        <w:t>uṣūl al-fiqh</w:t>
      </w:r>
      <w:bookmarkEnd w:id="7"/>
      <w:r w:rsidRPr="001101A0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>.</w:t>
      </w:r>
      <w:r w:rsidR="00BF43F0" w:rsidRPr="001101A0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3"/>
      </w:r>
      <w:r w:rsidR="005A19CA" w:rsidRPr="001101A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A19CA" w:rsidRPr="001101A0">
        <w:rPr>
          <w:rFonts w:ascii="Times New Roman" w:hAnsi="Times New Roman" w:cs="Times New Roman"/>
          <w:sz w:val="24"/>
          <w:szCs w:val="24"/>
        </w:rPr>
        <w:t>Precedent for</w:t>
      </w:r>
      <w:bookmarkStart w:id="8" w:name="_Hlk504516307"/>
      <w:r w:rsidRPr="001101A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r w:rsidRPr="001101A0">
        <w:rPr>
          <w:rFonts w:ascii="Times New Roman" w:hAnsi="Times New Roman" w:cs="Times New Roman"/>
          <w:sz w:val="24"/>
          <w:szCs w:val="24"/>
        </w:rPr>
        <w:t> </w:t>
      </w:r>
      <w:bookmarkEnd w:id="8"/>
      <w:r w:rsidR="005A19CA" w:rsidRPr="001101A0">
        <w:rPr>
          <w:rFonts w:ascii="Times New Roman" w:hAnsi="Times New Roman" w:cs="Times New Roman"/>
          <w:sz w:val="24"/>
          <w:szCs w:val="24"/>
        </w:rPr>
        <w:t>is found within the hadith literature. Deciding to send a colleague to be govern Yemen, Muhammad asks him how he will develop rulings for the region:</w:t>
      </w:r>
    </w:p>
    <w:p w14:paraId="53A8DA8A" w14:textId="373D14D4" w:rsidR="005A19CA" w:rsidRPr="001101A0" w:rsidRDefault="001101A0" w:rsidP="005A19CA">
      <w:pPr>
        <w:spacing w:after="0" w:line="240" w:lineRule="auto"/>
        <w:ind w:left="1440"/>
        <w:rPr>
          <w:rFonts w:ascii="Arial" w:eastAsia="Times New Roman" w:hAnsi="Arial" w:cs="Arial"/>
          <w:color w:val="000000"/>
          <w:sz w:val="18"/>
          <w:szCs w:val="18"/>
          <w:lang w:eastAsia="en-GB"/>
        </w:rPr>
      </w:pPr>
      <w:r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>“…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>I will make a personal effort (</w:t>
      </w:r>
      <w:r w:rsidRPr="001101A0">
        <w:rPr>
          <w:rFonts w:ascii="Arial" w:eastAsia="Times New Roman" w:hAnsi="Arial" w:cs="Arial"/>
          <w:i/>
          <w:iCs/>
          <w:color w:val="000000"/>
          <w:sz w:val="18"/>
          <w:szCs w:val="18"/>
          <w:lang w:eastAsia="en-GB"/>
        </w:rPr>
        <w:t>ijtihād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>),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br/>
        <w:t xml:space="preserve">use my </w:t>
      </w:r>
      <w:r w:rsidR="005A19CA" w:rsidRPr="001101A0">
        <w:rPr>
          <w:rFonts w:ascii="Arial" w:eastAsia="Times New Roman" w:hAnsi="Arial" w:cs="Arial"/>
          <w:noProof/>
          <w:color w:val="000000"/>
          <w:sz w:val="18"/>
          <w:szCs w:val="18"/>
          <w:lang w:eastAsia="en-GB"/>
        </w:rPr>
        <w:t>own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 xml:space="preserve"> judgment, and act according to that.” And this the Prophet </w:t>
      </w:r>
    </w:p>
    <w:p w14:paraId="0FD4C30B" w14:textId="77777777" w:rsidR="005A19CA" w:rsidRPr="001101A0" w:rsidRDefault="005A19CA" w:rsidP="005A19CA">
      <w:pPr>
        <w:spacing w:after="240" w:line="240" w:lineRule="auto"/>
        <w:ind w:left="1440"/>
        <w:rPr>
          <w:rFonts w:ascii="Arial" w:eastAsia="Times New Roman" w:hAnsi="Arial" w:cs="Arial"/>
          <w:color w:val="000000"/>
          <w:sz w:val="18"/>
          <w:szCs w:val="18"/>
          <w:lang w:eastAsia="en-GB"/>
        </w:rPr>
      </w:pPr>
      <w:r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 xml:space="preserve">approved, saying: “Praise be to God who enabled the envoy of </w:t>
      </w:r>
      <w:r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br/>
        <w:t>the Apostle of God to say what has satisfied him!”</w:t>
      </w:r>
      <w:r w:rsidRPr="001101A0">
        <w:rPr>
          <w:rFonts w:ascii="Arial" w:eastAsia="Times New Roman" w:hAnsi="Arial" w:cs="Arial"/>
          <w:color w:val="000000"/>
          <w:sz w:val="18"/>
          <w:szCs w:val="18"/>
          <w:vertAlign w:val="superscript"/>
          <w:lang w:eastAsia="en-GB"/>
        </w:rPr>
        <w:footnoteReference w:id="4"/>
      </w:r>
    </w:p>
    <w:p w14:paraId="146EA0AB" w14:textId="00F40E91" w:rsidR="001101A0" w:rsidRDefault="001101A0" w:rsidP="001101A0">
      <w:pPr>
        <w:spacing w:line="360" w:lineRule="auto"/>
        <w:jc w:val="both"/>
        <w:rPr>
          <w:rFonts w:ascii="Times New Roman" w:eastAsia="SimSun" w:hAnsi="Times New Roman" w:cs="Times New Roman"/>
          <w:sz w:val="24"/>
          <w:szCs w:val="24"/>
          <w:lang w:eastAsia="zh-CN"/>
        </w:rPr>
      </w:pPr>
      <w:bookmarkStart w:id="9" w:name="_Hlk504516992"/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bookmarkEnd w:id="9"/>
      <w:r w:rsidRPr="001101A0">
        <w:rPr>
          <w:rFonts w:ascii="Times New Roman" w:hAnsi="Times New Roman" w:cs="Times New Roman"/>
          <w:i/>
          <w:sz w:val="24"/>
          <w:szCs w:val="24"/>
        </w:rPr>
        <w:t> </w:t>
      </w:r>
      <w:r w:rsidR="005A19CA" w:rsidRPr="001101A0">
        <w:rPr>
          <w:rFonts w:ascii="Times New Roman" w:hAnsi="Times New Roman" w:cs="Times New Roman"/>
          <w:sz w:val="24"/>
          <w:szCs w:val="24"/>
        </w:rPr>
        <w:t>bec</w:t>
      </w:r>
      <w:r w:rsidRPr="001101A0">
        <w:rPr>
          <w:rFonts w:ascii="Times New Roman" w:hAnsi="Times New Roman" w:cs="Times New Roman"/>
          <w:sz w:val="24"/>
          <w:szCs w:val="24"/>
        </w:rPr>
        <w:t>ame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necessary when rulers could not reach </w:t>
      </w:r>
      <w:bookmarkStart w:id="10" w:name="_Hlk504234718"/>
      <w:bookmarkStart w:id="11" w:name="_Hlk504236318"/>
      <w:bookmarkStart w:id="12" w:name="_Hlk504517161"/>
      <w:r w:rsidRPr="001101A0">
        <w:rPr>
          <w:rFonts w:ascii="Times New Roman" w:hAnsi="Times New Roman" w:cs="Times New Roman"/>
          <w:i/>
          <w:iCs/>
          <w:sz w:val="24"/>
          <w:szCs w:val="24"/>
        </w:rPr>
        <w:t>ijmā</w:t>
      </w:r>
      <w:bookmarkEnd w:id="10"/>
      <w:r w:rsidRPr="001101A0">
        <w:rPr>
          <w:rFonts w:ascii="Times New Roman" w:hAnsi="Times New Roman" w:cs="Times New Roman"/>
          <w:i/>
          <w:sz w:val="24"/>
          <w:szCs w:val="24"/>
        </w:rPr>
        <w:t>῾</w:t>
      </w:r>
      <w:bookmarkEnd w:id="11"/>
      <w:r w:rsidR="005A19CA" w:rsidRPr="001101A0">
        <w:rPr>
          <w:rFonts w:ascii="Times New Roman" w:hAnsi="Times New Roman" w:cs="Times New Roman"/>
          <w:sz w:val="24"/>
          <w:szCs w:val="24"/>
        </w:rPr>
        <w:t xml:space="preserve"> </w:t>
      </w:r>
      <w:bookmarkEnd w:id="12"/>
      <w:r w:rsidR="005A19CA" w:rsidRPr="001101A0">
        <w:rPr>
          <w:rFonts w:ascii="Times New Roman" w:hAnsi="Times New Roman" w:cs="Times New Roman"/>
          <w:sz w:val="24"/>
          <w:szCs w:val="24"/>
        </w:rPr>
        <w:t xml:space="preserve">(consensus). Moreover, it </w:t>
      </w:r>
      <w:r w:rsidR="00B331A5">
        <w:rPr>
          <w:rFonts w:ascii="Times New Roman" w:hAnsi="Times New Roman" w:cs="Times New Roman"/>
          <w:sz w:val="24"/>
          <w:szCs w:val="24"/>
        </w:rPr>
        <w:t>enables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majority opinions to </w:t>
      </w:r>
      <w:r w:rsidR="005A19CA" w:rsidRPr="001101A0">
        <w:rPr>
          <w:rFonts w:ascii="Times New Roman" w:hAnsi="Times New Roman" w:cs="Times New Roman"/>
          <w:noProof/>
          <w:sz w:val="24"/>
          <w:szCs w:val="24"/>
        </w:rPr>
        <w:t>be put forward,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="00B331A5">
        <w:rPr>
          <w:rFonts w:ascii="Times New Roman" w:hAnsi="Times New Roman" w:cs="Times New Roman"/>
          <w:noProof/>
          <w:sz w:val="24"/>
          <w:szCs w:val="24"/>
        </w:rPr>
        <w:t>as well as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="00B331A5" w:rsidRPr="001101A0">
        <w:rPr>
          <w:rFonts w:ascii="Times New Roman" w:hAnsi="Times New Roman" w:cs="Times New Roman"/>
          <w:sz w:val="24"/>
          <w:szCs w:val="24"/>
        </w:rPr>
        <w:t>dissent</w:t>
      </w:r>
      <w:r w:rsidR="00B331A5">
        <w:rPr>
          <w:rFonts w:ascii="Times New Roman" w:hAnsi="Times New Roman" w:cs="Times New Roman"/>
          <w:sz w:val="24"/>
          <w:szCs w:val="24"/>
        </w:rPr>
        <w:t>ing opinions</w:t>
      </w:r>
      <w:r w:rsidR="005A19CA" w:rsidRPr="001101A0">
        <w:rPr>
          <w:rFonts w:ascii="Times New Roman" w:hAnsi="Times New Roman" w:cs="Times New Roman"/>
          <w:sz w:val="24"/>
          <w:szCs w:val="24"/>
        </w:rPr>
        <w:t>.</w:t>
      </w:r>
      <w:r w:rsidR="005A19CA"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begins 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as a definable process during the </w:t>
      </w:r>
      <w:r w:rsidR="00B331A5">
        <w:rPr>
          <w:rFonts w:ascii="Times New Roman" w:eastAsia="SimSun" w:hAnsi="Times New Roman" w:cs="Times New Roman"/>
          <w:sz w:val="24"/>
          <w:szCs w:val="24"/>
          <w:lang w:eastAsia="zh-CN"/>
        </w:rPr>
        <w:t>time period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of the Companions of the Prophet (ca. 632-661).</w:t>
      </w:r>
      <w:r w:rsidR="005A19CA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6"/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Since the Prophet was no long alive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,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bookmarkStart w:id="14" w:name="_Hlk504517275"/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bookmarkEnd w:id="14"/>
      <w:r w:rsidR="005A19CA" w:rsidRPr="001101A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became </w:t>
      </w:r>
      <w:r w:rsidR="0002799D">
        <w:rPr>
          <w:rFonts w:ascii="Times New Roman" w:hAnsi="Times New Roman" w:cs="Times New Roman"/>
          <w:sz w:val="24"/>
          <w:szCs w:val="24"/>
        </w:rPr>
        <w:t>the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methodological structure </w:t>
      </w:r>
      <w:r w:rsidRPr="001101A0">
        <w:rPr>
          <w:rFonts w:ascii="Times New Roman" w:hAnsi="Times New Roman" w:cs="Times New Roman"/>
          <w:sz w:val="24"/>
          <w:szCs w:val="24"/>
        </w:rPr>
        <w:t>to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help the community develop new law</w:t>
      </w:r>
      <w:r w:rsidRPr="001101A0">
        <w:rPr>
          <w:rFonts w:ascii="Times New Roman" w:hAnsi="Times New Roman" w:cs="Times New Roman"/>
          <w:sz w:val="24"/>
          <w:szCs w:val="24"/>
        </w:rPr>
        <w:t>s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where the Qur’an and Sunnah were not adequate.</w:t>
      </w:r>
      <w:r w:rsidR="005A19CA"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Pr="001101A0">
        <w:rPr>
          <w:rFonts w:ascii="Times New Roman" w:hAnsi="Times New Roman" w:cs="Times New Roman"/>
          <w:i/>
          <w:iCs/>
          <w:sz w:val="24"/>
          <w:szCs w:val="24"/>
        </w:rPr>
        <w:t xml:space="preserve"> Ijtihād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is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focussed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in the secular domain, since the fundamentals of religious worship cannot be altered.</w:t>
      </w:r>
      <w:r w:rsidR="005A19CA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8"/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Rather, it’s application can be applied to matters of family law, commerce, 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the rules of war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and judicial punishments.</w:t>
      </w:r>
      <w:r w:rsidR="005A19CA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9"/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r w:rsidR="00B331A5">
        <w:rPr>
          <w:rFonts w:ascii="Times New Roman" w:eastAsia="SimSun" w:hAnsi="Times New Roman" w:cs="Times New Roman"/>
          <w:i/>
          <w:iCs/>
          <w:sz w:val="24"/>
          <w:szCs w:val="24"/>
          <w:lang w:eastAsia="zh-CN"/>
        </w:rPr>
        <w:t>I</w:t>
      </w:r>
      <w:r w:rsidRPr="001101A0">
        <w:rPr>
          <w:rFonts w:ascii="Times New Roman" w:eastAsia="SimSun" w:hAnsi="Times New Roman" w:cs="Times New Roman"/>
          <w:i/>
          <w:iCs/>
          <w:sz w:val="24"/>
          <w:szCs w:val="24"/>
          <w:lang w:eastAsia="zh-CN"/>
        </w:rPr>
        <w:t>jtihād</w:t>
      </w:r>
      <w:r w:rsidRPr="001101A0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> 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is necessary when Islamic Scholars cannot reach</w:t>
      </w:r>
      <w:r w:rsidR="00B331A5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 xml:space="preserve"> </w:t>
      </w:r>
      <w:r w:rsidR="00B331A5" w:rsidRPr="00B331A5">
        <w:rPr>
          <w:rFonts w:ascii="Times New Roman" w:eastAsia="SimSun" w:hAnsi="Times New Roman" w:cs="Times New Roman"/>
          <w:i/>
          <w:iCs/>
          <w:sz w:val="24"/>
          <w:szCs w:val="24"/>
          <w:lang w:eastAsia="zh-CN"/>
        </w:rPr>
        <w:t>ijmā</w:t>
      </w:r>
      <w:r w:rsidR="00B331A5" w:rsidRPr="00B331A5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>῾</w:t>
      </w:r>
      <w:r w:rsidR="00B331A5" w:rsidRPr="00B331A5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r w:rsidR="00B331A5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r w:rsidR="00B331A5">
        <w:rPr>
          <w:rFonts w:ascii="Times New Roman" w:eastAsia="SimSun" w:hAnsi="Times New Roman" w:cs="Times New Roman"/>
          <w:sz w:val="24"/>
          <w:szCs w:val="24"/>
          <w:lang w:eastAsia="zh-CN"/>
        </w:rPr>
        <w:t>(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consensus</w:t>
      </w:r>
      <w:r w:rsidR="00B331A5">
        <w:rPr>
          <w:rFonts w:ascii="Times New Roman" w:eastAsia="SimSun" w:hAnsi="Times New Roman" w:cs="Times New Roman"/>
          <w:sz w:val="24"/>
          <w:szCs w:val="24"/>
          <w:lang w:eastAsia="zh-CN"/>
        </w:rPr>
        <w:t>).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r w:rsidR="004F4753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A person </w:t>
      </w:r>
      <w:r w:rsidR="00B331A5">
        <w:rPr>
          <w:rFonts w:ascii="Times New Roman" w:eastAsia="SimSun" w:hAnsi="Times New Roman" w:cs="Times New Roman"/>
          <w:sz w:val="24"/>
          <w:szCs w:val="24"/>
          <w:lang w:eastAsia="zh-CN"/>
        </w:rPr>
        <w:t>authorised</w:t>
      </w:r>
      <w:r w:rsidR="004F4753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to engage in</w:t>
      </w:r>
      <w:r w:rsidRPr="001101A0">
        <w:rPr>
          <w:rFonts w:ascii="Times New Roman" w:eastAsia="SimSun" w:hAnsi="Times New Roman" w:cs="Times New Roman"/>
          <w:i/>
          <w:iCs/>
          <w:sz w:val="24"/>
          <w:szCs w:val="24"/>
          <w:lang w:eastAsia="zh-CN"/>
        </w:rPr>
        <w:t xml:space="preserve"> ijtihād</w:t>
      </w:r>
      <w:r w:rsidR="004F4753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is known formally as a </w:t>
      </w:r>
      <w:r w:rsidR="004F4753" w:rsidRPr="001101A0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>mujtahid.</w:t>
      </w:r>
      <w:r w:rsidR="004F4753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10"/>
      </w:r>
    </w:p>
    <w:p w14:paraId="704B277A" w14:textId="464F2011" w:rsidR="005A19CA" w:rsidRPr="001101A0" w:rsidRDefault="004F4753" w:rsidP="001101A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01A0">
        <w:rPr>
          <w:rFonts w:ascii="Times New Roman" w:hAnsi="Times New Roman" w:cs="Times New Roman"/>
          <w:sz w:val="24"/>
          <w:szCs w:val="24"/>
        </w:rPr>
        <w:t>By the 4</w:t>
      </w:r>
      <w:r w:rsidRPr="001101A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Pr="001101A0">
        <w:rPr>
          <w:rFonts w:ascii="Times New Roman" w:hAnsi="Times New Roman" w:cs="Times New Roman"/>
          <w:noProof/>
          <w:sz w:val="24"/>
          <w:szCs w:val="24"/>
        </w:rPr>
        <w:t xml:space="preserve">century </w:t>
      </w:r>
      <w:r w:rsidRPr="001101A0">
        <w:rPr>
          <w:rFonts w:ascii="Times New Roman" w:hAnsi="Times New Roman" w:cs="Times New Roman"/>
          <w:sz w:val="24"/>
          <w:szCs w:val="24"/>
        </w:rPr>
        <w:t xml:space="preserve">AH, consensus existed amongst </w:t>
      </w:r>
      <w:r w:rsidR="00B331A5">
        <w:rPr>
          <w:rFonts w:ascii="Times New Roman" w:hAnsi="Times New Roman" w:cs="Times New Roman"/>
          <w:sz w:val="24"/>
          <w:szCs w:val="24"/>
        </w:rPr>
        <w:t xml:space="preserve">all </w:t>
      </w:r>
      <w:r w:rsidRPr="001101A0">
        <w:rPr>
          <w:rFonts w:ascii="Times New Roman" w:hAnsi="Times New Roman" w:cs="Times New Roman"/>
          <w:sz w:val="24"/>
          <w:szCs w:val="24"/>
        </w:rPr>
        <w:t xml:space="preserve">four schools of Islamic law that all ‘essential questions’ had </w:t>
      </w:r>
      <w:r w:rsidR="00B331A5">
        <w:rPr>
          <w:rFonts w:ascii="Times New Roman" w:hAnsi="Times New Roman" w:cs="Times New Roman"/>
          <w:noProof/>
          <w:sz w:val="24"/>
          <w:szCs w:val="24"/>
        </w:rPr>
        <w:t>now been answered</w:t>
      </w:r>
      <w:r w:rsidRPr="001101A0">
        <w:rPr>
          <w:rFonts w:ascii="Times New Roman" w:hAnsi="Times New Roman" w:cs="Times New Roman"/>
          <w:sz w:val="24"/>
          <w:szCs w:val="24"/>
        </w:rPr>
        <w:t>. This meant the ‘door of</w:t>
      </w:r>
      <w:r w:rsidR="001101A0"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r w:rsidRPr="001101A0">
        <w:rPr>
          <w:rFonts w:ascii="Times New Roman" w:hAnsi="Times New Roman" w:cs="Times New Roman"/>
          <w:sz w:val="24"/>
          <w:szCs w:val="24"/>
        </w:rPr>
        <w:t>’ was now closed.</w:t>
      </w:r>
      <w:r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Pr="001101A0">
        <w:rPr>
          <w:rFonts w:ascii="Times New Roman" w:hAnsi="Times New Roman" w:cs="Times New Roman"/>
          <w:sz w:val="24"/>
          <w:szCs w:val="24"/>
        </w:rPr>
        <w:t xml:space="preserve"> In the modern context </w:t>
      </w:r>
      <w:r w:rsidR="0007602E" w:rsidRPr="001101A0">
        <w:rPr>
          <w:rFonts w:ascii="Times New Roman" w:hAnsi="Times New Roman" w:cs="Times New Roman"/>
          <w:sz w:val="24"/>
          <w:szCs w:val="24"/>
        </w:rPr>
        <w:t xml:space="preserve">the </w:t>
      </w:r>
      <w:r w:rsidRPr="001101A0">
        <w:rPr>
          <w:rFonts w:ascii="Times New Roman" w:hAnsi="Times New Roman" w:cs="Times New Roman"/>
          <w:sz w:val="24"/>
          <w:szCs w:val="24"/>
        </w:rPr>
        <w:t xml:space="preserve">closing </w:t>
      </w:r>
      <w:r w:rsidR="0007602E" w:rsidRPr="001101A0">
        <w:rPr>
          <w:rFonts w:ascii="Times New Roman" w:hAnsi="Times New Roman" w:cs="Times New Roman"/>
          <w:sz w:val="24"/>
          <w:szCs w:val="24"/>
        </w:rPr>
        <w:t xml:space="preserve">of </w:t>
      </w:r>
      <w:r w:rsidRPr="001101A0">
        <w:rPr>
          <w:rFonts w:ascii="Times New Roman" w:hAnsi="Times New Roman" w:cs="Times New Roman"/>
          <w:sz w:val="24"/>
          <w:szCs w:val="24"/>
        </w:rPr>
        <w:t>the ‘door of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</w:rPr>
        <w:t xml:space="preserve"> ijtihād</w:t>
      </w:r>
      <w:r w:rsidRPr="001101A0">
        <w:rPr>
          <w:rFonts w:ascii="Times New Roman" w:hAnsi="Times New Roman" w:cs="Times New Roman"/>
          <w:sz w:val="24"/>
          <w:szCs w:val="24"/>
        </w:rPr>
        <w:t xml:space="preserve">’ has been challenged has </w:t>
      </w:r>
      <w:r w:rsidRPr="001101A0">
        <w:rPr>
          <w:rFonts w:ascii="Times New Roman" w:hAnsi="Times New Roman" w:cs="Times New Roman"/>
          <w:sz w:val="24"/>
          <w:szCs w:val="24"/>
        </w:rPr>
        <w:lastRenderedPageBreak/>
        <w:t>been challenged by new scholarship.</w:t>
      </w:r>
      <w:r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Pr="001101A0">
        <w:rPr>
          <w:rFonts w:ascii="Times New Roman" w:hAnsi="Times New Roman" w:cs="Times New Roman"/>
          <w:sz w:val="24"/>
          <w:szCs w:val="24"/>
        </w:rPr>
        <w:t xml:space="preserve"> The main argument advanced to justify its return centres on the fact that today’s scholars have </w:t>
      </w:r>
      <w:r w:rsidR="001101A0" w:rsidRPr="001101A0">
        <w:rPr>
          <w:rFonts w:ascii="Times New Roman" w:hAnsi="Times New Roman" w:cs="Times New Roman"/>
          <w:sz w:val="24"/>
          <w:szCs w:val="24"/>
        </w:rPr>
        <w:t>abundant</w:t>
      </w:r>
      <w:r w:rsidRPr="001101A0">
        <w:rPr>
          <w:rFonts w:ascii="Times New Roman" w:hAnsi="Times New Roman" w:cs="Times New Roman"/>
          <w:sz w:val="24"/>
          <w:szCs w:val="24"/>
        </w:rPr>
        <w:t xml:space="preserve"> academic resources available to them</w:t>
      </w:r>
      <w:r w:rsidR="001101A0" w:rsidRPr="001101A0">
        <w:rPr>
          <w:rFonts w:ascii="Times New Roman" w:hAnsi="Times New Roman" w:cs="Times New Roman"/>
          <w:sz w:val="24"/>
          <w:szCs w:val="24"/>
        </w:rPr>
        <w:t>.</w:t>
      </w:r>
      <w:r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="001101A0" w:rsidRPr="001101A0">
        <w:rPr>
          <w:rFonts w:ascii="Times New Roman" w:hAnsi="Times New Roman" w:cs="Times New Roman"/>
          <w:sz w:val="24"/>
          <w:szCs w:val="24"/>
        </w:rPr>
        <w:t>This</w:t>
      </w:r>
      <w:r w:rsidRPr="001101A0">
        <w:rPr>
          <w:rFonts w:ascii="Times New Roman" w:hAnsi="Times New Roman" w:cs="Times New Roman"/>
          <w:sz w:val="24"/>
          <w:szCs w:val="24"/>
        </w:rPr>
        <w:t xml:space="preserve"> enable a level of insight akin to scholars during the time of the Companions.</w:t>
      </w:r>
      <w:r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Pr="00110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367327" w14:textId="17BD1693" w:rsidR="005A19CA" w:rsidRPr="001101A0" w:rsidRDefault="004F4753" w:rsidP="001101A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Shi’i Muslims </w:t>
      </w:r>
      <w:r w:rsidRPr="001101A0">
        <w:rPr>
          <w:rFonts w:ascii="Times New Roman" w:hAnsi="Times New Roman" w:cs="Times New Roman"/>
          <w:noProof/>
          <w:sz w:val="24"/>
          <w:szCs w:val="24"/>
          <w:lang w:eastAsia="zh-CN"/>
        </w:rPr>
        <w:t>maintained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101A0" w:rsidRPr="001101A0">
        <w:rPr>
          <w:rFonts w:ascii="Times New Roman" w:hAnsi="Times New Roman" w:cs="Times New Roman"/>
          <w:i/>
          <w:iCs/>
          <w:noProof/>
          <w:sz w:val="24"/>
          <w:szCs w:val="24"/>
          <w:lang w:eastAsia="zh-CN"/>
        </w:rPr>
        <w:t>ijtihād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to a large degree</w:t>
      </w:r>
      <w:r w:rsidR="0007602E"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throughout their history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. Responsibility for 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ijtihād</w:t>
      </w:r>
      <w:r w:rsidR="001101A0" w:rsidRPr="001101A0">
        <w:rPr>
          <w:rFonts w:ascii="Times New Roman" w:hAnsi="Times New Roman" w:cs="Times New Roman"/>
          <w:i/>
          <w:sz w:val="24"/>
          <w:szCs w:val="24"/>
          <w:lang w:eastAsia="zh-CN"/>
        </w:rPr>
        <w:t xml:space="preserve">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>lays ultimately with the hidden Imam</w:t>
      </w:r>
      <w:r w:rsidR="0007602E" w:rsidRPr="001101A0">
        <w:rPr>
          <w:rFonts w:ascii="Times New Roman" w:hAnsi="Times New Roman" w:cs="Times New Roman"/>
          <w:sz w:val="24"/>
          <w:szCs w:val="24"/>
          <w:lang w:eastAsia="zh-CN"/>
        </w:rPr>
        <w:t>,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with the </w:t>
      </w:r>
      <w:r w:rsidRPr="001101A0">
        <w:rPr>
          <w:rFonts w:ascii="Times New Roman" w:hAnsi="Times New Roman" w:cs="Times New Roman"/>
          <w:i/>
          <w:sz w:val="24"/>
          <w:szCs w:val="24"/>
          <w:lang w:eastAsia="zh-CN"/>
        </w:rPr>
        <w:t xml:space="preserve">mujtahid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>acting</w:t>
      </w:r>
      <w:r w:rsidRPr="001101A0">
        <w:rPr>
          <w:rFonts w:ascii="Times New Roman" w:hAnsi="Times New Roman" w:cs="Times New Roman"/>
          <w:i/>
          <w:sz w:val="24"/>
          <w:szCs w:val="24"/>
          <w:lang w:eastAsia="zh-CN"/>
        </w:rPr>
        <w:t xml:space="preserve">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as a de facto spokesperson for him. This link </w:t>
      </w:r>
      <w:r w:rsidR="0007602E"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with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end times theology means rulings made within the tradition tend to carry greater </w:t>
      </w:r>
      <w:r w:rsidR="00B331A5">
        <w:rPr>
          <w:rFonts w:ascii="Times New Roman" w:hAnsi="Times New Roman" w:cs="Times New Roman"/>
          <w:sz w:val="24"/>
          <w:szCs w:val="24"/>
          <w:lang w:eastAsia="zh-CN"/>
        </w:rPr>
        <w:t>authority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than those </w:t>
      </w:r>
      <w:r w:rsidRPr="001101A0">
        <w:rPr>
          <w:rFonts w:ascii="Times New Roman" w:hAnsi="Times New Roman" w:cs="Times New Roman"/>
          <w:noProof/>
          <w:sz w:val="24"/>
          <w:szCs w:val="24"/>
          <w:lang w:eastAsia="zh-CN"/>
        </w:rPr>
        <w:t>pro</w:t>
      </w:r>
      <w:r w:rsidR="00B331A5">
        <w:rPr>
          <w:rFonts w:ascii="Times New Roman" w:hAnsi="Times New Roman" w:cs="Times New Roman"/>
          <w:noProof/>
          <w:sz w:val="24"/>
          <w:szCs w:val="24"/>
          <w:lang w:eastAsia="zh-CN"/>
        </w:rPr>
        <w:t>posed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by Sunni </w:t>
      </w:r>
      <w:r w:rsidR="00B331A5">
        <w:rPr>
          <w:rFonts w:ascii="Times New Roman" w:hAnsi="Times New Roman" w:cs="Times New Roman"/>
          <w:sz w:val="24"/>
          <w:szCs w:val="24"/>
          <w:lang w:eastAsia="zh-CN"/>
        </w:rPr>
        <w:t>scholars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>.</w:t>
      </w:r>
      <w:bookmarkStart w:id="15" w:name="_GoBack"/>
      <w:bookmarkEnd w:id="15"/>
      <w:r w:rsidRPr="001101A0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footnoteReference w:id="14"/>
      </w:r>
    </w:p>
    <w:p w14:paraId="70B16FD2" w14:textId="77777777" w:rsidR="00837B24" w:rsidRDefault="00837B24">
      <w:pPr>
        <w:rPr>
          <w:rFonts w:ascii="Times Dot" w:hAnsi="Times Dot" w:cs="Calibri"/>
          <w:b/>
          <w:bCs/>
          <w:sz w:val="28"/>
          <w:szCs w:val="28"/>
        </w:rPr>
      </w:pPr>
      <w:r>
        <w:rPr>
          <w:rFonts w:ascii="Times Dot" w:hAnsi="Times Dot" w:cs="Calibri"/>
          <w:b/>
          <w:bCs/>
          <w:sz w:val="28"/>
          <w:szCs w:val="28"/>
        </w:rPr>
        <w:br w:type="page"/>
      </w:r>
    </w:p>
    <w:p w14:paraId="1A186508" w14:textId="144297DF" w:rsidR="00837B24" w:rsidRPr="00837B24" w:rsidRDefault="00837B24" w:rsidP="00837B24">
      <w:pPr>
        <w:rPr>
          <w:rFonts w:ascii="Times Dot" w:hAnsi="Times Dot" w:cs="Calibri"/>
          <w:b/>
          <w:bCs/>
          <w:sz w:val="28"/>
          <w:szCs w:val="28"/>
        </w:rPr>
      </w:pPr>
      <w:r>
        <w:rPr>
          <w:rFonts w:ascii="Times Dot" w:hAnsi="Times Dot" w:cs="Calibri"/>
          <w:b/>
          <w:bCs/>
          <w:sz w:val="28"/>
          <w:szCs w:val="28"/>
        </w:rPr>
        <w:lastRenderedPageBreak/>
        <w:t>Bibliography</w:t>
      </w:r>
    </w:p>
    <w:p w14:paraId="5E75129F" w14:textId="77777777" w:rsid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 xml:space="preserve">Averroes., Imran Ahsan Khan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Nyazee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>, and Mohammed A Rauf.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Distinguished Jurist's Primer</w:t>
      </w:r>
      <w:r w:rsidRPr="00837B24">
        <w:rPr>
          <w:rFonts w:ascii="Times New Roman" w:hAnsi="Times New Roman" w:cs="Times New Roman"/>
          <w:bCs/>
          <w:sz w:val="24"/>
          <w:szCs w:val="24"/>
        </w:rPr>
        <w:t>. Reading: Garnet, 2006.</w:t>
      </w:r>
    </w:p>
    <w:p w14:paraId="592CC5F9" w14:textId="4C58441D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Brown, Jonathan.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Hadith</w:t>
      </w:r>
      <w:r w:rsidRPr="00837B24">
        <w:rPr>
          <w:rFonts w:ascii="Times New Roman" w:hAnsi="Times New Roman" w:cs="Times New Roman"/>
          <w:bCs/>
          <w:sz w:val="24"/>
          <w:szCs w:val="24"/>
        </w:rPr>
        <w:t>. Oneworld Publications, 2009.</w:t>
      </w:r>
    </w:p>
    <w:p w14:paraId="25B3BD05" w14:textId="7139EB04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 xml:space="preserve">Daftary, Farhad, and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Gurdofarid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Miskinzoda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>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Study Of </w:t>
      </w:r>
      <w:proofErr w:type="spellStart"/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Shii</w:t>
      </w:r>
      <w:proofErr w:type="spellEnd"/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Islam</w:t>
      </w:r>
      <w:r w:rsidRPr="00837B24">
        <w:rPr>
          <w:rFonts w:ascii="Times New Roman" w:hAnsi="Times New Roman" w:cs="Times New Roman"/>
          <w:bCs/>
          <w:sz w:val="24"/>
          <w:szCs w:val="24"/>
        </w:rPr>
        <w:t>. London: Tauris, 2014.</w:t>
      </w:r>
    </w:p>
    <w:p w14:paraId="7B67414E" w14:textId="598D84C4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Esposito, John L.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Oxford History Of Islam</w:t>
      </w:r>
      <w:r w:rsidRPr="00837B24">
        <w:rPr>
          <w:rFonts w:ascii="Times New Roman" w:hAnsi="Times New Roman" w:cs="Times New Roman"/>
          <w:bCs/>
          <w:sz w:val="24"/>
          <w:szCs w:val="24"/>
        </w:rPr>
        <w:t>. New York: Oxford University, 1999.</w:t>
      </w:r>
      <w:r w:rsidR="00552AC8">
        <w:rPr>
          <w:rFonts w:ascii="Times New Roman" w:hAnsi="Times New Roman" w:cs="Times New Roman"/>
          <w:bCs/>
          <w:sz w:val="24"/>
          <w:szCs w:val="24"/>
        </w:rPr>
        <w:br/>
      </w:r>
    </w:p>
    <w:p w14:paraId="25A8EC60" w14:textId="5C80F03F" w:rsidR="00552AC8" w:rsidRDefault="00552AC8" w:rsidP="00837B24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1D008F">
        <w:rPr>
          <w:rFonts w:ascii="Times New Roman" w:hAnsi="Times New Roman" w:cs="Times New Roman"/>
          <w:sz w:val="24"/>
          <w:szCs w:val="24"/>
        </w:rPr>
        <w:t>Glasse</w:t>
      </w:r>
      <w:proofErr w:type="spellEnd"/>
      <w:r w:rsidRPr="001D008F">
        <w:rPr>
          <w:rFonts w:ascii="Times New Roman" w:hAnsi="Times New Roman" w:cs="Times New Roman"/>
          <w:sz w:val="24"/>
          <w:szCs w:val="24"/>
        </w:rPr>
        <w:t>́, Cyril. </w:t>
      </w:r>
      <w:r w:rsidRPr="001D008F">
        <w:rPr>
          <w:rFonts w:ascii="Times New Roman" w:hAnsi="Times New Roman" w:cs="Times New Roman"/>
          <w:i/>
          <w:iCs/>
          <w:sz w:val="24"/>
          <w:szCs w:val="24"/>
        </w:rPr>
        <w:t>The Concise Encyclopaedia Of Islam</w:t>
      </w:r>
      <w:r w:rsidRPr="001D008F">
        <w:rPr>
          <w:rFonts w:ascii="Times New Roman" w:hAnsi="Times New Roman" w:cs="Times New Roman"/>
          <w:sz w:val="24"/>
          <w:szCs w:val="24"/>
        </w:rPr>
        <w:t>. London: Stacey International, 2008.</w:t>
      </w:r>
    </w:p>
    <w:p w14:paraId="43413B08" w14:textId="0C1F3E62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Kamali, Mohammad Hashim.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Shariah Law</w:t>
      </w:r>
      <w:r w:rsidRPr="00837B24">
        <w:rPr>
          <w:rFonts w:ascii="Times New Roman" w:hAnsi="Times New Roman" w:cs="Times New Roman"/>
          <w:bCs/>
          <w:sz w:val="24"/>
          <w:szCs w:val="24"/>
        </w:rPr>
        <w:t>. Oneworld Publications, 2017.</w:t>
      </w:r>
    </w:p>
    <w:p w14:paraId="388278C0" w14:textId="75E5280B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Keshavjee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>, Mohamed M.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Islam, Shari'a And Alternative Dispute Resolution</w:t>
      </w:r>
      <w:r w:rsidRPr="00837B24">
        <w:rPr>
          <w:rFonts w:ascii="Times New Roman" w:hAnsi="Times New Roman" w:cs="Times New Roman"/>
          <w:bCs/>
          <w:sz w:val="24"/>
          <w:szCs w:val="24"/>
        </w:rPr>
        <w:t>. London: I.B. Tauris, 2004.</w:t>
      </w:r>
    </w:p>
    <w:p w14:paraId="005F253C" w14:textId="733E2C19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Schacht, Joseph.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An Introduction To Islamic Law</w:t>
      </w:r>
      <w:r w:rsidRPr="00837B24">
        <w:rPr>
          <w:rFonts w:ascii="Times New Roman" w:hAnsi="Times New Roman" w:cs="Times New Roman"/>
          <w:bCs/>
          <w:sz w:val="24"/>
          <w:szCs w:val="24"/>
        </w:rPr>
        <w:t>. Oxford [Oxfordshire]: Clarendon Press, 2012.</w:t>
      </w:r>
    </w:p>
    <w:p w14:paraId="5D242D36" w14:textId="332EAFE5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Sell, Edward.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Faith Of Islam</w:t>
      </w:r>
      <w:r w:rsidRPr="00837B24">
        <w:rPr>
          <w:rFonts w:ascii="Times New Roman" w:hAnsi="Times New Roman" w:cs="Times New Roman"/>
          <w:bCs/>
          <w:sz w:val="24"/>
          <w:szCs w:val="24"/>
        </w:rPr>
        <w:t>. Simplicissimus, 2017.</w:t>
      </w:r>
    </w:p>
    <w:p w14:paraId="4FE75639" w14:textId="52756B0C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Vogt, Kari, and Lena Larsen.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New Directions In Islamic Thought: Exploring Reform And Muslim Tradition</w:t>
      </w:r>
      <w:r w:rsidRPr="00837B24">
        <w:rPr>
          <w:rFonts w:ascii="Times New Roman" w:hAnsi="Times New Roman" w:cs="Times New Roman"/>
          <w:bCs/>
          <w:sz w:val="24"/>
          <w:szCs w:val="24"/>
        </w:rPr>
        <w:t xml:space="preserve">. London: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I.</w:t>
      </w:r>
      <w:proofErr w:type="gramStart"/>
      <w:r w:rsidRPr="00837B24">
        <w:rPr>
          <w:rFonts w:ascii="Times New Roman" w:hAnsi="Times New Roman" w:cs="Times New Roman"/>
          <w:bCs/>
          <w:sz w:val="24"/>
          <w:szCs w:val="24"/>
        </w:rPr>
        <w:t>B.Tauris</w:t>
      </w:r>
      <w:proofErr w:type="spellEnd"/>
      <w:proofErr w:type="gramEnd"/>
      <w:r w:rsidRPr="00837B24">
        <w:rPr>
          <w:rFonts w:ascii="Times New Roman" w:hAnsi="Times New Roman" w:cs="Times New Roman"/>
          <w:bCs/>
          <w:sz w:val="24"/>
          <w:szCs w:val="24"/>
        </w:rPr>
        <w:t>, 2011.</w:t>
      </w:r>
    </w:p>
    <w:p w14:paraId="78E39641" w14:textId="34757EAE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Winter, Timothy.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Cambridge Companion To Classical Islamic Theology</w:t>
      </w:r>
      <w:r w:rsidRPr="00837B24">
        <w:rPr>
          <w:rFonts w:ascii="Times New Roman" w:hAnsi="Times New Roman" w:cs="Times New Roman"/>
          <w:bCs/>
          <w:sz w:val="24"/>
          <w:szCs w:val="24"/>
        </w:rPr>
        <w:t>. Cambridge: Cambridge University Press, 2014.</w:t>
      </w:r>
    </w:p>
    <w:p w14:paraId="62D3616C" w14:textId="3042046A" w:rsidR="005A19CA" w:rsidRPr="00837B24" w:rsidRDefault="00837B24" w:rsidP="00837B24">
      <w:pPr>
        <w:rPr>
          <w:rFonts w:ascii="Times Dot" w:eastAsia="Times New Roman" w:hAnsi="Times Dot" w:cs="Calibri"/>
          <w:b/>
          <w:bCs/>
          <w:sz w:val="28"/>
          <w:szCs w:val="28"/>
          <w:lang w:eastAsia="en-GB"/>
        </w:rPr>
      </w:pPr>
      <w:r w:rsidRPr="00837B24">
        <w:rPr>
          <w:rFonts w:ascii="Times Dot" w:hAnsi="Times Dot" w:cs="Calibri"/>
          <w:b/>
          <w:bCs/>
          <w:sz w:val="28"/>
          <w:szCs w:val="28"/>
        </w:rPr>
        <w:t xml:space="preserve"> </w:t>
      </w:r>
    </w:p>
    <w:sectPr w:rsidR="005A19CA" w:rsidRPr="00837B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E51BCA" w14:textId="77777777" w:rsidR="00DD2310" w:rsidRDefault="00DD2310" w:rsidP="00BF43F0">
      <w:pPr>
        <w:spacing w:after="0" w:line="240" w:lineRule="auto"/>
      </w:pPr>
      <w:r>
        <w:separator/>
      </w:r>
    </w:p>
  </w:endnote>
  <w:endnote w:type="continuationSeparator" w:id="0">
    <w:p w14:paraId="67CA72DB" w14:textId="77777777" w:rsidR="00DD2310" w:rsidRDefault="00DD2310" w:rsidP="00BF43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D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4465F0" w14:textId="77777777" w:rsidR="00DD2310" w:rsidRDefault="00DD2310" w:rsidP="00BF43F0">
      <w:pPr>
        <w:spacing w:after="0" w:line="240" w:lineRule="auto"/>
      </w:pPr>
      <w:r>
        <w:separator/>
      </w:r>
    </w:p>
  </w:footnote>
  <w:footnote w:type="continuationSeparator" w:id="0">
    <w:p w14:paraId="2C83B0A5" w14:textId="77777777" w:rsidR="00DD2310" w:rsidRDefault="00DD2310" w:rsidP="00BF43F0">
      <w:pPr>
        <w:spacing w:after="0" w:line="240" w:lineRule="auto"/>
      </w:pPr>
      <w:r>
        <w:continuationSeparator/>
      </w:r>
    </w:p>
  </w:footnote>
  <w:footnote w:id="1">
    <w:p w14:paraId="65F2F324" w14:textId="5B9A4007" w:rsidR="00BF43F0" w:rsidRDefault="00BF43F0" w:rsidP="00BF43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77CA0">
        <w:t>Mohammad Hashim Kamali, </w:t>
      </w:r>
      <w:r w:rsidRPr="00F77CA0">
        <w:rPr>
          <w:i/>
          <w:iCs/>
        </w:rPr>
        <w:t>Shariah Law</w:t>
      </w:r>
      <w:r>
        <w:t> (Oneworld Publications, 2017), 21.</w:t>
      </w:r>
    </w:p>
  </w:footnote>
  <w:footnote w:id="2">
    <w:p w14:paraId="3466A52A" w14:textId="479728C8" w:rsidR="00BF43F0" w:rsidRDefault="00BF43F0" w:rsidP="00BF43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6169">
        <w:t>Ibn Rushd, </w:t>
      </w:r>
      <w:r w:rsidRPr="00AC6169">
        <w:rPr>
          <w:i/>
          <w:iCs/>
        </w:rPr>
        <w:t>The Distinguished Jurist's Primer</w:t>
      </w:r>
      <w:r>
        <w:t> (Reading: Garnet, 1999), 584.</w:t>
      </w:r>
    </w:p>
  </w:footnote>
  <w:footnote w:id="3">
    <w:p w14:paraId="60DB041D" w14:textId="0D044B23" w:rsidR="00BF43F0" w:rsidRDefault="00BF43F0" w:rsidP="00BF43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6169">
        <w:t>Kari Vogt, Lena Larsen and Christian Moe, </w:t>
      </w:r>
      <w:r w:rsidRPr="00AC6169">
        <w:rPr>
          <w:i/>
          <w:iCs/>
        </w:rPr>
        <w:t>New Directions in Islamic Thought</w:t>
      </w:r>
      <w:r>
        <w:t> (London: I.B. Tauris, 2011), 19-20.</w:t>
      </w:r>
    </w:p>
  </w:footnote>
  <w:footnote w:id="4">
    <w:p w14:paraId="4D39ADCB" w14:textId="78C34651" w:rsidR="005A19CA" w:rsidRPr="003C5490" w:rsidRDefault="005A19CA" w:rsidP="005A19CA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Pr="003C5490">
        <w:t>Abdul</w:t>
      </w:r>
      <w:r>
        <w:t xml:space="preserve"> Wahid H</w:t>
      </w:r>
      <w:r w:rsidRPr="003C5490">
        <w:t>a</w:t>
      </w:r>
      <w:r>
        <w:t xml:space="preserve">mid. </w:t>
      </w:r>
      <w:r w:rsidRPr="003C5490">
        <w:rPr>
          <w:i/>
        </w:rPr>
        <w:t>Companions of the Prophet</w:t>
      </w:r>
      <w:r>
        <w:t>, vol. 1</w:t>
      </w:r>
      <w:r w:rsidRPr="003C5490">
        <w:t>.</w:t>
      </w:r>
      <w:r>
        <w:t xml:space="preserve"> </w:t>
      </w:r>
      <w:r w:rsidRPr="007D61CA">
        <w:rPr>
          <w:i/>
        </w:rPr>
        <w:t>in Islam, Sharia and Alternative dispute resolution</w:t>
      </w:r>
      <w:r>
        <w:t xml:space="preserve"> (Taurus, 2004), 65-66.</w:t>
      </w:r>
      <w:r w:rsidRPr="003C5490">
        <w:t xml:space="preserve"> </w:t>
      </w:r>
    </w:p>
  </w:footnote>
  <w:footnote w:id="5">
    <w:p w14:paraId="38CD15BF" w14:textId="766D9200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3" w:name="_Hlk497741749"/>
      <w:r w:rsidRPr="00A2793C">
        <w:t>John L Esposito, </w:t>
      </w:r>
      <w:r>
        <w:rPr>
          <w:i/>
          <w:iCs/>
        </w:rPr>
        <w:t>The Oxford History o</w:t>
      </w:r>
      <w:r w:rsidRPr="00A2793C">
        <w:rPr>
          <w:i/>
          <w:iCs/>
        </w:rPr>
        <w:t>f Islam</w:t>
      </w:r>
      <w:r w:rsidRPr="00A2793C">
        <w:t> (Oxford, U.K.:</w:t>
      </w:r>
      <w:r>
        <w:t xml:space="preserve"> Oxford University Press, 1999), </w:t>
      </w:r>
      <w:bookmarkEnd w:id="13"/>
      <w:r>
        <w:t>92.</w:t>
      </w:r>
    </w:p>
  </w:footnote>
  <w:footnote w:id="6">
    <w:p w14:paraId="2EC8016D" w14:textId="6486FE83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Esposito, </w:t>
      </w:r>
      <w:r w:rsidRPr="005711BD">
        <w:rPr>
          <w:i/>
        </w:rPr>
        <w:t>Oxford History of Islam</w:t>
      </w:r>
      <w:r>
        <w:t>, 111.</w:t>
      </w:r>
    </w:p>
  </w:footnote>
  <w:footnote w:id="7">
    <w:p w14:paraId="49EB7F8C" w14:textId="29DED2D0" w:rsidR="005A19CA" w:rsidRDefault="005A19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6169">
        <w:t>Edward Sell, </w:t>
      </w:r>
      <w:r w:rsidRPr="00AC6169">
        <w:rPr>
          <w:i/>
          <w:iCs/>
        </w:rPr>
        <w:t>The Faith of Islam</w:t>
      </w:r>
      <w:r w:rsidRPr="00AC6169">
        <w:t>, 1st ed</w:t>
      </w:r>
      <w:r>
        <w:t>. (Italy: Simplicissimus, 2017), 34.</w:t>
      </w:r>
    </w:p>
  </w:footnote>
  <w:footnote w:id="8">
    <w:p w14:paraId="6A890C9A" w14:textId="644A4CA1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793C">
        <w:t>Tim Winter, </w:t>
      </w:r>
      <w:r>
        <w:rPr>
          <w:i/>
          <w:iCs/>
        </w:rPr>
        <w:t>The Cambridge Companion t</w:t>
      </w:r>
      <w:r w:rsidRPr="00A2793C">
        <w:rPr>
          <w:i/>
          <w:iCs/>
        </w:rPr>
        <w:t>o Classical Islamic Theology</w:t>
      </w:r>
      <w:r w:rsidRPr="00A2793C">
        <w:t> (Cambridge: Cambridge University Pr</w:t>
      </w:r>
      <w:r>
        <w:t>ess, 2014),241.</w:t>
      </w:r>
    </w:p>
  </w:footnote>
  <w:footnote w:id="9">
    <w:p w14:paraId="26B55B9E" w14:textId="77777777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Ibid 241-242.</w:t>
      </w:r>
    </w:p>
  </w:footnote>
  <w:footnote w:id="10">
    <w:p w14:paraId="168896EA" w14:textId="77777777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Ibid. 71.</w:t>
      </w:r>
    </w:p>
  </w:footnote>
  <w:footnote w:id="11">
    <w:p w14:paraId="111252AC" w14:textId="77777777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793C">
        <w:t>Schacht, </w:t>
      </w:r>
      <w:r>
        <w:rPr>
          <w:i/>
          <w:iCs/>
        </w:rPr>
        <w:t>An Introduction t</w:t>
      </w:r>
      <w:r w:rsidRPr="00A2793C">
        <w:rPr>
          <w:i/>
          <w:iCs/>
        </w:rPr>
        <w:t>o Islamic Law</w:t>
      </w:r>
      <w:r>
        <w:t>, 71.</w:t>
      </w:r>
    </w:p>
  </w:footnote>
  <w:footnote w:id="12">
    <w:p w14:paraId="06FA44CA" w14:textId="116A98E1" w:rsidR="004F4753" w:rsidRDefault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793C">
        <w:t>Tim Winter, </w:t>
      </w:r>
      <w:r>
        <w:rPr>
          <w:i/>
          <w:iCs/>
        </w:rPr>
        <w:t>The Cambridge Companion t</w:t>
      </w:r>
      <w:r w:rsidRPr="00A2793C">
        <w:rPr>
          <w:i/>
          <w:iCs/>
        </w:rPr>
        <w:t>o Classical Islamic Theology</w:t>
      </w:r>
      <w:r w:rsidRPr="00A2793C">
        <w:t> (Cambridge: Ca</w:t>
      </w:r>
      <w:r>
        <w:t>mbridge University Press, 2014), 244.</w:t>
      </w:r>
    </w:p>
  </w:footnote>
  <w:footnote w:id="13">
    <w:p w14:paraId="4A2DA49E" w14:textId="6BEE7F3C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273C" w:rsidRPr="005E273C">
        <w:t>Jonathan Brown, </w:t>
      </w:r>
      <w:r w:rsidR="005E273C" w:rsidRPr="005E273C">
        <w:rPr>
          <w:i/>
          <w:iCs/>
        </w:rPr>
        <w:t>Hadith</w:t>
      </w:r>
      <w:r w:rsidR="005E273C" w:rsidRPr="005E273C">
        <w:t> (Oneworld Publications, 2009)</w:t>
      </w:r>
      <w:r>
        <w:t>, 258.</w:t>
      </w:r>
    </w:p>
  </w:footnote>
  <w:footnote w:id="14">
    <w:p w14:paraId="541113D2" w14:textId="2586A91D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A73F1">
        <w:t>Farhad Daftary, </w:t>
      </w:r>
      <w:r w:rsidRPr="00CA73F1">
        <w:rPr>
          <w:i/>
          <w:iCs/>
        </w:rPr>
        <w:t>Study of Shi'i Islam, The</w:t>
      </w:r>
      <w:r>
        <w:t> (London: I.B. Tauris, 2014), 384.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MzAztDAwNbEwNjWzMDVW0lEKTi0uzszPAymwqAUAupSoHiwAAAA="/>
  </w:docVars>
  <w:rsids>
    <w:rsidRoot w:val="00BF43F0"/>
    <w:rsid w:val="0002799D"/>
    <w:rsid w:val="0007602E"/>
    <w:rsid w:val="000D0263"/>
    <w:rsid w:val="001033D0"/>
    <w:rsid w:val="001101A0"/>
    <w:rsid w:val="002A32F1"/>
    <w:rsid w:val="004F4753"/>
    <w:rsid w:val="00552AC8"/>
    <w:rsid w:val="005A19CA"/>
    <w:rsid w:val="005D07CD"/>
    <w:rsid w:val="005E273C"/>
    <w:rsid w:val="005F6E60"/>
    <w:rsid w:val="00683CFB"/>
    <w:rsid w:val="006D7CE3"/>
    <w:rsid w:val="006E3515"/>
    <w:rsid w:val="006E6D3E"/>
    <w:rsid w:val="0077318F"/>
    <w:rsid w:val="007E1FF9"/>
    <w:rsid w:val="007F200E"/>
    <w:rsid w:val="00837B24"/>
    <w:rsid w:val="0097350A"/>
    <w:rsid w:val="009C13CE"/>
    <w:rsid w:val="00A70E12"/>
    <w:rsid w:val="00AD36B9"/>
    <w:rsid w:val="00B331A5"/>
    <w:rsid w:val="00B44961"/>
    <w:rsid w:val="00BF43F0"/>
    <w:rsid w:val="00D702FE"/>
    <w:rsid w:val="00D85570"/>
    <w:rsid w:val="00DA0798"/>
    <w:rsid w:val="00DD2310"/>
    <w:rsid w:val="00E07263"/>
    <w:rsid w:val="00E52E92"/>
    <w:rsid w:val="00F54637"/>
    <w:rsid w:val="00FD6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E67B7"/>
  <w15:chartTrackingRefBased/>
  <w15:docId w15:val="{FD0DFA9F-0860-4BD5-B2B7-9B154AD99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BF43F0"/>
    <w:pPr>
      <w:spacing w:after="0" w:line="240" w:lineRule="auto"/>
    </w:pPr>
    <w:rPr>
      <w:rFonts w:ascii="Calibri" w:eastAsia="Calibri" w:hAnsi="Calibri" w:cs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F43F0"/>
    <w:rPr>
      <w:rFonts w:ascii="Calibri" w:eastAsia="Calibri" w:hAnsi="Calibri" w:cs="Times New Roman"/>
      <w:sz w:val="20"/>
      <w:szCs w:val="20"/>
    </w:rPr>
  </w:style>
  <w:style w:type="character" w:styleId="FootnoteReference">
    <w:name w:val="footnote reference"/>
    <w:uiPriority w:val="99"/>
    <w:unhideWhenUsed/>
    <w:rsid w:val="00BF43F0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5A19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01A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01A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48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DC1576-6963-4EA7-9E35-13981EB302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5</Pages>
  <Words>756</Words>
  <Characters>4312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Johnson</dc:creator>
  <cp:keywords/>
  <dc:description/>
  <cp:lastModifiedBy>Daniel Johnson</cp:lastModifiedBy>
  <cp:revision>23</cp:revision>
  <cp:lastPrinted>2018-01-24T00:01:00Z</cp:lastPrinted>
  <dcterms:created xsi:type="dcterms:W3CDTF">2018-01-16T00:40:00Z</dcterms:created>
  <dcterms:modified xsi:type="dcterms:W3CDTF">2018-01-24T16:58:00Z</dcterms:modified>
</cp:coreProperties>
</file>