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ore0.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metadata/core-properties" Target="docProps/core0.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20074798" w14:textId="77777777" w:rsidR="00A07343" w:rsidRPr="00A07343" w:rsidRDefault="00A07343" w:rsidP="00A07343">
      <w:pPr>
        <w:pStyle w:val="NoSpacing"/>
        <w:spacing w:line="360" w:lineRule="auto"/>
        <w:rPr>
          <w:rFonts w:ascii="Times New Roman" w:hAnsi="Times New Roman" w:cs="Times New Roman"/>
          <w:sz w:val="2"/>
        </w:rPr>
      </w:pPr>
    </w:p>
    <w:p w14:paraId="5252567A" w14:textId="77777777" w:rsidR="00A07343" w:rsidRPr="00A07343" w:rsidRDefault="00A07343" w:rsidP="00A07343">
      <w:pPr>
        <w:spacing w:line="360" w:lineRule="auto"/>
        <w:jc w:val="center"/>
        <w:rPr>
          <w:b/>
        </w:rPr>
      </w:pPr>
    </w:p>
    <w:p w14:paraId="3BCC725E" w14:textId="77777777" w:rsidR="00A07343" w:rsidRPr="00A07343" w:rsidRDefault="00A07343" w:rsidP="00A07343">
      <w:pPr>
        <w:spacing w:line="360" w:lineRule="auto"/>
        <w:jc w:val="center"/>
        <w:rPr>
          <w:b/>
        </w:rPr>
      </w:pPr>
    </w:p>
    <w:p w14:paraId="2D4C5724" w14:textId="77777777" w:rsidR="00A07343" w:rsidRPr="00A07343" w:rsidRDefault="00A07343" w:rsidP="00A07343">
      <w:pPr>
        <w:spacing w:line="360" w:lineRule="auto"/>
        <w:jc w:val="center"/>
        <w:rPr>
          <w:b/>
        </w:rPr>
      </w:pPr>
      <w:r w:rsidRPr="00A07343">
        <w:rPr>
          <w:b/>
          <w:noProof/>
        </w:rPr>
        <w:drawing>
          <wp:anchor distT="0" distB="0" distL="114300" distR="114300" simplePos="0" relativeHeight="251659264" behindDoc="0" locked="0" layoutInCell="1" allowOverlap="1" wp14:anchorId="1DB793B6" wp14:editId="58FAC191">
            <wp:simplePos x="2293620" y="1664970"/>
            <wp:positionH relativeFrom="margin">
              <wp:align>center</wp:align>
            </wp:positionH>
            <wp:positionV relativeFrom="margin">
              <wp:align>top</wp:align>
            </wp:positionV>
            <wp:extent cx="2964180" cy="981273"/>
            <wp:effectExtent l="0" t="0" r="7620" b="9525"/>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Logo-1024x339.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2964180" cy="981273"/>
                    </a:xfrm>
                    <a:prstGeom prst="rect">
                      <a:avLst/>
                    </a:prstGeom>
                  </pic:spPr>
                </pic:pic>
              </a:graphicData>
            </a:graphic>
          </wp:anchor>
        </w:drawing>
      </w:r>
    </w:p>
    <w:p w14:paraId="64B7D57F" w14:textId="77777777" w:rsidR="00A07343" w:rsidRPr="00A07343" w:rsidRDefault="00A07343" w:rsidP="00A07343">
      <w:pPr>
        <w:spacing w:line="276" w:lineRule="auto"/>
        <w:jc w:val="center"/>
        <w:rPr>
          <w:b/>
        </w:rPr>
      </w:pPr>
    </w:p>
    <w:p w14:paraId="7B8645AB" w14:textId="77777777" w:rsidR="00A07343" w:rsidRPr="00A07343" w:rsidRDefault="00A07343" w:rsidP="00A07343">
      <w:pPr>
        <w:spacing w:line="276" w:lineRule="auto"/>
        <w:jc w:val="center"/>
        <w:rPr>
          <w:b/>
        </w:rPr>
      </w:pPr>
    </w:p>
    <w:p w14:paraId="387C7C53" w14:textId="77777777" w:rsidR="00A07343" w:rsidRPr="00A07343" w:rsidRDefault="00A07343" w:rsidP="00A07343">
      <w:pPr>
        <w:spacing w:line="276" w:lineRule="auto"/>
        <w:jc w:val="center"/>
        <w:rPr>
          <w:b/>
        </w:rPr>
      </w:pPr>
    </w:p>
    <w:p w14:paraId="08C78DC9" w14:textId="77777777" w:rsidR="00A07343" w:rsidRPr="00A07343" w:rsidRDefault="00A07343" w:rsidP="00A07343">
      <w:pPr>
        <w:spacing w:line="360" w:lineRule="auto"/>
        <w:jc w:val="center"/>
        <w:rPr>
          <w:b/>
        </w:rPr>
      </w:pPr>
    </w:p>
    <w:p w14:paraId="692BBDD6" w14:textId="4A1FC72C" w:rsidR="00A07343" w:rsidRPr="00A07343" w:rsidRDefault="00A07343" w:rsidP="00A07343">
      <w:pPr>
        <w:spacing w:line="360" w:lineRule="auto"/>
        <w:jc w:val="center"/>
        <w:rPr>
          <w:b/>
        </w:rPr>
      </w:pPr>
      <w:r w:rsidRPr="00A07343">
        <w:rPr>
          <w:b/>
        </w:rPr>
        <w:t>MASTERS OF BUSINESS ADMINISTRATION (MBA)</w:t>
      </w:r>
    </w:p>
    <w:p w14:paraId="4028AC90" w14:textId="5E1FDFD6" w:rsidR="00A07343" w:rsidRPr="00A07343" w:rsidRDefault="00A07343" w:rsidP="00A07343">
      <w:pPr>
        <w:spacing w:line="360" w:lineRule="auto"/>
        <w:jc w:val="center"/>
        <w:rPr>
          <w:b/>
          <w:sz w:val="44"/>
        </w:rPr>
      </w:pPr>
      <w:r w:rsidRPr="00A07343">
        <w:rPr>
          <w:b/>
          <w:sz w:val="44"/>
        </w:rPr>
        <w:t xml:space="preserve">HUMAN CAPITAL MANAGEMENT </w:t>
      </w:r>
    </w:p>
    <w:p w14:paraId="4E1E9960" w14:textId="5C8585F8" w:rsidR="00A07343" w:rsidRPr="00A07343" w:rsidRDefault="00A07343" w:rsidP="00A07343">
      <w:pPr>
        <w:spacing w:line="360" w:lineRule="auto"/>
        <w:jc w:val="center"/>
        <w:rPr>
          <w:b/>
        </w:rPr>
      </w:pPr>
      <w:r w:rsidRPr="00A07343">
        <w:rPr>
          <w:b/>
        </w:rPr>
        <w:t>MODULE CODE – LCMB7023</w:t>
      </w:r>
    </w:p>
    <w:p w14:paraId="06EEE187" w14:textId="7D3C1959" w:rsidR="00A07343" w:rsidRPr="00A07343" w:rsidRDefault="00A07343" w:rsidP="00A07343">
      <w:pPr>
        <w:spacing w:line="360" w:lineRule="auto"/>
        <w:jc w:val="center"/>
        <w:rPr>
          <w:b/>
        </w:rPr>
      </w:pPr>
      <w:r w:rsidRPr="00A07343">
        <w:rPr>
          <w:b/>
        </w:rPr>
        <w:t xml:space="preserve">LECTURER – GLADIUS KULOTHUGNGAN </w:t>
      </w:r>
    </w:p>
    <w:p w14:paraId="05A55C2E" w14:textId="10BD3F05" w:rsidR="00A07343" w:rsidRPr="00A07343" w:rsidRDefault="00A07343" w:rsidP="00A07343">
      <w:pPr>
        <w:spacing w:line="360" w:lineRule="auto"/>
        <w:jc w:val="center"/>
        <w:rPr>
          <w:b/>
        </w:rPr>
      </w:pPr>
      <w:r w:rsidRPr="00A07343">
        <w:rPr>
          <w:b/>
        </w:rPr>
        <w:t>AND ENOMAYCOCK</w:t>
      </w:r>
    </w:p>
    <w:p w14:paraId="47276820" w14:textId="44EA5B3B" w:rsidR="00A07343" w:rsidRPr="00A07343" w:rsidRDefault="00A07343" w:rsidP="00A07343">
      <w:pPr>
        <w:spacing w:line="480" w:lineRule="auto"/>
        <w:jc w:val="center"/>
        <w:rPr>
          <w:b/>
          <w:bCs/>
        </w:rPr>
      </w:pPr>
      <w:r w:rsidRPr="00A07343">
        <w:rPr>
          <w:b/>
        </w:rPr>
        <w:t xml:space="preserve">TITLE - </w:t>
      </w:r>
      <w:r w:rsidRPr="00A07343">
        <w:rPr>
          <w:b/>
          <w:bCs/>
          <w:sz w:val="22"/>
        </w:rPr>
        <w:t>DESIGNING A HUMAN CAPITAL ARCHITECTURE FOR STRATEGIC RENEWAL</w:t>
      </w:r>
    </w:p>
    <w:p w14:paraId="154EAFDE" w14:textId="7EE0423C" w:rsidR="00A07343" w:rsidRPr="00A07343" w:rsidRDefault="00A07343" w:rsidP="00A07343">
      <w:pPr>
        <w:spacing w:line="360" w:lineRule="auto"/>
        <w:jc w:val="center"/>
        <w:rPr>
          <w:b/>
        </w:rPr>
      </w:pPr>
      <w:r w:rsidRPr="00A07343">
        <w:rPr>
          <w:b/>
        </w:rPr>
        <w:t>INDIVIDUAL ASSIGNMENT REPORT</w:t>
      </w:r>
    </w:p>
    <w:p w14:paraId="06BD977E" w14:textId="77777777" w:rsidR="00A07343" w:rsidRPr="00A07343" w:rsidRDefault="00A07343" w:rsidP="00A07343">
      <w:pPr>
        <w:spacing w:line="360" w:lineRule="auto"/>
        <w:jc w:val="center"/>
        <w:rPr>
          <w:b/>
        </w:rPr>
      </w:pPr>
      <w:r w:rsidRPr="00A07343">
        <w:rPr>
          <w:b/>
        </w:rPr>
        <w:t>_____________________________________</w:t>
      </w:r>
      <w:r w:rsidRPr="00A07343">
        <w:rPr>
          <w:b/>
        </w:rPr>
        <w:br/>
      </w:r>
    </w:p>
    <w:p w14:paraId="326966F6" w14:textId="77777777" w:rsidR="00A07343" w:rsidRPr="00A07343" w:rsidRDefault="00A07343" w:rsidP="00A07343">
      <w:pPr>
        <w:spacing w:line="360" w:lineRule="auto"/>
        <w:jc w:val="center"/>
        <w:rPr>
          <w:b/>
        </w:rPr>
      </w:pPr>
      <w:r w:rsidRPr="00A07343">
        <w:rPr>
          <w:b/>
        </w:rPr>
        <w:t xml:space="preserve">SUBMITTED </w:t>
      </w:r>
    </w:p>
    <w:p w14:paraId="109FA8F6" w14:textId="77777777" w:rsidR="00A07343" w:rsidRPr="00A07343" w:rsidRDefault="00A07343" w:rsidP="00A07343">
      <w:pPr>
        <w:spacing w:line="360" w:lineRule="auto"/>
        <w:jc w:val="center"/>
        <w:rPr>
          <w:b/>
        </w:rPr>
      </w:pPr>
      <w:r w:rsidRPr="00A07343">
        <w:rPr>
          <w:b/>
        </w:rPr>
        <w:t xml:space="preserve">BY </w:t>
      </w:r>
    </w:p>
    <w:p w14:paraId="5821A4AE" w14:textId="100D15C4" w:rsidR="00A07343" w:rsidRPr="00A07343" w:rsidRDefault="004A1BC5" w:rsidP="00A07343">
      <w:pPr>
        <w:spacing w:line="360" w:lineRule="auto"/>
        <w:jc w:val="center"/>
        <w:rPr>
          <w:b/>
        </w:rPr>
      </w:pPr>
      <w:r>
        <w:rPr>
          <w:b/>
        </w:rPr>
        <w:t>Ishan A Kevadiya</w:t>
      </w:r>
      <w:r w:rsidR="00A07343" w:rsidRPr="00A07343">
        <w:rPr>
          <w:b/>
        </w:rPr>
        <w:br/>
        <w:t>STUDENT ID –</w:t>
      </w:r>
      <w:r>
        <w:rPr>
          <w:b/>
        </w:rPr>
        <w:t xml:space="preserve"> 2541464</w:t>
      </w:r>
    </w:p>
    <w:p w14:paraId="6B65EECC" w14:textId="77777777" w:rsidR="00A07343" w:rsidRPr="00A07343" w:rsidRDefault="00A07343">
      <w:pPr>
        <w:spacing w:line="480" w:lineRule="auto"/>
        <w:jc w:val="center"/>
        <w:rPr>
          <w:b/>
          <w:bCs/>
        </w:rPr>
      </w:pPr>
    </w:p>
    <w:p w14:paraId="21BCCD52" w14:textId="77777777" w:rsidR="00A07343" w:rsidRPr="00A07343" w:rsidRDefault="00A07343">
      <w:pPr>
        <w:spacing w:line="480" w:lineRule="auto"/>
        <w:jc w:val="center"/>
        <w:rPr>
          <w:b/>
          <w:bCs/>
        </w:rPr>
      </w:pPr>
    </w:p>
    <w:p w14:paraId="6EA48746" w14:textId="77777777" w:rsidR="00A07343" w:rsidRPr="00A07343" w:rsidRDefault="00A07343">
      <w:pPr>
        <w:spacing w:line="480" w:lineRule="auto"/>
        <w:jc w:val="center"/>
        <w:rPr>
          <w:b/>
          <w:bCs/>
        </w:rPr>
      </w:pPr>
    </w:p>
    <w:p w14:paraId="27740205" w14:textId="77777777" w:rsidR="00A07343" w:rsidRPr="00A07343" w:rsidRDefault="00A07343">
      <w:pPr>
        <w:spacing w:line="480" w:lineRule="auto"/>
        <w:jc w:val="center"/>
        <w:rPr>
          <w:b/>
          <w:bCs/>
        </w:rPr>
      </w:pPr>
    </w:p>
    <w:p w14:paraId="5FE50090" w14:textId="4984FE8D" w:rsidR="00D168CE" w:rsidRPr="00A07343" w:rsidRDefault="00D168CE">
      <w:pPr>
        <w:spacing w:line="480" w:lineRule="auto"/>
        <w:jc w:val="center"/>
        <w:rPr>
          <w:b/>
          <w:bCs/>
        </w:rPr>
      </w:pPr>
    </w:p>
    <w:p w14:paraId="6F53714C" w14:textId="77777777" w:rsidR="00D168CE" w:rsidRPr="00A07343" w:rsidRDefault="00D168CE">
      <w:pPr>
        <w:rPr>
          <w:rFonts w:eastAsiaTheme="majorEastAsia"/>
          <w:b/>
          <w:color w:val="000000" w:themeColor="text1"/>
        </w:rPr>
      </w:pPr>
    </w:p>
    <w:sdt>
      <w:sdtPr>
        <w:rPr>
          <w:rFonts w:ascii="Times New Roman" w:eastAsiaTheme="minorHAnsi" w:hAnsi="Times New Roman" w:cs="Times New Roman"/>
          <w:color w:val="auto"/>
          <w:kern w:val="2"/>
          <w:sz w:val="20"/>
          <w:szCs w:val="24"/>
          <w14:ligatures w14:val="standardContextual"/>
        </w:rPr>
        <w:id w:val="-560336920"/>
        <w:docPartObj>
          <w:docPartGallery w:val="Table of Contents"/>
          <w:docPartUnique/>
        </w:docPartObj>
      </w:sdtPr>
      <w:sdtEndPr>
        <w:rPr>
          <w:sz w:val="22"/>
        </w:rPr>
      </w:sdtEndPr>
      <w:sdtContent>
        <w:p w14:paraId="6F2E5A68" w14:textId="1F5AEA72" w:rsidR="00D168CE" w:rsidRPr="00A07343" w:rsidRDefault="00F55819">
          <w:pPr>
            <w:pStyle w:val="TOCHeading"/>
            <w:rPr>
              <w:rFonts w:ascii="Times New Roman" w:hAnsi="Times New Roman" w:cs="Times New Roman"/>
            </w:rPr>
          </w:pPr>
          <w:r w:rsidRPr="00A07343">
            <w:rPr>
              <w:rFonts w:ascii="Times New Roman" w:hAnsi="Times New Roman" w:cs="Times New Roman"/>
            </w:rPr>
            <w:br w:type="page"/>
          </w:r>
          <w:r w:rsidR="00A07343" w:rsidRPr="00A07343">
            <w:rPr>
              <w:rFonts w:ascii="Times New Roman" w:hAnsi="Times New Roman" w:cs="Times New Roman"/>
            </w:rPr>
            <w:lastRenderedPageBreak/>
            <w:t>TABLE OF CONTENTS</w:t>
          </w:r>
        </w:p>
        <w:p w14:paraId="2E0D91C5" w14:textId="148BD535" w:rsidR="00A07343" w:rsidRPr="00A07343" w:rsidRDefault="00F55819" w:rsidP="00A07343">
          <w:pPr>
            <w:pStyle w:val="TOC1"/>
            <w:tabs>
              <w:tab w:val="right" w:leader="dot" w:pos="9350"/>
            </w:tabs>
            <w:spacing w:line="276" w:lineRule="auto"/>
            <w:rPr>
              <w:rFonts w:ascii="Times New Roman" w:eastAsiaTheme="minorEastAsia" w:hAnsi="Times New Roman" w:cs="Times New Roman"/>
              <w:b w:val="0"/>
              <w:bCs w:val="0"/>
              <w:noProof/>
              <w:kern w:val="0"/>
              <w:sz w:val="24"/>
              <w:szCs w:val="22"/>
              <w14:ligatures w14:val="none"/>
            </w:rPr>
          </w:pPr>
          <w:r w:rsidRPr="00A07343">
            <w:fldChar w:fldCharType="begin"/>
          </w:r>
          <w:r w:rsidRPr="00A07343">
            <w:rPr>
              <w:rStyle w:val="IndexLink"/>
              <w:rFonts w:ascii="Times New Roman" w:hAnsi="Times New Roman" w:cs="Times New Roman"/>
              <w:webHidden/>
              <w:sz w:val="22"/>
            </w:rPr>
            <w:instrText xml:space="preserve"> TOC \z \o "1-3" \u \h</w:instrText>
          </w:r>
          <w:r w:rsidRPr="00A07343">
            <w:rPr>
              <w:rStyle w:val="IndexLink"/>
              <w:rFonts w:ascii="Times New Roman" w:hAnsi="Times New Roman" w:cs="Times New Roman"/>
              <w:sz w:val="22"/>
            </w:rPr>
            <w:fldChar w:fldCharType="separate"/>
          </w:r>
          <w:hyperlink w:anchor="_Toc232119779" w:history="1">
            <w:r w:rsidR="00A07343" w:rsidRPr="00A07343">
              <w:rPr>
                <w:rStyle w:val="Hyperlink"/>
                <w:rFonts w:ascii="Times New Roman" w:hAnsi="Times New Roman" w:cs="Times New Roman"/>
                <w:noProof/>
                <w:sz w:val="22"/>
              </w:rPr>
              <w:t>TASK A: Socialisation, Identity and Business Activism at Helios Urban Mobility</w:t>
            </w:r>
            <w:r w:rsidR="00A07343" w:rsidRPr="00A07343">
              <w:rPr>
                <w:rFonts w:ascii="Times New Roman" w:hAnsi="Times New Roman" w:cs="Times New Roman"/>
                <w:noProof/>
                <w:webHidden/>
                <w:sz w:val="22"/>
              </w:rPr>
              <w:tab/>
            </w:r>
            <w:r w:rsidR="00A07343" w:rsidRPr="00A07343">
              <w:rPr>
                <w:rFonts w:ascii="Times New Roman" w:hAnsi="Times New Roman" w:cs="Times New Roman"/>
                <w:noProof/>
                <w:webHidden/>
                <w:sz w:val="22"/>
              </w:rPr>
              <w:fldChar w:fldCharType="begin"/>
            </w:r>
            <w:r w:rsidR="00A07343" w:rsidRPr="00A07343">
              <w:rPr>
                <w:rFonts w:ascii="Times New Roman" w:hAnsi="Times New Roman" w:cs="Times New Roman"/>
                <w:noProof/>
                <w:webHidden/>
                <w:sz w:val="22"/>
              </w:rPr>
              <w:instrText xml:space="preserve"> PAGEREF _Toc232119779 \h </w:instrText>
            </w:r>
            <w:r w:rsidR="00A07343" w:rsidRPr="00A07343">
              <w:rPr>
                <w:rFonts w:ascii="Times New Roman" w:hAnsi="Times New Roman" w:cs="Times New Roman"/>
                <w:noProof/>
                <w:webHidden/>
                <w:sz w:val="22"/>
              </w:rPr>
            </w:r>
            <w:r w:rsidR="00A07343" w:rsidRPr="00A07343">
              <w:rPr>
                <w:rFonts w:ascii="Times New Roman" w:hAnsi="Times New Roman" w:cs="Times New Roman"/>
                <w:noProof/>
                <w:webHidden/>
                <w:sz w:val="22"/>
              </w:rPr>
              <w:fldChar w:fldCharType="separate"/>
            </w:r>
            <w:r w:rsidR="00A07343" w:rsidRPr="00A07343">
              <w:rPr>
                <w:rFonts w:ascii="Times New Roman" w:hAnsi="Times New Roman" w:cs="Times New Roman"/>
                <w:noProof/>
                <w:webHidden/>
                <w:sz w:val="22"/>
              </w:rPr>
              <w:t>3</w:t>
            </w:r>
            <w:r w:rsidR="00A07343" w:rsidRPr="00A07343">
              <w:rPr>
                <w:rFonts w:ascii="Times New Roman" w:hAnsi="Times New Roman" w:cs="Times New Roman"/>
                <w:noProof/>
                <w:webHidden/>
                <w:sz w:val="22"/>
              </w:rPr>
              <w:fldChar w:fldCharType="end"/>
            </w:r>
          </w:hyperlink>
        </w:p>
        <w:p w14:paraId="599E06A2" w14:textId="4B33E6CB" w:rsidR="00A07343" w:rsidRPr="00A07343" w:rsidRDefault="00A07343" w:rsidP="00A07343">
          <w:pPr>
            <w:pStyle w:val="TOC2"/>
            <w:tabs>
              <w:tab w:val="right" w:leader="dot" w:pos="9350"/>
            </w:tabs>
            <w:spacing w:line="276" w:lineRule="auto"/>
            <w:rPr>
              <w:rFonts w:ascii="Times New Roman" w:eastAsiaTheme="minorEastAsia" w:hAnsi="Times New Roman" w:cs="Times New Roman"/>
              <w:i w:val="0"/>
              <w:iCs w:val="0"/>
              <w:noProof/>
              <w:kern w:val="0"/>
              <w:sz w:val="24"/>
              <w:szCs w:val="22"/>
              <w14:ligatures w14:val="none"/>
            </w:rPr>
          </w:pPr>
          <w:hyperlink w:anchor="_Toc232119780" w:history="1">
            <w:r w:rsidRPr="00A07343">
              <w:rPr>
                <w:rStyle w:val="Hyperlink"/>
                <w:rFonts w:ascii="Times New Roman" w:hAnsi="Times New Roman" w:cs="Times New Roman"/>
                <w:noProof/>
                <w:sz w:val="22"/>
              </w:rPr>
              <w:t>From Onboarding to Strategic Socialisation</w:t>
            </w:r>
            <w:r w:rsidRPr="00A07343">
              <w:rPr>
                <w:rFonts w:ascii="Times New Roman" w:hAnsi="Times New Roman" w:cs="Times New Roman"/>
                <w:noProof/>
                <w:webHidden/>
                <w:sz w:val="22"/>
              </w:rPr>
              <w:tab/>
            </w:r>
            <w:r w:rsidRPr="00A07343">
              <w:rPr>
                <w:rFonts w:ascii="Times New Roman" w:hAnsi="Times New Roman" w:cs="Times New Roman"/>
                <w:noProof/>
                <w:webHidden/>
                <w:sz w:val="22"/>
              </w:rPr>
              <w:fldChar w:fldCharType="begin"/>
            </w:r>
            <w:r w:rsidRPr="00A07343">
              <w:rPr>
                <w:rFonts w:ascii="Times New Roman" w:hAnsi="Times New Roman" w:cs="Times New Roman"/>
                <w:noProof/>
                <w:webHidden/>
                <w:sz w:val="22"/>
              </w:rPr>
              <w:instrText xml:space="preserve"> PAGEREF _Toc232119780 \h </w:instrText>
            </w:r>
            <w:r w:rsidRPr="00A07343">
              <w:rPr>
                <w:rFonts w:ascii="Times New Roman" w:hAnsi="Times New Roman" w:cs="Times New Roman"/>
                <w:noProof/>
                <w:webHidden/>
                <w:sz w:val="22"/>
              </w:rPr>
            </w:r>
            <w:r w:rsidRPr="00A07343">
              <w:rPr>
                <w:rFonts w:ascii="Times New Roman" w:hAnsi="Times New Roman" w:cs="Times New Roman"/>
                <w:noProof/>
                <w:webHidden/>
                <w:sz w:val="22"/>
              </w:rPr>
              <w:fldChar w:fldCharType="separate"/>
            </w:r>
            <w:r w:rsidRPr="00A07343">
              <w:rPr>
                <w:rFonts w:ascii="Times New Roman" w:hAnsi="Times New Roman" w:cs="Times New Roman"/>
                <w:noProof/>
                <w:webHidden/>
                <w:sz w:val="22"/>
              </w:rPr>
              <w:t>3</w:t>
            </w:r>
            <w:r w:rsidRPr="00A07343">
              <w:rPr>
                <w:rFonts w:ascii="Times New Roman" w:hAnsi="Times New Roman" w:cs="Times New Roman"/>
                <w:noProof/>
                <w:webHidden/>
                <w:sz w:val="22"/>
              </w:rPr>
              <w:fldChar w:fldCharType="end"/>
            </w:r>
          </w:hyperlink>
        </w:p>
        <w:p w14:paraId="1E716D6A" w14:textId="5F6FD317" w:rsidR="00A07343" w:rsidRPr="00A07343" w:rsidRDefault="00A07343" w:rsidP="00A07343">
          <w:pPr>
            <w:pStyle w:val="TOC2"/>
            <w:tabs>
              <w:tab w:val="right" w:leader="dot" w:pos="9350"/>
            </w:tabs>
            <w:spacing w:line="276" w:lineRule="auto"/>
            <w:rPr>
              <w:rFonts w:ascii="Times New Roman" w:eastAsiaTheme="minorEastAsia" w:hAnsi="Times New Roman" w:cs="Times New Roman"/>
              <w:i w:val="0"/>
              <w:iCs w:val="0"/>
              <w:noProof/>
              <w:kern w:val="0"/>
              <w:sz w:val="24"/>
              <w:szCs w:val="22"/>
              <w14:ligatures w14:val="none"/>
            </w:rPr>
          </w:pPr>
          <w:hyperlink w:anchor="_Toc232119781" w:history="1">
            <w:r w:rsidRPr="00A07343">
              <w:rPr>
                <w:rStyle w:val="Hyperlink"/>
                <w:rFonts w:ascii="Times New Roman" w:hAnsi="Times New Roman" w:cs="Times New Roman"/>
                <w:noProof/>
                <w:sz w:val="22"/>
              </w:rPr>
              <w:t>Helios Socialisation Architecture: Pre-Boarding to Day 90</w:t>
            </w:r>
            <w:r w:rsidRPr="00A07343">
              <w:rPr>
                <w:rFonts w:ascii="Times New Roman" w:hAnsi="Times New Roman" w:cs="Times New Roman"/>
                <w:noProof/>
                <w:webHidden/>
                <w:sz w:val="22"/>
              </w:rPr>
              <w:tab/>
            </w:r>
            <w:r w:rsidRPr="00A07343">
              <w:rPr>
                <w:rFonts w:ascii="Times New Roman" w:hAnsi="Times New Roman" w:cs="Times New Roman"/>
                <w:noProof/>
                <w:webHidden/>
                <w:sz w:val="22"/>
              </w:rPr>
              <w:fldChar w:fldCharType="begin"/>
            </w:r>
            <w:r w:rsidRPr="00A07343">
              <w:rPr>
                <w:rFonts w:ascii="Times New Roman" w:hAnsi="Times New Roman" w:cs="Times New Roman"/>
                <w:noProof/>
                <w:webHidden/>
                <w:sz w:val="22"/>
              </w:rPr>
              <w:instrText xml:space="preserve"> PAGEREF _Toc232119781 \h </w:instrText>
            </w:r>
            <w:r w:rsidRPr="00A07343">
              <w:rPr>
                <w:rFonts w:ascii="Times New Roman" w:hAnsi="Times New Roman" w:cs="Times New Roman"/>
                <w:noProof/>
                <w:webHidden/>
                <w:sz w:val="22"/>
              </w:rPr>
            </w:r>
            <w:r w:rsidRPr="00A07343">
              <w:rPr>
                <w:rFonts w:ascii="Times New Roman" w:hAnsi="Times New Roman" w:cs="Times New Roman"/>
                <w:noProof/>
                <w:webHidden/>
                <w:sz w:val="22"/>
              </w:rPr>
              <w:fldChar w:fldCharType="separate"/>
            </w:r>
            <w:r w:rsidRPr="00A07343">
              <w:rPr>
                <w:rFonts w:ascii="Times New Roman" w:hAnsi="Times New Roman" w:cs="Times New Roman"/>
                <w:noProof/>
                <w:webHidden/>
                <w:sz w:val="22"/>
              </w:rPr>
              <w:t>4</w:t>
            </w:r>
            <w:r w:rsidRPr="00A07343">
              <w:rPr>
                <w:rFonts w:ascii="Times New Roman" w:hAnsi="Times New Roman" w:cs="Times New Roman"/>
                <w:noProof/>
                <w:webHidden/>
                <w:sz w:val="22"/>
              </w:rPr>
              <w:fldChar w:fldCharType="end"/>
            </w:r>
          </w:hyperlink>
        </w:p>
        <w:p w14:paraId="007F38F4" w14:textId="47DB3FD1" w:rsidR="00A07343" w:rsidRPr="00A07343" w:rsidRDefault="00A07343" w:rsidP="00A07343">
          <w:pPr>
            <w:pStyle w:val="TOC2"/>
            <w:tabs>
              <w:tab w:val="right" w:leader="dot" w:pos="9350"/>
            </w:tabs>
            <w:spacing w:line="276" w:lineRule="auto"/>
            <w:rPr>
              <w:rFonts w:ascii="Times New Roman" w:eastAsiaTheme="minorEastAsia" w:hAnsi="Times New Roman" w:cs="Times New Roman"/>
              <w:i w:val="0"/>
              <w:iCs w:val="0"/>
              <w:noProof/>
              <w:kern w:val="0"/>
              <w:sz w:val="24"/>
              <w:szCs w:val="22"/>
              <w14:ligatures w14:val="none"/>
            </w:rPr>
          </w:pPr>
          <w:hyperlink w:anchor="_Toc232119782" w:history="1">
            <w:r w:rsidRPr="00A07343">
              <w:rPr>
                <w:rStyle w:val="Hyperlink"/>
                <w:rFonts w:ascii="Times New Roman" w:hAnsi="Times New Roman" w:cs="Times New Roman"/>
                <w:noProof/>
                <w:sz w:val="22"/>
              </w:rPr>
              <w:t>Year-One Integration and Retention Logic</w:t>
            </w:r>
            <w:r w:rsidRPr="00A07343">
              <w:rPr>
                <w:rFonts w:ascii="Times New Roman" w:hAnsi="Times New Roman" w:cs="Times New Roman"/>
                <w:noProof/>
                <w:webHidden/>
                <w:sz w:val="22"/>
              </w:rPr>
              <w:tab/>
            </w:r>
            <w:r w:rsidRPr="00A07343">
              <w:rPr>
                <w:rFonts w:ascii="Times New Roman" w:hAnsi="Times New Roman" w:cs="Times New Roman"/>
                <w:noProof/>
                <w:webHidden/>
                <w:sz w:val="22"/>
              </w:rPr>
              <w:fldChar w:fldCharType="begin"/>
            </w:r>
            <w:r w:rsidRPr="00A07343">
              <w:rPr>
                <w:rFonts w:ascii="Times New Roman" w:hAnsi="Times New Roman" w:cs="Times New Roman"/>
                <w:noProof/>
                <w:webHidden/>
                <w:sz w:val="22"/>
              </w:rPr>
              <w:instrText xml:space="preserve"> PAGEREF _Toc232119782 \h </w:instrText>
            </w:r>
            <w:r w:rsidRPr="00A07343">
              <w:rPr>
                <w:rFonts w:ascii="Times New Roman" w:hAnsi="Times New Roman" w:cs="Times New Roman"/>
                <w:noProof/>
                <w:webHidden/>
                <w:sz w:val="22"/>
              </w:rPr>
            </w:r>
            <w:r w:rsidRPr="00A07343">
              <w:rPr>
                <w:rFonts w:ascii="Times New Roman" w:hAnsi="Times New Roman" w:cs="Times New Roman"/>
                <w:noProof/>
                <w:webHidden/>
                <w:sz w:val="22"/>
              </w:rPr>
              <w:fldChar w:fldCharType="separate"/>
            </w:r>
            <w:r w:rsidRPr="00A07343">
              <w:rPr>
                <w:rFonts w:ascii="Times New Roman" w:hAnsi="Times New Roman" w:cs="Times New Roman"/>
                <w:noProof/>
                <w:webHidden/>
                <w:sz w:val="22"/>
              </w:rPr>
              <w:t>5</w:t>
            </w:r>
            <w:r w:rsidRPr="00A07343">
              <w:rPr>
                <w:rFonts w:ascii="Times New Roman" w:hAnsi="Times New Roman" w:cs="Times New Roman"/>
                <w:noProof/>
                <w:webHidden/>
                <w:sz w:val="22"/>
              </w:rPr>
              <w:fldChar w:fldCharType="end"/>
            </w:r>
          </w:hyperlink>
        </w:p>
        <w:p w14:paraId="2BB89A05" w14:textId="517BCFAB" w:rsidR="00A07343" w:rsidRPr="00A07343" w:rsidRDefault="00A07343" w:rsidP="00A07343">
          <w:pPr>
            <w:pStyle w:val="TOC2"/>
            <w:tabs>
              <w:tab w:val="right" w:leader="dot" w:pos="9350"/>
            </w:tabs>
            <w:spacing w:line="276" w:lineRule="auto"/>
            <w:rPr>
              <w:rFonts w:ascii="Times New Roman" w:eastAsiaTheme="minorEastAsia" w:hAnsi="Times New Roman" w:cs="Times New Roman"/>
              <w:i w:val="0"/>
              <w:iCs w:val="0"/>
              <w:noProof/>
              <w:kern w:val="0"/>
              <w:sz w:val="24"/>
              <w:szCs w:val="22"/>
              <w14:ligatures w14:val="none"/>
            </w:rPr>
          </w:pPr>
          <w:hyperlink w:anchor="_Toc232119783" w:history="1">
            <w:r w:rsidRPr="00A07343">
              <w:rPr>
                <w:rStyle w:val="Hyperlink"/>
                <w:rFonts w:ascii="Times New Roman" w:hAnsi="Times New Roman" w:cs="Times New Roman"/>
                <w:noProof/>
                <w:sz w:val="22"/>
              </w:rPr>
              <w:t>Identification and Ethical Professionalism</w:t>
            </w:r>
            <w:r w:rsidRPr="00A07343">
              <w:rPr>
                <w:rFonts w:ascii="Times New Roman" w:hAnsi="Times New Roman" w:cs="Times New Roman"/>
                <w:noProof/>
                <w:webHidden/>
                <w:sz w:val="22"/>
              </w:rPr>
              <w:tab/>
            </w:r>
            <w:r w:rsidRPr="00A07343">
              <w:rPr>
                <w:rFonts w:ascii="Times New Roman" w:hAnsi="Times New Roman" w:cs="Times New Roman"/>
                <w:noProof/>
                <w:webHidden/>
                <w:sz w:val="22"/>
              </w:rPr>
              <w:fldChar w:fldCharType="begin"/>
            </w:r>
            <w:r w:rsidRPr="00A07343">
              <w:rPr>
                <w:rFonts w:ascii="Times New Roman" w:hAnsi="Times New Roman" w:cs="Times New Roman"/>
                <w:noProof/>
                <w:webHidden/>
                <w:sz w:val="22"/>
              </w:rPr>
              <w:instrText xml:space="preserve"> PAGEREF _Toc232119783 \h </w:instrText>
            </w:r>
            <w:r w:rsidRPr="00A07343">
              <w:rPr>
                <w:rFonts w:ascii="Times New Roman" w:hAnsi="Times New Roman" w:cs="Times New Roman"/>
                <w:noProof/>
                <w:webHidden/>
                <w:sz w:val="22"/>
              </w:rPr>
            </w:r>
            <w:r w:rsidRPr="00A07343">
              <w:rPr>
                <w:rFonts w:ascii="Times New Roman" w:hAnsi="Times New Roman" w:cs="Times New Roman"/>
                <w:noProof/>
                <w:webHidden/>
                <w:sz w:val="22"/>
              </w:rPr>
              <w:fldChar w:fldCharType="separate"/>
            </w:r>
            <w:r w:rsidRPr="00A07343">
              <w:rPr>
                <w:rFonts w:ascii="Times New Roman" w:hAnsi="Times New Roman" w:cs="Times New Roman"/>
                <w:noProof/>
                <w:webHidden/>
                <w:sz w:val="22"/>
              </w:rPr>
              <w:t>5</w:t>
            </w:r>
            <w:r w:rsidRPr="00A07343">
              <w:rPr>
                <w:rFonts w:ascii="Times New Roman" w:hAnsi="Times New Roman" w:cs="Times New Roman"/>
                <w:noProof/>
                <w:webHidden/>
                <w:sz w:val="22"/>
              </w:rPr>
              <w:fldChar w:fldCharType="end"/>
            </w:r>
          </w:hyperlink>
        </w:p>
        <w:p w14:paraId="63F98031" w14:textId="02D957A5" w:rsidR="00A07343" w:rsidRPr="00A07343" w:rsidRDefault="00A07343" w:rsidP="00A07343">
          <w:pPr>
            <w:pStyle w:val="TOC2"/>
            <w:tabs>
              <w:tab w:val="right" w:leader="dot" w:pos="9350"/>
            </w:tabs>
            <w:spacing w:line="276" w:lineRule="auto"/>
            <w:rPr>
              <w:rFonts w:ascii="Times New Roman" w:eastAsiaTheme="minorEastAsia" w:hAnsi="Times New Roman" w:cs="Times New Roman"/>
              <w:i w:val="0"/>
              <w:iCs w:val="0"/>
              <w:noProof/>
              <w:kern w:val="0"/>
              <w:sz w:val="24"/>
              <w:szCs w:val="22"/>
              <w14:ligatures w14:val="none"/>
            </w:rPr>
          </w:pPr>
          <w:hyperlink w:anchor="_Toc232119784" w:history="1">
            <w:r w:rsidRPr="00A07343">
              <w:rPr>
                <w:rStyle w:val="Hyperlink"/>
                <w:rFonts w:ascii="Times New Roman" w:hAnsi="Times New Roman" w:cs="Times New Roman"/>
                <w:noProof/>
                <w:sz w:val="22"/>
              </w:rPr>
              <w:t>Building the Business Activist Mindset</w:t>
            </w:r>
            <w:r w:rsidRPr="00A07343">
              <w:rPr>
                <w:rFonts w:ascii="Times New Roman" w:hAnsi="Times New Roman" w:cs="Times New Roman"/>
                <w:noProof/>
                <w:webHidden/>
                <w:sz w:val="22"/>
              </w:rPr>
              <w:tab/>
            </w:r>
            <w:r w:rsidRPr="00A07343">
              <w:rPr>
                <w:rFonts w:ascii="Times New Roman" w:hAnsi="Times New Roman" w:cs="Times New Roman"/>
                <w:noProof/>
                <w:webHidden/>
                <w:sz w:val="22"/>
              </w:rPr>
              <w:fldChar w:fldCharType="begin"/>
            </w:r>
            <w:r w:rsidRPr="00A07343">
              <w:rPr>
                <w:rFonts w:ascii="Times New Roman" w:hAnsi="Times New Roman" w:cs="Times New Roman"/>
                <w:noProof/>
                <w:webHidden/>
                <w:sz w:val="22"/>
              </w:rPr>
              <w:instrText xml:space="preserve"> PAGEREF _Toc232119784 \h </w:instrText>
            </w:r>
            <w:r w:rsidRPr="00A07343">
              <w:rPr>
                <w:rFonts w:ascii="Times New Roman" w:hAnsi="Times New Roman" w:cs="Times New Roman"/>
                <w:noProof/>
                <w:webHidden/>
                <w:sz w:val="22"/>
              </w:rPr>
            </w:r>
            <w:r w:rsidRPr="00A07343">
              <w:rPr>
                <w:rFonts w:ascii="Times New Roman" w:hAnsi="Times New Roman" w:cs="Times New Roman"/>
                <w:noProof/>
                <w:webHidden/>
                <w:sz w:val="22"/>
              </w:rPr>
              <w:fldChar w:fldCharType="separate"/>
            </w:r>
            <w:r w:rsidRPr="00A07343">
              <w:rPr>
                <w:rFonts w:ascii="Times New Roman" w:hAnsi="Times New Roman" w:cs="Times New Roman"/>
                <w:noProof/>
                <w:webHidden/>
                <w:sz w:val="22"/>
              </w:rPr>
              <w:t>6</w:t>
            </w:r>
            <w:r w:rsidRPr="00A07343">
              <w:rPr>
                <w:rFonts w:ascii="Times New Roman" w:hAnsi="Times New Roman" w:cs="Times New Roman"/>
                <w:noProof/>
                <w:webHidden/>
                <w:sz w:val="22"/>
              </w:rPr>
              <w:fldChar w:fldCharType="end"/>
            </w:r>
          </w:hyperlink>
        </w:p>
        <w:p w14:paraId="75B7BCFD" w14:textId="200BCAD3" w:rsidR="00A07343" w:rsidRPr="00A07343" w:rsidRDefault="00A07343" w:rsidP="00A07343">
          <w:pPr>
            <w:pStyle w:val="TOC1"/>
            <w:tabs>
              <w:tab w:val="right" w:leader="dot" w:pos="9350"/>
            </w:tabs>
            <w:spacing w:line="276" w:lineRule="auto"/>
            <w:rPr>
              <w:rFonts w:ascii="Times New Roman" w:eastAsiaTheme="minorEastAsia" w:hAnsi="Times New Roman" w:cs="Times New Roman"/>
              <w:b w:val="0"/>
              <w:bCs w:val="0"/>
              <w:noProof/>
              <w:kern w:val="0"/>
              <w:sz w:val="24"/>
              <w:szCs w:val="22"/>
              <w14:ligatures w14:val="none"/>
            </w:rPr>
          </w:pPr>
          <w:hyperlink w:anchor="_Toc232119785" w:history="1">
            <w:r w:rsidRPr="00A07343">
              <w:rPr>
                <w:rStyle w:val="Hyperlink"/>
                <w:rFonts w:ascii="Times New Roman" w:hAnsi="Times New Roman" w:cs="Times New Roman"/>
                <w:noProof/>
                <w:sz w:val="22"/>
              </w:rPr>
              <w:t>TASK B: Job Design Strategy for Helios Urban Mobility</w:t>
            </w:r>
            <w:r w:rsidRPr="00A07343">
              <w:rPr>
                <w:rFonts w:ascii="Times New Roman" w:hAnsi="Times New Roman" w:cs="Times New Roman"/>
                <w:noProof/>
                <w:webHidden/>
                <w:sz w:val="22"/>
              </w:rPr>
              <w:tab/>
            </w:r>
            <w:r w:rsidRPr="00A07343">
              <w:rPr>
                <w:rFonts w:ascii="Times New Roman" w:hAnsi="Times New Roman" w:cs="Times New Roman"/>
                <w:noProof/>
                <w:webHidden/>
                <w:sz w:val="22"/>
              </w:rPr>
              <w:fldChar w:fldCharType="begin"/>
            </w:r>
            <w:r w:rsidRPr="00A07343">
              <w:rPr>
                <w:rFonts w:ascii="Times New Roman" w:hAnsi="Times New Roman" w:cs="Times New Roman"/>
                <w:noProof/>
                <w:webHidden/>
                <w:sz w:val="22"/>
              </w:rPr>
              <w:instrText xml:space="preserve"> PAGEREF _Toc232119785 \h </w:instrText>
            </w:r>
            <w:r w:rsidRPr="00A07343">
              <w:rPr>
                <w:rFonts w:ascii="Times New Roman" w:hAnsi="Times New Roman" w:cs="Times New Roman"/>
                <w:noProof/>
                <w:webHidden/>
                <w:sz w:val="22"/>
              </w:rPr>
            </w:r>
            <w:r w:rsidRPr="00A07343">
              <w:rPr>
                <w:rFonts w:ascii="Times New Roman" w:hAnsi="Times New Roman" w:cs="Times New Roman"/>
                <w:noProof/>
                <w:webHidden/>
                <w:sz w:val="22"/>
              </w:rPr>
              <w:fldChar w:fldCharType="separate"/>
            </w:r>
            <w:r w:rsidRPr="00A07343">
              <w:rPr>
                <w:rFonts w:ascii="Times New Roman" w:hAnsi="Times New Roman" w:cs="Times New Roman"/>
                <w:noProof/>
                <w:webHidden/>
                <w:sz w:val="22"/>
              </w:rPr>
              <w:t>7</w:t>
            </w:r>
            <w:r w:rsidRPr="00A07343">
              <w:rPr>
                <w:rFonts w:ascii="Times New Roman" w:hAnsi="Times New Roman" w:cs="Times New Roman"/>
                <w:noProof/>
                <w:webHidden/>
                <w:sz w:val="22"/>
              </w:rPr>
              <w:fldChar w:fldCharType="end"/>
            </w:r>
          </w:hyperlink>
        </w:p>
        <w:p w14:paraId="24DA2EB2" w14:textId="24646903" w:rsidR="00A07343" w:rsidRPr="00A07343" w:rsidRDefault="00A07343" w:rsidP="00A07343">
          <w:pPr>
            <w:pStyle w:val="TOC2"/>
            <w:tabs>
              <w:tab w:val="right" w:leader="dot" w:pos="9350"/>
            </w:tabs>
            <w:spacing w:line="276" w:lineRule="auto"/>
            <w:rPr>
              <w:rFonts w:ascii="Times New Roman" w:eastAsiaTheme="minorEastAsia" w:hAnsi="Times New Roman" w:cs="Times New Roman"/>
              <w:i w:val="0"/>
              <w:iCs w:val="0"/>
              <w:noProof/>
              <w:kern w:val="0"/>
              <w:sz w:val="24"/>
              <w:szCs w:val="22"/>
              <w14:ligatures w14:val="none"/>
            </w:rPr>
          </w:pPr>
          <w:hyperlink w:anchor="_Toc232119786" w:history="1">
            <w:r w:rsidRPr="00A07343">
              <w:rPr>
                <w:rStyle w:val="Hyperlink"/>
                <w:rFonts w:ascii="Times New Roman" w:hAnsi="Times New Roman" w:cs="Times New Roman"/>
                <w:noProof/>
                <w:sz w:val="22"/>
              </w:rPr>
              <w:t>Modular Mission-Based Job Design</w:t>
            </w:r>
            <w:r w:rsidRPr="00A07343">
              <w:rPr>
                <w:rFonts w:ascii="Times New Roman" w:hAnsi="Times New Roman" w:cs="Times New Roman"/>
                <w:noProof/>
                <w:webHidden/>
                <w:sz w:val="22"/>
              </w:rPr>
              <w:tab/>
            </w:r>
            <w:r w:rsidRPr="00A07343">
              <w:rPr>
                <w:rFonts w:ascii="Times New Roman" w:hAnsi="Times New Roman" w:cs="Times New Roman"/>
                <w:noProof/>
                <w:webHidden/>
                <w:sz w:val="22"/>
              </w:rPr>
              <w:fldChar w:fldCharType="begin"/>
            </w:r>
            <w:r w:rsidRPr="00A07343">
              <w:rPr>
                <w:rFonts w:ascii="Times New Roman" w:hAnsi="Times New Roman" w:cs="Times New Roman"/>
                <w:noProof/>
                <w:webHidden/>
                <w:sz w:val="22"/>
              </w:rPr>
              <w:instrText xml:space="preserve"> PAGEREF _Toc232119786 \h </w:instrText>
            </w:r>
            <w:r w:rsidRPr="00A07343">
              <w:rPr>
                <w:rFonts w:ascii="Times New Roman" w:hAnsi="Times New Roman" w:cs="Times New Roman"/>
                <w:noProof/>
                <w:webHidden/>
                <w:sz w:val="22"/>
              </w:rPr>
            </w:r>
            <w:r w:rsidRPr="00A07343">
              <w:rPr>
                <w:rFonts w:ascii="Times New Roman" w:hAnsi="Times New Roman" w:cs="Times New Roman"/>
                <w:noProof/>
                <w:webHidden/>
                <w:sz w:val="22"/>
              </w:rPr>
              <w:fldChar w:fldCharType="separate"/>
            </w:r>
            <w:r w:rsidRPr="00A07343">
              <w:rPr>
                <w:rFonts w:ascii="Times New Roman" w:hAnsi="Times New Roman" w:cs="Times New Roman"/>
                <w:noProof/>
                <w:webHidden/>
                <w:sz w:val="22"/>
              </w:rPr>
              <w:t>7</w:t>
            </w:r>
            <w:r w:rsidRPr="00A07343">
              <w:rPr>
                <w:rFonts w:ascii="Times New Roman" w:hAnsi="Times New Roman" w:cs="Times New Roman"/>
                <w:noProof/>
                <w:webHidden/>
                <w:sz w:val="22"/>
              </w:rPr>
              <w:fldChar w:fldCharType="end"/>
            </w:r>
          </w:hyperlink>
        </w:p>
        <w:p w14:paraId="613E3502" w14:textId="70F6A82B" w:rsidR="00A07343" w:rsidRPr="00A07343" w:rsidRDefault="00A07343" w:rsidP="00A07343">
          <w:pPr>
            <w:pStyle w:val="TOC2"/>
            <w:tabs>
              <w:tab w:val="right" w:leader="dot" w:pos="9350"/>
            </w:tabs>
            <w:spacing w:line="276" w:lineRule="auto"/>
            <w:rPr>
              <w:rFonts w:ascii="Times New Roman" w:eastAsiaTheme="minorEastAsia" w:hAnsi="Times New Roman" w:cs="Times New Roman"/>
              <w:i w:val="0"/>
              <w:iCs w:val="0"/>
              <w:noProof/>
              <w:kern w:val="0"/>
              <w:sz w:val="24"/>
              <w:szCs w:val="22"/>
              <w14:ligatures w14:val="none"/>
            </w:rPr>
          </w:pPr>
          <w:hyperlink w:anchor="_Toc232119787" w:history="1">
            <w:r w:rsidRPr="00A07343">
              <w:rPr>
                <w:rStyle w:val="Hyperlink"/>
                <w:rFonts w:ascii="Times New Roman" w:hAnsi="Times New Roman" w:cs="Times New Roman"/>
                <w:noProof/>
                <w:sz w:val="22"/>
              </w:rPr>
              <w:t>Skills-Based Architecture and Talent Marketplace</w:t>
            </w:r>
            <w:r w:rsidRPr="00A07343">
              <w:rPr>
                <w:rFonts w:ascii="Times New Roman" w:hAnsi="Times New Roman" w:cs="Times New Roman"/>
                <w:noProof/>
                <w:webHidden/>
                <w:sz w:val="22"/>
              </w:rPr>
              <w:tab/>
            </w:r>
            <w:r w:rsidRPr="00A07343">
              <w:rPr>
                <w:rFonts w:ascii="Times New Roman" w:hAnsi="Times New Roman" w:cs="Times New Roman"/>
                <w:noProof/>
                <w:webHidden/>
                <w:sz w:val="22"/>
              </w:rPr>
              <w:fldChar w:fldCharType="begin"/>
            </w:r>
            <w:r w:rsidRPr="00A07343">
              <w:rPr>
                <w:rFonts w:ascii="Times New Roman" w:hAnsi="Times New Roman" w:cs="Times New Roman"/>
                <w:noProof/>
                <w:webHidden/>
                <w:sz w:val="22"/>
              </w:rPr>
              <w:instrText xml:space="preserve"> PAGEREF _Toc232119787 \h </w:instrText>
            </w:r>
            <w:r w:rsidRPr="00A07343">
              <w:rPr>
                <w:rFonts w:ascii="Times New Roman" w:hAnsi="Times New Roman" w:cs="Times New Roman"/>
                <w:noProof/>
                <w:webHidden/>
                <w:sz w:val="22"/>
              </w:rPr>
            </w:r>
            <w:r w:rsidRPr="00A07343">
              <w:rPr>
                <w:rFonts w:ascii="Times New Roman" w:hAnsi="Times New Roman" w:cs="Times New Roman"/>
                <w:noProof/>
                <w:webHidden/>
                <w:sz w:val="22"/>
              </w:rPr>
              <w:fldChar w:fldCharType="separate"/>
            </w:r>
            <w:r w:rsidRPr="00A07343">
              <w:rPr>
                <w:rFonts w:ascii="Times New Roman" w:hAnsi="Times New Roman" w:cs="Times New Roman"/>
                <w:noProof/>
                <w:webHidden/>
                <w:sz w:val="22"/>
              </w:rPr>
              <w:t>8</w:t>
            </w:r>
            <w:r w:rsidRPr="00A07343">
              <w:rPr>
                <w:rFonts w:ascii="Times New Roman" w:hAnsi="Times New Roman" w:cs="Times New Roman"/>
                <w:noProof/>
                <w:webHidden/>
                <w:sz w:val="22"/>
              </w:rPr>
              <w:fldChar w:fldCharType="end"/>
            </w:r>
          </w:hyperlink>
        </w:p>
        <w:p w14:paraId="2A847F78" w14:textId="766134A8" w:rsidR="00A07343" w:rsidRPr="00A07343" w:rsidRDefault="00A07343" w:rsidP="00A07343">
          <w:pPr>
            <w:pStyle w:val="TOC2"/>
            <w:tabs>
              <w:tab w:val="right" w:leader="dot" w:pos="9350"/>
            </w:tabs>
            <w:spacing w:line="276" w:lineRule="auto"/>
            <w:rPr>
              <w:rFonts w:ascii="Times New Roman" w:eastAsiaTheme="minorEastAsia" w:hAnsi="Times New Roman" w:cs="Times New Roman"/>
              <w:i w:val="0"/>
              <w:iCs w:val="0"/>
              <w:noProof/>
              <w:kern w:val="0"/>
              <w:sz w:val="24"/>
              <w:szCs w:val="22"/>
              <w14:ligatures w14:val="none"/>
            </w:rPr>
          </w:pPr>
          <w:hyperlink w:anchor="_Toc232119788" w:history="1">
            <w:r w:rsidRPr="00A07343">
              <w:rPr>
                <w:rStyle w:val="Hyperlink"/>
                <w:rFonts w:ascii="Times New Roman" w:hAnsi="Times New Roman" w:cs="Times New Roman"/>
                <w:noProof/>
                <w:sz w:val="22"/>
              </w:rPr>
              <w:t>Guided Job Crafting</w:t>
            </w:r>
            <w:r w:rsidRPr="00A07343">
              <w:rPr>
                <w:rFonts w:ascii="Times New Roman" w:hAnsi="Times New Roman" w:cs="Times New Roman"/>
                <w:noProof/>
                <w:webHidden/>
                <w:sz w:val="22"/>
              </w:rPr>
              <w:tab/>
            </w:r>
            <w:r w:rsidRPr="00A07343">
              <w:rPr>
                <w:rFonts w:ascii="Times New Roman" w:hAnsi="Times New Roman" w:cs="Times New Roman"/>
                <w:noProof/>
                <w:webHidden/>
                <w:sz w:val="22"/>
              </w:rPr>
              <w:fldChar w:fldCharType="begin"/>
            </w:r>
            <w:r w:rsidRPr="00A07343">
              <w:rPr>
                <w:rFonts w:ascii="Times New Roman" w:hAnsi="Times New Roman" w:cs="Times New Roman"/>
                <w:noProof/>
                <w:webHidden/>
                <w:sz w:val="22"/>
              </w:rPr>
              <w:instrText xml:space="preserve"> PAGEREF _Toc232119788 \h </w:instrText>
            </w:r>
            <w:r w:rsidRPr="00A07343">
              <w:rPr>
                <w:rFonts w:ascii="Times New Roman" w:hAnsi="Times New Roman" w:cs="Times New Roman"/>
                <w:noProof/>
                <w:webHidden/>
                <w:sz w:val="22"/>
              </w:rPr>
            </w:r>
            <w:r w:rsidRPr="00A07343">
              <w:rPr>
                <w:rFonts w:ascii="Times New Roman" w:hAnsi="Times New Roman" w:cs="Times New Roman"/>
                <w:noProof/>
                <w:webHidden/>
                <w:sz w:val="22"/>
              </w:rPr>
              <w:fldChar w:fldCharType="separate"/>
            </w:r>
            <w:r w:rsidRPr="00A07343">
              <w:rPr>
                <w:rFonts w:ascii="Times New Roman" w:hAnsi="Times New Roman" w:cs="Times New Roman"/>
                <w:noProof/>
                <w:webHidden/>
                <w:sz w:val="22"/>
              </w:rPr>
              <w:t>10</w:t>
            </w:r>
            <w:r w:rsidRPr="00A07343">
              <w:rPr>
                <w:rFonts w:ascii="Times New Roman" w:hAnsi="Times New Roman" w:cs="Times New Roman"/>
                <w:noProof/>
                <w:webHidden/>
                <w:sz w:val="22"/>
              </w:rPr>
              <w:fldChar w:fldCharType="end"/>
            </w:r>
          </w:hyperlink>
        </w:p>
        <w:p w14:paraId="381AEE18" w14:textId="2374E6B0" w:rsidR="00A07343" w:rsidRPr="00A07343" w:rsidRDefault="00A07343" w:rsidP="00A07343">
          <w:pPr>
            <w:pStyle w:val="TOC2"/>
            <w:tabs>
              <w:tab w:val="right" w:leader="dot" w:pos="9350"/>
            </w:tabs>
            <w:spacing w:line="276" w:lineRule="auto"/>
            <w:rPr>
              <w:rFonts w:ascii="Times New Roman" w:eastAsiaTheme="minorEastAsia" w:hAnsi="Times New Roman" w:cs="Times New Roman"/>
              <w:i w:val="0"/>
              <w:iCs w:val="0"/>
              <w:noProof/>
              <w:kern w:val="0"/>
              <w:sz w:val="24"/>
              <w:szCs w:val="22"/>
              <w14:ligatures w14:val="none"/>
            </w:rPr>
          </w:pPr>
          <w:hyperlink w:anchor="_Toc232119789" w:history="1">
            <w:r w:rsidRPr="00A07343">
              <w:rPr>
                <w:rStyle w:val="Hyperlink"/>
                <w:rFonts w:ascii="Times New Roman" w:hAnsi="Times New Roman" w:cs="Times New Roman"/>
                <w:noProof/>
                <w:sz w:val="22"/>
              </w:rPr>
              <w:t>Intrinsic Motivation and Innovation Outcomes</w:t>
            </w:r>
            <w:r w:rsidRPr="00A07343">
              <w:rPr>
                <w:rFonts w:ascii="Times New Roman" w:hAnsi="Times New Roman" w:cs="Times New Roman"/>
                <w:noProof/>
                <w:webHidden/>
                <w:sz w:val="22"/>
              </w:rPr>
              <w:tab/>
            </w:r>
            <w:r w:rsidRPr="00A07343">
              <w:rPr>
                <w:rFonts w:ascii="Times New Roman" w:hAnsi="Times New Roman" w:cs="Times New Roman"/>
                <w:noProof/>
                <w:webHidden/>
                <w:sz w:val="22"/>
              </w:rPr>
              <w:fldChar w:fldCharType="begin"/>
            </w:r>
            <w:r w:rsidRPr="00A07343">
              <w:rPr>
                <w:rFonts w:ascii="Times New Roman" w:hAnsi="Times New Roman" w:cs="Times New Roman"/>
                <w:noProof/>
                <w:webHidden/>
                <w:sz w:val="22"/>
              </w:rPr>
              <w:instrText xml:space="preserve"> PAGEREF _Toc232119789 \h </w:instrText>
            </w:r>
            <w:r w:rsidRPr="00A07343">
              <w:rPr>
                <w:rFonts w:ascii="Times New Roman" w:hAnsi="Times New Roman" w:cs="Times New Roman"/>
                <w:noProof/>
                <w:webHidden/>
                <w:sz w:val="22"/>
              </w:rPr>
            </w:r>
            <w:r w:rsidRPr="00A07343">
              <w:rPr>
                <w:rFonts w:ascii="Times New Roman" w:hAnsi="Times New Roman" w:cs="Times New Roman"/>
                <w:noProof/>
                <w:webHidden/>
                <w:sz w:val="22"/>
              </w:rPr>
              <w:fldChar w:fldCharType="separate"/>
            </w:r>
            <w:r w:rsidRPr="00A07343">
              <w:rPr>
                <w:rFonts w:ascii="Times New Roman" w:hAnsi="Times New Roman" w:cs="Times New Roman"/>
                <w:noProof/>
                <w:webHidden/>
                <w:sz w:val="22"/>
              </w:rPr>
              <w:t>11</w:t>
            </w:r>
            <w:r w:rsidRPr="00A07343">
              <w:rPr>
                <w:rFonts w:ascii="Times New Roman" w:hAnsi="Times New Roman" w:cs="Times New Roman"/>
                <w:noProof/>
                <w:webHidden/>
                <w:sz w:val="22"/>
              </w:rPr>
              <w:fldChar w:fldCharType="end"/>
            </w:r>
          </w:hyperlink>
        </w:p>
        <w:p w14:paraId="7C2CDDD7" w14:textId="0671B1C2" w:rsidR="00A07343" w:rsidRPr="00A07343" w:rsidRDefault="00A07343" w:rsidP="00A07343">
          <w:pPr>
            <w:pStyle w:val="TOC1"/>
            <w:tabs>
              <w:tab w:val="right" w:leader="dot" w:pos="9350"/>
            </w:tabs>
            <w:spacing w:line="276" w:lineRule="auto"/>
            <w:rPr>
              <w:rFonts w:ascii="Times New Roman" w:eastAsiaTheme="minorEastAsia" w:hAnsi="Times New Roman" w:cs="Times New Roman"/>
              <w:b w:val="0"/>
              <w:bCs w:val="0"/>
              <w:noProof/>
              <w:kern w:val="0"/>
              <w:sz w:val="24"/>
              <w:szCs w:val="22"/>
              <w14:ligatures w14:val="none"/>
            </w:rPr>
          </w:pPr>
          <w:hyperlink w:anchor="_Toc232119790" w:history="1">
            <w:r w:rsidRPr="00A07343">
              <w:rPr>
                <w:rStyle w:val="Hyperlink"/>
                <w:rFonts w:ascii="Times New Roman" w:hAnsi="Times New Roman" w:cs="Times New Roman"/>
                <w:noProof/>
                <w:sz w:val="22"/>
              </w:rPr>
              <w:t>TASK C: Reflective report</w:t>
            </w:r>
            <w:r w:rsidRPr="00A07343">
              <w:rPr>
                <w:rFonts w:ascii="Times New Roman" w:hAnsi="Times New Roman" w:cs="Times New Roman"/>
                <w:noProof/>
                <w:webHidden/>
                <w:sz w:val="22"/>
              </w:rPr>
              <w:tab/>
            </w:r>
            <w:r w:rsidRPr="00A07343">
              <w:rPr>
                <w:rFonts w:ascii="Times New Roman" w:hAnsi="Times New Roman" w:cs="Times New Roman"/>
                <w:noProof/>
                <w:webHidden/>
                <w:sz w:val="22"/>
              </w:rPr>
              <w:fldChar w:fldCharType="begin"/>
            </w:r>
            <w:r w:rsidRPr="00A07343">
              <w:rPr>
                <w:rFonts w:ascii="Times New Roman" w:hAnsi="Times New Roman" w:cs="Times New Roman"/>
                <w:noProof/>
                <w:webHidden/>
                <w:sz w:val="22"/>
              </w:rPr>
              <w:instrText xml:space="preserve"> PAGEREF _Toc232119790 \h </w:instrText>
            </w:r>
            <w:r w:rsidRPr="00A07343">
              <w:rPr>
                <w:rFonts w:ascii="Times New Roman" w:hAnsi="Times New Roman" w:cs="Times New Roman"/>
                <w:noProof/>
                <w:webHidden/>
                <w:sz w:val="22"/>
              </w:rPr>
            </w:r>
            <w:r w:rsidRPr="00A07343">
              <w:rPr>
                <w:rFonts w:ascii="Times New Roman" w:hAnsi="Times New Roman" w:cs="Times New Roman"/>
                <w:noProof/>
                <w:webHidden/>
                <w:sz w:val="22"/>
              </w:rPr>
              <w:fldChar w:fldCharType="separate"/>
            </w:r>
            <w:r w:rsidRPr="00A07343">
              <w:rPr>
                <w:rFonts w:ascii="Times New Roman" w:hAnsi="Times New Roman" w:cs="Times New Roman"/>
                <w:noProof/>
                <w:webHidden/>
                <w:sz w:val="22"/>
              </w:rPr>
              <w:t>12</w:t>
            </w:r>
            <w:r w:rsidRPr="00A07343">
              <w:rPr>
                <w:rFonts w:ascii="Times New Roman" w:hAnsi="Times New Roman" w:cs="Times New Roman"/>
                <w:noProof/>
                <w:webHidden/>
                <w:sz w:val="22"/>
              </w:rPr>
              <w:fldChar w:fldCharType="end"/>
            </w:r>
          </w:hyperlink>
        </w:p>
        <w:p w14:paraId="60477A1D" w14:textId="39E353F2" w:rsidR="00A07343" w:rsidRPr="00A07343" w:rsidRDefault="00A07343" w:rsidP="00A07343">
          <w:pPr>
            <w:pStyle w:val="TOC2"/>
            <w:tabs>
              <w:tab w:val="right" w:leader="dot" w:pos="9350"/>
            </w:tabs>
            <w:spacing w:line="276" w:lineRule="auto"/>
            <w:rPr>
              <w:rFonts w:ascii="Times New Roman" w:eastAsiaTheme="minorEastAsia" w:hAnsi="Times New Roman" w:cs="Times New Roman"/>
              <w:i w:val="0"/>
              <w:iCs w:val="0"/>
              <w:noProof/>
              <w:kern w:val="0"/>
              <w:sz w:val="24"/>
              <w:szCs w:val="22"/>
              <w14:ligatures w14:val="none"/>
            </w:rPr>
          </w:pPr>
          <w:hyperlink w:anchor="_Toc232119791" w:history="1">
            <w:r w:rsidRPr="00A07343">
              <w:rPr>
                <w:rStyle w:val="Hyperlink"/>
                <w:rFonts w:ascii="Times New Roman" w:hAnsi="Times New Roman" w:cs="Times New Roman"/>
                <w:noProof/>
                <w:sz w:val="22"/>
              </w:rPr>
              <w:t>AI as Decision Support Without Weakening Human Judgement</w:t>
            </w:r>
            <w:r w:rsidRPr="00A07343">
              <w:rPr>
                <w:rFonts w:ascii="Times New Roman" w:hAnsi="Times New Roman" w:cs="Times New Roman"/>
                <w:noProof/>
                <w:webHidden/>
                <w:sz w:val="22"/>
              </w:rPr>
              <w:tab/>
            </w:r>
            <w:r w:rsidRPr="00A07343">
              <w:rPr>
                <w:rFonts w:ascii="Times New Roman" w:hAnsi="Times New Roman" w:cs="Times New Roman"/>
                <w:noProof/>
                <w:webHidden/>
                <w:sz w:val="22"/>
              </w:rPr>
              <w:fldChar w:fldCharType="begin"/>
            </w:r>
            <w:r w:rsidRPr="00A07343">
              <w:rPr>
                <w:rFonts w:ascii="Times New Roman" w:hAnsi="Times New Roman" w:cs="Times New Roman"/>
                <w:noProof/>
                <w:webHidden/>
                <w:sz w:val="22"/>
              </w:rPr>
              <w:instrText xml:space="preserve"> PAGEREF _Toc232119791 \h </w:instrText>
            </w:r>
            <w:r w:rsidRPr="00A07343">
              <w:rPr>
                <w:rFonts w:ascii="Times New Roman" w:hAnsi="Times New Roman" w:cs="Times New Roman"/>
                <w:noProof/>
                <w:webHidden/>
                <w:sz w:val="22"/>
              </w:rPr>
            </w:r>
            <w:r w:rsidRPr="00A07343">
              <w:rPr>
                <w:rFonts w:ascii="Times New Roman" w:hAnsi="Times New Roman" w:cs="Times New Roman"/>
                <w:noProof/>
                <w:webHidden/>
                <w:sz w:val="22"/>
              </w:rPr>
              <w:fldChar w:fldCharType="separate"/>
            </w:r>
            <w:r w:rsidRPr="00A07343">
              <w:rPr>
                <w:rFonts w:ascii="Times New Roman" w:hAnsi="Times New Roman" w:cs="Times New Roman"/>
                <w:noProof/>
                <w:webHidden/>
                <w:sz w:val="22"/>
              </w:rPr>
              <w:t>12</w:t>
            </w:r>
            <w:r w:rsidRPr="00A07343">
              <w:rPr>
                <w:rFonts w:ascii="Times New Roman" w:hAnsi="Times New Roman" w:cs="Times New Roman"/>
                <w:noProof/>
                <w:webHidden/>
                <w:sz w:val="22"/>
              </w:rPr>
              <w:fldChar w:fldCharType="end"/>
            </w:r>
          </w:hyperlink>
        </w:p>
        <w:p w14:paraId="312491DD" w14:textId="7732BE66" w:rsidR="00A07343" w:rsidRPr="00A07343" w:rsidRDefault="00A07343" w:rsidP="00A07343">
          <w:pPr>
            <w:pStyle w:val="TOC2"/>
            <w:tabs>
              <w:tab w:val="right" w:leader="dot" w:pos="9350"/>
            </w:tabs>
            <w:spacing w:line="276" w:lineRule="auto"/>
            <w:rPr>
              <w:rFonts w:ascii="Times New Roman" w:eastAsiaTheme="minorEastAsia" w:hAnsi="Times New Roman" w:cs="Times New Roman"/>
              <w:i w:val="0"/>
              <w:iCs w:val="0"/>
              <w:noProof/>
              <w:kern w:val="0"/>
              <w:sz w:val="24"/>
              <w:szCs w:val="22"/>
              <w14:ligatures w14:val="none"/>
            </w:rPr>
          </w:pPr>
          <w:hyperlink w:anchor="_Toc232119792" w:history="1">
            <w:r w:rsidRPr="00A07343">
              <w:rPr>
                <w:rStyle w:val="Hyperlink"/>
                <w:rFonts w:ascii="Times New Roman" w:hAnsi="Times New Roman" w:cs="Times New Roman"/>
                <w:noProof/>
                <w:sz w:val="22"/>
              </w:rPr>
              <w:t>Personal Capability Development Plan for Future Employability</w:t>
            </w:r>
            <w:r w:rsidRPr="00A07343">
              <w:rPr>
                <w:rFonts w:ascii="Times New Roman" w:hAnsi="Times New Roman" w:cs="Times New Roman"/>
                <w:noProof/>
                <w:webHidden/>
                <w:sz w:val="22"/>
              </w:rPr>
              <w:tab/>
            </w:r>
            <w:r w:rsidRPr="00A07343">
              <w:rPr>
                <w:rFonts w:ascii="Times New Roman" w:hAnsi="Times New Roman" w:cs="Times New Roman"/>
                <w:noProof/>
                <w:webHidden/>
                <w:sz w:val="22"/>
              </w:rPr>
              <w:fldChar w:fldCharType="begin"/>
            </w:r>
            <w:r w:rsidRPr="00A07343">
              <w:rPr>
                <w:rFonts w:ascii="Times New Roman" w:hAnsi="Times New Roman" w:cs="Times New Roman"/>
                <w:noProof/>
                <w:webHidden/>
                <w:sz w:val="22"/>
              </w:rPr>
              <w:instrText xml:space="preserve"> PAGEREF _Toc232119792 \h </w:instrText>
            </w:r>
            <w:r w:rsidRPr="00A07343">
              <w:rPr>
                <w:rFonts w:ascii="Times New Roman" w:hAnsi="Times New Roman" w:cs="Times New Roman"/>
                <w:noProof/>
                <w:webHidden/>
                <w:sz w:val="22"/>
              </w:rPr>
            </w:r>
            <w:r w:rsidRPr="00A07343">
              <w:rPr>
                <w:rFonts w:ascii="Times New Roman" w:hAnsi="Times New Roman" w:cs="Times New Roman"/>
                <w:noProof/>
                <w:webHidden/>
                <w:sz w:val="22"/>
              </w:rPr>
              <w:fldChar w:fldCharType="separate"/>
            </w:r>
            <w:r w:rsidRPr="00A07343">
              <w:rPr>
                <w:rFonts w:ascii="Times New Roman" w:hAnsi="Times New Roman" w:cs="Times New Roman"/>
                <w:noProof/>
                <w:webHidden/>
                <w:sz w:val="22"/>
              </w:rPr>
              <w:t>13</w:t>
            </w:r>
            <w:r w:rsidRPr="00A07343">
              <w:rPr>
                <w:rFonts w:ascii="Times New Roman" w:hAnsi="Times New Roman" w:cs="Times New Roman"/>
                <w:noProof/>
                <w:webHidden/>
                <w:sz w:val="22"/>
              </w:rPr>
              <w:fldChar w:fldCharType="end"/>
            </w:r>
          </w:hyperlink>
        </w:p>
        <w:p w14:paraId="62FC9144" w14:textId="7698456A" w:rsidR="00A07343" w:rsidRPr="00A07343" w:rsidRDefault="00A07343" w:rsidP="00A07343">
          <w:pPr>
            <w:pStyle w:val="TOC1"/>
            <w:tabs>
              <w:tab w:val="right" w:leader="dot" w:pos="9350"/>
            </w:tabs>
            <w:spacing w:line="276" w:lineRule="auto"/>
            <w:rPr>
              <w:rFonts w:ascii="Times New Roman" w:eastAsiaTheme="minorEastAsia" w:hAnsi="Times New Roman" w:cs="Times New Roman"/>
              <w:b w:val="0"/>
              <w:bCs w:val="0"/>
              <w:noProof/>
              <w:kern w:val="0"/>
              <w:sz w:val="24"/>
              <w:szCs w:val="22"/>
              <w14:ligatures w14:val="none"/>
            </w:rPr>
          </w:pPr>
          <w:hyperlink w:anchor="_Toc232119793" w:history="1">
            <w:r w:rsidRPr="00A07343">
              <w:rPr>
                <w:rStyle w:val="Hyperlink"/>
                <w:rFonts w:ascii="Times New Roman" w:hAnsi="Times New Roman" w:cs="Times New Roman"/>
                <w:noProof/>
                <w:sz w:val="22"/>
              </w:rPr>
              <w:t>References</w:t>
            </w:r>
            <w:r w:rsidRPr="00A07343">
              <w:rPr>
                <w:rFonts w:ascii="Times New Roman" w:hAnsi="Times New Roman" w:cs="Times New Roman"/>
                <w:noProof/>
                <w:webHidden/>
                <w:sz w:val="22"/>
              </w:rPr>
              <w:tab/>
            </w:r>
            <w:r w:rsidRPr="00A07343">
              <w:rPr>
                <w:rFonts w:ascii="Times New Roman" w:hAnsi="Times New Roman" w:cs="Times New Roman"/>
                <w:noProof/>
                <w:webHidden/>
                <w:sz w:val="22"/>
              </w:rPr>
              <w:fldChar w:fldCharType="begin"/>
            </w:r>
            <w:r w:rsidRPr="00A07343">
              <w:rPr>
                <w:rFonts w:ascii="Times New Roman" w:hAnsi="Times New Roman" w:cs="Times New Roman"/>
                <w:noProof/>
                <w:webHidden/>
                <w:sz w:val="22"/>
              </w:rPr>
              <w:instrText xml:space="preserve"> PAGEREF _Toc232119793 \h </w:instrText>
            </w:r>
            <w:r w:rsidRPr="00A07343">
              <w:rPr>
                <w:rFonts w:ascii="Times New Roman" w:hAnsi="Times New Roman" w:cs="Times New Roman"/>
                <w:noProof/>
                <w:webHidden/>
                <w:sz w:val="22"/>
              </w:rPr>
            </w:r>
            <w:r w:rsidRPr="00A07343">
              <w:rPr>
                <w:rFonts w:ascii="Times New Roman" w:hAnsi="Times New Roman" w:cs="Times New Roman"/>
                <w:noProof/>
                <w:webHidden/>
                <w:sz w:val="22"/>
              </w:rPr>
              <w:fldChar w:fldCharType="separate"/>
            </w:r>
            <w:r w:rsidRPr="00A07343">
              <w:rPr>
                <w:rFonts w:ascii="Times New Roman" w:hAnsi="Times New Roman" w:cs="Times New Roman"/>
                <w:noProof/>
                <w:webHidden/>
                <w:sz w:val="22"/>
              </w:rPr>
              <w:t>15</w:t>
            </w:r>
            <w:r w:rsidRPr="00A07343">
              <w:rPr>
                <w:rFonts w:ascii="Times New Roman" w:hAnsi="Times New Roman" w:cs="Times New Roman"/>
                <w:noProof/>
                <w:webHidden/>
                <w:sz w:val="22"/>
              </w:rPr>
              <w:fldChar w:fldCharType="end"/>
            </w:r>
          </w:hyperlink>
        </w:p>
        <w:p w14:paraId="36B31A64" w14:textId="05E49AA6" w:rsidR="00D168CE" w:rsidRPr="00A07343" w:rsidRDefault="00F55819" w:rsidP="00A07343">
          <w:pPr>
            <w:pStyle w:val="TOC1"/>
            <w:tabs>
              <w:tab w:val="right" w:leader="dot" w:pos="9359"/>
            </w:tabs>
            <w:spacing w:line="276" w:lineRule="auto"/>
            <w:rPr>
              <w:rFonts w:ascii="Times New Roman" w:hAnsi="Times New Roman" w:cs="Times New Roman"/>
              <w:sz w:val="22"/>
            </w:rPr>
          </w:pPr>
          <w:r w:rsidRPr="00A07343">
            <w:rPr>
              <w:rStyle w:val="IndexLink"/>
              <w:rFonts w:ascii="Times New Roman" w:hAnsi="Times New Roman" w:cs="Times New Roman"/>
              <w:sz w:val="22"/>
            </w:rPr>
            <w:fldChar w:fldCharType="end"/>
          </w:r>
        </w:p>
      </w:sdtContent>
    </w:sdt>
    <w:p w14:paraId="10083C08" w14:textId="77777777" w:rsidR="00D168CE" w:rsidRPr="00A07343" w:rsidRDefault="00F55819">
      <w:pPr>
        <w:rPr>
          <w:rFonts w:eastAsiaTheme="majorEastAsia"/>
          <w:b/>
          <w:color w:val="000000" w:themeColor="text1"/>
        </w:rPr>
      </w:pPr>
      <w:r w:rsidRPr="00A07343">
        <w:br w:type="page"/>
      </w:r>
    </w:p>
    <w:p w14:paraId="26F3C03F" w14:textId="77777777" w:rsidR="00D168CE" w:rsidRPr="00A07343" w:rsidRDefault="00F55819">
      <w:pPr>
        <w:pStyle w:val="Heading1"/>
        <w:spacing w:before="0" w:line="360" w:lineRule="auto"/>
        <w:jc w:val="both"/>
        <w:rPr>
          <w:rFonts w:cs="Times New Roman"/>
          <w:szCs w:val="24"/>
        </w:rPr>
      </w:pPr>
      <w:bookmarkStart w:id="0" w:name="_Toc232083960"/>
      <w:bookmarkStart w:id="1" w:name="_Toc232119779"/>
      <w:r w:rsidRPr="00A07343">
        <w:rPr>
          <w:rFonts w:cs="Times New Roman"/>
          <w:szCs w:val="24"/>
        </w:rPr>
        <w:lastRenderedPageBreak/>
        <w:t>TASK A: Socialisation, Identity and Business Activism at Helios Urban Mobility</w:t>
      </w:r>
      <w:bookmarkEnd w:id="0"/>
      <w:bookmarkEnd w:id="1"/>
    </w:p>
    <w:p w14:paraId="7022F358" w14:textId="77777777" w:rsidR="00D168CE" w:rsidRPr="00A07343" w:rsidRDefault="00F55819">
      <w:pPr>
        <w:pStyle w:val="Heading2"/>
        <w:spacing w:line="360" w:lineRule="auto"/>
        <w:jc w:val="both"/>
        <w:rPr>
          <w:rFonts w:cs="Times New Roman"/>
          <w:szCs w:val="24"/>
        </w:rPr>
      </w:pPr>
      <w:bookmarkStart w:id="2" w:name="_Toc232083961"/>
      <w:bookmarkStart w:id="3" w:name="_Toc232119780"/>
      <w:r w:rsidRPr="00A07343">
        <w:rPr>
          <w:rFonts w:cs="Times New Roman"/>
          <w:szCs w:val="24"/>
        </w:rPr>
        <w:t>From Onboarding to Strategic Socialisation</w:t>
      </w:r>
      <w:bookmarkEnd w:id="2"/>
      <w:bookmarkEnd w:id="3"/>
    </w:p>
    <w:p w14:paraId="07DE7B98" w14:textId="77777777" w:rsidR="00D168CE" w:rsidRPr="00A07343" w:rsidRDefault="00F55819">
      <w:pPr>
        <w:spacing w:line="360" w:lineRule="auto"/>
        <w:jc w:val="both"/>
        <w:rPr>
          <w:color w:val="000000"/>
          <w:kern w:val="0"/>
        </w:rPr>
      </w:pPr>
      <w:r w:rsidRPr="00A07343">
        <w:rPr>
          <w:color w:val="000000"/>
          <w:kern w:val="0"/>
        </w:rPr>
        <w:t>Helios Urban Mobility should not focus on socialisation solely for HR's welcome party. Typical onboarding provides new employees with contracts, policies, systems access and initial information about their roles. That's a soft way to go about it if you are HUM, as the firm has an 8-month ramp-up period, and a 54% engagement and graduate attrition rate implies that new hires are coming on board the payroll but not as insiders. Strategic organisational socialisation is better managed over time with respect to learning, identity, relationships, and ethical judgment. Van Maanen and Schein's strategy is helpful because HUM requires collective, formal, sequential, fixed, serial and investiture routes, which minimise uncertainty and maintain entrepreneurial confidence (Bauer et al., 2025). The model should not be a "one size fits all". In an AI mobility start-up, newcomers require proactive agency, as team affiliation and social validation have been found to shape identity (Awan et al., 2025). The psychological contract theory shall be equally significant. HUM must make credible promises of learning, impact on the city, ethical AI, and career progression, then follow them up with manager behaviour, since relational contracts are stronger in building commitment than transactional contracts (</w:t>
      </w:r>
      <w:proofErr w:type="spellStart"/>
      <w:r w:rsidRPr="00A07343">
        <w:rPr>
          <w:color w:val="000000"/>
          <w:kern w:val="0"/>
        </w:rPr>
        <w:t>Fantinelli</w:t>
      </w:r>
      <w:proofErr w:type="spellEnd"/>
      <w:r w:rsidRPr="00A07343">
        <w:rPr>
          <w:color w:val="000000"/>
          <w:kern w:val="0"/>
        </w:rPr>
        <w:t xml:space="preserve"> et al., 2023).</w:t>
      </w:r>
    </w:p>
    <w:p w14:paraId="7D383D06" w14:textId="77777777" w:rsidR="00D168CE" w:rsidRPr="00A07343" w:rsidRDefault="00F55819">
      <w:pPr>
        <w:spacing w:before="160" w:after="40"/>
        <w:jc w:val="center"/>
      </w:pPr>
      <w:r w:rsidRPr="00A07343">
        <w:rPr>
          <w:noProof/>
        </w:rPr>
        <w:drawing>
          <wp:inline distT="0" distB="0" distL="0" distR="0" wp14:anchorId="20E24D2D" wp14:editId="50B00A39">
            <wp:extent cx="5669280" cy="3134995"/>
            <wp:effectExtent l="12700" t="12700" r="7620" b="14605"/>
            <wp:docPr id="1" name="Picture 1" descr="Figure 1: Socialisation shift." title="Figure 1: Socialisation shif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Figure 1: Socialisation shift." title="Figure 1: Socialisation shift."/>
                    <pic:cNvPicPr>
                      <a:picLocks noChangeAspect="1" noChangeArrowheads="1"/>
                    </pic:cNvPicPr>
                  </pic:nvPicPr>
                  <pic:blipFill>
                    <a:blip r:embed="rId8"/>
                    <a:stretch>
                      <a:fillRect/>
                    </a:stretch>
                  </pic:blipFill>
                  <pic:spPr bwMode="auto">
                    <a:xfrm>
                      <a:off x="0" y="0"/>
                      <a:ext cx="5669280" cy="3134995"/>
                    </a:xfrm>
                    <a:prstGeom prst="rect">
                      <a:avLst/>
                    </a:prstGeom>
                    <a:noFill/>
                    <a:ln>
                      <a:solidFill>
                        <a:schemeClr val="tx1"/>
                      </a:solidFill>
                    </a:ln>
                  </pic:spPr>
                </pic:pic>
              </a:graphicData>
            </a:graphic>
          </wp:inline>
        </w:drawing>
      </w:r>
    </w:p>
    <w:p w14:paraId="718A01F8" w14:textId="77777777" w:rsidR="00D168CE" w:rsidRPr="00A07343" w:rsidRDefault="00F55819">
      <w:pPr>
        <w:spacing w:after="160"/>
        <w:jc w:val="center"/>
        <w:rPr>
          <w:b/>
          <w:bCs/>
        </w:rPr>
      </w:pPr>
      <w:r w:rsidRPr="00A07343">
        <w:rPr>
          <w:b/>
          <w:bCs/>
          <w:i/>
          <w:sz w:val="18"/>
        </w:rPr>
        <w:t>Figure 1: Socialisation shift.</w:t>
      </w:r>
    </w:p>
    <w:p w14:paraId="567A6B6C" w14:textId="77777777" w:rsidR="00D168CE" w:rsidRPr="00A07343" w:rsidRDefault="00F55819">
      <w:pPr>
        <w:pStyle w:val="Heading2"/>
        <w:spacing w:line="360" w:lineRule="auto"/>
        <w:jc w:val="both"/>
        <w:rPr>
          <w:rFonts w:cs="Times New Roman"/>
          <w:szCs w:val="24"/>
        </w:rPr>
      </w:pPr>
      <w:bookmarkStart w:id="4" w:name="_Toc232083962"/>
      <w:bookmarkStart w:id="5" w:name="_Toc232119781"/>
      <w:r w:rsidRPr="00A07343">
        <w:rPr>
          <w:rFonts w:cs="Times New Roman"/>
          <w:szCs w:val="24"/>
        </w:rPr>
        <w:lastRenderedPageBreak/>
        <w:t>Helios Socialisation Architecture: Pre-Boarding to Day 90</w:t>
      </w:r>
      <w:bookmarkEnd w:id="4"/>
      <w:bookmarkEnd w:id="5"/>
    </w:p>
    <w:p w14:paraId="3177F077" w14:textId="77777777" w:rsidR="00D168CE" w:rsidRPr="00A07343" w:rsidRDefault="00F55819">
      <w:pPr>
        <w:spacing w:line="360" w:lineRule="auto"/>
        <w:jc w:val="both"/>
        <w:rPr>
          <w:color w:val="000000"/>
          <w:kern w:val="0"/>
        </w:rPr>
      </w:pPr>
      <w:r w:rsidRPr="00A07343">
        <w:rPr>
          <w:color w:val="000000"/>
          <w:kern w:val="0"/>
        </w:rPr>
        <w:t>The proposed system should start before Day One by introducing a Helios City Impact Pre-Boarding Portal. Every participant should be provided a “mission contract” that indicates how their contribution relates to improved transport safety, reductions in emissions and city-government outcomes. This will include a manager video, an ethical AI primer, a graduate pathway map and a stakeholder case from London, Berlin or Singapore. This is important because organisational identification is not only achieved by formal training, but also by reputation, value fit, managerial practices and interpersonal interaction (Weisman et al., 2023). In the first 90 days, HUM should conduct a cohort-based Mobility Citizen Bootcamp during the first 90 days. Product architecture, public-sector procurement, data privacy and safety and inclusive mobility should be covered in week one. Weeks 2-6 should cycle people in engineering, analytics, client delivery, and customer success. On day 30, each entrant is required to do a ‘city problem diagnosis'. They should be added to a live squad by day 60. They will produce a learning review by Day 90 and give it to the managers and buddies. This forms early networks, which are crucial as remote and hybrid newcomers may not be fully integrated after months (Yu et al., 2023).</w:t>
      </w:r>
    </w:p>
    <w:p w14:paraId="6150E417" w14:textId="77777777" w:rsidR="00D168CE" w:rsidRPr="00A07343" w:rsidRDefault="00F55819">
      <w:pPr>
        <w:spacing w:before="160" w:after="40"/>
        <w:jc w:val="center"/>
      </w:pPr>
      <w:r w:rsidRPr="00A07343">
        <w:rPr>
          <w:noProof/>
        </w:rPr>
        <w:drawing>
          <wp:inline distT="0" distB="0" distL="0" distR="0" wp14:anchorId="2FFC3F1D" wp14:editId="3E625CFD">
            <wp:extent cx="5669280" cy="3134995"/>
            <wp:effectExtent l="12700" t="12700" r="7620" b="14605"/>
            <wp:docPr id="2" name="Picture 2" descr="Figure 2: Day 90 pathway." title="Figure 2: Day 90 path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Figure 2: Day 90 pathway." title="Figure 2: Day 90 pathway."/>
                    <pic:cNvPicPr>
                      <a:picLocks noChangeAspect="1" noChangeArrowheads="1"/>
                    </pic:cNvPicPr>
                  </pic:nvPicPr>
                  <pic:blipFill>
                    <a:blip r:embed="rId9"/>
                    <a:stretch>
                      <a:fillRect/>
                    </a:stretch>
                  </pic:blipFill>
                  <pic:spPr bwMode="auto">
                    <a:xfrm>
                      <a:off x="0" y="0"/>
                      <a:ext cx="5669280" cy="3134995"/>
                    </a:xfrm>
                    <a:prstGeom prst="rect">
                      <a:avLst/>
                    </a:prstGeom>
                    <a:noFill/>
                    <a:ln>
                      <a:solidFill>
                        <a:schemeClr val="tx1"/>
                      </a:solidFill>
                    </a:ln>
                  </pic:spPr>
                </pic:pic>
              </a:graphicData>
            </a:graphic>
          </wp:inline>
        </w:drawing>
      </w:r>
    </w:p>
    <w:p w14:paraId="774B1E8B" w14:textId="77777777" w:rsidR="00D168CE" w:rsidRPr="00A07343" w:rsidRDefault="00F55819">
      <w:pPr>
        <w:spacing w:after="160"/>
        <w:jc w:val="center"/>
        <w:rPr>
          <w:b/>
          <w:bCs/>
        </w:rPr>
      </w:pPr>
      <w:r w:rsidRPr="00A07343">
        <w:rPr>
          <w:b/>
          <w:bCs/>
          <w:i/>
          <w:sz w:val="18"/>
        </w:rPr>
        <w:t>Figure 2: Day 90 pathway.</w:t>
      </w:r>
    </w:p>
    <w:p w14:paraId="17DFB2AF" w14:textId="77777777" w:rsidR="00D168CE" w:rsidRPr="00A07343" w:rsidRDefault="00F55819">
      <w:pPr>
        <w:pStyle w:val="Heading2"/>
        <w:spacing w:line="360" w:lineRule="auto"/>
        <w:jc w:val="both"/>
        <w:rPr>
          <w:rFonts w:cs="Times New Roman"/>
          <w:szCs w:val="24"/>
        </w:rPr>
      </w:pPr>
      <w:bookmarkStart w:id="6" w:name="_Toc232083963"/>
      <w:bookmarkStart w:id="7" w:name="_Toc232119782"/>
      <w:r w:rsidRPr="00A07343">
        <w:rPr>
          <w:rFonts w:cs="Times New Roman"/>
          <w:szCs w:val="24"/>
        </w:rPr>
        <w:lastRenderedPageBreak/>
        <w:t>Year-One Integration and Retention Logic</w:t>
      </w:r>
      <w:bookmarkEnd w:id="6"/>
      <w:bookmarkEnd w:id="7"/>
    </w:p>
    <w:p w14:paraId="7BD6A489" w14:textId="77777777" w:rsidR="00D168CE" w:rsidRPr="00A07343" w:rsidRDefault="00F55819">
      <w:pPr>
        <w:spacing w:line="360" w:lineRule="auto"/>
        <w:jc w:val="both"/>
        <w:rPr>
          <w:color w:val="000000"/>
          <w:kern w:val="0"/>
        </w:rPr>
      </w:pPr>
      <w:r w:rsidRPr="00A07343">
        <w:rPr>
          <w:color w:val="000000"/>
          <w:kern w:val="0"/>
        </w:rPr>
        <w:t>The first year period should turn adjustment into commitment. HUM must develop four quarterly renewal sprints for new entrants: product mastery, ethical deployment, stakeholder value, and contribution to innovation. In every sprint, include a technical milestone, include a customer problem, include a reflection log, and include a career conversation. The goal is to shorten the ramp-up from 8 months to 4.5 months in one year, increase engagement from 54% to 65%, and maintain high-potential graduate retention under 15%. These targets are justified, as global employee engagement hit just 20% in 2025, and only 12% of employees in Europe reported feeling engaged with their employers (Gallup, 2026). Disruption risks also exist in HUM, with 22% of jobs projected to be at risk by 2030 and 170 million jobs at risk, with 92 million being displaced (World Economic Forum, 2026). Hence, year-one socialisation needs to incorporate learning credits, internal gigs, mentoring round tables and a noticeable graduate progression board. Instead of attendance, the measure of career development should be internal movement, leadership skills, and participation in learning (LinkedIn Learning, 2025).</w:t>
      </w:r>
    </w:p>
    <w:p w14:paraId="7473081D" w14:textId="77777777" w:rsidR="00D168CE" w:rsidRPr="00A07343" w:rsidRDefault="00F55819">
      <w:pPr>
        <w:spacing w:before="160" w:after="40"/>
        <w:jc w:val="center"/>
      </w:pPr>
      <w:r w:rsidRPr="00A07343">
        <w:rPr>
          <w:noProof/>
        </w:rPr>
        <w:drawing>
          <wp:inline distT="0" distB="0" distL="0" distR="0" wp14:anchorId="632C3A04" wp14:editId="436D8204">
            <wp:extent cx="5669280" cy="3134995"/>
            <wp:effectExtent l="12700" t="12700" r="7620" b="14605"/>
            <wp:docPr id="3" name="Picture 3" descr="Figure 3: Year-one sprints." title="Figure 3: Year-one sprin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Figure 3: Year-one sprints." title="Figure 3: Year-one sprints."/>
                    <pic:cNvPicPr>
                      <a:picLocks noChangeAspect="1" noChangeArrowheads="1"/>
                    </pic:cNvPicPr>
                  </pic:nvPicPr>
                  <pic:blipFill>
                    <a:blip r:embed="rId10"/>
                    <a:stretch>
                      <a:fillRect/>
                    </a:stretch>
                  </pic:blipFill>
                  <pic:spPr bwMode="auto">
                    <a:xfrm>
                      <a:off x="0" y="0"/>
                      <a:ext cx="5669280" cy="3134995"/>
                    </a:xfrm>
                    <a:prstGeom prst="rect">
                      <a:avLst/>
                    </a:prstGeom>
                    <a:noFill/>
                    <a:ln>
                      <a:solidFill>
                        <a:schemeClr val="tx1"/>
                      </a:solidFill>
                    </a:ln>
                  </pic:spPr>
                </pic:pic>
              </a:graphicData>
            </a:graphic>
          </wp:inline>
        </w:drawing>
      </w:r>
    </w:p>
    <w:p w14:paraId="7C0B3366" w14:textId="77777777" w:rsidR="00D168CE" w:rsidRPr="00A07343" w:rsidRDefault="00F55819">
      <w:pPr>
        <w:spacing w:after="160"/>
        <w:jc w:val="center"/>
        <w:rPr>
          <w:b/>
          <w:bCs/>
        </w:rPr>
      </w:pPr>
      <w:r w:rsidRPr="00A07343">
        <w:rPr>
          <w:b/>
          <w:bCs/>
          <w:i/>
          <w:sz w:val="18"/>
        </w:rPr>
        <w:t>Figure 3: Year-one sprints.</w:t>
      </w:r>
    </w:p>
    <w:p w14:paraId="54BFBB6D" w14:textId="77777777" w:rsidR="00D168CE" w:rsidRPr="00A07343" w:rsidRDefault="00F55819">
      <w:pPr>
        <w:pStyle w:val="Heading2"/>
        <w:spacing w:line="360" w:lineRule="auto"/>
        <w:jc w:val="both"/>
        <w:rPr>
          <w:rFonts w:cs="Times New Roman"/>
          <w:szCs w:val="24"/>
        </w:rPr>
      </w:pPr>
      <w:bookmarkStart w:id="8" w:name="_Toc232083964"/>
      <w:bookmarkStart w:id="9" w:name="_Toc232119783"/>
      <w:r w:rsidRPr="00A07343">
        <w:rPr>
          <w:rFonts w:cs="Times New Roman"/>
          <w:szCs w:val="24"/>
        </w:rPr>
        <w:t>Identification and Ethical Professionalism</w:t>
      </w:r>
      <w:bookmarkEnd w:id="8"/>
      <w:bookmarkEnd w:id="9"/>
    </w:p>
    <w:p w14:paraId="5A8629AD" w14:textId="77777777" w:rsidR="00D168CE" w:rsidRPr="00A07343" w:rsidRDefault="00F55819">
      <w:pPr>
        <w:spacing w:line="360" w:lineRule="auto"/>
        <w:jc w:val="both"/>
        <w:rPr>
          <w:color w:val="000000"/>
          <w:kern w:val="0"/>
        </w:rPr>
      </w:pPr>
      <w:r w:rsidRPr="00A07343">
        <w:rPr>
          <w:color w:val="000000"/>
          <w:kern w:val="0"/>
        </w:rPr>
        <w:t xml:space="preserve">HUM should cultivate organisational identification through a Helios Citizen Identity System. This should brand the desired citizen as technically competent, public-value oriented, safety-minded </w:t>
      </w:r>
      <w:r w:rsidRPr="00A07343">
        <w:rPr>
          <w:color w:val="000000"/>
          <w:kern w:val="0"/>
        </w:rPr>
        <w:lastRenderedPageBreak/>
        <w:t>and challenging bad decisions. Founder stories, city-client immersion, rituals on successful deployments and peer recognition for cross-site collaboration should be strengthened through identification. The identification has to be balanced: too much identification leads to silence, conformity, and extensive working. Therefore, ‘constructive dissent' should be part of HUM performance reviews. When social support and identity reinforce one another over time, then organisational identification improves engagement (</w:t>
      </w:r>
      <w:proofErr w:type="spellStart"/>
      <w:r w:rsidRPr="00A07343">
        <w:rPr>
          <w:color w:val="000000"/>
          <w:kern w:val="0"/>
        </w:rPr>
        <w:t>Simbula</w:t>
      </w:r>
      <w:proofErr w:type="spellEnd"/>
      <w:r w:rsidRPr="00A07343">
        <w:rPr>
          <w:color w:val="000000"/>
          <w:kern w:val="0"/>
        </w:rPr>
        <w:t xml:space="preserve"> et al., 2023). Ethical professionalism needs to be ingrained through required Responsible Mobility Clinics reviewing issues of AI bias, surveillance risk, accessibility, safety and procurement integrity. It is crucial, as only 47% of the employees worldwide report that they have received training on AI usage, and 57% report that AI is helping them present work that they did not create as their own (Gillespie et al., 2025). HUM's AI governance model should include external regulation, organisational controls, and system-level lifecycle reviews (</w:t>
      </w:r>
      <w:proofErr w:type="spellStart"/>
      <w:r w:rsidRPr="00A07343">
        <w:rPr>
          <w:color w:val="000000"/>
          <w:kern w:val="0"/>
        </w:rPr>
        <w:t>Mäntymäki</w:t>
      </w:r>
      <w:proofErr w:type="spellEnd"/>
      <w:r w:rsidRPr="00A07343">
        <w:rPr>
          <w:color w:val="000000"/>
          <w:kern w:val="0"/>
        </w:rPr>
        <w:t xml:space="preserve"> et al., 2022). Ethical leadership should also be measured since it fosters engagement by way of value congruence and identification (Lorenz, 2025).</w:t>
      </w:r>
    </w:p>
    <w:p w14:paraId="67F9ACF5" w14:textId="77777777" w:rsidR="00D168CE" w:rsidRPr="00A07343" w:rsidRDefault="00F55819">
      <w:pPr>
        <w:spacing w:before="160" w:after="40"/>
        <w:jc w:val="center"/>
      </w:pPr>
      <w:r w:rsidRPr="00A07343">
        <w:rPr>
          <w:noProof/>
        </w:rPr>
        <w:drawing>
          <wp:inline distT="0" distB="0" distL="0" distR="0" wp14:anchorId="3A364D4C" wp14:editId="360A8788">
            <wp:extent cx="5669280" cy="3134995"/>
            <wp:effectExtent l="12700" t="12700" r="7620" b="14605"/>
            <wp:docPr id="4" name="Picture 4" descr="Figure 4: Ethical identity balance." title="Figure 4: Ethical identity bala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Figure 4: Ethical identity balance." title="Figure 4: Ethical identity balance."/>
                    <pic:cNvPicPr>
                      <a:picLocks noChangeAspect="1" noChangeArrowheads="1"/>
                    </pic:cNvPicPr>
                  </pic:nvPicPr>
                  <pic:blipFill>
                    <a:blip r:embed="rId11"/>
                    <a:stretch>
                      <a:fillRect/>
                    </a:stretch>
                  </pic:blipFill>
                  <pic:spPr bwMode="auto">
                    <a:xfrm>
                      <a:off x="0" y="0"/>
                      <a:ext cx="5669280" cy="3134995"/>
                    </a:xfrm>
                    <a:prstGeom prst="rect">
                      <a:avLst/>
                    </a:prstGeom>
                    <a:noFill/>
                    <a:ln>
                      <a:solidFill>
                        <a:schemeClr val="tx1"/>
                      </a:solidFill>
                    </a:ln>
                  </pic:spPr>
                </pic:pic>
              </a:graphicData>
            </a:graphic>
          </wp:inline>
        </w:drawing>
      </w:r>
    </w:p>
    <w:p w14:paraId="706D2E68" w14:textId="77777777" w:rsidR="00D168CE" w:rsidRPr="00A07343" w:rsidRDefault="00F55819">
      <w:pPr>
        <w:spacing w:after="160"/>
        <w:jc w:val="center"/>
        <w:rPr>
          <w:b/>
          <w:bCs/>
        </w:rPr>
      </w:pPr>
      <w:r w:rsidRPr="00A07343">
        <w:rPr>
          <w:b/>
          <w:bCs/>
          <w:i/>
          <w:sz w:val="18"/>
        </w:rPr>
        <w:t>Figure 4: Ethical identity balance.</w:t>
      </w:r>
    </w:p>
    <w:p w14:paraId="279A5234" w14:textId="77777777" w:rsidR="00D168CE" w:rsidRPr="00A07343" w:rsidRDefault="00F55819">
      <w:pPr>
        <w:pStyle w:val="Heading2"/>
        <w:spacing w:line="360" w:lineRule="auto"/>
        <w:jc w:val="both"/>
        <w:rPr>
          <w:rFonts w:cs="Times New Roman"/>
          <w:szCs w:val="24"/>
        </w:rPr>
      </w:pPr>
      <w:bookmarkStart w:id="10" w:name="_Toc232083965"/>
      <w:bookmarkStart w:id="11" w:name="_Toc232119784"/>
      <w:r w:rsidRPr="00A07343">
        <w:rPr>
          <w:rFonts w:cs="Times New Roman"/>
          <w:szCs w:val="24"/>
        </w:rPr>
        <w:t>Building the Business Activist Mindset</w:t>
      </w:r>
      <w:bookmarkEnd w:id="10"/>
      <w:bookmarkEnd w:id="11"/>
    </w:p>
    <w:p w14:paraId="6650697C" w14:textId="77777777" w:rsidR="00D168CE" w:rsidRPr="00A07343" w:rsidRDefault="00F55819">
      <w:pPr>
        <w:spacing w:line="360" w:lineRule="auto"/>
        <w:jc w:val="both"/>
        <w:rPr>
          <w:color w:val="000000"/>
          <w:kern w:val="0"/>
        </w:rPr>
      </w:pPr>
      <w:r w:rsidRPr="00A07343">
        <w:rPr>
          <w:color w:val="000000"/>
          <w:kern w:val="0"/>
        </w:rPr>
        <w:t xml:space="preserve">The last layer is the “business activist” mindset. In HUM, this involves more than just getting tasks done; employee’s complete tasks. They are making a strong link between AI mobility work and city outcomes, commercial discipline, climate responsibility and public trust. The HR business </w:t>
      </w:r>
      <w:r w:rsidRPr="00A07343">
        <w:rPr>
          <w:color w:val="000000"/>
          <w:kern w:val="0"/>
        </w:rPr>
        <w:lastRenderedPageBreak/>
        <w:t>partner evolution also aligns with this transformation, as HR must produce value for stakeholders by leveraging human capability, not only by managing people processes (Ulrich, 2024). HUM needs to implement this in the context of stakeholder capitalism routines. Each new employee should make one rotation with a city stakeholder, one ethics challenge, one case on customer value, and one reflection on a board-facing metric in year one. There should be a Human Capital Renewal Dashboard to monitor ramp-up speed, graduate retention, engagement, ethical incident reporting, learning hours, internal mobility and client impact. According to Deloitte's ‘AI-enabled change’ study of over 9,000 leaders in 89 countries, organisations now require work redesign, culture and governance to manage change effectively enabled by AI (Deloitte, 2026). Randstad also discovered that 95% of employers believe that the economy will grow in 2026, whilst 51% of workers do not. This gap in belief can only be closed by trust and manager stability, and agency (Randstad, 2026). This architecture translates socialisation into strategic renewal.</w:t>
      </w:r>
    </w:p>
    <w:p w14:paraId="35EB96A9" w14:textId="77777777" w:rsidR="00D168CE" w:rsidRPr="00A07343" w:rsidRDefault="00F55819">
      <w:pPr>
        <w:spacing w:before="160" w:after="40"/>
        <w:jc w:val="center"/>
      </w:pPr>
      <w:r w:rsidRPr="00A07343">
        <w:rPr>
          <w:noProof/>
        </w:rPr>
        <w:drawing>
          <wp:inline distT="0" distB="0" distL="0" distR="0" wp14:anchorId="47B28B43" wp14:editId="4FEE26AC">
            <wp:extent cx="5669280" cy="3134995"/>
            <wp:effectExtent l="12700" t="12700" r="7620" b="14605"/>
            <wp:docPr id="5" name="Picture 5" descr="Figure 5: Renewal dashboard." title="Figure 5: Renewal dashboar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Figure 5: Renewal dashboard." title="Figure 5: Renewal dashboard."/>
                    <pic:cNvPicPr>
                      <a:picLocks noChangeAspect="1" noChangeArrowheads="1"/>
                    </pic:cNvPicPr>
                  </pic:nvPicPr>
                  <pic:blipFill>
                    <a:blip r:embed="rId12"/>
                    <a:stretch>
                      <a:fillRect/>
                    </a:stretch>
                  </pic:blipFill>
                  <pic:spPr bwMode="auto">
                    <a:xfrm>
                      <a:off x="0" y="0"/>
                      <a:ext cx="5669280" cy="3134995"/>
                    </a:xfrm>
                    <a:prstGeom prst="rect">
                      <a:avLst/>
                    </a:prstGeom>
                    <a:noFill/>
                    <a:ln>
                      <a:solidFill>
                        <a:schemeClr val="tx1"/>
                      </a:solidFill>
                    </a:ln>
                  </pic:spPr>
                </pic:pic>
              </a:graphicData>
            </a:graphic>
          </wp:inline>
        </w:drawing>
      </w:r>
    </w:p>
    <w:p w14:paraId="29FF985A" w14:textId="77777777" w:rsidR="00D168CE" w:rsidRPr="00A07343" w:rsidRDefault="00F55819">
      <w:pPr>
        <w:spacing w:after="160"/>
        <w:jc w:val="center"/>
        <w:rPr>
          <w:b/>
          <w:bCs/>
        </w:rPr>
      </w:pPr>
      <w:r w:rsidRPr="00A07343">
        <w:rPr>
          <w:b/>
          <w:bCs/>
          <w:i/>
          <w:sz w:val="18"/>
        </w:rPr>
        <w:t>Figure 5: Renewal dashboard.</w:t>
      </w:r>
    </w:p>
    <w:p w14:paraId="4D848F0F" w14:textId="77777777" w:rsidR="00D168CE" w:rsidRPr="00A07343" w:rsidRDefault="00F55819">
      <w:pPr>
        <w:pStyle w:val="Heading1"/>
        <w:spacing w:line="360" w:lineRule="auto"/>
        <w:jc w:val="both"/>
        <w:rPr>
          <w:rFonts w:cs="Times New Roman"/>
          <w:szCs w:val="24"/>
        </w:rPr>
      </w:pPr>
      <w:bookmarkStart w:id="12" w:name="_Toc232083966"/>
      <w:bookmarkStart w:id="13" w:name="_Toc232119785"/>
      <w:r w:rsidRPr="00A07343">
        <w:rPr>
          <w:rFonts w:cs="Times New Roman"/>
          <w:szCs w:val="24"/>
        </w:rPr>
        <w:t>TASK B: Job Design Strategy for Helios Urban Mobility</w:t>
      </w:r>
      <w:bookmarkEnd w:id="12"/>
      <w:bookmarkEnd w:id="13"/>
    </w:p>
    <w:p w14:paraId="71710E89" w14:textId="77777777" w:rsidR="00D168CE" w:rsidRPr="00A07343" w:rsidRDefault="00F55819">
      <w:pPr>
        <w:pStyle w:val="Heading2"/>
        <w:rPr>
          <w:rFonts w:cs="Times New Roman"/>
        </w:rPr>
      </w:pPr>
      <w:bookmarkStart w:id="14" w:name="_Toc232083967"/>
      <w:bookmarkStart w:id="15" w:name="_Toc232119786"/>
      <w:r w:rsidRPr="00A07343">
        <w:rPr>
          <w:rFonts w:cs="Times New Roman"/>
        </w:rPr>
        <w:t>Modular Mission-Based Job Design</w:t>
      </w:r>
      <w:bookmarkEnd w:id="14"/>
      <w:bookmarkEnd w:id="15"/>
    </w:p>
    <w:p w14:paraId="194780AD" w14:textId="77777777" w:rsidR="00D168CE" w:rsidRPr="00A07343" w:rsidRDefault="00F55819">
      <w:pPr>
        <w:spacing w:line="360" w:lineRule="auto"/>
        <w:jc w:val="both"/>
        <w:rPr>
          <w:color w:val="000000"/>
          <w:kern w:val="0"/>
        </w:rPr>
      </w:pPr>
      <w:r w:rsidRPr="00A07343">
        <w:rPr>
          <w:color w:val="000000"/>
          <w:kern w:val="0"/>
        </w:rPr>
        <w:t xml:space="preserve">Helios Urban Mobility must embrace a modular mission-based approach named Helios Flow, as AI mobility work requires quick recombination of specialist knowledge across London, Berlin and Singapore. The Job Characteristics Model should be applied by redesigning every role around skill </w:t>
      </w:r>
      <w:r w:rsidRPr="00A07343">
        <w:rPr>
          <w:color w:val="000000"/>
          <w:kern w:val="0"/>
        </w:rPr>
        <w:lastRenderedPageBreak/>
        <w:t>variety, task identity, task significance, autonomy and feedback. It is not enough for a data analyst in the transport sector to clean data sets. They should have a full city mobility problem, test an algorithm, be part of a municipal review and observe the impact on congestion, safety or electric vehicle utilisation. Recent research in work design reveals how creative opportunities have to be designed into the structure of the role rather than being incidental (Pundt, 2026). Additionally, HUM should incorporate fortnightly sprint reviews and client feedback, user metrics, and peer critique. This makes feedback into learning. Studies on job impact revealed that the knowledge of who is benefiting from employees' efforts stimulates their innovation (</w:t>
      </w:r>
      <w:proofErr w:type="spellStart"/>
      <w:r w:rsidRPr="00A07343">
        <w:rPr>
          <w:color w:val="000000"/>
          <w:kern w:val="0"/>
        </w:rPr>
        <w:t>Almazrouei</w:t>
      </w:r>
      <w:proofErr w:type="spellEnd"/>
      <w:r w:rsidRPr="00A07343">
        <w:rPr>
          <w:color w:val="000000"/>
          <w:kern w:val="0"/>
        </w:rPr>
        <w:t xml:space="preserve"> et al., 2023). Job autonomy evidence also states that the implementation of discretion must be backed by evaluation and involvement, as otherwise, pressure may turn into a burnout (Pederson et al., 2026). The balance is a key part of HUM's fast-paced start-up environment. The design should therefore link each job to an external, visible city outcome, rather than an internal task list.</w:t>
      </w:r>
    </w:p>
    <w:p w14:paraId="67203DB1" w14:textId="77777777" w:rsidR="00D168CE" w:rsidRPr="00A07343" w:rsidRDefault="00F55819">
      <w:pPr>
        <w:spacing w:before="160" w:after="40"/>
        <w:jc w:val="center"/>
      </w:pPr>
      <w:r w:rsidRPr="00A07343">
        <w:rPr>
          <w:noProof/>
        </w:rPr>
        <w:drawing>
          <wp:inline distT="0" distB="0" distL="0" distR="0" wp14:anchorId="2B6C11F8" wp14:editId="23F94029">
            <wp:extent cx="5669280" cy="3134995"/>
            <wp:effectExtent l="12700" t="12700" r="7620" b="14605"/>
            <wp:docPr id="6" name="Picture 6" descr="Figure 6: Job design map." title="Figure 6: Job design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Figure 6: Job design map." title="Figure 6: Job design map."/>
                    <pic:cNvPicPr>
                      <a:picLocks noChangeAspect="1" noChangeArrowheads="1"/>
                    </pic:cNvPicPr>
                  </pic:nvPicPr>
                  <pic:blipFill>
                    <a:blip r:embed="rId13"/>
                    <a:stretch>
                      <a:fillRect/>
                    </a:stretch>
                  </pic:blipFill>
                  <pic:spPr bwMode="auto">
                    <a:xfrm>
                      <a:off x="0" y="0"/>
                      <a:ext cx="5669280" cy="3134995"/>
                    </a:xfrm>
                    <a:prstGeom prst="rect">
                      <a:avLst/>
                    </a:prstGeom>
                    <a:noFill/>
                    <a:ln>
                      <a:solidFill>
                        <a:schemeClr val="tx1"/>
                      </a:solidFill>
                    </a:ln>
                  </pic:spPr>
                </pic:pic>
              </a:graphicData>
            </a:graphic>
          </wp:inline>
        </w:drawing>
      </w:r>
    </w:p>
    <w:p w14:paraId="1EAA5A2F" w14:textId="7A106BE1" w:rsidR="00D168CE" w:rsidRPr="00A07343" w:rsidRDefault="00F55819" w:rsidP="0082095C">
      <w:pPr>
        <w:spacing w:after="160"/>
        <w:jc w:val="center"/>
        <w:rPr>
          <w:b/>
          <w:bCs/>
        </w:rPr>
      </w:pPr>
      <w:r w:rsidRPr="00A07343">
        <w:rPr>
          <w:b/>
          <w:bCs/>
          <w:i/>
          <w:sz w:val="18"/>
        </w:rPr>
        <w:t>Figure 6: Job design map.</w:t>
      </w:r>
    </w:p>
    <w:p w14:paraId="085284B6" w14:textId="77777777" w:rsidR="00D168CE" w:rsidRPr="00A07343" w:rsidRDefault="00F55819">
      <w:pPr>
        <w:pStyle w:val="Heading2"/>
        <w:spacing w:line="360" w:lineRule="auto"/>
        <w:jc w:val="both"/>
        <w:rPr>
          <w:rFonts w:cs="Times New Roman"/>
          <w:szCs w:val="24"/>
        </w:rPr>
      </w:pPr>
      <w:bookmarkStart w:id="16" w:name="_Toc232083968"/>
      <w:bookmarkStart w:id="17" w:name="_Toc232119787"/>
      <w:r w:rsidRPr="00A07343">
        <w:rPr>
          <w:rFonts w:cs="Times New Roman"/>
          <w:szCs w:val="24"/>
        </w:rPr>
        <w:t>Skills-Based Architecture and Talent Marketplace</w:t>
      </w:r>
      <w:bookmarkEnd w:id="16"/>
      <w:bookmarkEnd w:id="17"/>
    </w:p>
    <w:p w14:paraId="60B9E01B" w14:textId="77777777" w:rsidR="00D168CE" w:rsidRPr="00A07343" w:rsidRDefault="00F55819">
      <w:pPr>
        <w:spacing w:line="360" w:lineRule="auto"/>
        <w:jc w:val="both"/>
        <w:rPr>
          <w:color w:val="000000"/>
          <w:kern w:val="0"/>
        </w:rPr>
      </w:pPr>
      <w:r w:rsidRPr="00A07343">
        <w:rPr>
          <w:color w:val="000000"/>
          <w:kern w:val="0"/>
        </w:rPr>
        <w:t xml:space="preserve">The second layer should be skills-based, rather than title-based, architecture. HUM should create a live skills inventory on AI modelling, data ethics, cybersecurity, public procurement, infrastructure analytics, sustainability, and stakeholder communication. All workers are to have a secure position and to be able to get instant temporary positions from internal sources via a digital </w:t>
      </w:r>
      <w:r w:rsidRPr="00A07343">
        <w:rPr>
          <w:color w:val="000000"/>
          <w:kern w:val="0"/>
        </w:rPr>
        <w:lastRenderedPageBreak/>
        <w:t>matching platform. It should provide for 10% protected learning time, 20% internal marketplace projects, and 70% core delivery. Gartner noted that 41% of HR leaders felt their workforce lacked the required skills, 50% noted that skills were not effectively used, and 62% reported that the uncertainty of future skills was a significant risk (Gartner, 2024a). Moreover, Mercer's 2026 research, involving almost 12,000 respondents, suggests that human and AI capabilities need to be reimagined together (Mercer, 2026). According to Gartner, internal talent marketplaces are systems linking people, skills and work in the context of AI-supported transformation (Gartner, 2024b). McKinsey also suggests that capability investing must be taken seriously in the age of AI, just as financial investment is (McKinsey, 2025). This is important for HUM because not all students make it to graduation is a mobile failure. People walk out the door when opportunities are concealed, slow or controlled only by line managers throughout sites and before they are caught by external recruiters.</w:t>
      </w:r>
    </w:p>
    <w:p w14:paraId="55D7492B" w14:textId="77777777" w:rsidR="00D168CE" w:rsidRPr="00A07343" w:rsidRDefault="00F55819">
      <w:pPr>
        <w:spacing w:before="160" w:after="40"/>
        <w:jc w:val="center"/>
      </w:pPr>
      <w:r w:rsidRPr="00A07343">
        <w:rPr>
          <w:noProof/>
        </w:rPr>
        <w:drawing>
          <wp:inline distT="0" distB="0" distL="0" distR="0" wp14:anchorId="73B0867B" wp14:editId="24F02A5F">
            <wp:extent cx="3945841" cy="2181969"/>
            <wp:effectExtent l="12700" t="12700" r="17145" b="15240"/>
            <wp:docPr id="7" name="Picture 7" descr="Figure 7: Skills marketplace flow." title="Figure 7: Skills marketplace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Figure 7: Skills marketplace flow." title="Figure 7: Skills marketplace flow."/>
                    <pic:cNvPicPr>
                      <a:picLocks noChangeAspect="1" noChangeArrowheads="1"/>
                    </pic:cNvPicPr>
                  </pic:nvPicPr>
                  <pic:blipFill>
                    <a:blip r:embed="rId14"/>
                    <a:stretch>
                      <a:fillRect/>
                    </a:stretch>
                  </pic:blipFill>
                  <pic:spPr bwMode="auto">
                    <a:xfrm>
                      <a:off x="0" y="0"/>
                      <a:ext cx="3954631" cy="2186830"/>
                    </a:xfrm>
                    <a:prstGeom prst="rect">
                      <a:avLst/>
                    </a:prstGeom>
                    <a:noFill/>
                    <a:ln>
                      <a:solidFill>
                        <a:schemeClr val="tx1"/>
                      </a:solidFill>
                    </a:ln>
                  </pic:spPr>
                </pic:pic>
              </a:graphicData>
            </a:graphic>
          </wp:inline>
        </w:drawing>
      </w:r>
    </w:p>
    <w:p w14:paraId="3F1EDCE6" w14:textId="77777777" w:rsidR="00D168CE" w:rsidRPr="00A07343" w:rsidRDefault="00F55819">
      <w:pPr>
        <w:spacing w:after="160"/>
        <w:jc w:val="center"/>
        <w:rPr>
          <w:b/>
          <w:bCs/>
        </w:rPr>
      </w:pPr>
      <w:r w:rsidRPr="00A07343">
        <w:rPr>
          <w:b/>
          <w:bCs/>
          <w:i/>
          <w:sz w:val="18"/>
        </w:rPr>
        <w:t>Figure 7: Skills marketplace flow.</w:t>
      </w:r>
    </w:p>
    <w:p w14:paraId="1E0D3B13" w14:textId="77777777" w:rsidR="00D168CE" w:rsidRPr="00A07343" w:rsidRDefault="00F55819">
      <w:pPr>
        <w:spacing w:before="160" w:after="40"/>
        <w:jc w:val="center"/>
      </w:pPr>
      <w:r w:rsidRPr="00A07343">
        <w:rPr>
          <w:noProof/>
        </w:rPr>
        <w:drawing>
          <wp:inline distT="0" distB="0" distL="0" distR="0" wp14:anchorId="4371F6D5" wp14:editId="03A1CA99">
            <wp:extent cx="4662556" cy="1446836"/>
            <wp:effectExtent l="12700" t="12700" r="11430" b="13970"/>
            <wp:docPr id="8" name="Picture 8" descr="Figure 8: Work allocation model." title="Figure 8: Work allo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Figure 8: Work allocation model." title="Figure 8: Work allocation model."/>
                    <pic:cNvPicPr>
                      <a:picLocks noChangeAspect="1" noChangeArrowheads="1"/>
                    </pic:cNvPicPr>
                  </pic:nvPicPr>
                  <pic:blipFill rotWithShape="1">
                    <a:blip r:embed="rId15"/>
                    <a:srcRect t="30966" b="12919"/>
                    <a:stretch>
                      <a:fillRect/>
                    </a:stretch>
                  </pic:blipFill>
                  <pic:spPr bwMode="auto">
                    <a:xfrm>
                      <a:off x="0" y="0"/>
                      <a:ext cx="4680340" cy="145235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14:paraId="7CA0015E" w14:textId="77777777" w:rsidR="00D168CE" w:rsidRPr="00A07343" w:rsidRDefault="00F55819">
      <w:pPr>
        <w:spacing w:after="160"/>
        <w:jc w:val="center"/>
        <w:rPr>
          <w:b/>
          <w:bCs/>
        </w:rPr>
      </w:pPr>
      <w:r w:rsidRPr="00A07343">
        <w:rPr>
          <w:b/>
          <w:bCs/>
          <w:i/>
          <w:sz w:val="18"/>
        </w:rPr>
        <w:t>Figure 8: Work allocation model.</w:t>
      </w:r>
    </w:p>
    <w:p w14:paraId="21617F91" w14:textId="77777777" w:rsidR="00D168CE" w:rsidRPr="00A07343" w:rsidRDefault="00F55819">
      <w:pPr>
        <w:pStyle w:val="Heading2"/>
        <w:spacing w:line="360" w:lineRule="auto"/>
        <w:jc w:val="both"/>
        <w:rPr>
          <w:rFonts w:cs="Times New Roman"/>
          <w:szCs w:val="24"/>
        </w:rPr>
      </w:pPr>
      <w:bookmarkStart w:id="18" w:name="_Toc232083969"/>
      <w:bookmarkStart w:id="19" w:name="_Toc232119788"/>
      <w:r w:rsidRPr="00A07343">
        <w:rPr>
          <w:rFonts w:cs="Times New Roman"/>
          <w:szCs w:val="24"/>
        </w:rPr>
        <w:lastRenderedPageBreak/>
        <w:t>Guided Job Crafting</w:t>
      </w:r>
      <w:bookmarkEnd w:id="18"/>
      <w:bookmarkEnd w:id="19"/>
    </w:p>
    <w:p w14:paraId="3467A04A" w14:textId="77777777" w:rsidR="00D168CE" w:rsidRPr="00A07343" w:rsidRDefault="00F55819">
      <w:pPr>
        <w:spacing w:line="360" w:lineRule="auto"/>
        <w:jc w:val="both"/>
        <w:rPr>
          <w:color w:val="000000"/>
          <w:kern w:val="0"/>
        </w:rPr>
      </w:pPr>
      <w:r w:rsidRPr="00A07343">
        <w:rPr>
          <w:color w:val="000000"/>
          <w:kern w:val="0"/>
        </w:rPr>
        <w:t xml:space="preserve">The third layer should be job crafting, as HUM requires employee agency without role chaos. A quarterly Charter should be completed by each employee, which is the Craft, Commit and Review. With task crafting, workers can swap an automated low-value routine task for experimentation or customer discovery. Relational crafting would involve one collaboration with a colleague from an alternative technical or commercial field. Cognitive crafting would request employees to connect their duties with cleaner mobility, safer streets or better public infrastructure. According to the job crafting theory, employees tailor the task boundary, relationship boundary, and cognitive boundary to better align with their motives and strengths (Tims et al., 2025). Job crafting is also maintained when it facilitates employees' self-concordant goals, according to longitudinal evidence (Clinton et al., 2025). This will involve developing craft in HUM that will contribute to personal growth and city-client outcomes. Service innovation research indicates that high person-job fit leads to higher intrinsic motivation, which further promotes innovative </w:t>
      </w:r>
      <w:proofErr w:type="spellStart"/>
      <w:r w:rsidRPr="00A07343">
        <w:rPr>
          <w:color w:val="000000"/>
          <w:kern w:val="0"/>
        </w:rPr>
        <w:t>behaviour</w:t>
      </w:r>
      <w:proofErr w:type="spellEnd"/>
      <w:r w:rsidRPr="00A07343">
        <w:rPr>
          <w:color w:val="000000"/>
          <w:kern w:val="0"/>
        </w:rPr>
        <w:t xml:space="preserve"> (</w:t>
      </w:r>
      <w:proofErr w:type="spellStart"/>
      <w:r w:rsidRPr="00A07343">
        <w:rPr>
          <w:color w:val="000000"/>
          <w:kern w:val="0"/>
        </w:rPr>
        <w:t>Alqhaiwi</w:t>
      </w:r>
      <w:proofErr w:type="spellEnd"/>
      <w:r w:rsidRPr="00A07343">
        <w:rPr>
          <w:color w:val="000000"/>
          <w:kern w:val="0"/>
        </w:rPr>
        <w:t xml:space="preserve"> et al., 2023). Generative AI research adds that workers now craft roles by delegating routine work while taking on new judgment and monitoring tasks (Law and Varanasi, 2025). Each charter should be approved for delivery by managers in relation to ethical AI standards and client value.</w:t>
      </w:r>
    </w:p>
    <w:p w14:paraId="067CFCB8" w14:textId="77777777" w:rsidR="00D168CE" w:rsidRPr="00A07343" w:rsidRDefault="00F55819">
      <w:pPr>
        <w:spacing w:before="160" w:after="40"/>
        <w:jc w:val="center"/>
      </w:pPr>
      <w:r w:rsidRPr="00A07343">
        <w:rPr>
          <w:noProof/>
        </w:rPr>
        <w:drawing>
          <wp:inline distT="0" distB="0" distL="0" distR="0" wp14:anchorId="3F0E1FC5" wp14:editId="437D6335">
            <wp:extent cx="5669280" cy="3134995"/>
            <wp:effectExtent l="12700" t="12700" r="7620" b="14605"/>
            <wp:docPr id="9" name="Picture 9" descr="Figure 9: Job crafting charter." title="Figure 9: Job crafting char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Figure 9: Job crafting charter." title="Figure 9: Job crafting charter."/>
                    <pic:cNvPicPr>
                      <a:picLocks noChangeAspect="1" noChangeArrowheads="1"/>
                    </pic:cNvPicPr>
                  </pic:nvPicPr>
                  <pic:blipFill>
                    <a:blip r:embed="rId16"/>
                    <a:stretch>
                      <a:fillRect/>
                    </a:stretch>
                  </pic:blipFill>
                  <pic:spPr bwMode="auto">
                    <a:xfrm>
                      <a:off x="0" y="0"/>
                      <a:ext cx="5669280" cy="3134995"/>
                    </a:xfrm>
                    <a:prstGeom prst="rect">
                      <a:avLst/>
                    </a:prstGeom>
                    <a:noFill/>
                    <a:ln>
                      <a:solidFill>
                        <a:schemeClr val="tx1"/>
                      </a:solidFill>
                    </a:ln>
                  </pic:spPr>
                </pic:pic>
              </a:graphicData>
            </a:graphic>
          </wp:inline>
        </w:drawing>
      </w:r>
    </w:p>
    <w:p w14:paraId="03F7DD6A" w14:textId="77777777" w:rsidR="00D168CE" w:rsidRPr="00A07343" w:rsidRDefault="00F55819">
      <w:pPr>
        <w:spacing w:after="160"/>
        <w:jc w:val="center"/>
        <w:rPr>
          <w:b/>
          <w:bCs/>
        </w:rPr>
      </w:pPr>
      <w:r w:rsidRPr="00A07343">
        <w:rPr>
          <w:b/>
          <w:bCs/>
          <w:i/>
          <w:sz w:val="18"/>
        </w:rPr>
        <w:t>Figure 9: Job crafting charter.</w:t>
      </w:r>
    </w:p>
    <w:p w14:paraId="56F5D252" w14:textId="77777777" w:rsidR="00D168CE" w:rsidRPr="00A07343" w:rsidRDefault="00D168CE">
      <w:pPr>
        <w:spacing w:line="360" w:lineRule="auto"/>
        <w:jc w:val="both"/>
        <w:rPr>
          <w:color w:val="000000"/>
          <w:kern w:val="0"/>
        </w:rPr>
      </w:pPr>
    </w:p>
    <w:p w14:paraId="2F927113" w14:textId="77777777" w:rsidR="00D168CE" w:rsidRPr="00A07343" w:rsidRDefault="00F55819">
      <w:pPr>
        <w:pStyle w:val="Heading2"/>
        <w:spacing w:line="360" w:lineRule="auto"/>
        <w:jc w:val="both"/>
        <w:rPr>
          <w:rFonts w:cs="Times New Roman"/>
          <w:szCs w:val="24"/>
        </w:rPr>
      </w:pPr>
      <w:bookmarkStart w:id="20" w:name="_Toc232083970"/>
      <w:bookmarkStart w:id="21" w:name="_Toc232119789"/>
      <w:r w:rsidRPr="00A07343">
        <w:rPr>
          <w:rFonts w:cs="Times New Roman"/>
          <w:szCs w:val="24"/>
        </w:rPr>
        <w:lastRenderedPageBreak/>
        <w:t>Intrinsic Motivation and Innovation Outcomes</w:t>
      </w:r>
      <w:bookmarkEnd w:id="20"/>
      <w:bookmarkEnd w:id="21"/>
    </w:p>
    <w:p w14:paraId="2008C537" w14:textId="77777777" w:rsidR="00D168CE" w:rsidRPr="00A07343" w:rsidRDefault="00F55819">
      <w:pPr>
        <w:spacing w:line="360" w:lineRule="auto"/>
        <w:jc w:val="both"/>
        <w:rPr>
          <w:color w:val="000000"/>
          <w:kern w:val="0"/>
        </w:rPr>
      </w:pPr>
      <w:r w:rsidRPr="00A07343">
        <w:rPr>
          <w:color w:val="000000"/>
          <w:kern w:val="0"/>
        </w:rPr>
        <w:t>This design fosters intrinsic motivation by incorporating autonomy, competence, relatedness, and purpose into the day-to-day learning experiences. Method choice and marketplace projects are the source of autonomy. Competence is developed through skill badges, feedback and progress that is seen. City squads and cross-site communities are related. The purpose is found in interactions with the outcomes of municipalities. High-performance work systems contribute to innovation performance through the intervening mechanism of intrinsic motivation (Wang et al., 2024). In addition, research on flexible work indicates that autonomy enhances employees' creativity, provided that they are provided with coordination and support (Park et al., 2026). HUM will be measured by the design ramp-up time of less than 5 months, followed by 65% engagement rate, 80% skills-profile completion and 25% internal gig participation and 2 prototypes per squad per quarter. The effects of empowerment and involvement on creative performance are demonstrated in HR practice research by the work engagement (Gürbüz et al., 2024). AI innovation research further shows that the use of AI increases the innovation behaviour in the case of high complexity of the job and openness (Zhang et al., 2025). The research on STEM shows that difficult work can produce innovative behaviour in a way that is different from overwhelming stress (Wu et al., 2024). These metrics should be reviewed by HUM on a quarterly basis to ensure that work design is ongoing, measurable and strategically aligned rather than performative.</w:t>
      </w:r>
    </w:p>
    <w:p w14:paraId="0B828442" w14:textId="77777777" w:rsidR="00D168CE" w:rsidRPr="00A07343" w:rsidRDefault="00F55819">
      <w:pPr>
        <w:spacing w:before="160" w:after="40"/>
        <w:jc w:val="center"/>
      </w:pPr>
      <w:r w:rsidRPr="00A07343">
        <w:rPr>
          <w:noProof/>
        </w:rPr>
        <w:drawing>
          <wp:inline distT="0" distB="0" distL="0" distR="0" wp14:anchorId="51133E4B" wp14:editId="56BD4D8B">
            <wp:extent cx="4987563" cy="2758020"/>
            <wp:effectExtent l="12700" t="12700" r="16510" b="10795"/>
            <wp:docPr id="10" name="Picture 10" descr="Figure 10: Motivation pathway." title="Figure 10: Motivation pathw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Figure 10: Motivation pathway." title="Figure 10: Motivation pathway."/>
                    <pic:cNvPicPr>
                      <a:picLocks noChangeAspect="1" noChangeArrowheads="1"/>
                    </pic:cNvPicPr>
                  </pic:nvPicPr>
                  <pic:blipFill>
                    <a:blip r:embed="rId17"/>
                    <a:stretch>
                      <a:fillRect/>
                    </a:stretch>
                  </pic:blipFill>
                  <pic:spPr bwMode="auto">
                    <a:xfrm>
                      <a:off x="0" y="0"/>
                      <a:ext cx="4991238" cy="2760052"/>
                    </a:xfrm>
                    <a:prstGeom prst="rect">
                      <a:avLst/>
                    </a:prstGeom>
                    <a:noFill/>
                    <a:ln>
                      <a:solidFill>
                        <a:schemeClr val="tx1"/>
                      </a:solidFill>
                    </a:ln>
                  </pic:spPr>
                </pic:pic>
              </a:graphicData>
            </a:graphic>
          </wp:inline>
        </w:drawing>
      </w:r>
    </w:p>
    <w:p w14:paraId="29189113" w14:textId="77777777" w:rsidR="00D168CE" w:rsidRPr="00A07343" w:rsidRDefault="00F55819">
      <w:pPr>
        <w:spacing w:after="160"/>
        <w:jc w:val="center"/>
        <w:rPr>
          <w:b/>
          <w:bCs/>
        </w:rPr>
      </w:pPr>
      <w:r w:rsidRPr="00A07343">
        <w:rPr>
          <w:b/>
          <w:bCs/>
          <w:i/>
          <w:sz w:val="18"/>
        </w:rPr>
        <w:t>Figure 10: Motivation pathway.</w:t>
      </w:r>
    </w:p>
    <w:p w14:paraId="2E82491D" w14:textId="77777777" w:rsidR="00D168CE" w:rsidRPr="00A07343" w:rsidRDefault="00F55819">
      <w:pPr>
        <w:pStyle w:val="Heading1"/>
        <w:spacing w:line="360" w:lineRule="auto"/>
        <w:jc w:val="both"/>
        <w:rPr>
          <w:rFonts w:cs="Times New Roman"/>
          <w:szCs w:val="24"/>
        </w:rPr>
      </w:pPr>
      <w:bookmarkStart w:id="22" w:name="_Toc232083971"/>
      <w:bookmarkStart w:id="23" w:name="_Toc232119790"/>
      <w:r w:rsidRPr="00A07343">
        <w:rPr>
          <w:rFonts w:cs="Times New Roman"/>
          <w:szCs w:val="24"/>
        </w:rPr>
        <w:lastRenderedPageBreak/>
        <w:t>TASK C: Reflective report</w:t>
      </w:r>
      <w:bookmarkEnd w:id="22"/>
      <w:bookmarkEnd w:id="23"/>
    </w:p>
    <w:p w14:paraId="573BB4C0" w14:textId="77777777" w:rsidR="00D168CE" w:rsidRPr="00A07343" w:rsidRDefault="00F55819">
      <w:pPr>
        <w:pStyle w:val="Heading2"/>
        <w:spacing w:line="360" w:lineRule="auto"/>
        <w:jc w:val="both"/>
        <w:rPr>
          <w:rFonts w:cs="Times New Roman"/>
          <w:szCs w:val="24"/>
        </w:rPr>
      </w:pPr>
      <w:bookmarkStart w:id="24" w:name="_Toc232083972"/>
      <w:bookmarkStart w:id="25" w:name="_Toc232119791"/>
      <w:r w:rsidRPr="00A07343">
        <w:rPr>
          <w:rFonts w:cs="Times New Roman"/>
          <w:szCs w:val="24"/>
        </w:rPr>
        <w:t>AI as Decision Support Without Weakening Human Judgement</w:t>
      </w:r>
      <w:bookmarkEnd w:id="24"/>
      <w:bookmarkEnd w:id="25"/>
    </w:p>
    <w:p w14:paraId="28921413" w14:textId="77777777" w:rsidR="00D168CE" w:rsidRPr="00A07343" w:rsidRDefault="00F55819">
      <w:pPr>
        <w:spacing w:line="360" w:lineRule="auto"/>
        <w:jc w:val="both"/>
        <w:rPr>
          <w:color w:val="000000"/>
          <w:kern w:val="0"/>
        </w:rPr>
      </w:pPr>
      <w:r w:rsidRPr="00A07343">
        <w:rPr>
          <w:color w:val="000000"/>
          <w:kern w:val="0"/>
        </w:rPr>
        <w:t>As part of my future HR career, I will leverage AI to support and enhance my decisions, but not replace them with professional judgment. AI can provide Helios Urban Mobility with insights into engagement patterns, at-risk employees, onboarding information, skill shortages, and internal mobility trends. But I would not accept the output of AI to be automatic decision-making on promotion, redundancy, graduate potential or performance rating. I'd take the approach of questioning AI recommendations as proof, not as fact. I would question what data was used, if the sample was biased, if the outcome was context-dependent and if human consequences were taken. This helps to safeguard critical judgment as decisions made in HR relate to identity, dignity, opportunity and trust.</w:t>
      </w:r>
    </w:p>
    <w:p w14:paraId="0718ED14" w14:textId="77777777" w:rsidR="00D168CE" w:rsidRPr="00A07343" w:rsidRDefault="00F55819">
      <w:pPr>
        <w:spacing w:line="360" w:lineRule="auto"/>
        <w:jc w:val="both"/>
        <w:rPr>
          <w:color w:val="000000"/>
          <w:kern w:val="0"/>
        </w:rPr>
      </w:pPr>
      <w:r w:rsidRPr="00A07343">
        <w:rPr>
          <w:color w:val="000000"/>
          <w:kern w:val="0"/>
        </w:rPr>
        <w:t>I would use a human-in-the-loop decision process to avoid relying too heavily on AI. This would involve AI interpreting patterns, while managers and HR professionals would use their ethical, legal and organisational judgment to make sense of them. For instance, if I see that people are more likely to drop out after one year if they are graduates of Berlin, I do not think that means they are not as committed as other people. I would explore supervision, workload, visibility of career, socialisation and psychological safety. I would also cross-reference AI findings with interview data, focus group and exit data. This form of reflection is important because numbers can indicate correlation, but do not always provide meaning. My job would be to bring together data, theory, staff feedback and strategic thinking, and go to the board advising.</w:t>
      </w:r>
    </w:p>
    <w:p w14:paraId="624BD960" w14:textId="77777777" w:rsidR="00D168CE" w:rsidRPr="00A07343" w:rsidRDefault="00F55819">
      <w:pPr>
        <w:spacing w:before="160" w:after="40"/>
        <w:jc w:val="center"/>
      </w:pPr>
      <w:r w:rsidRPr="00A07343">
        <w:rPr>
          <w:noProof/>
        </w:rPr>
        <w:drawing>
          <wp:inline distT="0" distB="0" distL="0" distR="0" wp14:anchorId="24C8CA6B" wp14:editId="5866A891">
            <wp:extent cx="4744494" cy="2178542"/>
            <wp:effectExtent l="12700" t="12700" r="5715" b="19050"/>
            <wp:docPr id="11" name="Picture 11" descr="Figure 11: AI judgement cycle." title="Figure 11: AI judgement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Figure 11: AI judgement cycle." title="Figure 11: AI judgement cycle."/>
                    <pic:cNvPicPr>
                      <a:picLocks noChangeAspect="1" noChangeArrowheads="1"/>
                    </pic:cNvPicPr>
                  </pic:nvPicPr>
                  <pic:blipFill rotWithShape="1">
                    <a:blip r:embed="rId18"/>
                    <a:srcRect b="16964"/>
                    <a:stretch>
                      <a:fillRect/>
                    </a:stretch>
                  </pic:blipFill>
                  <pic:spPr bwMode="auto">
                    <a:xfrm>
                      <a:off x="0" y="0"/>
                      <a:ext cx="4756104" cy="2183873"/>
                    </a:xfrm>
                    <a:prstGeom prst="rect">
                      <a:avLst/>
                    </a:prstGeom>
                    <a:noFill/>
                    <a:ln w="9525" cap="flat" cmpd="sng" algn="ctr">
                      <a:solidFill>
                        <a:srgbClr val="000000"/>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inline>
        </w:drawing>
      </w:r>
    </w:p>
    <w:p w14:paraId="12DF3229" w14:textId="77777777" w:rsidR="00D168CE" w:rsidRPr="00A07343" w:rsidRDefault="00F55819">
      <w:pPr>
        <w:spacing w:after="160"/>
        <w:jc w:val="center"/>
        <w:rPr>
          <w:b/>
          <w:bCs/>
        </w:rPr>
      </w:pPr>
      <w:r w:rsidRPr="00A07343">
        <w:rPr>
          <w:b/>
          <w:bCs/>
          <w:i/>
          <w:sz w:val="18"/>
        </w:rPr>
        <w:t>Figure 11: AI judgement cycle.</w:t>
      </w:r>
    </w:p>
    <w:p w14:paraId="17941328" w14:textId="77777777" w:rsidR="00D168CE" w:rsidRPr="00A07343" w:rsidRDefault="00F55819">
      <w:pPr>
        <w:pStyle w:val="Heading2"/>
        <w:spacing w:line="360" w:lineRule="auto"/>
        <w:jc w:val="both"/>
        <w:rPr>
          <w:rFonts w:cs="Times New Roman"/>
          <w:szCs w:val="24"/>
        </w:rPr>
      </w:pPr>
      <w:bookmarkStart w:id="26" w:name="_Toc232083973"/>
      <w:bookmarkStart w:id="27" w:name="_Toc232119792"/>
      <w:r w:rsidRPr="00A07343">
        <w:rPr>
          <w:rFonts w:cs="Times New Roman"/>
          <w:szCs w:val="24"/>
        </w:rPr>
        <w:lastRenderedPageBreak/>
        <w:t>Personal Capability Development Plan for Future Employability</w:t>
      </w:r>
      <w:bookmarkEnd w:id="26"/>
      <w:bookmarkEnd w:id="27"/>
    </w:p>
    <w:p w14:paraId="26AFAB37" w14:textId="77777777" w:rsidR="00D168CE" w:rsidRPr="00A07343" w:rsidRDefault="00F55819">
      <w:pPr>
        <w:spacing w:line="360" w:lineRule="auto"/>
        <w:jc w:val="both"/>
        <w:rPr>
          <w:color w:val="000000"/>
          <w:kern w:val="0"/>
        </w:rPr>
      </w:pPr>
      <w:r w:rsidRPr="00A07343">
        <w:rPr>
          <w:color w:val="000000"/>
          <w:kern w:val="0"/>
        </w:rPr>
        <w:t>The first employability priority I want to focus on is data literacy. I need to be able to read HR dashboards and understand what the scores mean, understand models of attrition, and explain to senior leaders the evidence of the workforce. I would learn Excel analytics, Power BI, basic people analytics and statistical reasoning to develop this. I would also learn how to turn unprocessed HR information into strategic insights. For instance, I'm able to provide a response about whether or not the engagement woes Helios faces are a result of not onboarding well, leadership issues, limited career mobility, or role overload. Improving my credibility would be beneficial as an HR advisor, as I need to be able to discuss people matters, which is a part of data literacy. They also need to demonstrate: evidence, impact, challenge, and provide analysis. My second priority is AI augmentation in HR. I want to learn how AI can enhance workforce planning, screening for interviews, skills mapping, learning personalisation and internal talent marketplaces. However, I must also learn AI ethics, bias testing, transparency and employee consent. This will help me to recommend AI tools in a responsible manner, not just as a new and innovative technology.</w:t>
      </w:r>
    </w:p>
    <w:p w14:paraId="3A119687" w14:textId="77777777" w:rsidR="0082095C" w:rsidRPr="00A07343" w:rsidRDefault="0082095C" w:rsidP="0082095C">
      <w:pPr>
        <w:spacing w:before="160" w:after="40"/>
        <w:jc w:val="center"/>
      </w:pPr>
      <w:r w:rsidRPr="00A07343">
        <w:rPr>
          <w:noProof/>
        </w:rPr>
        <w:drawing>
          <wp:inline distT="0" distB="0" distL="0" distR="0" wp14:anchorId="5C337FB9" wp14:editId="2988C8F6">
            <wp:extent cx="4547725" cy="2514798"/>
            <wp:effectExtent l="12700" t="12700" r="12065" b="12700"/>
            <wp:docPr id="12" name="Picture 12" descr="Figure 12: Capability roadmap." title="Figure 12: Capability road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Figure 12: Capability roadmap." title="Figure 12: Capability roadmap."/>
                    <pic:cNvPicPr>
                      <a:picLocks noChangeAspect="1" noChangeArrowheads="1"/>
                    </pic:cNvPicPr>
                  </pic:nvPicPr>
                  <pic:blipFill>
                    <a:blip r:embed="rId19"/>
                    <a:stretch>
                      <a:fillRect/>
                    </a:stretch>
                  </pic:blipFill>
                  <pic:spPr bwMode="auto">
                    <a:xfrm>
                      <a:off x="0" y="0"/>
                      <a:ext cx="4555914" cy="2519326"/>
                    </a:xfrm>
                    <a:prstGeom prst="rect">
                      <a:avLst/>
                    </a:prstGeom>
                    <a:noFill/>
                    <a:ln>
                      <a:solidFill>
                        <a:schemeClr val="tx1"/>
                      </a:solidFill>
                    </a:ln>
                  </pic:spPr>
                </pic:pic>
              </a:graphicData>
            </a:graphic>
          </wp:inline>
        </w:drawing>
      </w:r>
    </w:p>
    <w:p w14:paraId="546ECF3F" w14:textId="0EA339CB" w:rsidR="0082095C" w:rsidRPr="00A07343" w:rsidRDefault="0082095C" w:rsidP="0082095C">
      <w:pPr>
        <w:spacing w:after="160"/>
        <w:jc w:val="center"/>
        <w:rPr>
          <w:b/>
          <w:bCs/>
        </w:rPr>
      </w:pPr>
      <w:r w:rsidRPr="00A07343">
        <w:rPr>
          <w:b/>
          <w:bCs/>
          <w:i/>
          <w:sz w:val="18"/>
        </w:rPr>
        <w:t>Figure 12: Capability roadmap.</w:t>
      </w:r>
    </w:p>
    <w:p w14:paraId="3C4833F9" w14:textId="77777777" w:rsidR="00D168CE" w:rsidRPr="00A07343" w:rsidRDefault="00F55819">
      <w:pPr>
        <w:spacing w:line="360" w:lineRule="auto"/>
        <w:jc w:val="both"/>
        <w:rPr>
          <w:color w:val="000000"/>
          <w:kern w:val="0"/>
        </w:rPr>
      </w:pPr>
      <w:r w:rsidRPr="00A07343">
        <w:rPr>
          <w:color w:val="000000"/>
          <w:kern w:val="0"/>
        </w:rPr>
        <w:t xml:space="preserve">My third priority is strategic influencing. As a future HR professional, I must persuade boards, line managers and employees who may have different interests. I will develop this using stakeholder mapping, business case writing, </w:t>
      </w:r>
      <w:proofErr w:type="spellStart"/>
      <w:r w:rsidRPr="00A07343">
        <w:rPr>
          <w:color w:val="000000"/>
          <w:kern w:val="0"/>
        </w:rPr>
        <w:t>practises</w:t>
      </w:r>
      <w:proofErr w:type="spellEnd"/>
      <w:r w:rsidRPr="00A07343">
        <w:rPr>
          <w:color w:val="000000"/>
          <w:kern w:val="0"/>
        </w:rPr>
        <w:t xml:space="preserve"> in negotiation and evidence-based communication. The last is global mobility awareness, as there are organisations like Helios that operate internationally, in London, Berlin and Singapore. I need to be aware of the differences between international employment law, international cultural norms, leadership expectations, tax, </w:t>
      </w:r>
      <w:r w:rsidRPr="00A07343">
        <w:rPr>
          <w:color w:val="000000"/>
          <w:kern w:val="0"/>
        </w:rPr>
        <w:lastRenderedPageBreak/>
        <w:t>immigration/relocation support, and hybrid work expectations between countries. I would study international HRM, read through updates on international mobility and compare expatriate, local-plus and virtual assignment models. My personal development objective is thus to be an HR professional who can be confident in using AI, critically analyse the data, engage in influencing senior stakeholders and design human, ethical and globally relevant people systems.</w:t>
      </w:r>
    </w:p>
    <w:p w14:paraId="782C75FE" w14:textId="77777777" w:rsidR="00D168CE" w:rsidRPr="00A07343" w:rsidRDefault="00D168CE">
      <w:pPr>
        <w:spacing w:line="360" w:lineRule="auto"/>
        <w:jc w:val="both"/>
        <w:rPr>
          <w:color w:val="0A0A0A"/>
          <w:kern w:val="0"/>
        </w:rPr>
      </w:pPr>
    </w:p>
    <w:p w14:paraId="5CB7961F" w14:textId="77777777" w:rsidR="00D168CE" w:rsidRPr="00A07343" w:rsidRDefault="00F55819">
      <w:pPr>
        <w:rPr>
          <w:rFonts w:eastAsiaTheme="majorEastAsia"/>
          <w:b/>
          <w:color w:val="000000" w:themeColor="text1"/>
        </w:rPr>
      </w:pPr>
      <w:r w:rsidRPr="00A07343">
        <w:br w:type="page"/>
      </w:r>
    </w:p>
    <w:p w14:paraId="0A06FF0D" w14:textId="77777777" w:rsidR="00D168CE" w:rsidRPr="00A07343" w:rsidRDefault="00F55819">
      <w:pPr>
        <w:pStyle w:val="Heading1"/>
        <w:spacing w:before="0" w:line="360" w:lineRule="auto"/>
        <w:jc w:val="both"/>
        <w:rPr>
          <w:rFonts w:cs="Times New Roman"/>
          <w:szCs w:val="24"/>
        </w:rPr>
      </w:pPr>
      <w:bookmarkStart w:id="28" w:name="_Toc232083974"/>
      <w:bookmarkStart w:id="29" w:name="_Toc232119793"/>
      <w:r w:rsidRPr="00A07343">
        <w:rPr>
          <w:rFonts w:cs="Times New Roman"/>
          <w:szCs w:val="24"/>
        </w:rPr>
        <w:lastRenderedPageBreak/>
        <w:t>References</w:t>
      </w:r>
      <w:bookmarkEnd w:id="28"/>
      <w:bookmarkEnd w:id="29"/>
    </w:p>
    <w:p w14:paraId="49735CC1" w14:textId="77777777" w:rsidR="00D168CE" w:rsidRPr="00A07343" w:rsidRDefault="00F55819">
      <w:pPr>
        <w:spacing w:after="240" w:line="360" w:lineRule="auto"/>
        <w:ind w:left="540" w:hanging="540"/>
        <w:jc w:val="both"/>
        <w:rPr>
          <w:color w:val="000000"/>
          <w:kern w:val="0"/>
        </w:rPr>
      </w:pPr>
      <w:r w:rsidRPr="00A07343">
        <w:rPr>
          <w:color w:val="000000"/>
          <w:kern w:val="0"/>
        </w:rPr>
        <w:t>Almazrouei, S., Bani-Melhem, S., and Mohd Shamsudin, F. (2023). How having job impact leads to employee innovative behavior: a moderated mediation model of servant leadership and work meaningfulness. </w:t>
      </w:r>
      <w:r w:rsidRPr="00A07343">
        <w:rPr>
          <w:i/>
          <w:iCs/>
          <w:color w:val="000000"/>
          <w:kern w:val="0"/>
        </w:rPr>
        <w:t>International Journal of Public Sector Management</w:t>
      </w:r>
      <w:r w:rsidRPr="00A07343">
        <w:rPr>
          <w:color w:val="000000"/>
          <w:kern w:val="0"/>
        </w:rPr>
        <w:t>, </w:t>
      </w:r>
      <w:r w:rsidRPr="00A07343">
        <w:rPr>
          <w:i/>
          <w:iCs/>
          <w:color w:val="000000"/>
          <w:kern w:val="0"/>
        </w:rPr>
        <w:t>36</w:t>
      </w:r>
      <w:r w:rsidRPr="00A07343">
        <w:rPr>
          <w:color w:val="000000"/>
          <w:kern w:val="0"/>
        </w:rPr>
        <w:t>(4-5), 382-403.</w:t>
      </w:r>
    </w:p>
    <w:p w14:paraId="69BA3971" w14:textId="77777777" w:rsidR="00D168CE" w:rsidRPr="00A07343" w:rsidRDefault="00F55819">
      <w:pPr>
        <w:spacing w:after="240" w:line="360" w:lineRule="auto"/>
        <w:ind w:left="540" w:hanging="540"/>
        <w:jc w:val="both"/>
        <w:rPr>
          <w:color w:val="000000"/>
          <w:kern w:val="0"/>
        </w:rPr>
      </w:pPr>
      <w:proofErr w:type="spellStart"/>
      <w:r w:rsidRPr="00A07343">
        <w:rPr>
          <w:color w:val="000000"/>
          <w:kern w:val="0"/>
        </w:rPr>
        <w:t>Alqhaiwi</w:t>
      </w:r>
      <w:proofErr w:type="spellEnd"/>
      <w:r w:rsidRPr="00A07343">
        <w:rPr>
          <w:color w:val="000000"/>
          <w:kern w:val="0"/>
        </w:rPr>
        <w:t xml:space="preserve">, Z. O., </w:t>
      </w:r>
      <w:proofErr w:type="spellStart"/>
      <w:r w:rsidRPr="00A07343">
        <w:rPr>
          <w:color w:val="000000"/>
          <w:kern w:val="0"/>
        </w:rPr>
        <w:t>Koburtay</w:t>
      </w:r>
      <w:proofErr w:type="spellEnd"/>
      <w:r w:rsidRPr="00A07343">
        <w:rPr>
          <w:color w:val="000000"/>
          <w:kern w:val="0"/>
        </w:rPr>
        <w:t>, T., and Karatepe, O. M. (2023). Linking person–job fit and intrinsic motivation to salespeople’s service innovative behavior. </w:t>
      </w:r>
      <w:r w:rsidRPr="00A07343">
        <w:rPr>
          <w:i/>
          <w:iCs/>
          <w:color w:val="000000"/>
          <w:kern w:val="0"/>
        </w:rPr>
        <w:t>Journal of Services Marketing</w:t>
      </w:r>
      <w:r w:rsidRPr="00A07343">
        <w:rPr>
          <w:color w:val="000000"/>
          <w:kern w:val="0"/>
        </w:rPr>
        <w:t>, </w:t>
      </w:r>
      <w:r w:rsidRPr="00A07343">
        <w:rPr>
          <w:i/>
          <w:iCs/>
          <w:color w:val="000000"/>
          <w:kern w:val="0"/>
        </w:rPr>
        <w:t>37</w:t>
      </w:r>
      <w:r w:rsidRPr="00A07343">
        <w:rPr>
          <w:color w:val="000000"/>
          <w:kern w:val="0"/>
        </w:rPr>
        <w:t>(9), 1186-1200.</w:t>
      </w:r>
    </w:p>
    <w:p w14:paraId="283AA262" w14:textId="77777777" w:rsidR="00D168CE" w:rsidRPr="00A07343" w:rsidRDefault="00F55819">
      <w:pPr>
        <w:spacing w:after="240" w:line="360" w:lineRule="auto"/>
        <w:ind w:left="540" w:hanging="540"/>
        <w:jc w:val="both"/>
        <w:rPr>
          <w:color w:val="000000"/>
          <w:kern w:val="0"/>
        </w:rPr>
      </w:pPr>
      <w:r w:rsidRPr="00A07343">
        <w:rPr>
          <w:color w:val="000000"/>
          <w:kern w:val="0"/>
        </w:rPr>
        <w:t>Awan, N. A., and Abbas, M. (2025). Organizational socialization strategies and newcomers' identity development: A social identity perspective. </w:t>
      </w:r>
      <w:r w:rsidRPr="00A07343">
        <w:rPr>
          <w:i/>
          <w:iCs/>
          <w:color w:val="000000"/>
          <w:kern w:val="0"/>
        </w:rPr>
        <w:t>Human Resource Development Quarterly</w:t>
      </w:r>
      <w:r w:rsidRPr="00A07343">
        <w:rPr>
          <w:color w:val="000000"/>
          <w:kern w:val="0"/>
        </w:rPr>
        <w:t>, </w:t>
      </w:r>
      <w:r w:rsidRPr="00A07343">
        <w:rPr>
          <w:i/>
          <w:iCs/>
          <w:color w:val="000000"/>
          <w:kern w:val="0"/>
        </w:rPr>
        <w:t>36</w:t>
      </w:r>
      <w:r w:rsidRPr="00A07343">
        <w:rPr>
          <w:color w:val="000000"/>
          <w:kern w:val="0"/>
        </w:rPr>
        <w:t>(1), 69-87.</w:t>
      </w:r>
    </w:p>
    <w:p w14:paraId="6C744684" w14:textId="77777777" w:rsidR="00D168CE" w:rsidRPr="00A07343" w:rsidRDefault="00F55819">
      <w:pPr>
        <w:spacing w:after="240" w:line="360" w:lineRule="auto"/>
        <w:ind w:left="540" w:hanging="540"/>
        <w:jc w:val="both"/>
        <w:rPr>
          <w:color w:val="000000"/>
          <w:kern w:val="0"/>
        </w:rPr>
      </w:pPr>
      <w:r w:rsidRPr="00A07343">
        <w:rPr>
          <w:color w:val="000000"/>
          <w:kern w:val="0"/>
        </w:rPr>
        <w:t>Bauer, T. N., Erdogan, B., Ellis, A. M., Truxillo, D. M., Brady, G. M., and Bodner, T. (2025). New horizons for newcomer organizational socialization: A review, meta-analysis, and future research directions. </w:t>
      </w:r>
      <w:r w:rsidRPr="00A07343">
        <w:rPr>
          <w:i/>
          <w:iCs/>
          <w:color w:val="000000"/>
          <w:kern w:val="0"/>
        </w:rPr>
        <w:t>Journal of Management</w:t>
      </w:r>
      <w:r w:rsidRPr="00A07343">
        <w:rPr>
          <w:color w:val="000000"/>
          <w:kern w:val="0"/>
        </w:rPr>
        <w:t>, </w:t>
      </w:r>
      <w:r w:rsidRPr="00A07343">
        <w:rPr>
          <w:i/>
          <w:iCs/>
          <w:color w:val="000000"/>
          <w:kern w:val="0"/>
        </w:rPr>
        <w:t>51</w:t>
      </w:r>
      <w:r w:rsidRPr="00A07343">
        <w:rPr>
          <w:color w:val="000000"/>
          <w:kern w:val="0"/>
        </w:rPr>
        <w:t>(1), 344-382.</w:t>
      </w:r>
    </w:p>
    <w:p w14:paraId="43C229A4" w14:textId="77777777" w:rsidR="00D168CE" w:rsidRPr="00A07343" w:rsidRDefault="00F55819">
      <w:pPr>
        <w:spacing w:after="240" w:line="360" w:lineRule="auto"/>
        <w:ind w:left="540" w:hanging="540"/>
        <w:jc w:val="both"/>
        <w:rPr>
          <w:color w:val="000000"/>
          <w:kern w:val="0"/>
        </w:rPr>
      </w:pPr>
      <w:r w:rsidRPr="00A07343">
        <w:rPr>
          <w:color w:val="000000"/>
          <w:kern w:val="0"/>
        </w:rPr>
        <w:t>Clinton, M. E., Bindl, U. K., Frasca, K. J., and Martinescu, E. (2025). Once a job crafter, always a job crafter? Investigating job crafting in organizations as a reciprocal self-concordant process across time. </w:t>
      </w:r>
      <w:r w:rsidRPr="00A07343">
        <w:rPr>
          <w:i/>
          <w:iCs/>
          <w:color w:val="000000"/>
          <w:kern w:val="0"/>
        </w:rPr>
        <w:t>human relations</w:t>
      </w:r>
      <w:r w:rsidRPr="00A07343">
        <w:rPr>
          <w:color w:val="000000"/>
          <w:kern w:val="0"/>
        </w:rPr>
        <w:t>, </w:t>
      </w:r>
      <w:r w:rsidRPr="00A07343">
        <w:rPr>
          <w:i/>
          <w:iCs/>
          <w:color w:val="000000"/>
          <w:kern w:val="0"/>
        </w:rPr>
        <w:t>78</w:t>
      </w:r>
      <w:r w:rsidRPr="00A07343">
        <w:rPr>
          <w:color w:val="000000"/>
          <w:kern w:val="0"/>
        </w:rPr>
        <w:t>(1), 91-119.</w:t>
      </w:r>
    </w:p>
    <w:p w14:paraId="0AC463CE" w14:textId="77777777" w:rsidR="00D168CE" w:rsidRPr="00A07343" w:rsidRDefault="00F55819">
      <w:pPr>
        <w:spacing w:after="240" w:line="360" w:lineRule="auto"/>
        <w:ind w:left="540" w:hanging="540"/>
        <w:jc w:val="both"/>
        <w:rPr>
          <w:color w:val="000000"/>
          <w:kern w:val="0"/>
        </w:rPr>
      </w:pPr>
      <w:r w:rsidRPr="00A07343">
        <w:rPr>
          <w:color w:val="000000"/>
          <w:kern w:val="0"/>
        </w:rPr>
        <w:t xml:space="preserve">Deloitte (2026) </w:t>
      </w:r>
      <w:r w:rsidRPr="00A07343">
        <w:rPr>
          <w:i/>
          <w:iCs/>
          <w:color w:val="000000"/>
          <w:kern w:val="0"/>
        </w:rPr>
        <w:t>2026 Global Human Capital Trends</w:t>
      </w:r>
      <w:r w:rsidRPr="00A07343">
        <w:rPr>
          <w:color w:val="000000"/>
          <w:kern w:val="0"/>
        </w:rPr>
        <w:t xml:space="preserve">. Available at: </w:t>
      </w:r>
      <w:hyperlink r:id="rId20">
        <w:r w:rsidRPr="00A07343">
          <w:rPr>
            <w:color w:val="000000"/>
            <w:kern w:val="0"/>
            <w:u w:val="single"/>
          </w:rPr>
          <w:t>https://www.deloitte.com/us/en/insights/topics/talent/human-capital-trends.html</w:t>
        </w:r>
      </w:hyperlink>
      <w:r w:rsidRPr="00A07343">
        <w:rPr>
          <w:color w:val="000000"/>
          <w:kern w:val="0"/>
        </w:rPr>
        <w:t xml:space="preserve">  Accessed: 11 June 2026.</w:t>
      </w:r>
    </w:p>
    <w:p w14:paraId="2B35868A" w14:textId="77777777" w:rsidR="00D168CE" w:rsidRPr="00A07343" w:rsidRDefault="00F55819">
      <w:pPr>
        <w:spacing w:after="240" w:line="360" w:lineRule="auto"/>
        <w:ind w:left="540" w:hanging="540"/>
        <w:jc w:val="both"/>
        <w:rPr>
          <w:color w:val="000000"/>
          <w:kern w:val="0"/>
        </w:rPr>
      </w:pPr>
      <w:r w:rsidRPr="00A07343">
        <w:rPr>
          <w:color w:val="000000"/>
          <w:kern w:val="0"/>
        </w:rPr>
        <w:t xml:space="preserve">Fantinelli, S., Galanti, T., Guidetti, G., </w:t>
      </w:r>
      <w:proofErr w:type="spellStart"/>
      <w:r w:rsidRPr="00A07343">
        <w:rPr>
          <w:color w:val="000000"/>
          <w:kern w:val="0"/>
        </w:rPr>
        <w:t>Conserva</w:t>
      </w:r>
      <w:proofErr w:type="spellEnd"/>
      <w:r w:rsidRPr="00A07343">
        <w:rPr>
          <w:color w:val="000000"/>
          <w:kern w:val="0"/>
        </w:rPr>
        <w:t>, F., Giffi, V., Cortini, M., and Di Fiore, T. (2023). Psychological contracts and organizational commitment: The positive impact of relational contracts on call center operators. </w:t>
      </w:r>
      <w:r w:rsidRPr="00A07343">
        <w:rPr>
          <w:i/>
          <w:iCs/>
          <w:color w:val="000000"/>
          <w:kern w:val="0"/>
        </w:rPr>
        <w:t>Administrative Sciences</w:t>
      </w:r>
      <w:r w:rsidRPr="00A07343">
        <w:rPr>
          <w:color w:val="000000"/>
          <w:kern w:val="0"/>
        </w:rPr>
        <w:t>, </w:t>
      </w:r>
      <w:r w:rsidRPr="00A07343">
        <w:rPr>
          <w:i/>
          <w:iCs/>
          <w:color w:val="000000"/>
          <w:kern w:val="0"/>
        </w:rPr>
        <w:t>13</w:t>
      </w:r>
      <w:r w:rsidRPr="00A07343">
        <w:rPr>
          <w:color w:val="000000"/>
          <w:kern w:val="0"/>
        </w:rPr>
        <w:t>(4), 112.</w:t>
      </w:r>
    </w:p>
    <w:p w14:paraId="3F773885" w14:textId="77777777" w:rsidR="00D168CE" w:rsidRPr="00A07343" w:rsidRDefault="00F55819">
      <w:pPr>
        <w:spacing w:after="240" w:line="360" w:lineRule="auto"/>
        <w:ind w:left="540" w:hanging="540"/>
        <w:jc w:val="both"/>
        <w:rPr>
          <w:color w:val="000000"/>
          <w:kern w:val="0"/>
        </w:rPr>
      </w:pPr>
      <w:r w:rsidRPr="00A07343">
        <w:rPr>
          <w:color w:val="000000"/>
          <w:kern w:val="0"/>
        </w:rPr>
        <w:t xml:space="preserve">Gallup (2026) </w:t>
      </w:r>
      <w:r w:rsidRPr="00A07343">
        <w:rPr>
          <w:i/>
          <w:iCs/>
          <w:color w:val="000000"/>
          <w:kern w:val="0"/>
        </w:rPr>
        <w:t>State of the Global Workplace 2026</w:t>
      </w:r>
      <w:r w:rsidRPr="00A07343">
        <w:rPr>
          <w:color w:val="000000"/>
          <w:kern w:val="0"/>
        </w:rPr>
        <w:t xml:space="preserve">. Available at: </w:t>
      </w:r>
      <w:hyperlink r:id="rId21">
        <w:r w:rsidRPr="00A07343">
          <w:rPr>
            <w:color w:val="000000"/>
            <w:kern w:val="0"/>
            <w:u w:val="single"/>
          </w:rPr>
          <w:t>https://www.gallup.com/workplace/349484/state-of-the-global-workplace.aspx</w:t>
        </w:r>
      </w:hyperlink>
      <w:r w:rsidRPr="00A07343">
        <w:rPr>
          <w:color w:val="000000"/>
          <w:kern w:val="0"/>
        </w:rPr>
        <w:t xml:space="preserve">  Accessed: 11 June 2026.</w:t>
      </w:r>
    </w:p>
    <w:p w14:paraId="5BC01EBB" w14:textId="77777777" w:rsidR="00D168CE" w:rsidRPr="00A07343" w:rsidRDefault="00F55819">
      <w:pPr>
        <w:spacing w:after="240" w:line="360" w:lineRule="auto"/>
        <w:ind w:left="540" w:hanging="540"/>
        <w:jc w:val="both"/>
        <w:rPr>
          <w:color w:val="000000"/>
          <w:kern w:val="0"/>
        </w:rPr>
      </w:pPr>
      <w:r w:rsidRPr="00A07343">
        <w:rPr>
          <w:color w:val="000000"/>
          <w:kern w:val="0"/>
        </w:rPr>
        <w:lastRenderedPageBreak/>
        <w:t xml:space="preserve">Gartner (2024a) </w:t>
      </w:r>
      <w:r w:rsidRPr="00A07343">
        <w:rPr>
          <w:i/>
          <w:iCs/>
          <w:color w:val="000000"/>
          <w:kern w:val="0"/>
        </w:rPr>
        <w:t>Gartner HR research finds organizations’ current talent management efforts inhibit optimal employee and organizational performance</w:t>
      </w:r>
      <w:r w:rsidRPr="00A07343">
        <w:rPr>
          <w:color w:val="000000"/>
          <w:kern w:val="0"/>
        </w:rPr>
        <w:t xml:space="preserve">. Available at: </w:t>
      </w:r>
      <w:hyperlink r:id="rId22">
        <w:r w:rsidRPr="00A07343">
          <w:rPr>
            <w:color w:val="000000"/>
            <w:kern w:val="0"/>
            <w:u w:val="single"/>
          </w:rPr>
          <w:t>https://www.gartner.com/en/newsroom/press-releases/2024-09-18-gartner-hr-research-finds-orgs-current-talent-management-efforts-inhibit-optimal-employee-and-org-performance</w:t>
        </w:r>
      </w:hyperlink>
      <w:r w:rsidRPr="00A07343">
        <w:rPr>
          <w:color w:val="000000"/>
          <w:kern w:val="0"/>
        </w:rPr>
        <w:t xml:space="preserve">  Accessed: 11 June 2026.</w:t>
      </w:r>
    </w:p>
    <w:p w14:paraId="7467D2A8" w14:textId="77777777" w:rsidR="00D168CE" w:rsidRPr="00A07343" w:rsidRDefault="00F55819">
      <w:pPr>
        <w:spacing w:after="240" w:line="360" w:lineRule="auto"/>
        <w:ind w:left="540" w:hanging="540"/>
        <w:jc w:val="both"/>
        <w:rPr>
          <w:i/>
          <w:iCs/>
          <w:color w:val="000000"/>
          <w:kern w:val="0"/>
        </w:rPr>
      </w:pPr>
      <w:r w:rsidRPr="00A07343">
        <w:rPr>
          <w:color w:val="000000"/>
          <w:kern w:val="0"/>
        </w:rPr>
        <w:t xml:space="preserve">Gartner (2024b) </w:t>
      </w:r>
      <w:r w:rsidRPr="00A07343">
        <w:rPr>
          <w:i/>
          <w:iCs/>
          <w:color w:val="000000"/>
          <w:kern w:val="0"/>
        </w:rPr>
        <w:t>Market Guide for Internal Talent Marketplaces</w:t>
      </w:r>
      <w:r w:rsidRPr="00A07343">
        <w:rPr>
          <w:color w:val="000000"/>
          <w:kern w:val="0"/>
        </w:rPr>
        <w:t xml:space="preserve">. Available at: </w:t>
      </w:r>
      <w:hyperlink r:id="rId23">
        <w:r w:rsidRPr="00A07343">
          <w:rPr>
            <w:i/>
            <w:iCs/>
            <w:color w:val="000000"/>
            <w:kern w:val="0"/>
            <w:u w:val="single"/>
          </w:rPr>
          <w:t>https://www.gartner.com/en/documents/7742221</w:t>
        </w:r>
      </w:hyperlink>
      <w:r w:rsidRPr="00A07343">
        <w:rPr>
          <w:color w:val="000000"/>
          <w:kern w:val="0"/>
        </w:rPr>
        <w:t xml:space="preserve">  Accessed: 11 June 2026.</w:t>
      </w:r>
    </w:p>
    <w:p w14:paraId="4E09785B" w14:textId="77777777" w:rsidR="00D168CE" w:rsidRPr="00A07343" w:rsidRDefault="00F55819">
      <w:pPr>
        <w:spacing w:line="360" w:lineRule="auto"/>
        <w:ind w:left="540" w:hanging="540"/>
        <w:jc w:val="both"/>
        <w:rPr>
          <w:color w:val="1A1A1A"/>
          <w:kern w:val="0"/>
        </w:rPr>
      </w:pPr>
      <w:r w:rsidRPr="00A07343">
        <w:rPr>
          <w:color w:val="1A1A1A"/>
          <w:kern w:val="0"/>
        </w:rPr>
        <w:t xml:space="preserve">Gillespie, N., Lockey, S., Ward, T., </w:t>
      </w:r>
      <w:proofErr w:type="spellStart"/>
      <w:r w:rsidRPr="00A07343">
        <w:rPr>
          <w:color w:val="1A1A1A"/>
          <w:kern w:val="0"/>
        </w:rPr>
        <w:t>Macdade</w:t>
      </w:r>
      <w:proofErr w:type="spellEnd"/>
      <w:r w:rsidRPr="00A07343">
        <w:rPr>
          <w:color w:val="1A1A1A"/>
          <w:kern w:val="0"/>
        </w:rPr>
        <w:t xml:space="preserve">, A., and </w:t>
      </w:r>
      <w:proofErr w:type="spellStart"/>
      <w:r w:rsidRPr="00A07343">
        <w:rPr>
          <w:color w:val="1A1A1A"/>
          <w:kern w:val="0"/>
        </w:rPr>
        <w:t>Hassed</w:t>
      </w:r>
      <w:proofErr w:type="spellEnd"/>
      <w:r w:rsidRPr="00A07343">
        <w:rPr>
          <w:color w:val="1A1A1A"/>
          <w:kern w:val="0"/>
        </w:rPr>
        <w:t>, G. (2025). Trust, attitudes and use of artificial intelligence. </w:t>
      </w:r>
      <w:r w:rsidRPr="00A07343">
        <w:rPr>
          <w:i/>
          <w:iCs/>
          <w:color w:val="1A1A1A"/>
          <w:kern w:val="0"/>
        </w:rPr>
        <w:t>The University of Melbourne and KPMG</w:t>
      </w:r>
      <w:r w:rsidRPr="00A07343">
        <w:rPr>
          <w:color w:val="1A1A1A"/>
          <w:kern w:val="0"/>
        </w:rPr>
        <w:t>.</w:t>
      </w:r>
    </w:p>
    <w:p w14:paraId="5C5B2887" w14:textId="77777777" w:rsidR="00D168CE" w:rsidRPr="00A07343" w:rsidRDefault="00F55819">
      <w:pPr>
        <w:spacing w:after="240" w:line="360" w:lineRule="auto"/>
        <w:ind w:left="540" w:hanging="540"/>
        <w:jc w:val="both"/>
        <w:rPr>
          <w:color w:val="000000"/>
          <w:kern w:val="0"/>
        </w:rPr>
      </w:pPr>
      <w:r w:rsidRPr="00A07343">
        <w:rPr>
          <w:color w:val="000000"/>
          <w:kern w:val="0"/>
        </w:rPr>
        <w:t>Gürbüz, S., Schaufeli, W. B., Freese, C., and Brouwers, E. P. (2024). Fueling creativity: HR practices, work engagement, personality, and autonomy. </w:t>
      </w:r>
      <w:r w:rsidRPr="00A07343">
        <w:rPr>
          <w:i/>
          <w:iCs/>
          <w:color w:val="000000"/>
          <w:kern w:val="0"/>
        </w:rPr>
        <w:t>The International Journal of human resource management</w:t>
      </w:r>
      <w:r w:rsidRPr="00A07343">
        <w:rPr>
          <w:color w:val="000000"/>
          <w:kern w:val="0"/>
        </w:rPr>
        <w:t>, </w:t>
      </w:r>
      <w:r w:rsidRPr="00A07343">
        <w:rPr>
          <w:i/>
          <w:iCs/>
          <w:color w:val="000000"/>
          <w:kern w:val="0"/>
        </w:rPr>
        <w:t>35</w:t>
      </w:r>
      <w:r w:rsidRPr="00A07343">
        <w:rPr>
          <w:color w:val="000000"/>
          <w:kern w:val="0"/>
        </w:rPr>
        <w:t>(22), 3770-3799.</w:t>
      </w:r>
    </w:p>
    <w:p w14:paraId="302EAB58" w14:textId="77777777" w:rsidR="00D168CE" w:rsidRPr="00A07343" w:rsidRDefault="00F55819">
      <w:pPr>
        <w:spacing w:after="240" w:line="360" w:lineRule="auto"/>
        <w:ind w:left="540" w:hanging="540"/>
        <w:jc w:val="both"/>
        <w:rPr>
          <w:color w:val="000000"/>
          <w:kern w:val="0"/>
        </w:rPr>
      </w:pPr>
      <w:r w:rsidRPr="00A07343">
        <w:rPr>
          <w:color w:val="000000"/>
          <w:kern w:val="0"/>
        </w:rPr>
        <w:t>Law, M., and Varanasi, R. A. (2025, May). Generative AI and changing work: systematic review of practitioner-led work transformations through the lens of job crafting. In </w:t>
      </w:r>
      <w:r w:rsidRPr="00A07343">
        <w:rPr>
          <w:i/>
          <w:iCs/>
          <w:color w:val="000000"/>
          <w:kern w:val="0"/>
        </w:rPr>
        <w:t>International Conference on Human-Computer Interaction</w:t>
      </w:r>
      <w:r w:rsidRPr="00A07343">
        <w:rPr>
          <w:color w:val="000000"/>
          <w:kern w:val="0"/>
        </w:rPr>
        <w:t> (pp. 131-152). Cham: Springer Nature Switzerland.</w:t>
      </w:r>
    </w:p>
    <w:p w14:paraId="097022D1" w14:textId="77777777" w:rsidR="00D168CE" w:rsidRPr="00A07343" w:rsidRDefault="00F55819">
      <w:pPr>
        <w:spacing w:after="240" w:line="360" w:lineRule="auto"/>
        <w:ind w:left="540" w:hanging="540"/>
        <w:jc w:val="both"/>
        <w:rPr>
          <w:color w:val="000000"/>
          <w:kern w:val="0"/>
        </w:rPr>
      </w:pPr>
      <w:r w:rsidRPr="00A07343">
        <w:rPr>
          <w:color w:val="000000"/>
          <w:kern w:val="0"/>
        </w:rPr>
        <w:t xml:space="preserve">LinkedIn Learning (2025) </w:t>
      </w:r>
      <w:r w:rsidRPr="00A07343">
        <w:rPr>
          <w:i/>
          <w:iCs/>
          <w:color w:val="000000"/>
          <w:kern w:val="0"/>
        </w:rPr>
        <w:t>Workplace Learning Report 2025</w:t>
      </w:r>
      <w:r w:rsidRPr="00A07343">
        <w:rPr>
          <w:color w:val="000000"/>
          <w:kern w:val="0"/>
        </w:rPr>
        <w:t xml:space="preserve">. Available at: </w:t>
      </w:r>
      <w:hyperlink r:id="rId24">
        <w:r w:rsidRPr="00A07343">
          <w:rPr>
            <w:color w:val="000000"/>
            <w:kern w:val="0"/>
            <w:u w:val="single"/>
          </w:rPr>
          <w:t>https://business.linkedin.com/learn/resources/workplace-learning-report</w:t>
        </w:r>
      </w:hyperlink>
      <w:r w:rsidRPr="00A07343">
        <w:rPr>
          <w:color w:val="000000"/>
          <w:kern w:val="0"/>
        </w:rPr>
        <w:t xml:space="preserve">  Accessed: 11 June 2026.</w:t>
      </w:r>
    </w:p>
    <w:p w14:paraId="2DF46938" w14:textId="77777777" w:rsidR="00D168CE" w:rsidRPr="00A07343" w:rsidRDefault="00F55819">
      <w:pPr>
        <w:spacing w:after="240" w:line="360" w:lineRule="auto"/>
        <w:ind w:left="540" w:hanging="540"/>
        <w:jc w:val="both"/>
        <w:rPr>
          <w:color w:val="000000"/>
          <w:kern w:val="0"/>
        </w:rPr>
      </w:pPr>
      <w:r w:rsidRPr="00A07343">
        <w:rPr>
          <w:color w:val="000000"/>
          <w:kern w:val="0"/>
        </w:rPr>
        <w:t>Lorenz, T. (2025). Ethical Leadership: A Multi-Stage Mediation Model of Value Congruence and Organizational Identification on Employee Engagement. </w:t>
      </w:r>
      <w:r w:rsidRPr="00A07343">
        <w:rPr>
          <w:i/>
          <w:iCs/>
          <w:color w:val="000000"/>
          <w:kern w:val="0"/>
        </w:rPr>
        <w:t>Administrative Sciences</w:t>
      </w:r>
      <w:r w:rsidRPr="00A07343">
        <w:rPr>
          <w:color w:val="000000"/>
          <w:kern w:val="0"/>
        </w:rPr>
        <w:t>, </w:t>
      </w:r>
      <w:r w:rsidRPr="00A07343">
        <w:rPr>
          <w:i/>
          <w:iCs/>
          <w:color w:val="000000"/>
          <w:kern w:val="0"/>
        </w:rPr>
        <w:t>15</w:t>
      </w:r>
      <w:r w:rsidRPr="00A07343">
        <w:rPr>
          <w:color w:val="000000"/>
          <w:kern w:val="0"/>
        </w:rPr>
        <w:t>(9), 329.</w:t>
      </w:r>
    </w:p>
    <w:p w14:paraId="14755327" w14:textId="77777777" w:rsidR="00D168CE" w:rsidRPr="00A07343" w:rsidRDefault="00F55819">
      <w:pPr>
        <w:spacing w:after="240" w:line="360" w:lineRule="auto"/>
        <w:ind w:left="540" w:hanging="540"/>
        <w:jc w:val="both"/>
        <w:rPr>
          <w:color w:val="000000"/>
          <w:kern w:val="0"/>
        </w:rPr>
      </w:pPr>
      <w:proofErr w:type="spellStart"/>
      <w:r w:rsidRPr="00A07343">
        <w:rPr>
          <w:color w:val="000000"/>
          <w:kern w:val="0"/>
        </w:rPr>
        <w:t>Mäntymäki</w:t>
      </w:r>
      <w:proofErr w:type="spellEnd"/>
      <w:r w:rsidRPr="00A07343">
        <w:rPr>
          <w:color w:val="000000"/>
          <w:kern w:val="0"/>
        </w:rPr>
        <w:t xml:space="preserve">, M., Minkkinen, M., </w:t>
      </w:r>
      <w:proofErr w:type="spellStart"/>
      <w:r w:rsidRPr="00A07343">
        <w:rPr>
          <w:color w:val="000000"/>
          <w:kern w:val="0"/>
        </w:rPr>
        <w:t>Birkstedt</w:t>
      </w:r>
      <w:proofErr w:type="spellEnd"/>
      <w:r w:rsidRPr="00A07343">
        <w:rPr>
          <w:color w:val="000000"/>
          <w:kern w:val="0"/>
        </w:rPr>
        <w:t>, T., and Viljanen, M. (2022). Putting AI ethics into practice: The hourglass model of organizational AI governance. </w:t>
      </w:r>
      <w:proofErr w:type="spellStart"/>
      <w:r w:rsidRPr="00A07343">
        <w:rPr>
          <w:i/>
          <w:iCs/>
          <w:color w:val="000000"/>
          <w:kern w:val="0"/>
        </w:rPr>
        <w:t>arXiv</w:t>
      </w:r>
      <w:proofErr w:type="spellEnd"/>
      <w:r w:rsidRPr="00A07343">
        <w:rPr>
          <w:i/>
          <w:iCs/>
          <w:color w:val="000000"/>
          <w:kern w:val="0"/>
        </w:rPr>
        <w:t xml:space="preserve"> preprint arXiv:2206.00335</w:t>
      </w:r>
      <w:r w:rsidRPr="00A07343">
        <w:rPr>
          <w:color w:val="000000"/>
          <w:kern w:val="0"/>
        </w:rPr>
        <w:t>.</w:t>
      </w:r>
    </w:p>
    <w:p w14:paraId="7403AF6B" w14:textId="77777777" w:rsidR="00D168CE" w:rsidRPr="00A07343" w:rsidRDefault="00F55819">
      <w:pPr>
        <w:spacing w:after="240" w:line="360" w:lineRule="auto"/>
        <w:ind w:left="540" w:hanging="540"/>
        <w:jc w:val="both"/>
        <w:rPr>
          <w:color w:val="000000"/>
          <w:kern w:val="0"/>
        </w:rPr>
      </w:pPr>
      <w:r w:rsidRPr="00A07343">
        <w:rPr>
          <w:color w:val="000000"/>
          <w:kern w:val="0"/>
        </w:rPr>
        <w:t xml:space="preserve">McKinsey and Company (2025) </w:t>
      </w:r>
      <w:r w:rsidRPr="00A07343">
        <w:rPr>
          <w:i/>
          <w:iCs/>
          <w:color w:val="000000"/>
          <w:kern w:val="0"/>
        </w:rPr>
        <w:t>Strategic workforce planning in the age of gen AI</w:t>
      </w:r>
      <w:r w:rsidRPr="00A07343">
        <w:rPr>
          <w:color w:val="000000"/>
          <w:kern w:val="0"/>
        </w:rPr>
        <w:t xml:space="preserve">. Available at: </w:t>
      </w:r>
      <w:hyperlink r:id="rId25">
        <w:r w:rsidRPr="00A07343">
          <w:rPr>
            <w:color w:val="000000"/>
            <w:kern w:val="0"/>
            <w:u w:val="single"/>
          </w:rPr>
          <w:t>https://www.mckinsey.com/capabilities/people-and-organizational-performance/our-</w:t>
        </w:r>
        <w:r w:rsidRPr="00A07343">
          <w:rPr>
            <w:color w:val="000000"/>
            <w:kern w:val="0"/>
            <w:u w:val="single"/>
          </w:rPr>
          <w:lastRenderedPageBreak/>
          <w:t>insights/the-critical-role-of-strategic-workforce-planning-in-the-age-of-ai</w:t>
        </w:r>
      </w:hyperlink>
      <w:r w:rsidRPr="00A07343">
        <w:rPr>
          <w:color w:val="000000"/>
          <w:kern w:val="0"/>
        </w:rPr>
        <w:t xml:space="preserve">  Accessed: 11 June 2026.</w:t>
      </w:r>
    </w:p>
    <w:p w14:paraId="4C6D9B2D" w14:textId="77777777" w:rsidR="00D168CE" w:rsidRPr="00A07343" w:rsidRDefault="00F55819">
      <w:pPr>
        <w:spacing w:after="240" w:line="360" w:lineRule="auto"/>
        <w:ind w:left="540" w:hanging="540"/>
        <w:jc w:val="both"/>
        <w:rPr>
          <w:color w:val="000000"/>
          <w:kern w:val="0"/>
        </w:rPr>
      </w:pPr>
      <w:r w:rsidRPr="00A07343">
        <w:rPr>
          <w:color w:val="000000"/>
          <w:kern w:val="0"/>
        </w:rPr>
        <w:t xml:space="preserve">Mercer (2026) </w:t>
      </w:r>
      <w:r w:rsidRPr="00A07343">
        <w:rPr>
          <w:i/>
          <w:iCs/>
          <w:color w:val="000000"/>
          <w:kern w:val="0"/>
        </w:rPr>
        <w:t>Global Talent Trends 2026</w:t>
      </w:r>
      <w:r w:rsidRPr="00A07343">
        <w:rPr>
          <w:color w:val="000000"/>
          <w:kern w:val="0"/>
        </w:rPr>
        <w:t xml:space="preserve">. Available at: </w:t>
      </w:r>
      <w:hyperlink r:id="rId26">
        <w:r w:rsidRPr="00A07343">
          <w:rPr>
            <w:color w:val="000000"/>
            <w:kern w:val="0"/>
            <w:u w:val="single"/>
          </w:rPr>
          <w:t>https://www.mercer.com/insights/people-strategy/future-of-work/global-talent-trends/</w:t>
        </w:r>
      </w:hyperlink>
      <w:r w:rsidRPr="00A07343">
        <w:rPr>
          <w:color w:val="000000"/>
          <w:kern w:val="0"/>
        </w:rPr>
        <w:t xml:space="preserve">  Accessed: 11 June 2026.</w:t>
      </w:r>
    </w:p>
    <w:p w14:paraId="23E6D834" w14:textId="77777777" w:rsidR="00D168CE" w:rsidRPr="00A07343" w:rsidRDefault="00F55819">
      <w:pPr>
        <w:spacing w:after="240" w:line="360" w:lineRule="auto"/>
        <w:ind w:left="540" w:hanging="540"/>
        <w:jc w:val="both"/>
        <w:rPr>
          <w:color w:val="000000"/>
          <w:kern w:val="0"/>
        </w:rPr>
      </w:pPr>
      <w:r w:rsidRPr="00A07343">
        <w:rPr>
          <w:color w:val="000000"/>
          <w:kern w:val="0"/>
        </w:rPr>
        <w:t>Park, S. B., and Choi, J. N. (2026). Flexible Work Arrangements and Employee Creativity: Insights from Job Characteristics and Attribution Theories. </w:t>
      </w:r>
      <w:r w:rsidRPr="00A07343">
        <w:rPr>
          <w:i/>
          <w:iCs/>
          <w:color w:val="000000"/>
          <w:kern w:val="0"/>
        </w:rPr>
        <w:t>Human Performance</w:t>
      </w:r>
      <w:r w:rsidRPr="00A07343">
        <w:rPr>
          <w:color w:val="000000"/>
          <w:kern w:val="0"/>
        </w:rPr>
        <w:t>, </w:t>
      </w:r>
      <w:r w:rsidRPr="00A07343">
        <w:rPr>
          <w:i/>
          <w:iCs/>
          <w:color w:val="000000"/>
          <w:kern w:val="0"/>
        </w:rPr>
        <w:t>39</w:t>
      </w:r>
      <w:r w:rsidRPr="00A07343">
        <w:rPr>
          <w:color w:val="000000"/>
          <w:kern w:val="0"/>
        </w:rPr>
        <w:t>(2), 95-119.</w:t>
      </w:r>
    </w:p>
    <w:p w14:paraId="6A0107F9" w14:textId="77777777" w:rsidR="00D168CE" w:rsidRPr="00A07343" w:rsidRDefault="00F55819">
      <w:pPr>
        <w:spacing w:after="240" w:line="360" w:lineRule="auto"/>
        <w:ind w:left="540" w:hanging="540"/>
        <w:jc w:val="both"/>
        <w:rPr>
          <w:color w:val="000000"/>
          <w:kern w:val="0"/>
        </w:rPr>
      </w:pPr>
      <w:r w:rsidRPr="00A07343">
        <w:rPr>
          <w:color w:val="000000"/>
          <w:kern w:val="0"/>
        </w:rPr>
        <w:t>Pederson, L., and Slowiak, J. M. (2026, February). Job autonomy and innovation in healthcare and human services: Pathways through appraisal, engagement, and burnout. In </w:t>
      </w:r>
      <w:r w:rsidRPr="00A07343">
        <w:rPr>
          <w:i/>
          <w:iCs/>
          <w:color w:val="000000"/>
          <w:kern w:val="0"/>
        </w:rPr>
        <w:t>Healthcare</w:t>
      </w:r>
      <w:r w:rsidRPr="00A07343">
        <w:rPr>
          <w:color w:val="000000"/>
          <w:kern w:val="0"/>
        </w:rPr>
        <w:t> (Vol. 14, No. 4, p. 437). MDPI.</w:t>
      </w:r>
    </w:p>
    <w:p w14:paraId="449BC76E" w14:textId="77777777" w:rsidR="00D168CE" w:rsidRPr="00A07343" w:rsidRDefault="00F55819">
      <w:pPr>
        <w:spacing w:after="240" w:line="360" w:lineRule="auto"/>
        <w:ind w:left="540" w:hanging="540"/>
        <w:jc w:val="both"/>
        <w:rPr>
          <w:color w:val="000000"/>
          <w:kern w:val="0"/>
        </w:rPr>
      </w:pPr>
      <w:r w:rsidRPr="00A07343">
        <w:rPr>
          <w:color w:val="000000"/>
          <w:kern w:val="0"/>
        </w:rPr>
        <w:t>Pundt, A. (2026). Creative Opportunities at Work. A New Concept and Its Relevance for Employee Creativity and Well-Being. </w:t>
      </w:r>
      <w:r w:rsidRPr="00A07343">
        <w:rPr>
          <w:i/>
          <w:iCs/>
          <w:color w:val="000000"/>
          <w:kern w:val="0"/>
        </w:rPr>
        <w:t>Creativity Research Journal</w:t>
      </w:r>
      <w:r w:rsidRPr="00A07343">
        <w:rPr>
          <w:color w:val="000000"/>
          <w:kern w:val="0"/>
        </w:rPr>
        <w:t>, 1-17.</w:t>
      </w:r>
    </w:p>
    <w:p w14:paraId="273E96FC" w14:textId="77777777" w:rsidR="00D168CE" w:rsidRPr="00A07343" w:rsidRDefault="00F55819">
      <w:pPr>
        <w:spacing w:after="240" w:line="360" w:lineRule="auto"/>
        <w:ind w:left="540" w:hanging="540"/>
        <w:jc w:val="both"/>
        <w:rPr>
          <w:color w:val="000000"/>
          <w:kern w:val="0"/>
        </w:rPr>
      </w:pPr>
      <w:r w:rsidRPr="00A07343">
        <w:rPr>
          <w:color w:val="000000"/>
          <w:kern w:val="0"/>
        </w:rPr>
        <w:t xml:space="preserve">Randstad (2026) </w:t>
      </w:r>
      <w:proofErr w:type="spellStart"/>
      <w:r w:rsidRPr="00A07343">
        <w:rPr>
          <w:i/>
          <w:iCs/>
          <w:color w:val="000000"/>
          <w:kern w:val="0"/>
        </w:rPr>
        <w:t>Workmonitor</w:t>
      </w:r>
      <w:proofErr w:type="spellEnd"/>
      <w:r w:rsidRPr="00A07343">
        <w:rPr>
          <w:i/>
          <w:iCs/>
          <w:color w:val="000000"/>
          <w:kern w:val="0"/>
        </w:rPr>
        <w:t xml:space="preserve"> 2026</w:t>
      </w:r>
      <w:r w:rsidRPr="00A07343">
        <w:rPr>
          <w:color w:val="000000"/>
          <w:kern w:val="0"/>
        </w:rPr>
        <w:t xml:space="preserve">. Available at: </w:t>
      </w:r>
      <w:hyperlink r:id="rId27">
        <w:r w:rsidRPr="00A07343">
          <w:rPr>
            <w:color w:val="000000"/>
            <w:kern w:val="0"/>
            <w:u w:val="single"/>
          </w:rPr>
          <w:t>https://www.randstad.com/workmonitor/</w:t>
        </w:r>
      </w:hyperlink>
      <w:r w:rsidRPr="00A07343">
        <w:rPr>
          <w:color w:val="000000"/>
          <w:kern w:val="0"/>
        </w:rPr>
        <w:t xml:space="preserve">  Accessed: 11 June 2026.</w:t>
      </w:r>
    </w:p>
    <w:p w14:paraId="27331B17" w14:textId="77777777" w:rsidR="00D168CE" w:rsidRPr="00A07343" w:rsidRDefault="00F55819">
      <w:pPr>
        <w:spacing w:after="240" w:line="360" w:lineRule="auto"/>
        <w:ind w:left="540" w:hanging="540"/>
        <w:jc w:val="both"/>
        <w:rPr>
          <w:color w:val="000000"/>
          <w:kern w:val="0"/>
        </w:rPr>
      </w:pPr>
      <w:proofErr w:type="spellStart"/>
      <w:r w:rsidRPr="00A07343">
        <w:rPr>
          <w:color w:val="000000"/>
          <w:kern w:val="0"/>
        </w:rPr>
        <w:t>Simbula</w:t>
      </w:r>
      <w:proofErr w:type="spellEnd"/>
      <w:r w:rsidRPr="00A07343">
        <w:rPr>
          <w:color w:val="000000"/>
          <w:kern w:val="0"/>
        </w:rPr>
        <w:t xml:space="preserve">, S., Margheritti, S., and </w:t>
      </w:r>
      <w:proofErr w:type="spellStart"/>
      <w:r w:rsidRPr="00A07343">
        <w:rPr>
          <w:color w:val="000000"/>
          <w:kern w:val="0"/>
        </w:rPr>
        <w:t>Avanzi</w:t>
      </w:r>
      <w:proofErr w:type="spellEnd"/>
      <w:r w:rsidRPr="00A07343">
        <w:rPr>
          <w:color w:val="000000"/>
          <w:kern w:val="0"/>
        </w:rPr>
        <w:t>, L. (2023). Building work engagement in organizations: a longitudinal study combining social exchange and social identity theories. </w:t>
      </w:r>
      <w:r w:rsidRPr="00A07343">
        <w:rPr>
          <w:i/>
          <w:iCs/>
          <w:color w:val="000000"/>
          <w:kern w:val="0"/>
        </w:rPr>
        <w:t>Behavioral Sciences</w:t>
      </w:r>
      <w:r w:rsidRPr="00A07343">
        <w:rPr>
          <w:color w:val="000000"/>
          <w:kern w:val="0"/>
        </w:rPr>
        <w:t>, </w:t>
      </w:r>
      <w:r w:rsidRPr="00A07343">
        <w:rPr>
          <w:i/>
          <w:iCs/>
          <w:color w:val="000000"/>
          <w:kern w:val="0"/>
        </w:rPr>
        <w:t>13</w:t>
      </w:r>
      <w:r w:rsidRPr="00A07343">
        <w:rPr>
          <w:color w:val="000000"/>
          <w:kern w:val="0"/>
        </w:rPr>
        <w:t>(2), 83.</w:t>
      </w:r>
    </w:p>
    <w:p w14:paraId="6EA2F727" w14:textId="77777777" w:rsidR="00D168CE" w:rsidRPr="00A07343" w:rsidRDefault="00F55819">
      <w:pPr>
        <w:spacing w:after="240" w:line="360" w:lineRule="auto"/>
        <w:ind w:left="540" w:hanging="540"/>
        <w:jc w:val="both"/>
        <w:rPr>
          <w:color w:val="000000"/>
          <w:kern w:val="0"/>
        </w:rPr>
      </w:pPr>
      <w:r w:rsidRPr="00A07343">
        <w:rPr>
          <w:color w:val="000000"/>
          <w:kern w:val="0"/>
        </w:rPr>
        <w:t>Tims, M., and Twemlow, M. (2025). Job Crafting Theory and Perspectives. In </w:t>
      </w:r>
      <w:r w:rsidRPr="00A07343">
        <w:rPr>
          <w:i/>
          <w:iCs/>
          <w:color w:val="000000"/>
          <w:kern w:val="0"/>
        </w:rPr>
        <w:t>Transformative Work Design: Synthesis and New Directions</w:t>
      </w:r>
      <w:r w:rsidRPr="00A07343">
        <w:rPr>
          <w:color w:val="000000"/>
          <w:kern w:val="0"/>
        </w:rPr>
        <w:t> (pp. 415-438). The Oxford University Press.</w:t>
      </w:r>
    </w:p>
    <w:p w14:paraId="7CF07D0A" w14:textId="77777777" w:rsidR="00D168CE" w:rsidRPr="00A07343" w:rsidRDefault="00F55819">
      <w:pPr>
        <w:spacing w:after="240" w:line="360" w:lineRule="auto"/>
        <w:ind w:left="540" w:hanging="540"/>
        <w:jc w:val="both"/>
        <w:rPr>
          <w:color w:val="000000"/>
          <w:kern w:val="0"/>
        </w:rPr>
      </w:pPr>
      <w:r w:rsidRPr="00A07343">
        <w:rPr>
          <w:color w:val="000000"/>
          <w:kern w:val="0"/>
        </w:rPr>
        <w:t xml:space="preserve">Ulrich, D. (2024) </w:t>
      </w:r>
      <w:r w:rsidRPr="00A07343">
        <w:rPr>
          <w:i/>
          <w:iCs/>
          <w:color w:val="000000"/>
          <w:kern w:val="0"/>
        </w:rPr>
        <w:t>How Human Capability Creates Stakeholder Value</w:t>
      </w:r>
      <w:r w:rsidRPr="00A07343">
        <w:rPr>
          <w:color w:val="000000"/>
          <w:kern w:val="0"/>
        </w:rPr>
        <w:t xml:space="preserve">. RBL Group. Available at: </w:t>
      </w:r>
      <w:hyperlink r:id="rId28">
        <w:r w:rsidRPr="00A07343">
          <w:rPr>
            <w:color w:val="000000"/>
            <w:kern w:val="0"/>
            <w:u w:val="single"/>
          </w:rPr>
          <w:t>https://employeeengagement.com/wp-content/uploads/2024/04/Dave-Ulrich_final.pdf</w:t>
        </w:r>
      </w:hyperlink>
      <w:r w:rsidRPr="00A07343">
        <w:rPr>
          <w:color w:val="000000"/>
          <w:kern w:val="0"/>
        </w:rPr>
        <w:t xml:space="preserve">  Accessed: 11 June 2026.</w:t>
      </w:r>
    </w:p>
    <w:p w14:paraId="30F9DBCD" w14:textId="77777777" w:rsidR="00D168CE" w:rsidRPr="00A07343" w:rsidRDefault="00F55819">
      <w:pPr>
        <w:spacing w:after="240" w:line="360" w:lineRule="auto"/>
        <w:ind w:left="540" w:hanging="540"/>
        <w:jc w:val="both"/>
        <w:rPr>
          <w:color w:val="000000"/>
          <w:kern w:val="0"/>
        </w:rPr>
      </w:pPr>
      <w:r w:rsidRPr="00A07343">
        <w:rPr>
          <w:color w:val="000000"/>
          <w:kern w:val="0"/>
        </w:rPr>
        <w:t>Wang, Y., Zhu, L., and Jin, X. (2024). The effect of a High-Performance work system on organizational innovation performance: the mediating effect of employees’ intrinsic motivation and the moderating effect of Person–Organization fit. </w:t>
      </w:r>
      <w:r w:rsidRPr="00A07343">
        <w:rPr>
          <w:i/>
          <w:iCs/>
          <w:color w:val="000000"/>
          <w:kern w:val="0"/>
        </w:rPr>
        <w:t>Systems</w:t>
      </w:r>
      <w:r w:rsidRPr="00A07343">
        <w:rPr>
          <w:color w:val="000000"/>
          <w:kern w:val="0"/>
        </w:rPr>
        <w:t>, </w:t>
      </w:r>
      <w:r w:rsidRPr="00A07343">
        <w:rPr>
          <w:i/>
          <w:iCs/>
          <w:color w:val="000000"/>
          <w:kern w:val="0"/>
        </w:rPr>
        <w:t>12</w:t>
      </w:r>
      <w:r w:rsidRPr="00A07343">
        <w:rPr>
          <w:color w:val="000000"/>
          <w:kern w:val="0"/>
        </w:rPr>
        <w:t>(7), 230.</w:t>
      </w:r>
    </w:p>
    <w:p w14:paraId="7C7201FD" w14:textId="77777777" w:rsidR="00D168CE" w:rsidRPr="00A07343" w:rsidRDefault="00F55819">
      <w:pPr>
        <w:spacing w:after="240" w:line="360" w:lineRule="auto"/>
        <w:ind w:left="540" w:hanging="540"/>
        <w:jc w:val="both"/>
        <w:rPr>
          <w:color w:val="000000"/>
          <w:kern w:val="0"/>
        </w:rPr>
      </w:pPr>
      <w:r w:rsidRPr="00A07343">
        <w:rPr>
          <w:color w:val="000000"/>
          <w:kern w:val="0"/>
        </w:rPr>
        <w:lastRenderedPageBreak/>
        <w:t>Weisman, H., Wu, C. H., Yoshikawa, K., and Lee, H. J. (2023). Antecedents of organizational identification: A review and agenda for future research. </w:t>
      </w:r>
      <w:r w:rsidRPr="00A07343">
        <w:rPr>
          <w:i/>
          <w:iCs/>
          <w:color w:val="000000"/>
          <w:kern w:val="0"/>
        </w:rPr>
        <w:t>Journal of Management</w:t>
      </w:r>
      <w:r w:rsidRPr="00A07343">
        <w:rPr>
          <w:color w:val="000000"/>
          <w:kern w:val="0"/>
        </w:rPr>
        <w:t>, </w:t>
      </w:r>
      <w:r w:rsidRPr="00A07343">
        <w:rPr>
          <w:i/>
          <w:iCs/>
          <w:color w:val="000000"/>
          <w:kern w:val="0"/>
        </w:rPr>
        <w:t>49</w:t>
      </w:r>
      <w:r w:rsidRPr="00A07343">
        <w:rPr>
          <w:color w:val="000000"/>
          <w:kern w:val="0"/>
        </w:rPr>
        <w:t>(6), 2030-2061.</w:t>
      </w:r>
    </w:p>
    <w:p w14:paraId="3CC341CB" w14:textId="77777777" w:rsidR="00D168CE" w:rsidRPr="00A07343" w:rsidRDefault="00F55819">
      <w:pPr>
        <w:spacing w:after="240" w:line="360" w:lineRule="auto"/>
        <w:ind w:left="540" w:hanging="540"/>
        <w:jc w:val="both"/>
        <w:rPr>
          <w:color w:val="000000"/>
          <w:kern w:val="0"/>
        </w:rPr>
      </w:pPr>
      <w:r w:rsidRPr="00A07343">
        <w:rPr>
          <w:color w:val="000000"/>
          <w:kern w:val="0"/>
        </w:rPr>
        <w:t xml:space="preserve">World Economic Forum (2026) </w:t>
      </w:r>
      <w:r w:rsidRPr="00A07343">
        <w:rPr>
          <w:i/>
          <w:iCs/>
          <w:color w:val="000000"/>
          <w:kern w:val="0"/>
        </w:rPr>
        <w:t>How the Reskilling Revolution will prepare future workers</w:t>
      </w:r>
      <w:r w:rsidRPr="00A07343">
        <w:rPr>
          <w:color w:val="000000"/>
          <w:kern w:val="0"/>
        </w:rPr>
        <w:t xml:space="preserve">. Available at: </w:t>
      </w:r>
      <w:hyperlink r:id="rId29">
        <w:r w:rsidRPr="00A07343">
          <w:rPr>
            <w:color w:val="000000"/>
            <w:kern w:val="0"/>
            <w:u w:val="single"/>
          </w:rPr>
          <w:t>https://www.weforum.org/impact/reskilling-revolution-preparing-1-billion-people-for-tomorrows-economy/</w:t>
        </w:r>
      </w:hyperlink>
      <w:r w:rsidRPr="00A07343">
        <w:rPr>
          <w:color w:val="000000"/>
          <w:kern w:val="0"/>
        </w:rPr>
        <w:t xml:space="preserve">  Accessed: 11 June 2026.</w:t>
      </w:r>
    </w:p>
    <w:p w14:paraId="29BFDE64" w14:textId="77777777" w:rsidR="00D168CE" w:rsidRPr="00A07343" w:rsidRDefault="00F55819">
      <w:pPr>
        <w:spacing w:after="240" w:line="360" w:lineRule="auto"/>
        <w:ind w:left="540" w:hanging="540"/>
        <w:jc w:val="both"/>
        <w:rPr>
          <w:color w:val="000000"/>
          <w:kern w:val="0"/>
        </w:rPr>
      </w:pPr>
      <w:r w:rsidRPr="00A07343">
        <w:rPr>
          <w:color w:val="000000"/>
          <w:kern w:val="0"/>
        </w:rPr>
        <w:t>Wu, B., Song, Y., Zuo, M., Zhai, L., and Zhang, M. (2024). Job stressors and the innovative work behaviour of STEM teachers: Serial multiple mediation role of creative self-efficacy and creative motivation. </w:t>
      </w:r>
      <w:r w:rsidRPr="00A07343">
        <w:rPr>
          <w:i/>
          <w:iCs/>
          <w:color w:val="000000"/>
          <w:kern w:val="0"/>
        </w:rPr>
        <w:t>Asia Pacific Journal of Education</w:t>
      </w:r>
      <w:r w:rsidRPr="00A07343">
        <w:rPr>
          <w:color w:val="000000"/>
          <w:kern w:val="0"/>
        </w:rPr>
        <w:t>, 1-19.</w:t>
      </w:r>
    </w:p>
    <w:p w14:paraId="40C36D68" w14:textId="77777777" w:rsidR="00D168CE" w:rsidRPr="00A07343" w:rsidRDefault="00F55819">
      <w:pPr>
        <w:spacing w:after="240" w:line="360" w:lineRule="auto"/>
        <w:ind w:left="540" w:hanging="540"/>
        <w:jc w:val="both"/>
        <w:rPr>
          <w:color w:val="000000"/>
          <w:kern w:val="0"/>
        </w:rPr>
      </w:pPr>
      <w:r w:rsidRPr="00A07343">
        <w:rPr>
          <w:color w:val="000000"/>
          <w:kern w:val="0"/>
        </w:rPr>
        <w:t>Yu, Y., Yang, L., Lindley, S., and Wan, M. (2023, April). Large-scale analysis of new employee network dynamics. In </w:t>
      </w:r>
      <w:r w:rsidRPr="00A07343">
        <w:rPr>
          <w:i/>
          <w:iCs/>
          <w:color w:val="000000"/>
          <w:kern w:val="0"/>
        </w:rPr>
        <w:t>Proceedings of the ACM Web Conference 2023</w:t>
      </w:r>
      <w:r w:rsidRPr="00A07343">
        <w:rPr>
          <w:color w:val="000000"/>
          <w:kern w:val="0"/>
        </w:rPr>
        <w:t> (pp. 2719-2730).</w:t>
      </w:r>
    </w:p>
    <w:p w14:paraId="244908C6" w14:textId="77777777" w:rsidR="00D168CE" w:rsidRPr="00A07343" w:rsidRDefault="00F55819">
      <w:pPr>
        <w:spacing w:line="360" w:lineRule="auto"/>
        <w:ind w:left="540" w:hanging="540"/>
        <w:jc w:val="both"/>
      </w:pPr>
      <w:r w:rsidRPr="00A07343">
        <w:rPr>
          <w:color w:val="000000"/>
          <w:kern w:val="0"/>
        </w:rPr>
        <w:t>Zhang, Q., Liao, G., Ran, X., and Wang, F. (2025). The impact of ai usage on innovation behavior at work: The moderating role of openness and job complexity. </w:t>
      </w:r>
      <w:r w:rsidRPr="00A07343">
        <w:rPr>
          <w:i/>
          <w:iCs/>
          <w:color w:val="000000"/>
          <w:kern w:val="0"/>
        </w:rPr>
        <w:t>Behavioral Sciences</w:t>
      </w:r>
      <w:r w:rsidRPr="00A07343">
        <w:rPr>
          <w:color w:val="000000"/>
          <w:kern w:val="0"/>
        </w:rPr>
        <w:t>, </w:t>
      </w:r>
      <w:r w:rsidRPr="00A07343">
        <w:rPr>
          <w:i/>
          <w:iCs/>
          <w:color w:val="000000"/>
          <w:kern w:val="0"/>
        </w:rPr>
        <w:t>15</w:t>
      </w:r>
      <w:r w:rsidRPr="00A07343">
        <w:rPr>
          <w:color w:val="000000"/>
          <w:kern w:val="0"/>
        </w:rPr>
        <w:t>(4), 491.</w:t>
      </w:r>
    </w:p>
    <w:sectPr w:rsidR="00D168CE" w:rsidRPr="00A07343">
      <w:footerReference w:type="even" r:id="rId30"/>
      <w:footerReference w:type="default" r:id="rId31"/>
      <w:footerReference w:type="first" r:id="rId32"/>
      <w:pgSz w:w="12240" w:h="15840"/>
      <w:pgMar w:top="1440" w:right="1440" w:bottom="1440" w:left="1440" w:header="0" w:footer="720" w:gutter="0"/>
      <w:pgBorders w:offsetFrom="page">
        <w:top w:val="single" w:sz="4" w:space="24" w:color="000000"/>
        <w:left w:val="single" w:sz="4" w:space="24" w:color="000000"/>
        <w:bottom w:val="single" w:sz="4" w:space="24" w:color="000000"/>
        <w:right w:val="single" w:sz="4" w:space="24" w:color="000000"/>
      </w:pgBorders>
      <w:cols w:space="720"/>
      <w:formProt w:val="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7F46AAF" w14:textId="77777777" w:rsidR="00A61284" w:rsidRDefault="00A61284">
      <w:r>
        <w:separator/>
      </w:r>
    </w:p>
  </w:endnote>
  <w:endnote w:type="continuationSeparator" w:id="0">
    <w:p w14:paraId="5FF8AAC2" w14:textId="77777777" w:rsidR="00A61284" w:rsidRDefault="00A6128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Liberation Sans">
    <w:altName w:val="Arial"/>
    <w:panose1 w:val="020B0604020202020204"/>
    <w:charset w:val="01"/>
    <w:family w:val="swiss"/>
    <w:pitch w:val="variable"/>
  </w:font>
  <w:font w:name="Noto Sans CJK SC">
    <w:panose1 w:val="020B0604020202020204"/>
    <w:charset w:val="00"/>
    <w:family w:val="roman"/>
    <w:notTrueType/>
    <w:pitch w:val="default"/>
  </w:font>
  <w:font w:name="Lohit Devanagari">
    <w:altName w:val="Arial"/>
    <w:panose1 w:val="020B060402020202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449C8E16" w14:textId="77777777" w:rsidR="00D168CE" w:rsidRDefault="00F55819">
    <w:pPr>
      <w:pStyle w:val="Footer"/>
      <w:ind w:right="360"/>
    </w:pPr>
    <w:r>
      <w:rPr>
        <w:noProof/>
      </w:rPr>
      <mc:AlternateContent>
        <mc:Choice Requires="wps">
          <w:drawing>
            <wp:anchor distT="0" distB="0" distL="0" distR="0" simplePos="0" relativeHeight="251658752" behindDoc="0" locked="0" layoutInCell="1" allowOverlap="1" wp14:anchorId="47D81BE3" wp14:editId="48B2B3D3">
              <wp:simplePos x="0" y="0"/>
              <wp:positionH relativeFrom="margin">
                <wp:align>right</wp:align>
              </wp:positionH>
              <wp:positionV relativeFrom="paragraph">
                <wp:posOffset>635</wp:posOffset>
              </wp:positionV>
              <wp:extent cx="14605" cy="14605"/>
              <wp:effectExtent l="0" t="0" r="0" b="0"/>
              <wp:wrapNone/>
              <wp:docPr id="13" name="Frame1"/>
              <wp:cNvGraphicFramePr/>
              <a:graphic xmlns:a="http://schemas.openxmlformats.org/drawingml/2006/main">
                <a:graphicData uri="http://schemas.microsoft.com/office/word/2010/wordprocessingShape">
                  <wps:wsp>
                    <wps:cNvSpPr txBox="1"/>
                    <wps:spPr>
                      <a:xfrm>
                        <a:off x="0" y="0"/>
                        <a:ext cx="14605" cy="14605"/>
                      </a:xfrm>
                      <a:prstGeom prst="rect">
                        <a:avLst/>
                      </a:prstGeom>
                      <a:solidFill>
                        <a:srgbClr val="FFFFFF">
                          <a:alpha val="0"/>
                        </a:srgbClr>
                      </a:solidFill>
                    </wps:spPr>
                    <wps:txbx>
                      <w:txbxContent>
                        <w:sdt>
                          <w:sdtPr>
                            <w:id w:val="-281428430"/>
                            <w:docPartObj>
                              <w:docPartGallery w:val="Page Numbers (Bottom of Page)"/>
                              <w:docPartUnique/>
                            </w:docPartObj>
                          </w:sdtPr>
                          <w:sdtContent>
                            <w:p w14:paraId="15D06B14" w14:textId="77777777" w:rsidR="00D168CE" w:rsidRDefault="00F55819">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p>
                          </w:sdtContent>
                        </w:sdt>
                      </w:txbxContent>
                    </wps:txbx>
                    <wps:bodyPr lIns="0" tIns="0" rIns="0" bIns="0" anchor="t">
                      <a:spAutoFit/>
                    </wps:bodyPr>
                  </wps:wsp>
                </a:graphicData>
              </a:graphic>
            </wp:anchor>
          </w:drawing>
        </mc:Choice>
        <mc:Fallback>
          <w:pict>
            <v:shapetype w14:anchorId="47D81BE3" id="_x0000_t202" coordsize="21600,21600" o:spt="202" path="m,l,21600r21600,l21600,xe">
              <v:stroke joinstyle="miter"/>
              <v:path gradientshapeok="t" o:connecttype="rect"/>
            </v:shapetype>
            <v:shape id="Frame1" o:spid="_x0000_s1026" type="#_x0000_t202" style="position:absolute;margin-left:-50.05pt;margin-top:.05pt;width:1.15pt;height:1.15pt;z-index:251658752;visibility:visible;mso-wrap-style:square;mso-wrap-distance-left:0;mso-wrap-distance-top:0;mso-wrap-distance-right:0;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" stroked="f">
              <v:fill opacity="0"/>
              <v:textbox style="mso-fit-shape-to-text:t" inset="0,0,0,0">
                <w:txbxContent>
                  <w:sdt>
                    <w:sdtPr>
                      <w:id w:val="-281428430"/>
                      <w:docPartObj>
                        <w:docPartGallery w:val="Page Numbers (Bottom of Page)"/>
                        <w:docPartUnique/>
                      </w:docPartObj>
                    </w:sdtPr>
                    <w:sdtEndPr/>
                    <w:sdtContent>
                      <w:p w14:paraId="15D06B14" w14:textId="77777777" w:rsidR="00D168CE" w:rsidRDefault="00F55819">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p>
                    </w:sdtContent>
                  </w:sdt>
                </w:txbxContent>
              </v:textbox>
              <w10:wrap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9D11CFE" w14:textId="77777777" w:rsidR="00D168CE" w:rsidRDefault="00F55819">
    <w:pPr>
      <w:pStyle w:val="Footer"/>
      <w:ind w:right="360"/>
    </w:pPr>
    <w:r>
      <w:rPr>
        <w:noProof/>
      </w:rPr>
      <mc:AlternateContent>
        <mc:Choice Requires="wps">
          <w:drawing>
            <wp:anchor distT="0" distB="0" distL="0" distR="0" simplePos="0" relativeHeight="251656704" behindDoc="0" locked="0" layoutInCell="0" allowOverlap="1" wp14:anchorId="0AA96FC3" wp14:editId="2131319B">
              <wp:simplePos x="0" y="0"/>
              <wp:positionH relativeFrom="margin">
                <wp:align>right</wp:align>
              </wp:positionH>
              <wp:positionV relativeFrom="paragraph">
                <wp:posOffset>635</wp:posOffset>
              </wp:positionV>
              <wp:extent cx="153035" cy="175260"/>
              <wp:effectExtent l="0" t="0" r="0" b="0"/>
              <wp:wrapNone/>
              <wp:docPr id="14" name="Frame2"/>
              <wp:cNvGraphicFramePr/>
              <a:graphic xmlns:a="http://schemas.openxmlformats.org/drawingml/2006/main">
                <a:graphicData uri="http://schemas.microsoft.com/office/word/2010/wordprocessingShape">
                  <wps:wsp>
                    <wps:cNvSpPr txBox="1"/>
                    <wps:spPr>
                      <a:xfrm>
                        <a:off x="0" y="0"/>
                        <a:ext cx="153035" cy="175260"/>
                      </a:xfrm>
                      <a:prstGeom prst="rect">
                        <a:avLst/>
                      </a:prstGeom>
                      <a:solidFill>
                        <a:srgbClr val="FFFFFF">
                          <a:alpha val="0"/>
                        </a:srgbClr>
                      </a:solidFill>
                    </wps:spPr>
                    <wps:txbx>
                      <w:txbxContent>
                        <w:sdt>
                          <w:sdtPr>
                            <w:id w:val="401809836"/>
                            <w:docPartObj>
                              <w:docPartGallery w:val="Page Numbers (Bottom of Page)"/>
                              <w:docPartUnique/>
                            </w:docPartObj>
                          </w:sdtPr>
                          <w:sdtContent>
                            <w:p w14:paraId="1B673B1E" w14:textId="77CDC78D" w:rsidR="00D168CE" w:rsidRDefault="00F55819">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A07343">
                                <w:rPr>
                                  <w:rStyle w:val="PageNumber"/>
                                  <w:noProof/>
                                </w:rPr>
                                <w:t>1</w:t>
                              </w:r>
                              <w:r>
                                <w:rPr>
                                  <w:rStyle w:val="PageNumber"/>
                                </w:rPr>
                                <w:fldChar w:fldCharType="end"/>
                              </w:r>
                            </w:p>
                          </w:sdtContent>
                        </w:sdt>
                      </w:txbxContent>
                    </wps:txbx>
                    <wps:bodyPr lIns="0" tIns="0" rIns="0" bIns="0" anchor="t">
                      <a:spAutoFit/>
                    </wps:bodyPr>
                  </wps:wsp>
                </a:graphicData>
              </a:graphic>
            </wp:anchor>
          </w:drawing>
        </mc:Choice>
        <mc:Fallback>
          <w:pict>
            <v:shapetype w14:anchorId="0AA96FC3" id="_x0000_t202" coordsize="21600,21600" o:spt="202" path="m,l,21600r21600,l21600,xe">
              <v:stroke joinstyle="miter"/>
              <v:path gradientshapeok="t" o:connecttype="rect"/>
            </v:shapetype>
            <v:shape id="Frame2" o:spid="_x0000_s1027" type="#_x0000_t202" style="position:absolute;margin-left:-39.15pt;margin-top:.05pt;width:12.05pt;height:13.8pt;z-index:251656704;visibility:visible;mso-wrap-style:square;mso-wrap-distance-left:0;mso-wrap-distance-top:0;mso-wrap-distance-right:0;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" o:allowincell="f" stroked="f">
              <v:fill opacity="0"/>
              <v:textbox style="mso-fit-shape-to-text:t" inset="0,0,0,0">
                <w:txbxContent>
                  <w:sdt>
                    <w:sdtPr>
                      <w:id w:val="401809836"/>
                      <w:docPartObj>
                        <w:docPartGallery w:val="Page Numbers (Bottom of Page)"/>
                        <w:docPartUnique/>
                      </w:docPartObj>
                    </w:sdtPr>
                    <w:sdtEndPr/>
                    <w:sdtContent>
                      <w:p w14:paraId="1B673B1E" w14:textId="77CDC78D" w:rsidR="00D168CE" w:rsidRDefault="00F55819">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sidR="00A07343">
                          <w:rPr>
                            <w:rStyle w:val="PageNumber"/>
                            <w:noProof/>
                          </w:rPr>
                          <w:t>1</w:t>
                        </w:r>
                        <w:r>
                          <w:rPr>
                            <w:rStyle w:val="PageNumber"/>
                          </w:rPr>
                          <w:fldChar w:fldCharType="end"/>
                        </w:r>
                      </w:p>
                    </w:sdtContent>
                  </w:sdt>
                </w:txbxContent>
              </v:textbox>
              <w10:wrap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6804433" w14:textId="77777777" w:rsidR="00D168CE" w:rsidRDefault="00F55819">
    <w:pPr>
      <w:pStyle w:val="Footer"/>
      <w:ind w:right="360"/>
    </w:pPr>
    <w:r>
      <w:rPr>
        <w:noProof/>
      </w:rPr>
      <mc:AlternateContent>
        <mc:Choice Requires="wps">
          <w:drawing>
            <wp:anchor distT="0" distB="0" distL="0" distR="0" simplePos="0" relativeHeight="251657728" behindDoc="0" locked="0" layoutInCell="0" allowOverlap="1" wp14:anchorId="7748CFC3" wp14:editId="3F575E7B">
              <wp:simplePos x="0" y="0"/>
              <wp:positionH relativeFrom="margin">
                <wp:align>right</wp:align>
              </wp:positionH>
              <wp:positionV relativeFrom="paragraph">
                <wp:posOffset>635</wp:posOffset>
              </wp:positionV>
              <wp:extent cx="153035" cy="175260"/>
              <wp:effectExtent l="0" t="0" r="0" b="0"/>
              <wp:wrapNone/>
              <wp:docPr id="15" name="Frame2"/>
              <wp:cNvGraphicFramePr/>
              <a:graphic xmlns:a="http://schemas.openxmlformats.org/drawingml/2006/main">
                <a:graphicData uri="http://schemas.microsoft.com/office/word/2010/wordprocessingShape">
                  <wps:wsp>
                    <wps:cNvSpPr txBox="1"/>
                    <wps:spPr>
                      <a:xfrm>
                        <a:off x="0" y="0"/>
                        <a:ext cx="153035" cy="175260"/>
                      </a:xfrm>
                      <a:prstGeom prst="rect">
                        <a:avLst/>
                      </a:prstGeom>
                      <a:solidFill>
                        <a:srgbClr val="FFFFFF">
                          <a:alpha val="0"/>
                        </a:srgbClr>
                      </a:solidFill>
                    </wps:spPr>
                    <wps:txbx>
                      <w:txbxContent>
                        <w:sdt>
                          <w:sdtPr>
                            <w:id w:val="1990597840"/>
                            <w:docPartObj>
                              <w:docPartGallery w:val="Page Numbers (Bottom of Page)"/>
                              <w:docPartUnique/>
                            </w:docPartObj>
                          </w:sdtPr>
                          <w:sdtContent>
                            <w:p w14:paraId="3ED2A0FE" w14:textId="77777777" w:rsidR="00D168CE" w:rsidRDefault="00F55819">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18</w:t>
                              </w:r>
                              <w:r>
                                <w:rPr>
                                  <w:rStyle w:val="PageNumber"/>
                                </w:rPr>
                                <w:fldChar w:fldCharType="end"/>
                              </w:r>
                            </w:p>
                          </w:sdtContent>
                        </w:sdt>
                      </w:txbxContent>
                    </wps:txbx>
                    <wps:bodyPr lIns="0" tIns="0" rIns="0" bIns="0" anchor="t">
                      <a:spAutoFit/>
                    </wps:bodyPr>
                  </wps:wsp>
                </a:graphicData>
              </a:graphic>
            </wp:anchor>
          </w:drawing>
        </mc:Choice>
        <mc:Fallback>
          <w:pict>
            <v:shapetype w14:anchorId="7748CFC3" id="_x0000_t202" coordsize="21600,21600" o:spt="202" path="m,l,21600r21600,l21600,xe">
              <v:stroke joinstyle="miter"/>
              <v:path gradientshapeok="t" o:connecttype="rect"/>
            </v:shapetype>
            <v:shape id="_x0000_s1028" type="#_x0000_t202" style="position:absolute;margin-left:-39.15pt;margin-top:.05pt;width:12.05pt;height:13.8pt;z-index:251657728;visibility:visible;mso-wrap-style:square;mso-wrap-distance-left:0;mso-wrap-distance-top:0;mso-wrap-distance-right:0;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" o:allowincell="f" stroked="f">
              <v:fill opacity="0"/>
              <v:textbox style="mso-fit-shape-to-text:t" inset="0,0,0,0">
                <w:txbxContent>
                  <w:sdt>
                    <w:sdtPr>
                      <w:id w:val="1990597840"/>
                      <w:docPartObj>
                        <w:docPartGallery w:val="Page Numbers (Bottom of Page)"/>
                        <w:docPartUnique/>
                      </w:docPartObj>
                    </w:sdtPr>
                    <w:sdtEndPr/>
                    <w:sdtContent>
                      <w:p w14:paraId="3ED2A0FE" w14:textId="77777777" w:rsidR="00D168CE" w:rsidRDefault="00F55819">
                        <w:pPr>
                          <w:pStyle w:val="Foo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t>18</w:t>
                        </w:r>
                        <w:r>
                          <w:rPr>
                            <w:rStyle w:val="PageNumber"/>
                          </w:rPr>
                          <w:fldChar w:fldCharType="end"/>
                        </w:r>
                      </w:p>
                    </w:sdtContent>
                  </w:sdt>
                </w:txbxContent>
              </v:textbox>
              <w10:wrap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7C4D777D" w14:textId="77777777" w:rsidR="00A61284" w:rsidRDefault="00A61284">
      <w:r>
        <w:separator/>
      </w:r>
    </w:p>
  </w:footnote>
  <w:footnote w:type="continuationSeparator" w:id="0">
    <w:p w14:paraId="3D010375" w14:textId="77777777" w:rsidR="00A61284" w:rsidRDefault="00A61284">
      <w:r>
        <w:continuationSeparator/>
      </w:r>
    </w:p>
  </w:footnote>
</w:footnote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8"/>
  <w:proofState w:spelling="clean" w:grammar="clean"/>
  <w:defaultTabStop w:val="720"/>
  <w:autoHyphenation/>
  <w:hyphenationZone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168CE"/>
    <w:rsid w:val="000F2040"/>
    <w:rsid w:val="00224223"/>
    <w:rsid w:val="002B0778"/>
    <w:rsid w:val="004A1BC5"/>
    <w:rsid w:val="006114CA"/>
    <w:rsid w:val="0082095C"/>
    <w:rsid w:val="008300E6"/>
    <w:rsid w:val="009218E1"/>
    <w:rsid w:val="00987D4D"/>
    <w:rsid w:val="00A07343"/>
    <w:rsid w:val="00A61284"/>
    <w:rsid w:val="00B35EF4"/>
    <w:rsid w:val="00CE6012"/>
    <w:rsid w:val="00D168CE"/>
    <w:rsid w:val="00D40E25"/>
    <w:rsid w:val="00F55819"/>
    <w:rsid w:val="00FC77E6"/>
  </w:rsids>
  <m:mathPr>
    <m:mathFont m:val="Cambria Math"/>
    <m:brkBin m:val="before"/>
    <m:brkBinSub m:val="--"/>
    <m:smallFrac m:val="0"/>
    <m:dispDef/>
    <m:lMargin m:val="0"/>
    <m:rMargin m:val="0"/>
    <m:defJc m:val="centerGroup"/>
    <m:wrapIndent m:val="1440"/>
    <m:intLim m:val="subSup"/>
    <m:naryLim m:val="undOvr"/>
  </m:mathPr>
  <w:themeFontLang w:val="en-US" w:eastAsia=""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AC4EE8"/>
  <w15:docId w15:val="{70875ADE-C65F-D44A-9C79-ECFC247F12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suppressAutoHyphens/>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5882"/>
    <w:pPr>
      <w:keepNext/>
      <w:keepLines/>
      <w:spacing w:before="240" w:after="120"/>
      <w:outlineLvl w:val="0"/>
    </w:pPr>
    <w:rPr>
      <w:rFonts w:eastAsiaTheme="majorEastAsia" w:cstheme="majorBidi"/>
      <w:b/>
      <w:color w:val="000000" w:themeColor="text1"/>
      <w:szCs w:val="32"/>
    </w:rPr>
  </w:style>
  <w:style w:type="paragraph" w:styleId="Heading2">
    <w:name w:val="heading 2"/>
    <w:basedOn w:val="Normal"/>
    <w:next w:val="Normal"/>
    <w:link w:val="Heading2Char"/>
    <w:uiPriority w:val="9"/>
    <w:unhideWhenUsed/>
    <w:qFormat/>
    <w:rsid w:val="00577BC5"/>
    <w:pPr>
      <w:keepNext/>
      <w:keepLines/>
      <w:spacing w:before="160" w:after="120"/>
      <w:outlineLvl w:val="1"/>
    </w:pPr>
    <w:rPr>
      <w:rFonts w:eastAsiaTheme="majorEastAsia" w:cstheme="majorBidi"/>
      <w:b/>
      <w:i/>
      <w:color w:val="4472C4" w:themeColor="accent1"/>
      <w:szCs w:val="32"/>
    </w:rPr>
  </w:style>
  <w:style w:type="paragraph" w:styleId="Heading3">
    <w:name w:val="heading 3"/>
    <w:basedOn w:val="Normal"/>
    <w:next w:val="Normal"/>
    <w:link w:val="Heading3Char"/>
    <w:uiPriority w:val="9"/>
    <w:unhideWhenUsed/>
    <w:qFormat/>
    <w:rsid w:val="00D80F72"/>
    <w:pPr>
      <w:keepNext/>
      <w:keepLines/>
      <w:spacing w:before="160" w:after="80"/>
      <w:outlineLvl w:val="2"/>
    </w:pPr>
    <w:rPr>
      <w:rFonts w:asciiTheme="majorBidi" w:eastAsiaTheme="majorEastAsia" w:hAnsiTheme="majorBidi" w:cstheme="majorBidi"/>
      <w:b/>
      <w:color w:val="000000" w:themeColor="text1"/>
      <w:szCs w:val="28"/>
    </w:rPr>
  </w:style>
  <w:style w:type="paragraph" w:styleId="Heading4">
    <w:name w:val="heading 4"/>
    <w:basedOn w:val="Normal"/>
    <w:next w:val="Normal"/>
    <w:link w:val="Heading4Char"/>
    <w:uiPriority w:val="9"/>
    <w:semiHidden/>
    <w:unhideWhenUsed/>
    <w:qFormat/>
    <w:rsid w:val="003945AF"/>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945A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945AF"/>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945AF"/>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945AF"/>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945AF"/>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qFormat/>
    <w:rsid w:val="000E5882"/>
    <w:rPr>
      <w:rFonts w:eastAsiaTheme="majorEastAsia" w:cstheme="majorBidi"/>
      <w:b/>
      <w:color w:val="000000" w:themeColor="text1"/>
      <w:szCs w:val="32"/>
    </w:rPr>
  </w:style>
  <w:style w:type="character" w:customStyle="1" w:styleId="Heading2Char">
    <w:name w:val="Heading 2 Char"/>
    <w:basedOn w:val="DefaultParagraphFont"/>
    <w:link w:val="Heading2"/>
    <w:uiPriority w:val="9"/>
    <w:qFormat/>
    <w:rsid w:val="00577BC5"/>
    <w:rPr>
      <w:rFonts w:eastAsiaTheme="majorEastAsia" w:cstheme="majorBidi"/>
      <w:b/>
      <w:i/>
      <w:color w:val="4472C4" w:themeColor="accent1"/>
      <w:szCs w:val="32"/>
    </w:rPr>
  </w:style>
  <w:style w:type="character" w:customStyle="1" w:styleId="Heading3Char">
    <w:name w:val="Heading 3 Char"/>
    <w:basedOn w:val="DefaultParagraphFont"/>
    <w:link w:val="Heading3"/>
    <w:uiPriority w:val="9"/>
    <w:qFormat/>
    <w:rsid w:val="00D80F72"/>
    <w:rPr>
      <w:rFonts w:asciiTheme="majorBidi" w:eastAsiaTheme="majorEastAsia" w:hAnsiTheme="majorBidi" w:cstheme="majorBidi"/>
      <w:b/>
      <w:color w:val="000000" w:themeColor="text1"/>
      <w:szCs w:val="28"/>
    </w:rPr>
  </w:style>
  <w:style w:type="character" w:customStyle="1" w:styleId="Heading4Char">
    <w:name w:val="Heading 4 Char"/>
    <w:basedOn w:val="DefaultParagraphFont"/>
    <w:link w:val="Heading4"/>
    <w:uiPriority w:val="9"/>
    <w:semiHidden/>
    <w:qFormat/>
    <w:rsid w:val="003945AF"/>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qFormat/>
    <w:rsid w:val="003945AF"/>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qFormat/>
    <w:rsid w:val="003945AF"/>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qFormat/>
    <w:rsid w:val="003945AF"/>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qFormat/>
    <w:rsid w:val="003945AF"/>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qFormat/>
    <w:rsid w:val="003945AF"/>
    <w:rPr>
      <w:rFonts w:asciiTheme="minorHAnsi" w:eastAsiaTheme="majorEastAsia" w:hAnsiTheme="minorHAnsi" w:cstheme="majorBidi"/>
      <w:color w:val="272727" w:themeColor="text1" w:themeTint="D8"/>
    </w:rPr>
  </w:style>
  <w:style w:type="character" w:customStyle="1" w:styleId="TitleChar">
    <w:name w:val="Title Char"/>
    <w:basedOn w:val="DefaultParagraphFont"/>
    <w:link w:val="Title"/>
    <w:uiPriority w:val="10"/>
    <w:qFormat/>
    <w:rsid w:val="003945AF"/>
    <w:rPr>
      <w:rFonts w:asciiTheme="majorHAnsi" w:eastAsiaTheme="majorEastAsia" w:hAnsiTheme="majorHAnsi" w:cstheme="majorBidi"/>
      <w:spacing w:val="-10"/>
      <w:kern w:val="2"/>
      <w:sz w:val="56"/>
      <w:szCs w:val="56"/>
    </w:rPr>
  </w:style>
  <w:style w:type="character" w:customStyle="1" w:styleId="SubtitleChar">
    <w:name w:val="Subtitle Char"/>
    <w:basedOn w:val="DefaultParagraphFont"/>
    <w:link w:val="Subtitle"/>
    <w:uiPriority w:val="11"/>
    <w:qFormat/>
    <w:rsid w:val="003945AF"/>
    <w:rPr>
      <w:rFonts w:asciiTheme="minorHAnsi" w:eastAsiaTheme="majorEastAsia" w:hAnsiTheme="minorHAnsi" w:cstheme="majorBidi"/>
      <w:color w:val="595959" w:themeColor="text1" w:themeTint="A6"/>
      <w:spacing w:val="15"/>
      <w:sz w:val="28"/>
      <w:szCs w:val="28"/>
    </w:rPr>
  </w:style>
  <w:style w:type="character" w:customStyle="1" w:styleId="QuoteChar">
    <w:name w:val="Quote Char"/>
    <w:basedOn w:val="DefaultParagraphFont"/>
    <w:link w:val="Quote"/>
    <w:uiPriority w:val="29"/>
    <w:qFormat/>
    <w:rsid w:val="003945AF"/>
    <w:rPr>
      <w:i/>
      <w:iCs/>
      <w:color w:val="404040" w:themeColor="text1" w:themeTint="BF"/>
    </w:rPr>
  </w:style>
  <w:style w:type="character" w:styleId="IntenseEmphasis">
    <w:name w:val="Intense Emphasis"/>
    <w:basedOn w:val="DefaultParagraphFont"/>
    <w:uiPriority w:val="21"/>
    <w:qFormat/>
    <w:rsid w:val="003945AF"/>
    <w:rPr>
      <w:i/>
      <w:iCs/>
      <w:color w:val="2F5496" w:themeColor="accent1" w:themeShade="BF"/>
    </w:rPr>
  </w:style>
  <w:style w:type="character" w:customStyle="1" w:styleId="IntenseQuoteChar">
    <w:name w:val="Intense Quote Char"/>
    <w:basedOn w:val="DefaultParagraphFont"/>
    <w:link w:val="IntenseQuote"/>
    <w:uiPriority w:val="30"/>
    <w:qFormat/>
    <w:rsid w:val="003945AF"/>
    <w:rPr>
      <w:i/>
      <w:iCs/>
      <w:color w:val="2F5496" w:themeColor="accent1" w:themeShade="BF"/>
    </w:rPr>
  </w:style>
  <w:style w:type="character" w:styleId="IntenseReference">
    <w:name w:val="Intense Reference"/>
    <w:basedOn w:val="DefaultParagraphFont"/>
    <w:uiPriority w:val="32"/>
    <w:qFormat/>
    <w:rsid w:val="003945AF"/>
    <w:rPr>
      <w:b/>
      <w:bCs/>
      <w:smallCaps/>
      <w:color w:val="2F5496" w:themeColor="accent1" w:themeShade="BF"/>
      <w:spacing w:val="5"/>
    </w:rPr>
  </w:style>
  <w:style w:type="character" w:customStyle="1" w:styleId="FooterChar">
    <w:name w:val="Footer Char"/>
    <w:basedOn w:val="DefaultParagraphFont"/>
    <w:link w:val="Footer"/>
    <w:uiPriority w:val="99"/>
    <w:qFormat/>
    <w:rsid w:val="003945AF"/>
  </w:style>
  <w:style w:type="character" w:styleId="PageNumber">
    <w:name w:val="page number"/>
    <w:basedOn w:val="DefaultParagraphFont"/>
    <w:uiPriority w:val="99"/>
    <w:semiHidden/>
    <w:unhideWhenUsed/>
    <w:rsid w:val="003945AF"/>
  </w:style>
  <w:style w:type="character" w:styleId="Hyperlink">
    <w:name w:val="Hyperlink"/>
    <w:basedOn w:val="DefaultParagraphFont"/>
    <w:uiPriority w:val="99"/>
    <w:unhideWhenUsed/>
    <w:rsid w:val="003945AF"/>
    <w:rPr>
      <w:color w:val="0563C1" w:themeColor="hyperlink"/>
      <w:u w:val="single"/>
    </w:rPr>
  </w:style>
  <w:style w:type="character" w:customStyle="1" w:styleId="IndexLink">
    <w:name w:val="Index Link"/>
    <w:qFormat/>
  </w:style>
  <w:style w:type="paragraph" w:customStyle="1" w:styleId="Heading">
    <w:name w:val="Heading"/>
    <w:basedOn w:val="Normal"/>
    <w:next w:val="BodyText"/>
    <w:qFormat/>
    <w:pPr>
      <w:keepNext/>
      <w:spacing w:before="240" w:after="120"/>
    </w:pPr>
    <w:rPr>
      <w:rFonts w:ascii="Liberation Sans" w:eastAsia="Noto Sans CJK SC" w:hAnsi="Liberation Sans" w:cs="Lohit Devanagari"/>
      <w:sz w:val="28"/>
      <w:szCs w:val="28"/>
    </w:rPr>
  </w:style>
  <w:style w:type="paragraph" w:styleId="BodyText">
    <w:name w:val="Body Text"/>
    <w:basedOn w:val="Normal"/>
    <w:pPr>
      <w:spacing w:after="140" w:line="276" w:lineRule="auto"/>
    </w:p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rPr>
  </w:style>
  <w:style w:type="paragraph" w:customStyle="1" w:styleId="Index">
    <w:name w:val="Index"/>
    <w:basedOn w:val="Normal"/>
    <w:qFormat/>
    <w:pPr>
      <w:suppressLineNumbers/>
    </w:pPr>
    <w:rPr>
      <w:rFonts w:cs="Lohit Devanagari"/>
    </w:rPr>
  </w:style>
  <w:style w:type="paragraph" w:styleId="Title">
    <w:name w:val="Title"/>
    <w:basedOn w:val="Normal"/>
    <w:next w:val="Normal"/>
    <w:link w:val="TitleChar"/>
    <w:uiPriority w:val="10"/>
    <w:qFormat/>
    <w:rsid w:val="003945AF"/>
    <w:pPr>
      <w:spacing w:after="80"/>
      <w:contextualSpacing/>
    </w:pPr>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3945AF"/>
    <w:pPr>
      <w:spacing w:after="160"/>
    </w:pPr>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3945AF"/>
    <w:pPr>
      <w:spacing w:before="160" w:after="160"/>
      <w:jc w:val="center"/>
    </w:pPr>
    <w:rPr>
      <w:i/>
      <w:iCs/>
      <w:color w:val="404040" w:themeColor="text1" w:themeTint="BF"/>
    </w:rPr>
  </w:style>
  <w:style w:type="paragraph" w:styleId="ListParagraph">
    <w:name w:val="List Paragraph"/>
    <w:basedOn w:val="Normal"/>
    <w:uiPriority w:val="34"/>
    <w:qFormat/>
    <w:rsid w:val="003945AF"/>
    <w:pPr>
      <w:ind w:left="720"/>
      <w:contextualSpacing/>
    </w:pPr>
  </w:style>
  <w:style w:type="paragraph" w:styleId="IntenseQuote">
    <w:name w:val="Intense Quote"/>
    <w:basedOn w:val="Normal"/>
    <w:next w:val="Normal"/>
    <w:link w:val="IntenseQuoteChar"/>
    <w:uiPriority w:val="30"/>
    <w:qFormat/>
    <w:rsid w:val="003945A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paragraph" w:customStyle="1" w:styleId="HeaderandFooter">
    <w:name w:val="Header and Footer"/>
    <w:basedOn w:val="Normal"/>
    <w:qFormat/>
  </w:style>
  <w:style w:type="paragraph" w:styleId="Footer">
    <w:name w:val="footer"/>
    <w:basedOn w:val="Normal"/>
    <w:link w:val="FooterChar"/>
    <w:uiPriority w:val="99"/>
    <w:unhideWhenUsed/>
    <w:rsid w:val="003945AF"/>
    <w:pPr>
      <w:tabs>
        <w:tab w:val="center" w:pos="4680"/>
        <w:tab w:val="right" w:pos="9360"/>
      </w:tabs>
    </w:pPr>
  </w:style>
  <w:style w:type="paragraph" w:styleId="IndexHeading">
    <w:name w:val="index heading"/>
    <w:basedOn w:val="Heading"/>
  </w:style>
  <w:style w:type="paragraph" w:styleId="TOCHeading">
    <w:name w:val="TOC Heading"/>
    <w:basedOn w:val="Heading1"/>
    <w:next w:val="Normal"/>
    <w:uiPriority w:val="39"/>
    <w:unhideWhenUsed/>
    <w:qFormat/>
    <w:rsid w:val="003945AF"/>
    <w:pPr>
      <w:spacing w:before="480" w:after="0" w:line="276" w:lineRule="auto"/>
      <w:outlineLvl w:val="9"/>
    </w:pPr>
    <w:rPr>
      <w:rFonts w:asciiTheme="majorHAnsi" w:hAnsiTheme="majorHAnsi"/>
      <w:bCs/>
      <w:color w:val="2F5496" w:themeColor="accent1" w:themeShade="BF"/>
      <w:kern w:val="0"/>
      <w:sz w:val="28"/>
      <w:szCs w:val="28"/>
      <w14:ligatures w14:val="none"/>
    </w:rPr>
  </w:style>
  <w:style w:type="paragraph" w:styleId="TOC1">
    <w:name w:val="toc 1"/>
    <w:basedOn w:val="Normal"/>
    <w:next w:val="Normal"/>
    <w:autoRedefine/>
    <w:uiPriority w:val="39"/>
    <w:unhideWhenUsed/>
    <w:rsid w:val="003945AF"/>
    <w:pPr>
      <w:spacing w:before="240" w:after="120"/>
    </w:pPr>
    <w:rPr>
      <w:rFonts w:asciiTheme="minorHAnsi" w:hAnsiTheme="minorHAnsi" w:cstheme="minorHAnsi"/>
      <w:b/>
      <w:bCs/>
      <w:sz w:val="20"/>
    </w:rPr>
  </w:style>
  <w:style w:type="paragraph" w:styleId="TOC2">
    <w:name w:val="toc 2"/>
    <w:basedOn w:val="Normal"/>
    <w:next w:val="Normal"/>
    <w:autoRedefine/>
    <w:uiPriority w:val="39"/>
    <w:unhideWhenUsed/>
    <w:rsid w:val="003945AF"/>
    <w:pPr>
      <w:spacing w:before="120"/>
      <w:ind w:left="240"/>
    </w:pPr>
    <w:rPr>
      <w:rFonts w:asciiTheme="minorHAnsi" w:hAnsiTheme="minorHAnsi" w:cstheme="minorHAnsi"/>
      <w:i/>
      <w:iCs/>
      <w:sz w:val="20"/>
    </w:rPr>
  </w:style>
  <w:style w:type="paragraph" w:styleId="TOC3">
    <w:name w:val="toc 3"/>
    <w:basedOn w:val="Normal"/>
    <w:next w:val="Normal"/>
    <w:autoRedefine/>
    <w:uiPriority w:val="39"/>
    <w:unhideWhenUsed/>
    <w:rsid w:val="003945AF"/>
    <w:pPr>
      <w:ind w:left="480"/>
    </w:pPr>
    <w:rPr>
      <w:rFonts w:asciiTheme="minorHAnsi" w:hAnsiTheme="minorHAnsi" w:cstheme="minorHAnsi"/>
      <w:sz w:val="20"/>
    </w:rPr>
  </w:style>
  <w:style w:type="paragraph" w:styleId="TOC4">
    <w:name w:val="toc 4"/>
    <w:basedOn w:val="Normal"/>
    <w:next w:val="Normal"/>
    <w:autoRedefine/>
    <w:uiPriority w:val="39"/>
    <w:semiHidden/>
    <w:unhideWhenUsed/>
    <w:rsid w:val="003945AF"/>
    <w:pPr>
      <w:ind w:left="720"/>
    </w:pPr>
    <w:rPr>
      <w:rFonts w:asciiTheme="minorHAnsi" w:hAnsiTheme="minorHAnsi" w:cstheme="minorHAnsi"/>
      <w:sz w:val="20"/>
    </w:rPr>
  </w:style>
  <w:style w:type="paragraph" w:styleId="TOC5">
    <w:name w:val="toc 5"/>
    <w:basedOn w:val="Normal"/>
    <w:next w:val="Normal"/>
    <w:autoRedefine/>
    <w:uiPriority w:val="39"/>
    <w:semiHidden/>
    <w:unhideWhenUsed/>
    <w:rsid w:val="003945AF"/>
    <w:pPr>
      <w:ind w:left="960"/>
    </w:pPr>
    <w:rPr>
      <w:rFonts w:asciiTheme="minorHAnsi" w:hAnsiTheme="minorHAnsi" w:cstheme="minorHAnsi"/>
      <w:sz w:val="20"/>
    </w:rPr>
  </w:style>
  <w:style w:type="paragraph" w:styleId="TOC6">
    <w:name w:val="toc 6"/>
    <w:basedOn w:val="Normal"/>
    <w:next w:val="Normal"/>
    <w:autoRedefine/>
    <w:uiPriority w:val="39"/>
    <w:semiHidden/>
    <w:unhideWhenUsed/>
    <w:rsid w:val="003945AF"/>
    <w:pPr>
      <w:ind w:left="1200"/>
    </w:pPr>
    <w:rPr>
      <w:rFonts w:asciiTheme="minorHAnsi" w:hAnsiTheme="minorHAnsi" w:cstheme="minorHAnsi"/>
      <w:sz w:val="20"/>
    </w:rPr>
  </w:style>
  <w:style w:type="paragraph" w:styleId="TOC7">
    <w:name w:val="toc 7"/>
    <w:basedOn w:val="Normal"/>
    <w:next w:val="Normal"/>
    <w:autoRedefine/>
    <w:uiPriority w:val="39"/>
    <w:semiHidden/>
    <w:unhideWhenUsed/>
    <w:rsid w:val="003945AF"/>
    <w:pPr>
      <w:ind w:left="1440"/>
    </w:pPr>
    <w:rPr>
      <w:rFonts w:asciiTheme="minorHAnsi" w:hAnsiTheme="minorHAnsi" w:cstheme="minorHAnsi"/>
      <w:sz w:val="20"/>
    </w:rPr>
  </w:style>
  <w:style w:type="paragraph" w:styleId="TOC8">
    <w:name w:val="toc 8"/>
    <w:basedOn w:val="Normal"/>
    <w:next w:val="Normal"/>
    <w:autoRedefine/>
    <w:uiPriority w:val="39"/>
    <w:semiHidden/>
    <w:unhideWhenUsed/>
    <w:rsid w:val="003945AF"/>
    <w:pPr>
      <w:ind w:left="1680"/>
    </w:pPr>
    <w:rPr>
      <w:rFonts w:asciiTheme="minorHAnsi" w:hAnsiTheme="minorHAnsi" w:cstheme="minorHAnsi"/>
      <w:sz w:val="20"/>
    </w:rPr>
  </w:style>
  <w:style w:type="paragraph" w:styleId="TOC9">
    <w:name w:val="toc 9"/>
    <w:basedOn w:val="Normal"/>
    <w:next w:val="Normal"/>
    <w:autoRedefine/>
    <w:uiPriority w:val="39"/>
    <w:semiHidden/>
    <w:unhideWhenUsed/>
    <w:rsid w:val="003945AF"/>
    <w:pPr>
      <w:ind w:left="1920"/>
    </w:pPr>
    <w:rPr>
      <w:rFonts w:asciiTheme="minorHAnsi" w:hAnsiTheme="minorHAnsi" w:cstheme="minorHAnsi"/>
      <w:sz w:val="20"/>
    </w:rPr>
  </w:style>
  <w:style w:type="paragraph" w:customStyle="1" w:styleId="FrameContents">
    <w:name w:val="Frame Contents"/>
    <w:basedOn w:val="Normal"/>
    <w:qFormat/>
  </w:style>
  <w:style w:type="paragraph" w:styleId="NoSpacing">
    <w:name w:val="No Spacing"/>
    <w:link w:val="NoSpacingChar"/>
    <w:uiPriority w:val="1"/>
    <w:qFormat/>
    <w:rsid w:val="00A07343"/>
    <w:pPr>
      <w:suppressAutoHyphens w:val="0"/>
    </w:pPr>
    <w:rPr>
      <w:rFonts w:asciiTheme="minorHAnsi" w:eastAsiaTheme="minorEastAsia" w:hAnsiTheme="minorHAnsi" w:cstheme="minorBidi"/>
      <w:kern w:val="0"/>
      <w:sz w:val="22"/>
      <w:szCs w:val="22"/>
      <w14:ligatures w14:val="none"/>
    </w:rPr>
  </w:style>
  <w:style w:type="character" w:customStyle="1" w:styleId="NoSpacingChar">
    <w:name w:val="No Spacing Char"/>
    <w:basedOn w:val="DefaultParagraphFont"/>
    <w:link w:val="NoSpacing"/>
    <w:uiPriority w:val="1"/>
    <w:rsid w:val="00A07343"/>
    <w:rPr>
      <w:rFonts w:asciiTheme="minorHAnsi" w:eastAsiaTheme="minorEastAsia" w:hAnsiTheme="minorHAnsi" w:cstheme="minorBidi"/>
      <w:kern w:val="0"/>
      <w:sz w:val="22"/>
      <w:szCs w:val="22"/>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hyperlink" Target="https://www.mercer.com/insights/people-strategy/future-of-work/global-talent-trends/" TargetMode="External"/><Relationship Id="rId3" Type="http://schemas.openxmlformats.org/officeDocument/2006/relationships/settings" Target="settings.xml"/><Relationship Id="rId21" Type="http://schemas.openxmlformats.org/officeDocument/2006/relationships/hyperlink" Target="https://www.gallup.com/workplace/349484/state-of-the-global-workplace.aspx"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hyperlink" Target="https://www.mckinsey.com/capabilities/people-and-organizational-performance/our-insights/the-critical-role-of-strategic-workforce-planning-in-the-age-of-ai"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deloitte.com/us/en/insights/topics/talent/human-capital-trends.html" TargetMode="External"/><Relationship Id="rId29" Type="http://schemas.openxmlformats.org/officeDocument/2006/relationships/hyperlink" Target="https://www.weforum.org/impact/reskilling-revolution-preparing-1-billion-people-for-tomorrows-economy/"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business.linkedin.com/learn/resources/workplace-learning-report" TargetMode="External"/><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hyperlink" Target="https://www.gartner.com/en/documents/7742221" TargetMode="External"/><Relationship Id="rId28" Type="http://schemas.openxmlformats.org/officeDocument/2006/relationships/hyperlink" Target="https://employeeengagement.com/wp-content/uploads/2024/04/Dave-Ulrich_final.pdf" TargetMode="Externa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www.gartner.com/en/newsroom/press-releases/2024-09-18-gartner-hr-research-finds-orgs-current-talent-management-efforts-inhibit-optimal-employee-and-org-performance" TargetMode="External"/><Relationship Id="rId27" Type="http://schemas.openxmlformats.org/officeDocument/2006/relationships/hyperlink" Target="https://www.randstad.com/workmonitor/" TargetMode="External"/><Relationship Id="rId30" Type="http://schemas.openxmlformats.org/officeDocument/2006/relationships/footer" Target="footer1.xml"/><Relationship Id="rId8" Type="http://schemas.openxmlformats.org/officeDocument/2006/relationships/image" Target="media/image2.png"/></Relationships>
</file>

<file path=word/theme/theme1.xml><?xml version="1.0" encoding="utf-8"?>
<a:theme xmlns:a="http://schemas.openxmlformats.org/drawingml/2006/main" name="Office Theme 2013 - 2022">
  <a:themeElements>
    <a:clrScheme name="Office">
      <a:dk1>
        <a:srgbClr val="000000"/>
      </a:dk1>
      <a:lt1>
        <a:srgbClr val="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majorFont>
      <a:minorFont>
        <a:latin typeface="Calibri" panose="020F0502020204030204"/>
        <a:ea typeface=""/>
        <a:cs typeface=""/>
      </a:minorFont>
    </a:fontScheme>
    <a:fmtScheme>
      <a:fillStyleLst>
        <a:solidFill>
          <a:schemeClr val="phClr"/>
        </a:solidFill>
        <a:gradFill>
          <a:gsLst>
            <a:gs pos="0">
              <a:schemeClr val="phClr">
                <a:lumMod val="110000"/>
                <a:tint val="67000"/>
              </a:schemeClr>
            </a:gs>
            <a:gs pos="50000">
              <a:schemeClr val="phClr">
                <a:lumMod val="105000"/>
                <a:tint val="73000"/>
              </a:schemeClr>
            </a:gs>
            <a:gs pos="100000">
              <a:schemeClr val="phClr">
                <a:lumMod val="105000"/>
                <a:tint val="81000"/>
              </a:schemeClr>
            </a:gs>
          </a:gsLst>
          <a:lin ang="5400000" scaled="0"/>
          <a:tileRect/>
        </a:gradFill>
        <a:gradFill>
          <a:gsLst>
            <a:gs pos="0">
              <a:schemeClr val="phClr">
                <a:lumMod val="102000"/>
                <a:tint val="94000"/>
              </a:schemeClr>
            </a:gs>
            <a:gs pos="50000">
              <a:schemeClr val="phClr">
                <a:lumMod val="100000"/>
                <a:shade val="100000"/>
              </a:schemeClr>
            </a:gs>
            <a:gs pos="100000">
              <a:schemeClr val="phClr">
                <a:lumMod val="99000"/>
                <a:shade val="78000"/>
              </a:schemeClr>
            </a:gs>
          </a:gsLst>
          <a:lin ang="5400000" scaled="0"/>
          <a:tileRect/>
        </a:gradFill>
      </a:fillStyleLst>
      <a:lnStyleLst>
        <a:ln w="6350" cap="flat" cmpd="sng" algn="ctr">
          <a:prstDash val="solid"/>
          <a:miter lim="800000"/>
        </a:ln>
        <a:ln w="12700" cap="flat" cmpd="sng" algn="ctr">
          <a:prstDash val="solid"/>
          <a:miter lim="800000"/>
        </a:ln>
        <a:ln w="19050" cap="flat" cmpd="sng" algn="ctr">
          <a:prstDash val="solid"/>
          <a:miter lim="800000"/>
        </a:ln>
      </a:lnStyleLst>
      <a:effectStyleLst>
        <a:effectStyle>
          <a:effectLst/>
        </a:effectStyle>
        <a:effectStyle>
          <a:effectLst/>
        </a:effectStyle>
        <a:effectStyle>
          <a:effectLst/>
        </a:effectStyle>
      </a:effectStyleLst>
      <a:bgFillStyleLst>
        <a:solidFill>
          <a:schemeClr val="phClr"/>
        </a:solidFill>
        <a:solidFill>
          <a:schemeClr val="phClr">
            <a:tint val="95000"/>
          </a:schemeClr>
        </a:solidFill>
        <a:gradFill>
          <a:gsLst>
            <a:gs pos="0">
              <a:schemeClr val="phClr">
                <a:tint val="93000"/>
                <a:shade val="98000"/>
                <a:lumMod val="102000"/>
              </a:schemeClr>
            </a:gs>
            <a:gs pos="50000">
              <a:schemeClr val="phClr">
                <a:tint val="98000"/>
                <a:shade val="90000"/>
                <a:lumMod val="103000"/>
              </a:schemeClr>
            </a:gs>
            <a:gs pos="100000">
              <a:schemeClr val="phClr">
                <a:shade val="63000"/>
              </a:schemeClr>
            </a:gs>
          </a:gsLst>
          <a:lin ang="5400000" scaled="0"/>
          <a:tileRect/>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201DAF63-1C37-499D-9FB4-CDC3DB1AB8A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TotalTime>
  <Pages>18</Pages>
  <Words>4048</Words>
  <Characters>23080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Ishan kevadiya</cp:lastModifiedBy>
  <cp:revision>8</cp:revision>
  <dcterms:created xsi:type="dcterms:W3CDTF">2026-06-11T10:54:00Z</dcterms:created>
  <dcterms:modified xsi:type="dcterms:W3CDTF">2026-06-21T20:27:00Z</dcterms:modified>
</cp:coreProperties>
</file>

<file path=docProps/core0.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2026-06-11T10:22:00Z</dcterms:created>
  <dc:creator></dc:creator>
  <dc:description/>
  <dc:language>en-US</dc:language>
  <cp:lastModifiedBy/>
  <dcterms:modified xsi:type="dcterms:W3CDTF">2026-06-11T10:47:27Z</dcterms:modified>
  <cp:revision>2</cp:revision>
  <dc:subject/>
  <dc:title/>
</cp:coreProperties>
</file>