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00FA75" w14:textId="77777777" w:rsidR="00A52ABB" w:rsidRPr="002467E2" w:rsidRDefault="00A52ABB" w:rsidP="002467E2">
      <w:pPr>
        <w:spacing w:line="360" w:lineRule="auto"/>
        <w:jc w:val="both"/>
        <w:rPr>
          <w:rFonts w:ascii="Arial" w:hAnsi="Arial" w:cs="Arial"/>
          <w:b/>
          <w:bCs/>
        </w:rPr>
      </w:pPr>
    </w:p>
    <w:p w14:paraId="63949A30" w14:textId="77777777" w:rsidR="00A52ABB" w:rsidRPr="002467E2" w:rsidRDefault="00A52ABB" w:rsidP="002467E2">
      <w:pPr>
        <w:spacing w:line="360" w:lineRule="auto"/>
        <w:jc w:val="both"/>
        <w:rPr>
          <w:rFonts w:ascii="Arial" w:hAnsi="Arial" w:cs="Arial"/>
          <w:b/>
          <w:bCs/>
        </w:rPr>
      </w:pPr>
    </w:p>
    <w:p w14:paraId="38E161A0" w14:textId="77777777" w:rsidR="00A52ABB" w:rsidRPr="002467E2" w:rsidRDefault="00A52ABB" w:rsidP="002467E2">
      <w:pPr>
        <w:spacing w:line="360" w:lineRule="auto"/>
        <w:jc w:val="both"/>
        <w:rPr>
          <w:rFonts w:ascii="Arial" w:hAnsi="Arial" w:cs="Arial"/>
          <w:b/>
          <w:bCs/>
        </w:rPr>
      </w:pPr>
    </w:p>
    <w:p w14:paraId="5275845C" w14:textId="567E126C" w:rsidR="00C46ADB" w:rsidRPr="002467E2" w:rsidRDefault="0095416F" w:rsidP="002467E2">
      <w:pPr>
        <w:spacing w:line="360" w:lineRule="auto"/>
        <w:jc w:val="center"/>
        <w:rPr>
          <w:rFonts w:ascii="Arial" w:hAnsi="Arial" w:cs="Arial"/>
          <w:b/>
          <w:bCs/>
        </w:rPr>
      </w:pPr>
      <w:r w:rsidRPr="002467E2">
        <w:rPr>
          <w:rFonts w:ascii="Arial" w:hAnsi="Arial" w:cs="Arial"/>
          <w:b/>
          <w:bCs/>
        </w:rPr>
        <w:t>AN INTEGRATED PHYSIOLOGICAL AND EVIDENCE-BASED APPROACH TO THE MANAGEMENT OF TYPE 2 DIABETES MELLITUS IN PRIMARY CARE PRACTICE</w:t>
      </w:r>
    </w:p>
    <w:p w14:paraId="18BF25AD" w14:textId="392258D6" w:rsidR="00C46ADB" w:rsidRPr="002467E2" w:rsidRDefault="0095416F" w:rsidP="002467E2">
      <w:pPr>
        <w:spacing w:line="360" w:lineRule="auto"/>
        <w:jc w:val="center"/>
        <w:rPr>
          <w:rFonts w:ascii="Arial" w:hAnsi="Arial" w:cs="Arial"/>
          <w:b/>
          <w:bCs/>
        </w:rPr>
      </w:pPr>
      <w:r w:rsidRPr="002467E2">
        <w:rPr>
          <w:rFonts w:ascii="Arial" w:hAnsi="Arial" w:cs="Arial"/>
          <w:b/>
          <w:bCs/>
        </w:rPr>
        <w:t>BY:</w:t>
      </w:r>
      <w:r>
        <w:rPr>
          <w:rFonts w:ascii="Arial" w:hAnsi="Arial" w:cs="Arial"/>
          <w:b/>
          <w:bCs/>
        </w:rPr>
        <w:t xml:space="preserve"> P</w:t>
      </w:r>
      <w:r w:rsidRPr="002467E2">
        <w:rPr>
          <w:rFonts w:ascii="Arial" w:hAnsi="Arial" w:cs="Arial"/>
          <w:b/>
          <w:bCs/>
        </w:rPr>
        <w:t>A</w:t>
      </w:r>
      <w:r>
        <w:rPr>
          <w:rFonts w:ascii="Arial" w:hAnsi="Arial" w:cs="Arial"/>
          <w:b/>
          <w:bCs/>
        </w:rPr>
        <w:t>SC</w:t>
      </w:r>
      <w:r w:rsidRPr="002467E2">
        <w:rPr>
          <w:rFonts w:ascii="Arial" w:hAnsi="Arial" w:cs="Arial"/>
          <w:b/>
          <w:bCs/>
        </w:rPr>
        <w:t>A</w:t>
      </w:r>
      <w:r>
        <w:rPr>
          <w:rFonts w:ascii="Arial" w:hAnsi="Arial" w:cs="Arial"/>
          <w:b/>
          <w:bCs/>
        </w:rPr>
        <w:t xml:space="preserve">LINE NONO </w:t>
      </w:r>
      <w:r w:rsidRPr="002467E2">
        <w:rPr>
          <w:rFonts w:ascii="Arial" w:hAnsi="Arial" w:cs="Arial"/>
          <w:b/>
          <w:bCs/>
        </w:rPr>
        <w:t>A</w:t>
      </w:r>
      <w:r>
        <w:rPr>
          <w:rFonts w:ascii="Arial" w:hAnsi="Arial" w:cs="Arial"/>
          <w:b/>
          <w:bCs/>
        </w:rPr>
        <w:t>M</w:t>
      </w:r>
      <w:r w:rsidRPr="002467E2">
        <w:rPr>
          <w:rFonts w:ascii="Arial" w:hAnsi="Arial" w:cs="Arial"/>
          <w:b/>
          <w:bCs/>
        </w:rPr>
        <w:t>A</w:t>
      </w:r>
      <w:r>
        <w:rPr>
          <w:rFonts w:ascii="Arial" w:hAnsi="Arial" w:cs="Arial"/>
          <w:b/>
          <w:bCs/>
        </w:rPr>
        <w:t>GN</w:t>
      </w:r>
      <w:r w:rsidRPr="002467E2">
        <w:rPr>
          <w:rFonts w:ascii="Arial" w:hAnsi="Arial" w:cs="Arial"/>
          <w:b/>
          <w:bCs/>
        </w:rPr>
        <w:t>A</w:t>
      </w:r>
    </w:p>
    <w:p w14:paraId="18AE9FFA" w14:textId="29A1F0C7" w:rsidR="0095416F" w:rsidRDefault="0095416F" w:rsidP="0095416F">
      <w:pPr>
        <w:spacing w:line="360" w:lineRule="auto"/>
        <w:jc w:val="center"/>
        <w:rPr>
          <w:rFonts w:ascii="Arial" w:hAnsi="Arial" w:cs="Arial"/>
          <w:b/>
          <w:bCs/>
        </w:rPr>
      </w:pPr>
      <w:r w:rsidRPr="002467E2">
        <w:rPr>
          <w:rFonts w:ascii="Arial" w:hAnsi="Arial" w:cs="Arial"/>
          <w:b/>
          <w:bCs/>
        </w:rPr>
        <w:t>STUDENT ID:</w:t>
      </w:r>
      <w:r>
        <w:rPr>
          <w:rFonts w:ascii="Arial" w:hAnsi="Arial" w:cs="Arial"/>
          <w:b/>
          <w:bCs/>
        </w:rPr>
        <w:t xml:space="preserve"> 2424794</w:t>
      </w:r>
    </w:p>
    <w:p w14:paraId="61429E90" w14:textId="1CB7DE4E" w:rsidR="00A52ABB" w:rsidRPr="002467E2" w:rsidRDefault="0095416F" w:rsidP="0095416F">
      <w:pPr>
        <w:spacing w:line="360" w:lineRule="auto"/>
        <w:jc w:val="center"/>
        <w:rPr>
          <w:rFonts w:ascii="Arial" w:hAnsi="Arial" w:cs="Arial"/>
          <w:b/>
          <w:bCs/>
        </w:rPr>
      </w:pPr>
      <w:r w:rsidRPr="002467E2">
        <w:rPr>
          <w:rFonts w:ascii="Arial" w:hAnsi="Arial" w:cs="Arial"/>
          <w:b/>
          <w:bCs/>
        </w:rPr>
        <w:t>MODULE NAME:  INTRODUCTION TO PHYSIOLOGY</w:t>
      </w:r>
    </w:p>
    <w:p w14:paraId="50EF41EC" w14:textId="7E340B49" w:rsidR="00A52ABB" w:rsidRPr="002467E2" w:rsidRDefault="0095416F" w:rsidP="002467E2">
      <w:pPr>
        <w:spacing w:line="360" w:lineRule="auto"/>
        <w:jc w:val="center"/>
        <w:rPr>
          <w:rFonts w:ascii="Arial" w:hAnsi="Arial" w:cs="Arial"/>
          <w:b/>
          <w:bCs/>
        </w:rPr>
      </w:pPr>
      <w:r w:rsidRPr="002467E2">
        <w:rPr>
          <w:rFonts w:ascii="Arial" w:hAnsi="Arial" w:cs="Arial"/>
          <w:b/>
          <w:bCs/>
        </w:rPr>
        <w:t>MODULE CODE: BMHP5023</w:t>
      </w:r>
    </w:p>
    <w:p w14:paraId="41FF08D0" w14:textId="2E41E902" w:rsidR="00A52ABB" w:rsidRPr="002467E2" w:rsidRDefault="0095416F" w:rsidP="002467E2">
      <w:pPr>
        <w:spacing w:line="360" w:lineRule="auto"/>
        <w:jc w:val="center"/>
        <w:rPr>
          <w:rFonts w:ascii="Arial" w:hAnsi="Arial" w:cs="Arial"/>
          <w:b/>
          <w:bCs/>
        </w:rPr>
      </w:pPr>
      <w:r w:rsidRPr="002467E2">
        <w:rPr>
          <w:rFonts w:ascii="Arial" w:hAnsi="Arial" w:cs="Arial"/>
          <w:b/>
          <w:bCs/>
        </w:rPr>
        <w:t>ASSIGNMENT TITLE: COMPONENT 1 (CASE STUDY REPORT)</w:t>
      </w:r>
    </w:p>
    <w:p w14:paraId="54599841" w14:textId="3307BA39" w:rsidR="00A52ABB" w:rsidRPr="002467E2" w:rsidRDefault="0095416F" w:rsidP="002467E2">
      <w:pPr>
        <w:spacing w:line="360" w:lineRule="auto"/>
        <w:jc w:val="center"/>
        <w:rPr>
          <w:rFonts w:ascii="Arial" w:hAnsi="Arial" w:cs="Arial"/>
          <w:b/>
          <w:bCs/>
        </w:rPr>
      </w:pPr>
      <w:r w:rsidRPr="002467E2">
        <w:rPr>
          <w:rFonts w:ascii="Arial" w:hAnsi="Arial" w:cs="Arial"/>
          <w:b/>
          <w:bCs/>
        </w:rPr>
        <w:t>UNIVERSITY OF WALES</w:t>
      </w:r>
      <w:bookmarkStart w:id="0" w:name="_GoBack"/>
      <w:bookmarkEnd w:id="0"/>
    </w:p>
    <w:p w14:paraId="1EEFF5BB" w14:textId="1F6BF125" w:rsidR="00A52ABB" w:rsidRPr="002467E2" w:rsidRDefault="0095416F" w:rsidP="002467E2">
      <w:pPr>
        <w:spacing w:line="360" w:lineRule="auto"/>
        <w:jc w:val="center"/>
        <w:rPr>
          <w:rFonts w:ascii="Arial" w:hAnsi="Arial" w:cs="Arial"/>
          <w:b/>
          <w:bCs/>
        </w:rPr>
      </w:pPr>
      <w:r w:rsidRPr="002467E2">
        <w:rPr>
          <w:rFonts w:ascii="Arial" w:hAnsi="Arial" w:cs="Arial"/>
          <w:b/>
          <w:bCs/>
        </w:rPr>
        <w:t>SUBMISSION DATE:  22</w:t>
      </w:r>
      <w:r w:rsidRPr="002467E2">
        <w:rPr>
          <w:rFonts w:ascii="Arial" w:hAnsi="Arial" w:cs="Arial"/>
          <w:b/>
          <w:bCs/>
          <w:vertAlign w:val="superscript"/>
        </w:rPr>
        <w:t>ND</w:t>
      </w:r>
      <w:r w:rsidRPr="002467E2">
        <w:rPr>
          <w:rFonts w:ascii="Arial" w:hAnsi="Arial" w:cs="Arial"/>
          <w:b/>
          <w:bCs/>
        </w:rPr>
        <w:t xml:space="preserve"> FEBRUARY 2026</w:t>
      </w:r>
    </w:p>
    <w:p w14:paraId="3512A9CD" w14:textId="2808E3D5" w:rsidR="00A52ABB" w:rsidRPr="002467E2" w:rsidRDefault="00A52ABB" w:rsidP="002467E2">
      <w:pPr>
        <w:spacing w:line="360" w:lineRule="auto"/>
        <w:jc w:val="both"/>
        <w:rPr>
          <w:rFonts w:ascii="Arial" w:hAnsi="Arial" w:cs="Arial"/>
        </w:rPr>
      </w:pPr>
      <w:r w:rsidRPr="002467E2">
        <w:rPr>
          <w:rFonts w:ascii="Arial" w:hAnsi="Arial" w:cs="Arial"/>
        </w:rPr>
        <w:br w:type="page"/>
      </w:r>
    </w:p>
    <w:p w14:paraId="78192B5B" w14:textId="77777777" w:rsidR="00A52ABB" w:rsidRPr="002467E2" w:rsidRDefault="00A52ABB" w:rsidP="002467E2">
      <w:pPr>
        <w:spacing w:line="360" w:lineRule="auto"/>
        <w:jc w:val="both"/>
        <w:rPr>
          <w:rFonts w:ascii="Arial" w:hAnsi="Arial" w:cs="Arial"/>
        </w:rPr>
      </w:pPr>
    </w:p>
    <w:sdt>
      <w:sdtPr>
        <w:rPr>
          <w:rFonts w:ascii="Arial" w:eastAsiaTheme="minorHAnsi" w:hAnsi="Arial" w:cs="Arial"/>
          <w:color w:val="auto"/>
          <w:sz w:val="22"/>
          <w:szCs w:val="22"/>
          <w:lang w:val="en-GB"/>
        </w:rPr>
        <w:id w:val="-703168265"/>
        <w:docPartObj>
          <w:docPartGallery w:val="Table of Contents"/>
          <w:docPartUnique/>
        </w:docPartObj>
      </w:sdtPr>
      <w:sdtEndPr>
        <w:rPr>
          <w:b/>
          <w:bCs/>
          <w:noProof/>
        </w:rPr>
      </w:sdtEndPr>
      <w:sdtContent>
        <w:p w14:paraId="193B5AD3" w14:textId="23861CCE" w:rsidR="00A52ABB" w:rsidRPr="002467E2" w:rsidRDefault="00A52ABB" w:rsidP="002467E2">
          <w:pPr>
            <w:pStyle w:val="TOCHeading"/>
            <w:spacing w:line="360" w:lineRule="auto"/>
            <w:jc w:val="both"/>
            <w:rPr>
              <w:rFonts w:ascii="Arial" w:hAnsi="Arial" w:cs="Arial"/>
              <w:sz w:val="22"/>
              <w:szCs w:val="22"/>
            </w:rPr>
          </w:pPr>
          <w:r w:rsidRPr="002467E2">
            <w:rPr>
              <w:rFonts w:ascii="Arial" w:hAnsi="Arial" w:cs="Arial"/>
              <w:sz w:val="22"/>
              <w:szCs w:val="22"/>
            </w:rPr>
            <w:t>Table of Contents</w:t>
          </w:r>
        </w:p>
        <w:p w14:paraId="22E00AF1" w14:textId="2551BB28" w:rsidR="00A52ABB" w:rsidRPr="002467E2" w:rsidRDefault="00A52ABB" w:rsidP="002467E2">
          <w:pPr>
            <w:pStyle w:val="TOC1"/>
            <w:tabs>
              <w:tab w:val="right" w:leader="dot" w:pos="9016"/>
            </w:tabs>
            <w:spacing w:line="360" w:lineRule="auto"/>
            <w:jc w:val="both"/>
            <w:rPr>
              <w:rFonts w:ascii="Arial" w:eastAsiaTheme="minorEastAsia" w:hAnsi="Arial" w:cs="Arial"/>
              <w:noProof/>
            </w:rPr>
          </w:pPr>
          <w:r w:rsidRPr="002467E2">
            <w:rPr>
              <w:rFonts w:ascii="Arial" w:hAnsi="Arial" w:cs="Arial"/>
            </w:rPr>
            <w:fldChar w:fldCharType="begin"/>
          </w:r>
          <w:r w:rsidRPr="002467E2">
            <w:rPr>
              <w:rFonts w:ascii="Arial" w:hAnsi="Arial" w:cs="Arial"/>
            </w:rPr>
            <w:instrText xml:space="preserve"> TOC \o "1-3" \h \z \u </w:instrText>
          </w:r>
          <w:r w:rsidRPr="002467E2">
            <w:rPr>
              <w:rFonts w:ascii="Arial" w:hAnsi="Arial" w:cs="Arial"/>
            </w:rPr>
            <w:fldChar w:fldCharType="separate"/>
          </w:r>
          <w:hyperlink w:anchor="_Toc222619793" w:history="1">
            <w:r w:rsidRPr="002467E2">
              <w:rPr>
                <w:rStyle w:val="Hyperlink"/>
                <w:rFonts w:ascii="Arial" w:hAnsi="Arial" w:cs="Arial"/>
                <w:b/>
                <w:bCs/>
                <w:noProof/>
              </w:rPr>
              <w:t>1.0 Introduction</w:t>
            </w:r>
            <w:r w:rsidRPr="002467E2">
              <w:rPr>
                <w:rFonts w:ascii="Arial" w:hAnsi="Arial" w:cs="Arial"/>
                <w:noProof/>
                <w:webHidden/>
              </w:rPr>
              <w:tab/>
            </w:r>
            <w:r w:rsidRPr="002467E2">
              <w:rPr>
                <w:rFonts w:ascii="Arial" w:hAnsi="Arial" w:cs="Arial"/>
                <w:noProof/>
                <w:webHidden/>
              </w:rPr>
              <w:fldChar w:fldCharType="begin"/>
            </w:r>
            <w:r w:rsidRPr="002467E2">
              <w:rPr>
                <w:rFonts w:ascii="Arial" w:hAnsi="Arial" w:cs="Arial"/>
                <w:noProof/>
                <w:webHidden/>
              </w:rPr>
              <w:instrText xml:space="preserve"> PAGEREF _Toc222619793 \h </w:instrText>
            </w:r>
            <w:r w:rsidRPr="002467E2">
              <w:rPr>
                <w:rFonts w:ascii="Arial" w:hAnsi="Arial" w:cs="Arial"/>
                <w:noProof/>
                <w:webHidden/>
              </w:rPr>
            </w:r>
            <w:r w:rsidRPr="002467E2">
              <w:rPr>
                <w:rFonts w:ascii="Arial" w:hAnsi="Arial" w:cs="Arial"/>
                <w:noProof/>
                <w:webHidden/>
              </w:rPr>
              <w:fldChar w:fldCharType="separate"/>
            </w:r>
            <w:r w:rsidRPr="002467E2">
              <w:rPr>
                <w:rFonts w:ascii="Arial" w:hAnsi="Arial" w:cs="Arial"/>
                <w:noProof/>
                <w:webHidden/>
              </w:rPr>
              <w:t>3</w:t>
            </w:r>
            <w:r w:rsidRPr="002467E2">
              <w:rPr>
                <w:rFonts w:ascii="Arial" w:hAnsi="Arial" w:cs="Arial"/>
                <w:noProof/>
                <w:webHidden/>
              </w:rPr>
              <w:fldChar w:fldCharType="end"/>
            </w:r>
          </w:hyperlink>
        </w:p>
        <w:p w14:paraId="08108BD5" w14:textId="7028A840" w:rsidR="00A52ABB" w:rsidRPr="002467E2" w:rsidRDefault="004E01EF" w:rsidP="002467E2">
          <w:pPr>
            <w:pStyle w:val="TOC1"/>
            <w:tabs>
              <w:tab w:val="right" w:leader="dot" w:pos="9016"/>
            </w:tabs>
            <w:spacing w:line="360" w:lineRule="auto"/>
            <w:jc w:val="both"/>
            <w:rPr>
              <w:rFonts w:ascii="Arial" w:eastAsiaTheme="minorEastAsia" w:hAnsi="Arial" w:cs="Arial"/>
              <w:noProof/>
            </w:rPr>
          </w:pPr>
          <w:hyperlink w:anchor="_Toc222619794" w:history="1">
            <w:r w:rsidR="00A52ABB" w:rsidRPr="002467E2">
              <w:rPr>
                <w:rStyle w:val="Hyperlink"/>
                <w:rFonts w:ascii="Arial" w:hAnsi="Arial" w:cs="Arial"/>
                <w:b/>
                <w:bCs/>
                <w:noProof/>
              </w:rPr>
              <w:t>2.0 Management of Blood Sugar Level to a safe level.</w:t>
            </w:r>
            <w:r w:rsidR="00A52ABB" w:rsidRPr="002467E2">
              <w:rPr>
                <w:rFonts w:ascii="Arial" w:hAnsi="Arial" w:cs="Arial"/>
                <w:noProof/>
                <w:webHidden/>
              </w:rPr>
              <w:tab/>
            </w:r>
            <w:r w:rsidR="00A52ABB" w:rsidRPr="002467E2">
              <w:rPr>
                <w:rFonts w:ascii="Arial" w:hAnsi="Arial" w:cs="Arial"/>
                <w:noProof/>
                <w:webHidden/>
              </w:rPr>
              <w:fldChar w:fldCharType="begin"/>
            </w:r>
            <w:r w:rsidR="00A52ABB" w:rsidRPr="002467E2">
              <w:rPr>
                <w:rFonts w:ascii="Arial" w:hAnsi="Arial" w:cs="Arial"/>
                <w:noProof/>
                <w:webHidden/>
              </w:rPr>
              <w:instrText xml:space="preserve"> PAGEREF _Toc222619794 \h </w:instrText>
            </w:r>
            <w:r w:rsidR="00A52ABB" w:rsidRPr="002467E2">
              <w:rPr>
                <w:rFonts w:ascii="Arial" w:hAnsi="Arial" w:cs="Arial"/>
                <w:noProof/>
                <w:webHidden/>
              </w:rPr>
            </w:r>
            <w:r w:rsidR="00A52ABB" w:rsidRPr="002467E2">
              <w:rPr>
                <w:rFonts w:ascii="Arial" w:hAnsi="Arial" w:cs="Arial"/>
                <w:noProof/>
                <w:webHidden/>
              </w:rPr>
              <w:fldChar w:fldCharType="separate"/>
            </w:r>
            <w:r w:rsidR="00A52ABB" w:rsidRPr="002467E2">
              <w:rPr>
                <w:rFonts w:ascii="Arial" w:hAnsi="Arial" w:cs="Arial"/>
                <w:noProof/>
                <w:webHidden/>
              </w:rPr>
              <w:t>3</w:t>
            </w:r>
            <w:r w:rsidR="00A52ABB" w:rsidRPr="002467E2">
              <w:rPr>
                <w:rFonts w:ascii="Arial" w:hAnsi="Arial" w:cs="Arial"/>
                <w:noProof/>
                <w:webHidden/>
              </w:rPr>
              <w:fldChar w:fldCharType="end"/>
            </w:r>
          </w:hyperlink>
        </w:p>
        <w:p w14:paraId="7DD125E8" w14:textId="59095C42" w:rsidR="00A52ABB" w:rsidRPr="002467E2" w:rsidRDefault="004E01EF" w:rsidP="002467E2">
          <w:pPr>
            <w:pStyle w:val="TOC1"/>
            <w:tabs>
              <w:tab w:val="right" w:leader="dot" w:pos="9016"/>
            </w:tabs>
            <w:spacing w:line="360" w:lineRule="auto"/>
            <w:jc w:val="both"/>
            <w:rPr>
              <w:rFonts w:ascii="Arial" w:eastAsiaTheme="minorEastAsia" w:hAnsi="Arial" w:cs="Arial"/>
              <w:noProof/>
            </w:rPr>
          </w:pPr>
          <w:hyperlink w:anchor="_Toc222619795" w:history="1">
            <w:r w:rsidR="00A52ABB" w:rsidRPr="002467E2">
              <w:rPr>
                <w:rStyle w:val="Hyperlink"/>
                <w:rFonts w:ascii="Arial" w:hAnsi="Arial" w:cs="Arial"/>
                <w:b/>
                <w:bCs/>
                <w:noProof/>
              </w:rPr>
              <w:t>3.0 The Process of Cell Metabolism to produce energy using Oxygen and Glucose</w:t>
            </w:r>
            <w:r w:rsidR="00A52ABB" w:rsidRPr="002467E2">
              <w:rPr>
                <w:rFonts w:ascii="Arial" w:hAnsi="Arial" w:cs="Arial"/>
                <w:noProof/>
                <w:webHidden/>
              </w:rPr>
              <w:tab/>
            </w:r>
            <w:r w:rsidR="00A52ABB" w:rsidRPr="002467E2">
              <w:rPr>
                <w:rFonts w:ascii="Arial" w:hAnsi="Arial" w:cs="Arial"/>
                <w:noProof/>
                <w:webHidden/>
              </w:rPr>
              <w:fldChar w:fldCharType="begin"/>
            </w:r>
            <w:r w:rsidR="00A52ABB" w:rsidRPr="002467E2">
              <w:rPr>
                <w:rFonts w:ascii="Arial" w:hAnsi="Arial" w:cs="Arial"/>
                <w:noProof/>
                <w:webHidden/>
              </w:rPr>
              <w:instrText xml:space="preserve"> PAGEREF _Toc222619795 \h </w:instrText>
            </w:r>
            <w:r w:rsidR="00A52ABB" w:rsidRPr="002467E2">
              <w:rPr>
                <w:rFonts w:ascii="Arial" w:hAnsi="Arial" w:cs="Arial"/>
                <w:noProof/>
                <w:webHidden/>
              </w:rPr>
            </w:r>
            <w:r w:rsidR="00A52ABB" w:rsidRPr="002467E2">
              <w:rPr>
                <w:rFonts w:ascii="Arial" w:hAnsi="Arial" w:cs="Arial"/>
                <w:noProof/>
                <w:webHidden/>
              </w:rPr>
              <w:fldChar w:fldCharType="separate"/>
            </w:r>
            <w:r w:rsidR="00A52ABB" w:rsidRPr="002467E2">
              <w:rPr>
                <w:rFonts w:ascii="Arial" w:hAnsi="Arial" w:cs="Arial"/>
                <w:noProof/>
                <w:webHidden/>
              </w:rPr>
              <w:t>4</w:t>
            </w:r>
            <w:r w:rsidR="00A52ABB" w:rsidRPr="002467E2">
              <w:rPr>
                <w:rFonts w:ascii="Arial" w:hAnsi="Arial" w:cs="Arial"/>
                <w:noProof/>
                <w:webHidden/>
              </w:rPr>
              <w:fldChar w:fldCharType="end"/>
            </w:r>
          </w:hyperlink>
        </w:p>
        <w:p w14:paraId="5BA82E54" w14:textId="7E21C6E3" w:rsidR="00A52ABB" w:rsidRPr="002467E2" w:rsidRDefault="004E01EF" w:rsidP="002467E2">
          <w:pPr>
            <w:pStyle w:val="TOC1"/>
            <w:tabs>
              <w:tab w:val="right" w:leader="dot" w:pos="9016"/>
            </w:tabs>
            <w:spacing w:line="360" w:lineRule="auto"/>
            <w:jc w:val="both"/>
            <w:rPr>
              <w:rFonts w:ascii="Arial" w:eastAsiaTheme="minorEastAsia" w:hAnsi="Arial" w:cs="Arial"/>
              <w:noProof/>
            </w:rPr>
          </w:pPr>
          <w:hyperlink w:anchor="_Toc222619796" w:history="1">
            <w:r w:rsidR="00A52ABB" w:rsidRPr="002467E2">
              <w:rPr>
                <w:rStyle w:val="Hyperlink"/>
                <w:rFonts w:ascii="Arial" w:hAnsi="Arial" w:cs="Arial"/>
                <w:b/>
                <w:bCs/>
                <w:noProof/>
              </w:rPr>
              <w:t>4.0 Monitoring and documenting Blood sugar levels</w:t>
            </w:r>
            <w:r w:rsidR="00A52ABB" w:rsidRPr="002467E2">
              <w:rPr>
                <w:rFonts w:ascii="Arial" w:hAnsi="Arial" w:cs="Arial"/>
                <w:noProof/>
                <w:webHidden/>
              </w:rPr>
              <w:tab/>
            </w:r>
            <w:r w:rsidR="00A52ABB" w:rsidRPr="002467E2">
              <w:rPr>
                <w:rFonts w:ascii="Arial" w:hAnsi="Arial" w:cs="Arial"/>
                <w:noProof/>
                <w:webHidden/>
              </w:rPr>
              <w:fldChar w:fldCharType="begin"/>
            </w:r>
            <w:r w:rsidR="00A52ABB" w:rsidRPr="002467E2">
              <w:rPr>
                <w:rFonts w:ascii="Arial" w:hAnsi="Arial" w:cs="Arial"/>
                <w:noProof/>
                <w:webHidden/>
              </w:rPr>
              <w:instrText xml:space="preserve"> PAGEREF _Toc222619796 \h </w:instrText>
            </w:r>
            <w:r w:rsidR="00A52ABB" w:rsidRPr="002467E2">
              <w:rPr>
                <w:rFonts w:ascii="Arial" w:hAnsi="Arial" w:cs="Arial"/>
                <w:noProof/>
                <w:webHidden/>
              </w:rPr>
            </w:r>
            <w:r w:rsidR="00A52ABB" w:rsidRPr="002467E2">
              <w:rPr>
                <w:rFonts w:ascii="Arial" w:hAnsi="Arial" w:cs="Arial"/>
                <w:noProof/>
                <w:webHidden/>
              </w:rPr>
              <w:fldChar w:fldCharType="separate"/>
            </w:r>
            <w:r w:rsidR="00A52ABB" w:rsidRPr="002467E2">
              <w:rPr>
                <w:rFonts w:ascii="Arial" w:hAnsi="Arial" w:cs="Arial"/>
                <w:noProof/>
                <w:webHidden/>
              </w:rPr>
              <w:t>5</w:t>
            </w:r>
            <w:r w:rsidR="00A52ABB" w:rsidRPr="002467E2">
              <w:rPr>
                <w:rFonts w:ascii="Arial" w:hAnsi="Arial" w:cs="Arial"/>
                <w:noProof/>
                <w:webHidden/>
              </w:rPr>
              <w:fldChar w:fldCharType="end"/>
            </w:r>
          </w:hyperlink>
        </w:p>
        <w:p w14:paraId="5E06241B" w14:textId="4CA27C30" w:rsidR="00A52ABB" w:rsidRPr="002467E2" w:rsidRDefault="004E01EF" w:rsidP="002467E2">
          <w:pPr>
            <w:pStyle w:val="TOC1"/>
            <w:tabs>
              <w:tab w:val="right" w:leader="dot" w:pos="9016"/>
            </w:tabs>
            <w:spacing w:line="360" w:lineRule="auto"/>
            <w:jc w:val="both"/>
            <w:rPr>
              <w:rFonts w:ascii="Arial" w:eastAsiaTheme="minorEastAsia" w:hAnsi="Arial" w:cs="Arial"/>
              <w:noProof/>
            </w:rPr>
          </w:pPr>
          <w:hyperlink w:anchor="_Toc222619797" w:history="1">
            <w:r w:rsidR="00A52ABB" w:rsidRPr="002467E2">
              <w:rPr>
                <w:rStyle w:val="Hyperlink"/>
                <w:rFonts w:ascii="Arial" w:hAnsi="Arial" w:cs="Arial"/>
                <w:b/>
                <w:bCs/>
                <w:noProof/>
              </w:rPr>
              <w:t>5.0 High Quality Lifestyle Advice.</w:t>
            </w:r>
            <w:r w:rsidR="00A52ABB" w:rsidRPr="002467E2">
              <w:rPr>
                <w:rFonts w:ascii="Arial" w:hAnsi="Arial" w:cs="Arial"/>
                <w:noProof/>
                <w:webHidden/>
              </w:rPr>
              <w:tab/>
            </w:r>
            <w:r w:rsidR="00A52ABB" w:rsidRPr="002467E2">
              <w:rPr>
                <w:rFonts w:ascii="Arial" w:hAnsi="Arial" w:cs="Arial"/>
                <w:noProof/>
                <w:webHidden/>
              </w:rPr>
              <w:fldChar w:fldCharType="begin"/>
            </w:r>
            <w:r w:rsidR="00A52ABB" w:rsidRPr="002467E2">
              <w:rPr>
                <w:rFonts w:ascii="Arial" w:hAnsi="Arial" w:cs="Arial"/>
                <w:noProof/>
                <w:webHidden/>
              </w:rPr>
              <w:instrText xml:space="preserve"> PAGEREF _Toc222619797 \h </w:instrText>
            </w:r>
            <w:r w:rsidR="00A52ABB" w:rsidRPr="002467E2">
              <w:rPr>
                <w:rFonts w:ascii="Arial" w:hAnsi="Arial" w:cs="Arial"/>
                <w:noProof/>
                <w:webHidden/>
              </w:rPr>
            </w:r>
            <w:r w:rsidR="00A52ABB" w:rsidRPr="002467E2">
              <w:rPr>
                <w:rFonts w:ascii="Arial" w:hAnsi="Arial" w:cs="Arial"/>
                <w:noProof/>
                <w:webHidden/>
              </w:rPr>
              <w:fldChar w:fldCharType="separate"/>
            </w:r>
            <w:r w:rsidR="00A52ABB" w:rsidRPr="002467E2">
              <w:rPr>
                <w:rFonts w:ascii="Arial" w:hAnsi="Arial" w:cs="Arial"/>
                <w:noProof/>
                <w:webHidden/>
              </w:rPr>
              <w:t>6</w:t>
            </w:r>
            <w:r w:rsidR="00A52ABB" w:rsidRPr="002467E2">
              <w:rPr>
                <w:rFonts w:ascii="Arial" w:hAnsi="Arial" w:cs="Arial"/>
                <w:noProof/>
                <w:webHidden/>
              </w:rPr>
              <w:fldChar w:fldCharType="end"/>
            </w:r>
          </w:hyperlink>
        </w:p>
        <w:p w14:paraId="2CA4069D" w14:textId="32EB5216" w:rsidR="00A52ABB" w:rsidRPr="002467E2" w:rsidRDefault="004E01EF" w:rsidP="002467E2">
          <w:pPr>
            <w:pStyle w:val="TOC2"/>
            <w:tabs>
              <w:tab w:val="right" w:leader="dot" w:pos="9016"/>
            </w:tabs>
            <w:spacing w:line="360" w:lineRule="auto"/>
            <w:jc w:val="both"/>
            <w:rPr>
              <w:rFonts w:ascii="Arial" w:eastAsiaTheme="minorEastAsia" w:hAnsi="Arial" w:cs="Arial"/>
              <w:noProof/>
            </w:rPr>
          </w:pPr>
          <w:hyperlink w:anchor="_Toc222619798" w:history="1">
            <w:r w:rsidR="00A52ABB" w:rsidRPr="002467E2">
              <w:rPr>
                <w:rStyle w:val="Hyperlink"/>
                <w:rFonts w:ascii="Arial" w:hAnsi="Arial" w:cs="Arial"/>
                <w:b/>
                <w:bCs/>
                <w:noProof/>
              </w:rPr>
              <w:t>5.1 Dietary Modification</w:t>
            </w:r>
            <w:r w:rsidR="00A52ABB" w:rsidRPr="002467E2">
              <w:rPr>
                <w:rFonts w:ascii="Arial" w:hAnsi="Arial" w:cs="Arial"/>
                <w:noProof/>
                <w:webHidden/>
              </w:rPr>
              <w:tab/>
            </w:r>
            <w:r w:rsidR="00A52ABB" w:rsidRPr="002467E2">
              <w:rPr>
                <w:rFonts w:ascii="Arial" w:hAnsi="Arial" w:cs="Arial"/>
                <w:noProof/>
                <w:webHidden/>
              </w:rPr>
              <w:fldChar w:fldCharType="begin"/>
            </w:r>
            <w:r w:rsidR="00A52ABB" w:rsidRPr="002467E2">
              <w:rPr>
                <w:rFonts w:ascii="Arial" w:hAnsi="Arial" w:cs="Arial"/>
                <w:noProof/>
                <w:webHidden/>
              </w:rPr>
              <w:instrText xml:space="preserve"> PAGEREF _Toc222619798 \h </w:instrText>
            </w:r>
            <w:r w:rsidR="00A52ABB" w:rsidRPr="002467E2">
              <w:rPr>
                <w:rFonts w:ascii="Arial" w:hAnsi="Arial" w:cs="Arial"/>
                <w:noProof/>
                <w:webHidden/>
              </w:rPr>
            </w:r>
            <w:r w:rsidR="00A52ABB" w:rsidRPr="002467E2">
              <w:rPr>
                <w:rFonts w:ascii="Arial" w:hAnsi="Arial" w:cs="Arial"/>
                <w:noProof/>
                <w:webHidden/>
              </w:rPr>
              <w:fldChar w:fldCharType="separate"/>
            </w:r>
            <w:r w:rsidR="00A52ABB" w:rsidRPr="002467E2">
              <w:rPr>
                <w:rFonts w:ascii="Arial" w:hAnsi="Arial" w:cs="Arial"/>
                <w:noProof/>
                <w:webHidden/>
              </w:rPr>
              <w:t>6</w:t>
            </w:r>
            <w:r w:rsidR="00A52ABB" w:rsidRPr="002467E2">
              <w:rPr>
                <w:rFonts w:ascii="Arial" w:hAnsi="Arial" w:cs="Arial"/>
                <w:noProof/>
                <w:webHidden/>
              </w:rPr>
              <w:fldChar w:fldCharType="end"/>
            </w:r>
          </w:hyperlink>
        </w:p>
        <w:p w14:paraId="2B9E709B" w14:textId="191E2B16" w:rsidR="00A52ABB" w:rsidRPr="002467E2" w:rsidRDefault="004E01EF" w:rsidP="002467E2">
          <w:pPr>
            <w:pStyle w:val="TOC2"/>
            <w:tabs>
              <w:tab w:val="right" w:leader="dot" w:pos="9016"/>
            </w:tabs>
            <w:spacing w:line="360" w:lineRule="auto"/>
            <w:jc w:val="both"/>
            <w:rPr>
              <w:rFonts w:ascii="Arial" w:eastAsiaTheme="minorEastAsia" w:hAnsi="Arial" w:cs="Arial"/>
              <w:noProof/>
            </w:rPr>
          </w:pPr>
          <w:hyperlink w:anchor="_Toc222619799" w:history="1">
            <w:r w:rsidR="00A52ABB" w:rsidRPr="002467E2">
              <w:rPr>
                <w:rStyle w:val="Hyperlink"/>
                <w:rFonts w:ascii="Arial" w:hAnsi="Arial" w:cs="Arial"/>
                <w:b/>
                <w:bCs/>
                <w:noProof/>
              </w:rPr>
              <w:t>5.2 Physical Activity</w:t>
            </w:r>
            <w:r w:rsidR="00A52ABB" w:rsidRPr="002467E2">
              <w:rPr>
                <w:rFonts w:ascii="Arial" w:hAnsi="Arial" w:cs="Arial"/>
                <w:noProof/>
                <w:webHidden/>
              </w:rPr>
              <w:tab/>
            </w:r>
            <w:r w:rsidR="00A52ABB" w:rsidRPr="002467E2">
              <w:rPr>
                <w:rFonts w:ascii="Arial" w:hAnsi="Arial" w:cs="Arial"/>
                <w:noProof/>
                <w:webHidden/>
              </w:rPr>
              <w:fldChar w:fldCharType="begin"/>
            </w:r>
            <w:r w:rsidR="00A52ABB" w:rsidRPr="002467E2">
              <w:rPr>
                <w:rFonts w:ascii="Arial" w:hAnsi="Arial" w:cs="Arial"/>
                <w:noProof/>
                <w:webHidden/>
              </w:rPr>
              <w:instrText xml:space="preserve"> PAGEREF _Toc222619799 \h </w:instrText>
            </w:r>
            <w:r w:rsidR="00A52ABB" w:rsidRPr="002467E2">
              <w:rPr>
                <w:rFonts w:ascii="Arial" w:hAnsi="Arial" w:cs="Arial"/>
                <w:noProof/>
                <w:webHidden/>
              </w:rPr>
            </w:r>
            <w:r w:rsidR="00A52ABB" w:rsidRPr="002467E2">
              <w:rPr>
                <w:rFonts w:ascii="Arial" w:hAnsi="Arial" w:cs="Arial"/>
                <w:noProof/>
                <w:webHidden/>
              </w:rPr>
              <w:fldChar w:fldCharType="separate"/>
            </w:r>
            <w:r w:rsidR="00A52ABB" w:rsidRPr="002467E2">
              <w:rPr>
                <w:rFonts w:ascii="Arial" w:hAnsi="Arial" w:cs="Arial"/>
                <w:noProof/>
                <w:webHidden/>
              </w:rPr>
              <w:t>6</w:t>
            </w:r>
            <w:r w:rsidR="00A52ABB" w:rsidRPr="002467E2">
              <w:rPr>
                <w:rFonts w:ascii="Arial" w:hAnsi="Arial" w:cs="Arial"/>
                <w:noProof/>
                <w:webHidden/>
              </w:rPr>
              <w:fldChar w:fldCharType="end"/>
            </w:r>
          </w:hyperlink>
        </w:p>
        <w:p w14:paraId="7852AD4B" w14:textId="236BA926" w:rsidR="00A52ABB" w:rsidRPr="002467E2" w:rsidRDefault="004E01EF" w:rsidP="002467E2">
          <w:pPr>
            <w:pStyle w:val="TOC2"/>
            <w:tabs>
              <w:tab w:val="right" w:leader="dot" w:pos="9016"/>
            </w:tabs>
            <w:spacing w:line="360" w:lineRule="auto"/>
            <w:jc w:val="both"/>
            <w:rPr>
              <w:rFonts w:ascii="Arial" w:eastAsiaTheme="minorEastAsia" w:hAnsi="Arial" w:cs="Arial"/>
              <w:noProof/>
            </w:rPr>
          </w:pPr>
          <w:hyperlink w:anchor="_Toc222619800" w:history="1">
            <w:r w:rsidR="00A52ABB" w:rsidRPr="002467E2">
              <w:rPr>
                <w:rStyle w:val="Hyperlink"/>
                <w:rFonts w:ascii="Arial" w:hAnsi="Arial" w:cs="Arial"/>
                <w:b/>
                <w:bCs/>
                <w:noProof/>
              </w:rPr>
              <w:t>5.3 Smoking Cessation</w:t>
            </w:r>
            <w:r w:rsidR="00A52ABB" w:rsidRPr="002467E2">
              <w:rPr>
                <w:rFonts w:ascii="Arial" w:hAnsi="Arial" w:cs="Arial"/>
                <w:noProof/>
                <w:webHidden/>
              </w:rPr>
              <w:tab/>
            </w:r>
            <w:r w:rsidR="00A52ABB" w:rsidRPr="002467E2">
              <w:rPr>
                <w:rFonts w:ascii="Arial" w:hAnsi="Arial" w:cs="Arial"/>
                <w:noProof/>
                <w:webHidden/>
              </w:rPr>
              <w:fldChar w:fldCharType="begin"/>
            </w:r>
            <w:r w:rsidR="00A52ABB" w:rsidRPr="002467E2">
              <w:rPr>
                <w:rFonts w:ascii="Arial" w:hAnsi="Arial" w:cs="Arial"/>
                <w:noProof/>
                <w:webHidden/>
              </w:rPr>
              <w:instrText xml:space="preserve"> PAGEREF _Toc222619800 \h </w:instrText>
            </w:r>
            <w:r w:rsidR="00A52ABB" w:rsidRPr="002467E2">
              <w:rPr>
                <w:rFonts w:ascii="Arial" w:hAnsi="Arial" w:cs="Arial"/>
                <w:noProof/>
                <w:webHidden/>
              </w:rPr>
            </w:r>
            <w:r w:rsidR="00A52ABB" w:rsidRPr="002467E2">
              <w:rPr>
                <w:rFonts w:ascii="Arial" w:hAnsi="Arial" w:cs="Arial"/>
                <w:noProof/>
                <w:webHidden/>
              </w:rPr>
              <w:fldChar w:fldCharType="separate"/>
            </w:r>
            <w:r w:rsidR="00A52ABB" w:rsidRPr="002467E2">
              <w:rPr>
                <w:rFonts w:ascii="Arial" w:hAnsi="Arial" w:cs="Arial"/>
                <w:noProof/>
                <w:webHidden/>
              </w:rPr>
              <w:t>6</w:t>
            </w:r>
            <w:r w:rsidR="00A52ABB" w:rsidRPr="002467E2">
              <w:rPr>
                <w:rFonts w:ascii="Arial" w:hAnsi="Arial" w:cs="Arial"/>
                <w:noProof/>
                <w:webHidden/>
              </w:rPr>
              <w:fldChar w:fldCharType="end"/>
            </w:r>
          </w:hyperlink>
        </w:p>
        <w:p w14:paraId="16CEFEEC" w14:textId="628C7920" w:rsidR="00A52ABB" w:rsidRPr="002467E2" w:rsidRDefault="004E01EF" w:rsidP="002467E2">
          <w:pPr>
            <w:pStyle w:val="TOC2"/>
            <w:tabs>
              <w:tab w:val="right" w:leader="dot" w:pos="9016"/>
            </w:tabs>
            <w:spacing w:line="360" w:lineRule="auto"/>
            <w:jc w:val="both"/>
            <w:rPr>
              <w:rFonts w:ascii="Arial" w:eastAsiaTheme="minorEastAsia" w:hAnsi="Arial" w:cs="Arial"/>
              <w:noProof/>
            </w:rPr>
          </w:pPr>
          <w:hyperlink w:anchor="_Toc222619801" w:history="1">
            <w:r w:rsidR="00A52ABB" w:rsidRPr="002467E2">
              <w:rPr>
                <w:rStyle w:val="Hyperlink"/>
                <w:rFonts w:ascii="Arial" w:hAnsi="Arial" w:cs="Arial"/>
                <w:b/>
                <w:bCs/>
                <w:noProof/>
              </w:rPr>
              <w:t>5.4 Weight Management</w:t>
            </w:r>
            <w:r w:rsidR="00A52ABB" w:rsidRPr="002467E2">
              <w:rPr>
                <w:rFonts w:ascii="Arial" w:hAnsi="Arial" w:cs="Arial"/>
                <w:noProof/>
                <w:webHidden/>
              </w:rPr>
              <w:tab/>
            </w:r>
            <w:r w:rsidR="00A52ABB" w:rsidRPr="002467E2">
              <w:rPr>
                <w:rFonts w:ascii="Arial" w:hAnsi="Arial" w:cs="Arial"/>
                <w:noProof/>
                <w:webHidden/>
              </w:rPr>
              <w:fldChar w:fldCharType="begin"/>
            </w:r>
            <w:r w:rsidR="00A52ABB" w:rsidRPr="002467E2">
              <w:rPr>
                <w:rFonts w:ascii="Arial" w:hAnsi="Arial" w:cs="Arial"/>
                <w:noProof/>
                <w:webHidden/>
              </w:rPr>
              <w:instrText xml:space="preserve"> PAGEREF _Toc222619801 \h </w:instrText>
            </w:r>
            <w:r w:rsidR="00A52ABB" w:rsidRPr="002467E2">
              <w:rPr>
                <w:rFonts w:ascii="Arial" w:hAnsi="Arial" w:cs="Arial"/>
                <w:noProof/>
                <w:webHidden/>
              </w:rPr>
            </w:r>
            <w:r w:rsidR="00A52ABB" w:rsidRPr="002467E2">
              <w:rPr>
                <w:rFonts w:ascii="Arial" w:hAnsi="Arial" w:cs="Arial"/>
                <w:noProof/>
                <w:webHidden/>
              </w:rPr>
              <w:fldChar w:fldCharType="separate"/>
            </w:r>
            <w:r w:rsidR="00A52ABB" w:rsidRPr="002467E2">
              <w:rPr>
                <w:rFonts w:ascii="Arial" w:hAnsi="Arial" w:cs="Arial"/>
                <w:noProof/>
                <w:webHidden/>
              </w:rPr>
              <w:t>6</w:t>
            </w:r>
            <w:r w:rsidR="00A52ABB" w:rsidRPr="002467E2">
              <w:rPr>
                <w:rFonts w:ascii="Arial" w:hAnsi="Arial" w:cs="Arial"/>
                <w:noProof/>
                <w:webHidden/>
              </w:rPr>
              <w:fldChar w:fldCharType="end"/>
            </w:r>
          </w:hyperlink>
        </w:p>
        <w:p w14:paraId="1E167423" w14:textId="1CA0A5DA" w:rsidR="00A52ABB" w:rsidRPr="002467E2" w:rsidRDefault="004E01EF" w:rsidP="002467E2">
          <w:pPr>
            <w:pStyle w:val="TOC1"/>
            <w:tabs>
              <w:tab w:val="right" w:leader="dot" w:pos="9016"/>
            </w:tabs>
            <w:spacing w:line="360" w:lineRule="auto"/>
            <w:jc w:val="both"/>
            <w:rPr>
              <w:rFonts w:ascii="Arial" w:eastAsiaTheme="minorEastAsia" w:hAnsi="Arial" w:cs="Arial"/>
              <w:noProof/>
            </w:rPr>
          </w:pPr>
          <w:hyperlink w:anchor="_Toc222619802" w:history="1">
            <w:r w:rsidR="00A52ABB" w:rsidRPr="002467E2">
              <w:rPr>
                <w:rStyle w:val="Hyperlink"/>
                <w:rFonts w:ascii="Arial" w:hAnsi="Arial" w:cs="Arial"/>
                <w:b/>
                <w:bCs/>
                <w:noProof/>
              </w:rPr>
              <w:t>6.0 Conclusion</w:t>
            </w:r>
            <w:r w:rsidR="00A52ABB" w:rsidRPr="002467E2">
              <w:rPr>
                <w:rFonts w:ascii="Arial" w:hAnsi="Arial" w:cs="Arial"/>
                <w:noProof/>
                <w:webHidden/>
              </w:rPr>
              <w:tab/>
            </w:r>
            <w:r w:rsidR="00A52ABB" w:rsidRPr="002467E2">
              <w:rPr>
                <w:rFonts w:ascii="Arial" w:hAnsi="Arial" w:cs="Arial"/>
                <w:noProof/>
                <w:webHidden/>
              </w:rPr>
              <w:fldChar w:fldCharType="begin"/>
            </w:r>
            <w:r w:rsidR="00A52ABB" w:rsidRPr="002467E2">
              <w:rPr>
                <w:rFonts w:ascii="Arial" w:hAnsi="Arial" w:cs="Arial"/>
                <w:noProof/>
                <w:webHidden/>
              </w:rPr>
              <w:instrText xml:space="preserve"> PAGEREF _Toc222619802 \h </w:instrText>
            </w:r>
            <w:r w:rsidR="00A52ABB" w:rsidRPr="002467E2">
              <w:rPr>
                <w:rFonts w:ascii="Arial" w:hAnsi="Arial" w:cs="Arial"/>
                <w:noProof/>
                <w:webHidden/>
              </w:rPr>
            </w:r>
            <w:r w:rsidR="00A52ABB" w:rsidRPr="002467E2">
              <w:rPr>
                <w:rFonts w:ascii="Arial" w:hAnsi="Arial" w:cs="Arial"/>
                <w:noProof/>
                <w:webHidden/>
              </w:rPr>
              <w:fldChar w:fldCharType="separate"/>
            </w:r>
            <w:r w:rsidR="00A52ABB" w:rsidRPr="002467E2">
              <w:rPr>
                <w:rFonts w:ascii="Arial" w:hAnsi="Arial" w:cs="Arial"/>
                <w:noProof/>
                <w:webHidden/>
              </w:rPr>
              <w:t>7</w:t>
            </w:r>
            <w:r w:rsidR="00A52ABB" w:rsidRPr="002467E2">
              <w:rPr>
                <w:rFonts w:ascii="Arial" w:hAnsi="Arial" w:cs="Arial"/>
                <w:noProof/>
                <w:webHidden/>
              </w:rPr>
              <w:fldChar w:fldCharType="end"/>
            </w:r>
          </w:hyperlink>
        </w:p>
        <w:p w14:paraId="5E72125E" w14:textId="5DC65D43" w:rsidR="00A52ABB" w:rsidRPr="002467E2" w:rsidRDefault="004E01EF" w:rsidP="002467E2">
          <w:pPr>
            <w:pStyle w:val="TOC1"/>
            <w:tabs>
              <w:tab w:val="right" w:leader="dot" w:pos="9016"/>
            </w:tabs>
            <w:spacing w:line="360" w:lineRule="auto"/>
            <w:jc w:val="both"/>
            <w:rPr>
              <w:rFonts w:ascii="Arial" w:eastAsiaTheme="minorEastAsia" w:hAnsi="Arial" w:cs="Arial"/>
              <w:noProof/>
            </w:rPr>
          </w:pPr>
          <w:hyperlink w:anchor="_Toc222619803" w:history="1">
            <w:r w:rsidR="00A52ABB" w:rsidRPr="002467E2">
              <w:rPr>
                <w:rStyle w:val="Hyperlink"/>
                <w:rFonts w:ascii="Arial" w:hAnsi="Arial" w:cs="Arial"/>
                <w:b/>
                <w:bCs/>
                <w:noProof/>
              </w:rPr>
              <w:t>7.0 List of references</w:t>
            </w:r>
            <w:r w:rsidR="00A52ABB" w:rsidRPr="002467E2">
              <w:rPr>
                <w:rFonts w:ascii="Arial" w:hAnsi="Arial" w:cs="Arial"/>
                <w:noProof/>
                <w:webHidden/>
              </w:rPr>
              <w:tab/>
            </w:r>
            <w:r w:rsidR="00A52ABB" w:rsidRPr="002467E2">
              <w:rPr>
                <w:rFonts w:ascii="Arial" w:hAnsi="Arial" w:cs="Arial"/>
                <w:noProof/>
                <w:webHidden/>
              </w:rPr>
              <w:fldChar w:fldCharType="begin"/>
            </w:r>
            <w:r w:rsidR="00A52ABB" w:rsidRPr="002467E2">
              <w:rPr>
                <w:rFonts w:ascii="Arial" w:hAnsi="Arial" w:cs="Arial"/>
                <w:noProof/>
                <w:webHidden/>
              </w:rPr>
              <w:instrText xml:space="preserve"> PAGEREF _Toc222619803 \h </w:instrText>
            </w:r>
            <w:r w:rsidR="00A52ABB" w:rsidRPr="002467E2">
              <w:rPr>
                <w:rFonts w:ascii="Arial" w:hAnsi="Arial" w:cs="Arial"/>
                <w:noProof/>
                <w:webHidden/>
              </w:rPr>
            </w:r>
            <w:r w:rsidR="00A52ABB" w:rsidRPr="002467E2">
              <w:rPr>
                <w:rFonts w:ascii="Arial" w:hAnsi="Arial" w:cs="Arial"/>
                <w:noProof/>
                <w:webHidden/>
              </w:rPr>
              <w:fldChar w:fldCharType="separate"/>
            </w:r>
            <w:r w:rsidR="00A52ABB" w:rsidRPr="002467E2">
              <w:rPr>
                <w:rFonts w:ascii="Arial" w:hAnsi="Arial" w:cs="Arial"/>
                <w:noProof/>
                <w:webHidden/>
              </w:rPr>
              <w:t>9</w:t>
            </w:r>
            <w:r w:rsidR="00A52ABB" w:rsidRPr="002467E2">
              <w:rPr>
                <w:rFonts w:ascii="Arial" w:hAnsi="Arial" w:cs="Arial"/>
                <w:noProof/>
                <w:webHidden/>
              </w:rPr>
              <w:fldChar w:fldCharType="end"/>
            </w:r>
          </w:hyperlink>
        </w:p>
        <w:p w14:paraId="1517FD76" w14:textId="59378E11" w:rsidR="00A52ABB" w:rsidRPr="002467E2" w:rsidRDefault="00A52ABB" w:rsidP="002467E2">
          <w:pPr>
            <w:spacing w:line="360" w:lineRule="auto"/>
            <w:jc w:val="both"/>
            <w:rPr>
              <w:rFonts w:ascii="Arial" w:hAnsi="Arial" w:cs="Arial"/>
            </w:rPr>
          </w:pPr>
          <w:r w:rsidRPr="002467E2">
            <w:rPr>
              <w:rFonts w:ascii="Arial" w:hAnsi="Arial" w:cs="Arial"/>
              <w:b/>
              <w:bCs/>
              <w:noProof/>
            </w:rPr>
            <w:fldChar w:fldCharType="end"/>
          </w:r>
        </w:p>
      </w:sdtContent>
    </w:sdt>
    <w:p w14:paraId="0B98B56E" w14:textId="77777777" w:rsidR="00A52ABB" w:rsidRPr="002467E2" w:rsidRDefault="00A52ABB" w:rsidP="002467E2">
      <w:pPr>
        <w:spacing w:line="360" w:lineRule="auto"/>
        <w:jc w:val="both"/>
        <w:rPr>
          <w:rFonts w:ascii="Arial" w:hAnsi="Arial" w:cs="Arial"/>
        </w:rPr>
      </w:pPr>
    </w:p>
    <w:p w14:paraId="67BF73B4" w14:textId="77777777" w:rsidR="00C46ADB" w:rsidRPr="002467E2" w:rsidRDefault="00C46ADB" w:rsidP="002467E2">
      <w:pPr>
        <w:spacing w:line="360" w:lineRule="auto"/>
        <w:jc w:val="both"/>
        <w:rPr>
          <w:rFonts w:ascii="Arial" w:hAnsi="Arial" w:cs="Arial"/>
        </w:rPr>
      </w:pPr>
    </w:p>
    <w:p w14:paraId="058883BE" w14:textId="77777777" w:rsidR="00A52ABB" w:rsidRPr="002467E2" w:rsidRDefault="00A52ABB" w:rsidP="002467E2">
      <w:pPr>
        <w:spacing w:line="360" w:lineRule="auto"/>
        <w:jc w:val="both"/>
        <w:rPr>
          <w:rFonts w:ascii="Arial" w:eastAsiaTheme="majorEastAsia" w:hAnsi="Arial" w:cs="Arial"/>
          <w:b/>
          <w:bCs/>
        </w:rPr>
      </w:pPr>
      <w:r w:rsidRPr="002467E2">
        <w:rPr>
          <w:rFonts w:ascii="Arial" w:hAnsi="Arial" w:cs="Arial"/>
          <w:b/>
          <w:bCs/>
        </w:rPr>
        <w:br w:type="page"/>
      </w:r>
    </w:p>
    <w:p w14:paraId="0C1D7F02" w14:textId="0665AC1D" w:rsidR="003F711A" w:rsidRPr="002467E2" w:rsidRDefault="003F711A" w:rsidP="002467E2">
      <w:pPr>
        <w:pStyle w:val="Heading1"/>
        <w:spacing w:line="360" w:lineRule="auto"/>
        <w:jc w:val="both"/>
        <w:rPr>
          <w:rFonts w:ascii="Arial" w:hAnsi="Arial" w:cs="Arial"/>
          <w:b/>
          <w:bCs/>
          <w:color w:val="auto"/>
          <w:sz w:val="22"/>
          <w:szCs w:val="22"/>
        </w:rPr>
      </w:pPr>
      <w:bookmarkStart w:id="1" w:name="_Toc222619793"/>
      <w:r w:rsidRPr="002467E2">
        <w:rPr>
          <w:rFonts w:ascii="Arial" w:hAnsi="Arial" w:cs="Arial"/>
          <w:b/>
          <w:bCs/>
          <w:color w:val="auto"/>
          <w:sz w:val="22"/>
          <w:szCs w:val="22"/>
        </w:rPr>
        <w:lastRenderedPageBreak/>
        <w:t>1.0 Introduction</w:t>
      </w:r>
      <w:bookmarkEnd w:id="1"/>
    </w:p>
    <w:p w14:paraId="58EA5F72" w14:textId="2A57CCCD" w:rsidR="00A52ABB" w:rsidRPr="002467E2" w:rsidRDefault="00A83D91" w:rsidP="002467E2">
      <w:pPr>
        <w:spacing w:after="60" w:line="360" w:lineRule="auto"/>
        <w:jc w:val="both"/>
        <w:rPr>
          <w:rFonts w:ascii="Arial" w:hAnsi="Arial" w:cs="Arial"/>
        </w:rPr>
      </w:pPr>
      <w:r w:rsidRPr="002467E2">
        <w:rPr>
          <w:rFonts w:ascii="Arial" w:hAnsi="Arial" w:cs="Arial"/>
        </w:rPr>
        <w:t xml:space="preserve">Diabetes mellitus is a non-metabolic </w:t>
      </w:r>
      <w:r w:rsidR="00E5402C" w:rsidRPr="002467E2">
        <w:rPr>
          <w:rFonts w:ascii="Arial" w:hAnsi="Arial" w:cs="Arial"/>
        </w:rPr>
        <w:t>disorder</w:t>
      </w:r>
      <w:r w:rsidRPr="002467E2">
        <w:rPr>
          <w:rFonts w:ascii="Arial" w:hAnsi="Arial" w:cs="Arial"/>
        </w:rPr>
        <w:t>, which cannot be reversed and is characterised by sustained hyperglycaemia (high level of sugar in the blood)</w:t>
      </w:r>
      <w:r w:rsidR="00E5402C" w:rsidRPr="002467E2">
        <w:rPr>
          <w:rFonts w:ascii="Arial" w:hAnsi="Arial" w:cs="Arial"/>
        </w:rPr>
        <w:t>,</w:t>
      </w:r>
      <w:r w:rsidRPr="002467E2">
        <w:rPr>
          <w:rFonts w:ascii="Arial" w:hAnsi="Arial" w:cs="Arial"/>
        </w:rPr>
        <w:t xml:space="preserve"> sustained by a deficiency or malfunctioning of insulin secretion or both secretions. The incidence of diabetes has been increasing as it began to rise at the rate of 200 million in 1990, 830 million, particularly type 2 diabetes mellitus (T2DM), in 2022, and many individuals have been diagnosed with diabetes in the 24 years since 1990 (WHO, 2024). There are three forms of diabetes</w:t>
      </w:r>
      <w:r w:rsidR="00E5402C" w:rsidRPr="002467E2">
        <w:rPr>
          <w:rFonts w:ascii="Arial" w:hAnsi="Arial" w:cs="Arial"/>
        </w:rPr>
        <w:t>, of</w:t>
      </w:r>
      <w:r w:rsidRPr="002467E2">
        <w:rPr>
          <w:rFonts w:ascii="Arial" w:hAnsi="Arial" w:cs="Arial"/>
        </w:rPr>
        <w:t xml:space="preserve"> which Type 1 (T1DM) </w:t>
      </w:r>
      <w:r w:rsidR="00E5402C" w:rsidRPr="002467E2">
        <w:rPr>
          <w:rFonts w:ascii="Arial" w:hAnsi="Arial" w:cs="Arial"/>
        </w:rPr>
        <w:t xml:space="preserve">is one, </w:t>
      </w:r>
      <w:r w:rsidRPr="002467E2">
        <w:rPr>
          <w:rFonts w:ascii="Arial" w:hAnsi="Arial" w:cs="Arial"/>
        </w:rPr>
        <w:t>in which insulin-producing beta cells of the Langerhans pancreatic islet are attacked by cytotoxic T-lymphocytes</w:t>
      </w:r>
      <w:r w:rsidR="00E5402C" w:rsidRPr="002467E2">
        <w:rPr>
          <w:rFonts w:ascii="Arial" w:hAnsi="Arial" w:cs="Arial"/>
        </w:rPr>
        <w:t>,</w:t>
      </w:r>
      <w:r w:rsidRPr="002467E2">
        <w:rPr>
          <w:rFonts w:ascii="Arial" w:hAnsi="Arial" w:cs="Arial"/>
        </w:rPr>
        <w:t xml:space="preserve"> leaving someone without insulin forever (NICE,2023). </w:t>
      </w:r>
      <w:r w:rsidR="00A52ABB" w:rsidRPr="002467E2">
        <w:rPr>
          <w:rFonts w:ascii="Arial" w:hAnsi="Arial" w:cs="Arial"/>
        </w:rPr>
        <w:t xml:space="preserve">Second, Type 2 (T2DM) </w:t>
      </w:r>
      <w:r w:rsidR="007263E1" w:rsidRPr="002467E2">
        <w:rPr>
          <w:rFonts w:ascii="Arial" w:hAnsi="Arial" w:cs="Arial"/>
        </w:rPr>
        <w:t xml:space="preserve">is associated with </w:t>
      </w:r>
      <w:r w:rsidR="00A52ABB" w:rsidRPr="002467E2">
        <w:rPr>
          <w:rFonts w:ascii="Arial" w:hAnsi="Arial" w:cs="Arial"/>
        </w:rPr>
        <w:t xml:space="preserve">an elevation in peripheral insulin resistance and relative insulin deficiency as the functionality of the beta cells </w:t>
      </w:r>
      <w:r w:rsidR="007263E1" w:rsidRPr="002467E2">
        <w:rPr>
          <w:rFonts w:ascii="Arial" w:hAnsi="Arial" w:cs="Arial"/>
        </w:rPr>
        <w:t>is</w:t>
      </w:r>
      <w:r w:rsidR="00A52ABB" w:rsidRPr="002467E2">
        <w:rPr>
          <w:rFonts w:ascii="Arial" w:hAnsi="Arial" w:cs="Arial"/>
        </w:rPr>
        <w:t xml:space="preserve"> affected with ageing. Lastly, there is a risk of T2DM in a lifetime due to gestational diabetes</w:t>
      </w:r>
      <w:r w:rsidR="007263E1" w:rsidRPr="002467E2">
        <w:rPr>
          <w:rFonts w:ascii="Arial" w:hAnsi="Arial" w:cs="Arial"/>
        </w:rPr>
        <w:t>,</w:t>
      </w:r>
      <w:r w:rsidR="00A52ABB" w:rsidRPr="002467E2">
        <w:rPr>
          <w:rFonts w:ascii="Arial" w:hAnsi="Arial" w:cs="Arial"/>
        </w:rPr>
        <w:t xml:space="preserve"> which is a temporary disease developed during pregnancy (NICE, 2022). The distinction between the two types is clinically relevant to learn </w:t>
      </w:r>
      <w:r w:rsidR="007263E1" w:rsidRPr="002467E2">
        <w:rPr>
          <w:rFonts w:ascii="Arial" w:hAnsi="Arial" w:cs="Arial"/>
        </w:rPr>
        <w:t>to</w:t>
      </w:r>
      <w:r w:rsidR="00A52ABB" w:rsidRPr="002467E2">
        <w:rPr>
          <w:rFonts w:ascii="Arial" w:hAnsi="Arial" w:cs="Arial"/>
        </w:rPr>
        <w:t xml:space="preserve"> adopt multiple patient education and caring measures.</w:t>
      </w:r>
    </w:p>
    <w:p w14:paraId="325C8CA1" w14:textId="04696810" w:rsidR="00A52ABB" w:rsidRPr="002467E2" w:rsidRDefault="00A52ABB" w:rsidP="002467E2">
      <w:pPr>
        <w:spacing w:after="60" w:line="360" w:lineRule="auto"/>
        <w:jc w:val="both"/>
        <w:rPr>
          <w:rFonts w:ascii="Arial" w:hAnsi="Arial" w:cs="Arial"/>
        </w:rPr>
      </w:pPr>
      <w:r w:rsidRPr="002467E2">
        <w:rPr>
          <w:rFonts w:ascii="Arial" w:hAnsi="Arial" w:cs="Arial"/>
        </w:rPr>
        <w:t xml:space="preserve">T2DM aetiology is multifactorial. </w:t>
      </w:r>
      <w:r w:rsidR="007263E1" w:rsidRPr="002467E2">
        <w:rPr>
          <w:rFonts w:ascii="Arial" w:hAnsi="Arial" w:cs="Arial"/>
        </w:rPr>
        <w:t>Age</w:t>
      </w:r>
      <w:r w:rsidRPr="002467E2">
        <w:rPr>
          <w:rFonts w:ascii="Arial" w:hAnsi="Arial" w:cs="Arial"/>
        </w:rPr>
        <w:t xml:space="preserve"> more than 45 years, family history, and ethnicity are some of the non-modifiable risk factors. Two to four times more genetic risks are also common to South Asian and Afro-Caribbean populations than to White European populations (Diabetes UK, 2023). Imperatively, nevertheless, changeable elements, which encompass obesity, physical inactivity, unbalanced diet high in refined carbohydrates, smoking, and excess alcohol are also subjected to critical scrutiny, in a manner such that in the majority of patients, meaningful changes in glycaemic control, and in some patients, clinical remission, with the assistance of lasting lifestyle change, can be sought (WHO, 2024; NICE, 2022). The report was prepared against the background of working as a nurse at a GP surgery that involves </w:t>
      </w:r>
      <w:r w:rsidR="007263E1" w:rsidRPr="002467E2">
        <w:rPr>
          <w:rFonts w:ascii="Arial" w:hAnsi="Arial" w:cs="Arial"/>
        </w:rPr>
        <w:t xml:space="preserve">the </w:t>
      </w:r>
      <w:r w:rsidRPr="002467E2">
        <w:rPr>
          <w:rFonts w:ascii="Arial" w:hAnsi="Arial" w:cs="Arial"/>
        </w:rPr>
        <w:t xml:space="preserve">physiology of blood glucose regulation, cellular energy metabolism, </w:t>
      </w:r>
      <w:r w:rsidR="007263E1" w:rsidRPr="002467E2">
        <w:rPr>
          <w:rFonts w:ascii="Arial" w:hAnsi="Arial" w:cs="Arial"/>
        </w:rPr>
        <w:t xml:space="preserve">the </w:t>
      </w:r>
      <w:r w:rsidRPr="002467E2">
        <w:rPr>
          <w:rFonts w:ascii="Arial" w:hAnsi="Arial" w:cs="Arial"/>
        </w:rPr>
        <w:t xml:space="preserve">importance of glucose monitoring and </w:t>
      </w:r>
      <w:r w:rsidR="007263E1" w:rsidRPr="002467E2">
        <w:rPr>
          <w:rFonts w:ascii="Arial" w:hAnsi="Arial" w:cs="Arial"/>
        </w:rPr>
        <w:t>evidence-based</w:t>
      </w:r>
      <w:r w:rsidRPr="002467E2">
        <w:rPr>
          <w:rFonts w:ascii="Arial" w:hAnsi="Arial" w:cs="Arial"/>
        </w:rPr>
        <w:t xml:space="preserve"> lifestyle interventions that are not harmful to guarantee improved outcomes of T2DM patients.</w:t>
      </w:r>
    </w:p>
    <w:p w14:paraId="00B67415" w14:textId="632FFF28" w:rsidR="007263E1" w:rsidRPr="002467E2" w:rsidRDefault="007263E1" w:rsidP="002467E2">
      <w:pPr>
        <w:spacing w:after="60" w:line="360" w:lineRule="auto"/>
        <w:jc w:val="both"/>
        <w:rPr>
          <w:rFonts w:ascii="Arial" w:hAnsi="Arial" w:cs="Arial"/>
          <w:b/>
          <w:bCs/>
        </w:rPr>
      </w:pPr>
      <w:r w:rsidRPr="002467E2">
        <w:rPr>
          <w:rFonts w:ascii="Arial" w:hAnsi="Arial" w:cs="Arial"/>
          <w:b/>
          <w:bCs/>
          <w:shd w:val="clear" w:color="auto" w:fill="FFFFFF"/>
        </w:rPr>
        <w:t>2.0 Management of Blood Sugar Level to a safe level</w:t>
      </w:r>
    </w:p>
    <w:p w14:paraId="4514D86C" w14:textId="1C241629" w:rsidR="00A52ABB" w:rsidRPr="002467E2" w:rsidRDefault="00A52ABB" w:rsidP="002467E2">
      <w:pPr>
        <w:spacing w:after="60" w:line="360" w:lineRule="auto"/>
        <w:jc w:val="both"/>
        <w:rPr>
          <w:rFonts w:ascii="Arial" w:hAnsi="Arial" w:cs="Arial"/>
        </w:rPr>
      </w:pPr>
      <w:r w:rsidRPr="002467E2">
        <w:rPr>
          <w:rFonts w:ascii="Arial" w:hAnsi="Arial" w:cs="Arial"/>
        </w:rPr>
        <w:t>The hormonal negative feedback loop</w:t>
      </w:r>
      <w:r w:rsidR="007263E1" w:rsidRPr="002467E2">
        <w:rPr>
          <w:rFonts w:ascii="Arial" w:hAnsi="Arial" w:cs="Arial"/>
        </w:rPr>
        <w:t>,</w:t>
      </w:r>
      <w:r w:rsidRPr="002467E2">
        <w:rPr>
          <w:rFonts w:ascii="Arial" w:hAnsi="Arial" w:cs="Arial"/>
        </w:rPr>
        <w:t xml:space="preserve"> where an individual regulation of 3.9-5.5 mmol/L of blood glucose appears as the physiological range of 3.9-5.5 mmol/L</w:t>
      </w:r>
      <w:r w:rsidR="007263E1" w:rsidRPr="002467E2">
        <w:rPr>
          <w:rFonts w:ascii="Arial" w:hAnsi="Arial" w:cs="Arial"/>
        </w:rPr>
        <w:t>,</w:t>
      </w:r>
      <w:r w:rsidRPr="002467E2">
        <w:rPr>
          <w:rFonts w:ascii="Arial" w:hAnsi="Arial" w:cs="Arial"/>
        </w:rPr>
        <w:t xml:space="preserve"> regulates the pancreas (Clifton, 2011). This elevates the glucose following a meal</w:t>
      </w:r>
      <w:r w:rsidR="007263E1" w:rsidRPr="002467E2">
        <w:rPr>
          <w:rFonts w:ascii="Arial" w:hAnsi="Arial" w:cs="Arial"/>
        </w:rPr>
        <w:t>,</w:t>
      </w:r>
      <w:r w:rsidRPr="002467E2">
        <w:rPr>
          <w:rFonts w:ascii="Arial" w:hAnsi="Arial" w:cs="Arial"/>
        </w:rPr>
        <w:t xml:space="preserve"> and the pancreatic beta cells eject the insulin into the portal circulation. To induce the glucose transporter type 4 (GLUT4) proteins in target cells, which is a significant jump in cellular glucose uptake, insulin deploys the tyrosine kinase receptors on the target cells, typically skeletal muscle, fatty tissue and the liver. In the liver, insulin promotes the process of glucogenesis (forming glucose into glycogen) and inhibits fat production (forming glucose into the blood) and conducts all the glucose into the blood at homeostasis (Alsubaie, 2019).</w:t>
      </w:r>
    </w:p>
    <w:p w14:paraId="2F775AA1" w14:textId="449B2532" w:rsidR="003F711A" w:rsidRPr="002467E2" w:rsidRDefault="007263E1" w:rsidP="002467E2">
      <w:pPr>
        <w:spacing w:after="60" w:line="360" w:lineRule="auto"/>
        <w:jc w:val="both"/>
        <w:rPr>
          <w:rFonts w:ascii="Arial" w:hAnsi="Arial" w:cs="Arial"/>
        </w:rPr>
      </w:pPr>
      <w:r w:rsidRPr="002467E2">
        <w:rPr>
          <w:rFonts w:ascii="Arial" w:hAnsi="Arial" w:cs="Arial"/>
        </w:rPr>
        <w:lastRenderedPageBreak/>
        <w:t>Under</w:t>
      </w:r>
      <w:r w:rsidR="00A52ABB" w:rsidRPr="002467E2">
        <w:rPr>
          <w:rFonts w:ascii="Arial" w:hAnsi="Arial" w:cs="Arial"/>
        </w:rPr>
        <w:t xml:space="preserve"> conditions of low glycemic levels, when fasting or exercising occurs, glucagon is liberated by the pancreatic alpha cells, which causes the breakdown of glycogen in the liver (glycogenolysis) as well as the rise of gluconeogenesis and the consequent generation of glucose into the bloodstream. In T2DM, this system is also out of order. Excess lipid production caused by </w:t>
      </w:r>
      <w:r w:rsidRPr="002467E2">
        <w:rPr>
          <w:rFonts w:ascii="Arial" w:hAnsi="Arial" w:cs="Arial"/>
        </w:rPr>
        <w:t>overnutrition</w:t>
      </w:r>
      <w:r w:rsidR="00A52ABB" w:rsidRPr="002467E2">
        <w:rPr>
          <w:rFonts w:ascii="Arial" w:hAnsi="Arial" w:cs="Arial"/>
        </w:rPr>
        <w:t xml:space="preserve"> and inactivity causes toxic intermediates such as ceramide and diacylglycerol</w:t>
      </w:r>
      <w:r w:rsidRPr="002467E2">
        <w:rPr>
          <w:rFonts w:ascii="Arial" w:hAnsi="Arial" w:cs="Arial"/>
        </w:rPr>
        <w:t>,</w:t>
      </w:r>
      <w:r w:rsidR="00A52ABB" w:rsidRPr="002467E2">
        <w:rPr>
          <w:rFonts w:ascii="Arial" w:hAnsi="Arial" w:cs="Arial"/>
        </w:rPr>
        <w:t xml:space="preserve"> reducing insulin receptor signalling</w:t>
      </w:r>
      <w:r w:rsidRPr="002467E2">
        <w:rPr>
          <w:rFonts w:ascii="Arial" w:hAnsi="Arial" w:cs="Arial"/>
        </w:rPr>
        <w:t>,</w:t>
      </w:r>
      <w:r w:rsidR="00A52ABB" w:rsidRPr="002467E2">
        <w:rPr>
          <w:rFonts w:ascii="Arial" w:hAnsi="Arial" w:cs="Arial"/>
        </w:rPr>
        <w:t xml:space="preserve"> leading to insulin resistance. Hypersecretion of beta cells initially helps to sustain the initial compensation</w:t>
      </w:r>
      <w:r w:rsidRPr="002467E2">
        <w:rPr>
          <w:rFonts w:ascii="Arial" w:hAnsi="Arial" w:cs="Arial"/>
        </w:rPr>
        <w:t>;</w:t>
      </w:r>
      <w:r w:rsidR="00A52ABB" w:rsidRPr="002467E2">
        <w:rPr>
          <w:rFonts w:ascii="Arial" w:hAnsi="Arial" w:cs="Arial"/>
        </w:rPr>
        <w:t xml:space="preserve"> however, this kind of cell is too exhausted over time</w:t>
      </w:r>
      <w:r w:rsidRPr="002467E2">
        <w:rPr>
          <w:rFonts w:ascii="Arial" w:hAnsi="Arial" w:cs="Arial"/>
        </w:rPr>
        <w:t>,</w:t>
      </w:r>
      <w:r w:rsidR="00A52ABB" w:rsidRPr="002467E2">
        <w:rPr>
          <w:rFonts w:ascii="Arial" w:hAnsi="Arial" w:cs="Arial"/>
        </w:rPr>
        <w:t xml:space="preserve"> leading to insufficient secretion of insulin and chronic hyperglycaemia (Kahn et al., 2014). </w:t>
      </w:r>
      <w:r w:rsidRPr="002467E2">
        <w:rPr>
          <w:rFonts w:ascii="Arial" w:hAnsi="Arial" w:cs="Arial"/>
        </w:rPr>
        <w:t>Ongoing</w:t>
      </w:r>
      <w:r w:rsidR="00A52ABB" w:rsidRPr="002467E2">
        <w:rPr>
          <w:rFonts w:ascii="Arial" w:hAnsi="Arial" w:cs="Arial"/>
        </w:rPr>
        <w:t xml:space="preserve"> elevations of hyperglycaemia contribute to non-enzymatic protein glycations and oxidative stress, which lead to the conventional microvascular risks of T2DM: that is, nephropathy, peripheral neuropathy and retinopathy (NICE, 2022). The information about the essential clinical blood glucose targets is presented in Table 1:</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57"/>
        <w:gridCol w:w="3595"/>
        <w:gridCol w:w="2774"/>
      </w:tblGrid>
      <w:tr w:rsidR="003F711A" w:rsidRPr="002467E2" w14:paraId="5F05276F" w14:textId="77777777" w:rsidTr="00B51FDA">
        <w:trPr>
          <w:tblHeader/>
        </w:trPr>
        <w:tc>
          <w:tcPr>
            <w:tcW w:w="0" w:type="auto"/>
            <w:tcBorders>
              <w:top w:val="single" w:sz="4" w:space="0" w:color="2E75B6"/>
              <w:left w:val="single" w:sz="4" w:space="0" w:color="2E75B6"/>
              <w:bottom w:val="single" w:sz="4" w:space="0" w:color="2E75B6"/>
              <w:right w:val="single" w:sz="4" w:space="0" w:color="2E75B6"/>
            </w:tcBorders>
            <w:shd w:val="clear" w:color="auto" w:fill="1F5C9E"/>
            <w:tcMar>
              <w:top w:w="80" w:type="dxa"/>
              <w:left w:w="120" w:type="dxa"/>
              <w:bottom w:w="80" w:type="dxa"/>
              <w:right w:w="120" w:type="dxa"/>
            </w:tcMar>
          </w:tcPr>
          <w:p w14:paraId="10DC99E6" w14:textId="77777777" w:rsidR="003F711A" w:rsidRPr="002467E2" w:rsidRDefault="003F711A" w:rsidP="002467E2">
            <w:pPr>
              <w:spacing w:line="360" w:lineRule="auto"/>
              <w:jc w:val="both"/>
              <w:rPr>
                <w:rFonts w:ascii="Arial" w:hAnsi="Arial" w:cs="Arial"/>
              </w:rPr>
            </w:pPr>
            <w:r w:rsidRPr="002467E2">
              <w:rPr>
                <w:rFonts w:ascii="Arial" w:eastAsia="Arial" w:hAnsi="Arial" w:cs="Arial"/>
                <w:b/>
                <w:bCs/>
                <w:color w:val="FFFFFF"/>
              </w:rPr>
              <w:t>Measurement</w:t>
            </w:r>
          </w:p>
        </w:tc>
        <w:tc>
          <w:tcPr>
            <w:tcW w:w="0" w:type="auto"/>
            <w:tcBorders>
              <w:top w:val="single" w:sz="4" w:space="0" w:color="2E75B6"/>
              <w:left w:val="single" w:sz="4" w:space="0" w:color="2E75B6"/>
              <w:bottom w:val="single" w:sz="4" w:space="0" w:color="2E75B6"/>
              <w:right w:val="single" w:sz="4" w:space="0" w:color="2E75B6"/>
            </w:tcBorders>
            <w:shd w:val="clear" w:color="auto" w:fill="1F5C9E"/>
            <w:tcMar>
              <w:top w:w="80" w:type="dxa"/>
              <w:left w:w="120" w:type="dxa"/>
              <w:bottom w:w="80" w:type="dxa"/>
              <w:right w:w="120" w:type="dxa"/>
            </w:tcMar>
          </w:tcPr>
          <w:p w14:paraId="7A08C400" w14:textId="77777777" w:rsidR="003F711A" w:rsidRPr="002467E2" w:rsidRDefault="003F711A" w:rsidP="002467E2">
            <w:pPr>
              <w:spacing w:line="360" w:lineRule="auto"/>
              <w:jc w:val="both"/>
              <w:rPr>
                <w:rFonts w:ascii="Arial" w:hAnsi="Arial" w:cs="Arial"/>
              </w:rPr>
            </w:pPr>
            <w:r w:rsidRPr="002467E2">
              <w:rPr>
                <w:rFonts w:ascii="Arial" w:eastAsia="Arial" w:hAnsi="Arial" w:cs="Arial"/>
                <w:b/>
                <w:bCs/>
                <w:color w:val="FFFFFF"/>
              </w:rPr>
              <w:t>Non-Diabetic Range (mmol/L)</w:t>
            </w:r>
          </w:p>
        </w:tc>
        <w:tc>
          <w:tcPr>
            <w:tcW w:w="0" w:type="auto"/>
            <w:tcBorders>
              <w:top w:val="single" w:sz="4" w:space="0" w:color="2E75B6"/>
              <w:left w:val="single" w:sz="4" w:space="0" w:color="2E75B6"/>
              <w:bottom w:val="single" w:sz="4" w:space="0" w:color="2E75B6"/>
              <w:right w:val="single" w:sz="4" w:space="0" w:color="2E75B6"/>
            </w:tcBorders>
            <w:shd w:val="clear" w:color="auto" w:fill="1F5C9E"/>
            <w:tcMar>
              <w:top w:w="80" w:type="dxa"/>
              <w:left w:w="120" w:type="dxa"/>
              <w:bottom w:w="80" w:type="dxa"/>
              <w:right w:w="120" w:type="dxa"/>
            </w:tcMar>
          </w:tcPr>
          <w:p w14:paraId="3D541DB9" w14:textId="77777777" w:rsidR="003F711A" w:rsidRPr="002467E2" w:rsidRDefault="003F711A" w:rsidP="002467E2">
            <w:pPr>
              <w:spacing w:line="360" w:lineRule="auto"/>
              <w:jc w:val="both"/>
              <w:rPr>
                <w:rFonts w:ascii="Arial" w:hAnsi="Arial" w:cs="Arial"/>
              </w:rPr>
            </w:pPr>
            <w:r w:rsidRPr="002467E2">
              <w:rPr>
                <w:rFonts w:ascii="Arial" w:eastAsia="Arial" w:hAnsi="Arial" w:cs="Arial"/>
                <w:b/>
                <w:bCs/>
                <w:color w:val="FFFFFF"/>
              </w:rPr>
              <w:t>T2DM Target (mmol/L)</w:t>
            </w:r>
          </w:p>
        </w:tc>
      </w:tr>
      <w:tr w:rsidR="003F711A" w:rsidRPr="002467E2" w14:paraId="58C8E895" w14:textId="77777777" w:rsidTr="00B51FDA">
        <w:tc>
          <w:tcPr>
            <w:tcW w:w="0" w:type="auto"/>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tcPr>
          <w:p w14:paraId="63C6B65F"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Fasting Blood Glucose</w:t>
            </w:r>
          </w:p>
        </w:tc>
        <w:tc>
          <w:tcPr>
            <w:tcW w:w="0" w:type="auto"/>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tcPr>
          <w:p w14:paraId="594F4DAD"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3.9 – 5.5</w:t>
            </w:r>
          </w:p>
        </w:tc>
        <w:tc>
          <w:tcPr>
            <w:tcW w:w="0" w:type="auto"/>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tcPr>
          <w:p w14:paraId="5263C6A7"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4.0 – 7.0</w:t>
            </w:r>
          </w:p>
        </w:tc>
      </w:tr>
      <w:tr w:rsidR="003F711A" w:rsidRPr="002467E2" w14:paraId="2B3FF93E" w14:textId="77777777" w:rsidTr="00B51FDA">
        <w:tc>
          <w:tcPr>
            <w:tcW w:w="0" w:type="auto"/>
            <w:tcBorders>
              <w:top w:val="single" w:sz="4" w:space="0" w:color="2E75B6"/>
              <w:left w:val="single" w:sz="4" w:space="0" w:color="2E75B6"/>
              <w:bottom w:val="single" w:sz="4" w:space="0" w:color="2E75B6"/>
              <w:right w:val="single" w:sz="4" w:space="0" w:color="2E75B6"/>
            </w:tcBorders>
            <w:shd w:val="clear" w:color="auto" w:fill="D6E4F0"/>
            <w:tcMar>
              <w:top w:w="80" w:type="dxa"/>
              <w:left w:w="120" w:type="dxa"/>
              <w:bottom w:w="80" w:type="dxa"/>
              <w:right w:w="120" w:type="dxa"/>
            </w:tcMar>
          </w:tcPr>
          <w:p w14:paraId="2E8F75E5"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2 Hours Post-Meal</w:t>
            </w:r>
          </w:p>
        </w:tc>
        <w:tc>
          <w:tcPr>
            <w:tcW w:w="0" w:type="auto"/>
            <w:tcBorders>
              <w:top w:val="single" w:sz="4" w:space="0" w:color="2E75B6"/>
              <w:left w:val="single" w:sz="4" w:space="0" w:color="2E75B6"/>
              <w:bottom w:val="single" w:sz="4" w:space="0" w:color="2E75B6"/>
              <w:right w:val="single" w:sz="4" w:space="0" w:color="2E75B6"/>
            </w:tcBorders>
            <w:shd w:val="clear" w:color="auto" w:fill="D6E4F0"/>
            <w:tcMar>
              <w:top w:w="80" w:type="dxa"/>
              <w:left w:w="120" w:type="dxa"/>
              <w:bottom w:w="80" w:type="dxa"/>
              <w:right w:w="120" w:type="dxa"/>
            </w:tcMar>
          </w:tcPr>
          <w:p w14:paraId="50AA9CE5"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&lt; 7.8</w:t>
            </w:r>
          </w:p>
        </w:tc>
        <w:tc>
          <w:tcPr>
            <w:tcW w:w="0" w:type="auto"/>
            <w:tcBorders>
              <w:top w:val="single" w:sz="4" w:space="0" w:color="2E75B6"/>
              <w:left w:val="single" w:sz="4" w:space="0" w:color="2E75B6"/>
              <w:bottom w:val="single" w:sz="4" w:space="0" w:color="2E75B6"/>
              <w:right w:val="single" w:sz="4" w:space="0" w:color="2E75B6"/>
            </w:tcBorders>
            <w:shd w:val="clear" w:color="auto" w:fill="D6E4F0"/>
            <w:tcMar>
              <w:top w:w="80" w:type="dxa"/>
              <w:left w:w="120" w:type="dxa"/>
              <w:bottom w:w="80" w:type="dxa"/>
              <w:right w:w="120" w:type="dxa"/>
            </w:tcMar>
          </w:tcPr>
          <w:p w14:paraId="3C51DAB4"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&lt; 8.5</w:t>
            </w:r>
          </w:p>
        </w:tc>
      </w:tr>
      <w:tr w:rsidR="003F711A" w:rsidRPr="002467E2" w14:paraId="5A0CB5D3" w14:textId="77777777" w:rsidTr="00B51FDA">
        <w:tc>
          <w:tcPr>
            <w:tcW w:w="0" w:type="auto"/>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tcPr>
          <w:p w14:paraId="50498ECC"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HbA1c</w:t>
            </w:r>
          </w:p>
        </w:tc>
        <w:tc>
          <w:tcPr>
            <w:tcW w:w="0" w:type="auto"/>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tcPr>
          <w:p w14:paraId="30F808B1"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&lt; 42 mmol/mol (6.0%)</w:t>
            </w:r>
          </w:p>
        </w:tc>
        <w:tc>
          <w:tcPr>
            <w:tcW w:w="0" w:type="auto"/>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tcPr>
          <w:p w14:paraId="36724D50"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 53 mmol/mol (7.0%)</w:t>
            </w:r>
          </w:p>
        </w:tc>
      </w:tr>
    </w:tbl>
    <w:p w14:paraId="34A84F99" w14:textId="77777777" w:rsidR="003F711A" w:rsidRPr="002467E2" w:rsidRDefault="003F711A" w:rsidP="002467E2">
      <w:pPr>
        <w:spacing w:before="80" w:after="180" w:line="360" w:lineRule="auto"/>
        <w:jc w:val="both"/>
        <w:rPr>
          <w:rFonts w:ascii="Arial" w:hAnsi="Arial" w:cs="Arial"/>
          <w:i/>
          <w:iCs/>
        </w:rPr>
      </w:pPr>
      <w:r w:rsidRPr="002467E2">
        <w:rPr>
          <w:rFonts w:ascii="Arial" w:eastAsia="Arial" w:hAnsi="Arial" w:cs="Arial"/>
          <w:i/>
          <w:iCs/>
        </w:rPr>
        <w:t>Table 1: Blood Glucose Reference Values for Clinical Monitoring (Adapted from NICE, 2022; Diabetes UK, 2023)</w:t>
      </w:r>
    </w:p>
    <w:p w14:paraId="3A4FEE3D" w14:textId="14869DC2" w:rsidR="007263E1" w:rsidRPr="002467E2" w:rsidRDefault="007263E1" w:rsidP="002467E2">
      <w:pPr>
        <w:pStyle w:val="Heading1"/>
        <w:spacing w:line="360" w:lineRule="auto"/>
        <w:jc w:val="both"/>
        <w:rPr>
          <w:rFonts w:ascii="Arial" w:hAnsi="Arial" w:cs="Arial"/>
          <w:b/>
          <w:bCs/>
          <w:color w:val="auto"/>
          <w:sz w:val="22"/>
          <w:szCs w:val="22"/>
        </w:rPr>
      </w:pPr>
      <w:r w:rsidRPr="002467E2">
        <w:rPr>
          <w:rFonts w:ascii="Arial" w:hAnsi="Arial" w:cs="Arial"/>
          <w:b/>
          <w:bCs/>
          <w:color w:val="auto"/>
          <w:sz w:val="22"/>
          <w:szCs w:val="22"/>
        </w:rPr>
        <w:t xml:space="preserve">3.0 Cell Metabolism Process in manufacturing energy with the help </w:t>
      </w:r>
      <w:r w:rsidR="00A83D91" w:rsidRPr="002467E2">
        <w:rPr>
          <w:rFonts w:ascii="Arial" w:hAnsi="Arial" w:cs="Arial"/>
          <w:b/>
          <w:bCs/>
          <w:color w:val="auto"/>
          <w:sz w:val="22"/>
          <w:szCs w:val="22"/>
        </w:rPr>
        <w:t>of Oxygen</w:t>
      </w:r>
      <w:r w:rsidRPr="002467E2">
        <w:rPr>
          <w:rFonts w:ascii="Arial" w:hAnsi="Arial" w:cs="Arial"/>
          <w:b/>
          <w:bCs/>
          <w:color w:val="auto"/>
          <w:sz w:val="22"/>
          <w:szCs w:val="22"/>
        </w:rPr>
        <w:t xml:space="preserve"> and Glucose.</w:t>
      </w:r>
    </w:p>
    <w:p w14:paraId="19229E1F" w14:textId="5690ADA5" w:rsidR="003F711A" w:rsidRPr="002467E2" w:rsidRDefault="007263E1" w:rsidP="002467E2">
      <w:pPr>
        <w:spacing w:line="360" w:lineRule="auto"/>
        <w:jc w:val="both"/>
        <w:rPr>
          <w:rFonts w:ascii="Arial" w:hAnsi="Arial" w:cs="Arial"/>
        </w:rPr>
      </w:pPr>
      <w:r w:rsidRPr="002467E2">
        <w:rPr>
          <w:rFonts w:ascii="Arial" w:hAnsi="Arial" w:cs="Arial"/>
        </w:rPr>
        <w:t xml:space="preserve">Glucose and oxygen are the primary substrates of aerobic cellular respiration, or an assortment of producing the universal currency of energy required by all cells, adenosine triphosphate (ATP) (Alsubaie, 2019). This happens in four consequential stages. </w:t>
      </w:r>
      <w:r w:rsidR="00A83D91" w:rsidRPr="002467E2">
        <w:rPr>
          <w:rFonts w:ascii="Arial" w:hAnsi="Arial" w:cs="Arial"/>
        </w:rPr>
        <w:t>In the first step, a glucose molecule is split to make two pyruvate molecules (C6H12O6) by a metabolic process, glycolysis, which does not need the presence of oxygen to break a glucose molecule and, therefore, results in two molecules of pyruvate and two molecules of NADH. Secondly, the reaction of the linking is carried out in the mitochondrial matrix</w:t>
      </w:r>
      <w:r w:rsidR="00E5402C" w:rsidRPr="002467E2">
        <w:rPr>
          <w:rFonts w:ascii="Arial" w:hAnsi="Arial" w:cs="Arial"/>
        </w:rPr>
        <w:t>;</w:t>
      </w:r>
      <w:r w:rsidR="00A83D91" w:rsidRPr="002467E2">
        <w:rPr>
          <w:rFonts w:ascii="Arial" w:hAnsi="Arial" w:cs="Arial"/>
        </w:rPr>
        <w:t xml:space="preserve"> each time a molecule of pyruvate is transformed into acetyl coenzyme A (acetyl-CoA), one molecule of carbon dioxide is produced</w:t>
      </w:r>
      <w:r w:rsidR="00E5402C" w:rsidRPr="002467E2">
        <w:rPr>
          <w:rFonts w:ascii="Arial" w:hAnsi="Arial" w:cs="Arial"/>
        </w:rPr>
        <w:t>.</w:t>
      </w:r>
      <w:r w:rsidRPr="002467E2">
        <w:rPr>
          <w:rFonts w:ascii="Arial" w:hAnsi="Arial" w:cs="Arial"/>
        </w:rPr>
        <w:t xml:space="preserve"> Third, acetyl-CoA enters the Krebs cycle, comprising eight enzyme-mediated reactions to produce three NADH, one FADH2 and one GTP per cycle turn to produce two more CO2 as a metabolite waste. Finally, NADH and FADH2 are high-energy electrons that </w:t>
      </w:r>
      <w:r w:rsidRPr="002467E2">
        <w:rPr>
          <w:rFonts w:ascii="Arial" w:hAnsi="Arial" w:cs="Arial"/>
        </w:rPr>
        <w:lastRenderedPageBreak/>
        <w:t xml:space="preserve">can be used at the inner membrane of mitochondria by oxidative phosphorylation: release of these electron forms results in most of the cellular ATP, and this increases the amount of water produced by oxygen, the final electron donor. Overall, oxidation of a single glucose molecule by aerobes offers an approximation of 30-32 molecules of ATP. </w:t>
      </w:r>
      <w:r w:rsidR="003F711A" w:rsidRPr="002467E2">
        <w:rPr>
          <w:rFonts w:ascii="Arial" w:hAnsi="Arial" w:cs="Arial"/>
        </w:rPr>
        <w:t xml:space="preserve">The direct clinical implication </w:t>
      </w:r>
      <w:r w:rsidR="00963653" w:rsidRPr="002467E2">
        <w:rPr>
          <w:rFonts w:ascii="Arial" w:hAnsi="Arial" w:cs="Arial"/>
        </w:rPr>
        <w:t>of</w:t>
      </w:r>
      <w:r w:rsidR="003F711A" w:rsidRPr="002467E2">
        <w:rPr>
          <w:rFonts w:ascii="Arial" w:hAnsi="Arial" w:cs="Arial"/>
        </w:rPr>
        <w:t xml:space="preserve"> T2DM </w:t>
      </w:r>
      <w:r w:rsidR="00963653" w:rsidRPr="002467E2">
        <w:rPr>
          <w:rFonts w:ascii="Arial" w:hAnsi="Arial" w:cs="Arial"/>
        </w:rPr>
        <w:t>is that</w:t>
      </w:r>
      <w:r w:rsidR="003F711A" w:rsidRPr="002467E2">
        <w:rPr>
          <w:rFonts w:ascii="Arial" w:hAnsi="Arial" w:cs="Arial"/>
        </w:rPr>
        <w:t xml:space="preserve"> limiting access to </w:t>
      </w:r>
      <w:r w:rsidR="00963653" w:rsidRPr="002467E2">
        <w:rPr>
          <w:rFonts w:ascii="Arial" w:hAnsi="Arial" w:cs="Arial"/>
        </w:rPr>
        <w:t>insulin-recognised</w:t>
      </w:r>
      <w:r w:rsidR="003F711A" w:rsidRPr="002467E2">
        <w:rPr>
          <w:rFonts w:ascii="Arial" w:hAnsi="Arial" w:cs="Arial"/>
        </w:rPr>
        <w:t xml:space="preserve"> trafficking of GLUT4 implies a reduced access to glucose in cells, </w:t>
      </w:r>
      <w:r w:rsidR="00963653" w:rsidRPr="002467E2">
        <w:rPr>
          <w:rFonts w:ascii="Arial" w:hAnsi="Arial" w:cs="Arial"/>
        </w:rPr>
        <w:t>forcing</w:t>
      </w:r>
      <w:r w:rsidR="003F711A" w:rsidRPr="002467E2">
        <w:rPr>
          <w:rFonts w:ascii="Arial" w:hAnsi="Arial" w:cs="Arial"/>
        </w:rPr>
        <w:t xml:space="preserve"> them to switch to fatty acid metabolism, leading to overproduction of acetyl-CoA, and </w:t>
      </w:r>
      <w:r w:rsidR="00963653" w:rsidRPr="002467E2">
        <w:rPr>
          <w:rFonts w:ascii="Arial" w:hAnsi="Arial" w:cs="Arial"/>
        </w:rPr>
        <w:t>contributing to</w:t>
      </w:r>
      <w:r w:rsidR="003F711A" w:rsidRPr="002467E2">
        <w:rPr>
          <w:rFonts w:ascii="Arial" w:hAnsi="Arial" w:cs="Arial"/>
        </w:rPr>
        <w:t xml:space="preserve"> dyslipidaemia. Also, excess glucose in the intracellular </w:t>
      </w:r>
      <w:r w:rsidR="00963653" w:rsidRPr="002467E2">
        <w:rPr>
          <w:rFonts w:ascii="Arial" w:hAnsi="Arial" w:cs="Arial"/>
        </w:rPr>
        <w:t xml:space="preserve">space </w:t>
      </w:r>
      <w:r w:rsidR="003F711A" w:rsidRPr="002467E2">
        <w:rPr>
          <w:rFonts w:ascii="Arial" w:hAnsi="Arial" w:cs="Arial"/>
        </w:rPr>
        <w:t>is passed on to the polyol pathway</w:t>
      </w:r>
      <w:r w:rsidR="00963653" w:rsidRPr="002467E2">
        <w:rPr>
          <w:rFonts w:ascii="Arial" w:hAnsi="Arial" w:cs="Arial"/>
        </w:rPr>
        <w:t>,</w:t>
      </w:r>
      <w:r w:rsidR="003F711A" w:rsidRPr="002467E2">
        <w:rPr>
          <w:rFonts w:ascii="Arial" w:hAnsi="Arial" w:cs="Arial"/>
        </w:rPr>
        <w:t xml:space="preserve"> leading to sorbitol</w:t>
      </w:r>
      <w:r w:rsidR="00963653" w:rsidRPr="002467E2">
        <w:rPr>
          <w:rFonts w:ascii="Arial" w:hAnsi="Arial" w:cs="Arial"/>
        </w:rPr>
        <w:t>,</w:t>
      </w:r>
      <w:r w:rsidR="003F711A" w:rsidRPr="002467E2">
        <w:rPr>
          <w:rFonts w:ascii="Arial" w:hAnsi="Arial" w:cs="Arial"/>
        </w:rPr>
        <w:t xml:space="preserve"> which is trapped in the cells</w:t>
      </w:r>
      <w:r w:rsidR="00963653" w:rsidRPr="002467E2">
        <w:rPr>
          <w:rFonts w:ascii="Arial" w:hAnsi="Arial" w:cs="Arial"/>
        </w:rPr>
        <w:t>,</w:t>
      </w:r>
      <w:r w:rsidR="003F711A" w:rsidRPr="002467E2">
        <w:rPr>
          <w:rFonts w:ascii="Arial" w:hAnsi="Arial" w:cs="Arial"/>
        </w:rPr>
        <w:t xml:space="preserve"> thus causing osmotic stress and </w:t>
      </w:r>
      <w:r w:rsidR="00963653" w:rsidRPr="002467E2">
        <w:rPr>
          <w:rFonts w:ascii="Arial" w:hAnsi="Arial" w:cs="Arial"/>
        </w:rPr>
        <w:t>damaging</w:t>
      </w:r>
      <w:r w:rsidR="003F711A" w:rsidRPr="002467E2">
        <w:rPr>
          <w:rFonts w:ascii="Arial" w:hAnsi="Arial" w:cs="Arial"/>
        </w:rPr>
        <w:t xml:space="preserve"> the </w:t>
      </w:r>
      <w:r w:rsidR="00963653" w:rsidRPr="002467E2">
        <w:rPr>
          <w:rFonts w:ascii="Arial" w:hAnsi="Arial" w:cs="Arial"/>
        </w:rPr>
        <w:t>nerves</w:t>
      </w:r>
      <w:r w:rsidR="003F711A" w:rsidRPr="002467E2">
        <w:rPr>
          <w:rFonts w:ascii="Arial" w:hAnsi="Arial" w:cs="Arial"/>
        </w:rPr>
        <w:t xml:space="preserve"> and vessels (Kahn et al., 2014). Such mechanisms depict the reason he/she should engage to restore glycaemic control not just to normalise numbers, but also to guard cellular metabolism.</w:t>
      </w:r>
    </w:p>
    <w:p w14:paraId="6018DDAE" w14:textId="749DD533" w:rsidR="003F711A" w:rsidRPr="002467E2" w:rsidRDefault="003F711A" w:rsidP="002467E2">
      <w:pPr>
        <w:pStyle w:val="Heading1"/>
        <w:spacing w:line="360" w:lineRule="auto"/>
        <w:jc w:val="both"/>
        <w:rPr>
          <w:rFonts w:ascii="Arial" w:hAnsi="Arial" w:cs="Arial"/>
          <w:b/>
          <w:bCs/>
          <w:color w:val="auto"/>
          <w:sz w:val="22"/>
          <w:szCs w:val="22"/>
        </w:rPr>
      </w:pPr>
      <w:bookmarkStart w:id="2" w:name="_Toc222619796"/>
      <w:r w:rsidRPr="002467E2">
        <w:rPr>
          <w:rFonts w:ascii="Arial" w:hAnsi="Arial" w:cs="Arial"/>
          <w:b/>
          <w:bCs/>
          <w:color w:val="auto"/>
          <w:sz w:val="22"/>
          <w:szCs w:val="22"/>
        </w:rPr>
        <w:t>4.0 Monitoring and documenting Blood sugar levels</w:t>
      </w:r>
      <w:bookmarkEnd w:id="2"/>
    </w:p>
    <w:p w14:paraId="34FD54EC" w14:textId="547772D1" w:rsidR="003F711A" w:rsidRPr="002467E2" w:rsidRDefault="003F711A" w:rsidP="002467E2">
      <w:pPr>
        <w:spacing w:line="360" w:lineRule="auto"/>
        <w:jc w:val="both"/>
        <w:rPr>
          <w:rFonts w:ascii="Arial" w:hAnsi="Arial" w:cs="Arial"/>
        </w:rPr>
      </w:pPr>
      <w:r w:rsidRPr="002467E2">
        <w:rPr>
          <w:rFonts w:ascii="Arial" w:hAnsi="Arial" w:cs="Arial"/>
        </w:rPr>
        <w:t xml:space="preserve">The foundations of safe self-management of T2DM include self-monitoring of blood glucose (SMBG) and the measurement of HbA1c that converts the intricate physiology into patient data that could be acted upon (NICE, 2022). SMBG is a method of measuring capillary blood glucose at planned occasions at regular intervals; fasting, pre and two hours after meal. This will enable the patients to see firsthand how particular foods, </w:t>
      </w:r>
      <w:r w:rsidR="00963653" w:rsidRPr="002467E2">
        <w:rPr>
          <w:rFonts w:ascii="Arial" w:hAnsi="Arial" w:cs="Arial"/>
        </w:rPr>
        <w:t>activities</w:t>
      </w:r>
      <w:r w:rsidRPr="002467E2">
        <w:rPr>
          <w:rFonts w:ascii="Arial" w:hAnsi="Arial" w:cs="Arial"/>
        </w:rPr>
        <w:t xml:space="preserve">, sickness, and drugs influence the blood glucose levels in real-time and make informed changes to diet and behaviour. In </w:t>
      </w:r>
      <w:r w:rsidR="00963653" w:rsidRPr="002467E2">
        <w:rPr>
          <w:rFonts w:ascii="Arial" w:hAnsi="Arial" w:cs="Arial"/>
        </w:rPr>
        <w:t xml:space="preserve">the </w:t>
      </w:r>
      <w:r w:rsidRPr="002467E2">
        <w:rPr>
          <w:rFonts w:ascii="Arial" w:hAnsi="Arial" w:cs="Arial"/>
        </w:rPr>
        <w:t>Cochrane systematic review</w:t>
      </w:r>
      <w:r w:rsidR="00963653" w:rsidRPr="002467E2">
        <w:rPr>
          <w:rFonts w:ascii="Arial" w:hAnsi="Arial" w:cs="Arial"/>
        </w:rPr>
        <w:t>,</w:t>
      </w:r>
      <w:r w:rsidRPr="002467E2">
        <w:rPr>
          <w:rFonts w:ascii="Arial" w:hAnsi="Arial" w:cs="Arial"/>
        </w:rPr>
        <w:t xml:space="preserve"> Malanda et al. (2012) established a significant clinical effect of 0.25% in non-insulin-treated T2DM; structured SMBG and education, as opposed to its use in isolation.</w:t>
      </w:r>
    </w:p>
    <w:p w14:paraId="51F63942" w14:textId="4C507122" w:rsidR="00A83D91" w:rsidRPr="002467E2" w:rsidRDefault="00A83D91" w:rsidP="002467E2">
      <w:pPr>
        <w:spacing w:line="360" w:lineRule="auto"/>
        <w:jc w:val="both"/>
        <w:rPr>
          <w:rFonts w:ascii="Arial" w:hAnsi="Arial" w:cs="Arial"/>
        </w:rPr>
      </w:pPr>
      <w:r w:rsidRPr="002467E2">
        <w:rPr>
          <w:rFonts w:ascii="Arial" w:hAnsi="Arial" w:cs="Arial"/>
        </w:rPr>
        <w:t xml:space="preserve">The index of the average blood sugar during the past 812 weeks is HbA1C (glycated haemoglobin). Being an irreversible process that takes place in the erythrocytes in circulation, when haemoglobin has a lifespan of about 120 days, the percentage of glycated haemoglobin in the blood has a direct relation with the average level of glycaemia in the same time frame (Alsubaie, 2019). The NICE (2022) recommends HbA1c of 48 mmol/mol (6.5Per cent) in individuals who have undergone lifestyle management only, and 53 mmol/mol (7.0mmol/mol) with pharmacotherapy; </w:t>
      </w:r>
      <w:r w:rsidR="00E5402C" w:rsidRPr="002467E2">
        <w:rPr>
          <w:rFonts w:ascii="Arial" w:hAnsi="Arial" w:cs="Arial"/>
        </w:rPr>
        <w:t xml:space="preserve">for </w:t>
      </w:r>
      <w:r w:rsidRPr="002467E2">
        <w:rPr>
          <w:rFonts w:ascii="Arial" w:hAnsi="Arial" w:cs="Arial"/>
        </w:rPr>
        <w:t>each 1 mmol/mol lower of the HbA1c, the risk of microvascular complication is reduced by what the organisation deems as 37 per cent. The continuous glucose monitors (CGM) systems (e.g. FreeStyle Libre) offer not only trend data but also real-time monitoring readings of the interstitial glucose, which are available and were suggested by NICE (2023) as the sources of information that could make a meaningful contribution to the utilisation of glucose self-management by a patient in their daily activity.</w:t>
      </w:r>
    </w:p>
    <w:p w14:paraId="6DFF7AC1" w14:textId="3D18BB58" w:rsidR="00A83D91" w:rsidRPr="002467E2" w:rsidRDefault="00A83D91" w:rsidP="002467E2">
      <w:pPr>
        <w:pStyle w:val="Heading1"/>
        <w:spacing w:line="360" w:lineRule="auto"/>
        <w:jc w:val="both"/>
        <w:rPr>
          <w:rFonts w:ascii="Arial" w:hAnsi="Arial" w:cs="Arial"/>
          <w:b/>
          <w:bCs/>
          <w:sz w:val="22"/>
          <w:szCs w:val="22"/>
        </w:rPr>
      </w:pPr>
      <w:r w:rsidRPr="002467E2">
        <w:rPr>
          <w:rFonts w:ascii="Arial" w:hAnsi="Arial" w:cs="Arial"/>
          <w:b/>
          <w:bCs/>
          <w:sz w:val="22"/>
          <w:szCs w:val="22"/>
        </w:rPr>
        <w:lastRenderedPageBreak/>
        <w:t>5.0 High Quality Lifestyle Advice</w:t>
      </w:r>
    </w:p>
    <w:p w14:paraId="7D153FE3" w14:textId="77777777" w:rsidR="00A83D91" w:rsidRPr="002467E2" w:rsidRDefault="00A83D91" w:rsidP="002467E2">
      <w:pPr>
        <w:pStyle w:val="Heading2"/>
        <w:spacing w:line="360" w:lineRule="auto"/>
        <w:jc w:val="both"/>
        <w:rPr>
          <w:rFonts w:ascii="Arial" w:hAnsi="Arial" w:cs="Arial"/>
          <w:b/>
          <w:bCs/>
          <w:color w:val="auto"/>
          <w:sz w:val="22"/>
          <w:szCs w:val="22"/>
        </w:rPr>
      </w:pPr>
      <w:r w:rsidRPr="002467E2">
        <w:rPr>
          <w:rFonts w:ascii="Arial" w:hAnsi="Arial" w:cs="Arial"/>
          <w:b/>
          <w:bCs/>
          <w:color w:val="auto"/>
          <w:sz w:val="22"/>
          <w:szCs w:val="22"/>
        </w:rPr>
        <w:t>5.1 Dietary Modification</w:t>
      </w:r>
    </w:p>
    <w:p w14:paraId="057C9E63" w14:textId="5EC1712B" w:rsidR="00A83D91" w:rsidRPr="002467E2" w:rsidRDefault="00E5402C" w:rsidP="002467E2">
      <w:pPr>
        <w:spacing w:line="360" w:lineRule="auto"/>
        <w:jc w:val="both"/>
        <w:rPr>
          <w:rFonts w:ascii="Arial" w:hAnsi="Arial" w:cs="Arial"/>
        </w:rPr>
      </w:pPr>
      <w:r w:rsidRPr="002467E2">
        <w:rPr>
          <w:rFonts w:ascii="Arial" w:hAnsi="Arial" w:cs="Arial"/>
        </w:rPr>
        <w:t>To</w:t>
      </w:r>
      <w:r w:rsidR="00A83D91" w:rsidRPr="002467E2">
        <w:rPr>
          <w:rFonts w:ascii="Arial" w:hAnsi="Arial" w:cs="Arial"/>
        </w:rPr>
        <w:t xml:space="preserve"> reduce post-prandial glucose spikes (as well as to reduce insulin needs of insufficient functioning beta-cell), diabetes UK (2023) suggests </w:t>
      </w:r>
      <w:r w:rsidRPr="002467E2">
        <w:rPr>
          <w:rFonts w:ascii="Arial" w:hAnsi="Arial" w:cs="Arial"/>
        </w:rPr>
        <w:t>a</w:t>
      </w:r>
      <w:r w:rsidR="00A83D91" w:rsidRPr="002467E2">
        <w:rPr>
          <w:rFonts w:ascii="Arial" w:hAnsi="Arial" w:cs="Arial"/>
        </w:rPr>
        <w:t xml:space="preserve"> low GI (glycaemic index) level of dietary pattern, which depends on legumes, whole grains, vegetables, and a Mediterranean diet (Willett et al., 2002). Randomised trials have also indicated that the eating patterns of the Mediterranean </w:t>
      </w:r>
      <w:r w:rsidRPr="002467E2">
        <w:rPr>
          <w:rFonts w:ascii="Arial" w:hAnsi="Arial" w:cs="Arial"/>
        </w:rPr>
        <w:t xml:space="preserve">diet </w:t>
      </w:r>
      <w:r w:rsidR="00A83D91" w:rsidRPr="002467E2">
        <w:rPr>
          <w:rFonts w:ascii="Arial" w:hAnsi="Arial" w:cs="Arial"/>
        </w:rPr>
        <w:t>prove beneficial</w:t>
      </w:r>
      <w:r w:rsidRPr="002467E2">
        <w:rPr>
          <w:rFonts w:ascii="Arial" w:hAnsi="Arial" w:cs="Arial"/>
        </w:rPr>
        <w:t>,</w:t>
      </w:r>
      <w:r w:rsidR="00A83D91" w:rsidRPr="002467E2">
        <w:rPr>
          <w:rFonts w:ascii="Arial" w:hAnsi="Arial" w:cs="Arial"/>
        </w:rPr>
        <w:t xml:space="preserve"> with significant changes in HbA1c, cardiovascular risk variables in T2DM (Diabetes UK, 2023). DiRECT was the pioneer trial to indicate </w:t>
      </w:r>
      <w:r w:rsidRPr="002467E2">
        <w:rPr>
          <w:rFonts w:ascii="Arial" w:hAnsi="Arial" w:cs="Arial"/>
        </w:rPr>
        <w:t xml:space="preserve">that </w:t>
      </w:r>
      <w:r w:rsidR="00A83D91" w:rsidRPr="002467E2">
        <w:rPr>
          <w:rFonts w:ascii="Arial" w:hAnsi="Arial" w:cs="Arial"/>
        </w:rPr>
        <w:t>a structured low-calorie dietary intervention (825-853 kcal/day) can be achieved to remit T2DM in 46% of participants at 12 months, which rose to 74% of participants who received [?]15 kg weight loss, and thus found that T2DM remission can be implemented in primary care through dietary intervention. The need to refer to a registered dietitian to plan a diet individually, therefore, is an indispensable aspect of the care plan.</w:t>
      </w:r>
    </w:p>
    <w:p w14:paraId="5C2B8241" w14:textId="77777777" w:rsidR="003F711A" w:rsidRPr="002467E2" w:rsidRDefault="003F711A" w:rsidP="002467E2">
      <w:pPr>
        <w:pStyle w:val="Heading2"/>
        <w:spacing w:line="360" w:lineRule="auto"/>
        <w:jc w:val="both"/>
        <w:rPr>
          <w:rFonts w:ascii="Arial" w:hAnsi="Arial" w:cs="Arial"/>
          <w:b/>
          <w:bCs/>
          <w:color w:val="auto"/>
          <w:sz w:val="22"/>
          <w:szCs w:val="22"/>
        </w:rPr>
      </w:pPr>
      <w:bookmarkStart w:id="3" w:name="_Toc222619799"/>
      <w:r w:rsidRPr="002467E2">
        <w:rPr>
          <w:rFonts w:ascii="Arial" w:hAnsi="Arial" w:cs="Arial"/>
          <w:b/>
          <w:bCs/>
          <w:color w:val="auto"/>
          <w:sz w:val="22"/>
          <w:szCs w:val="22"/>
        </w:rPr>
        <w:t>5.2 Physical Activity</w:t>
      </w:r>
      <w:bookmarkEnd w:id="3"/>
    </w:p>
    <w:p w14:paraId="0C30D940" w14:textId="1312EF47" w:rsidR="003F711A" w:rsidRPr="002467E2" w:rsidRDefault="003F711A" w:rsidP="002467E2">
      <w:pPr>
        <w:spacing w:line="360" w:lineRule="auto"/>
        <w:jc w:val="both"/>
        <w:rPr>
          <w:rFonts w:ascii="Arial" w:hAnsi="Arial" w:cs="Arial"/>
        </w:rPr>
      </w:pPr>
      <w:r w:rsidRPr="002467E2">
        <w:rPr>
          <w:rFonts w:ascii="Arial" w:hAnsi="Arial" w:cs="Arial"/>
        </w:rPr>
        <w:t xml:space="preserve">WHO (2020) and NICE (2022) suggest moderate aerobic activity as one of the minimum exercises per week (150 minutes) in addition to resistance training that should be performed at least two days a week. AMPK-stimulated GLUT4 translocation in skeletal muscle by exercise facilitates insulin-independent uptake of glucose that directly </w:t>
      </w:r>
      <w:r w:rsidR="00963653" w:rsidRPr="002467E2">
        <w:rPr>
          <w:rFonts w:ascii="Arial" w:hAnsi="Arial" w:cs="Arial"/>
        </w:rPr>
        <w:t>opposes</w:t>
      </w:r>
      <w:r w:rsidRPr="002467E2">
        <w:rPr>
          <w:rFonts w:ascii="Arial" w:hAnsi="Arial" w:cs="Arial"/>
        </w:rPr>
        <w:t xml:space="preserve"> T2DM-induced insulin signalling impairment. A meta-analysis of 47 randomised controlled trials carried out by Umpierre et al. (2011) showed that structured exercise also resulted in a mean HbA1c improvement of 0.67 per cent</w:t>
      </w:r>
      <w:r w:rsidR="00963653" w:rsidRPr="002467E2">
        <w:rPr>
          <w:rFonts w:ascii="Arial" w:hAnsi="Arial" w:cs="Arial"/>
        </w:rPr>
        <w:t>,</w:t>
      </w:r>
      <w:r w:rsidRPr="002467E2">
        <w:rPr>
          <w:rFonts w:ascii="Arial" w:hAnsi="Arial" w:cs="Arial"/>
        </w:rPr>
        <w:t xml:space="preserve"> which is similar to </w:t>
      </w:r>
      <w:r w:rsidR="00963653" w:rsidRPr="002467E2">
        <w:rPr>
          <w:rFonts w:ascii="Arial" w:hAnsi="Arial" w:cs="Arial"/>
        </w:rPr>
        <w:t xml:space="preserve">that of </w:t>
      </w:r>
      <w:r w:rsidRPr="002467E2">
        <w:rPr>
          <w:rFonts w:ascii="Arial" w:hAnsi="Arial" w:cs="Arial"/>
        </w:rPr>
        <w:t>a number of pharmacological agents. The patients using insulin or sulphonylureas are advised to measure blood glucose before and after a certain activity to avoid the development of hypoglycaemia.</w:t>
      </w:r>
    </w:p>
    <w:p w14:paraId="490B135D" w14:textId="44F0772C" w:rsidR="003F711A" w:rsidRPr="002467E2" w:rsidRDefault="003F711A" w:rsidP="002467E2">
      <w:pPr>
        <w:pStyle w:val="Heading2"/>
        <w:spacing w:line="360" w:lineRule="auto"/>
        <w:jc w:val="both"/>
        <w:rPr>
          <w:rFonts w:ascii="Arial" w:hAnsi="Arial" w:cs="Arial"/>
          <w:b/>
          <w:bCs/>
          <w:color w:val="auto"/>
          <w:sz w:val="22"/>
          <w:szCs w:val="22"/>
        </w:rPr>
      </w:pPr>
      <w:bookmarkStart w:id="4" w:name="_Toc222619800"/>
      <w:r w:rsidRPr="002467E2">
        <w:rPr>
          <w:rFonts w:ascii="Arial" w:hAnsi="Arial" w:cs="Arial"/>
          <w:b/>
          <w:bCs/>
          <w:color w:val="auto"/>
          <w:sz w:val="22"/>
          <w:szCs w:val="22"/>
        </w:rPr>
        <w:t>5.3 Smoking Cessation</w:t>
      </w:r>
      <w:bookmarkEnd w:id="4"/>
    </w:p>
    <w:p w14:paraId="5818A3FB" w14:textId="5F45439C" w:rsidR="007263E1" w:rsidRPr="002467E2" w:rsidRDefault="00A83D91" w:rsidP="002467E2">
      <w:pPr>
        <w:spacing w:line="360" w:lineRule="auto"/>
        <w:jc w:val="both"/>
        <w:rPr>
          <w:rFonts w:ascii="Arial" w:hAnsi="Arial" w:cs="Arial"/>
        </w:rPr>
      </w:pPr>
      <w:r w:rsidRPr="002467E2">
        <w:rPr>
          <w:rFonts w:ascii="Arial" w:hAnsi="Arial" w:cs="Arial"/>
        </w:rPr>
        <w:t xml:space="preserve">Nicotine triggers the sympathetic nervous system, increases the levels of catecholamines and cortisol that </w:t>
      </w:r>
      <w:r w:rsidR="00E5402C" w:rsidRPr="002467E2">
        <w:rPr>
          <w:rFonts w:ascii="Arial" w:hAnsi="Arial" w:cs="Arial"/>
        </w:rPr>
        <w:t>raise</w:t>
      </w:r>
      <w:r w:rsidRPr="002467E2">
        <w:rPr>
          <w:rFonts w:ascii="Arial" w:hAnsi="Arial" w:cs="Arial"/>
        </w:rPr>
        <w:t xml:space="preserve"> blood glucose, boosts lipolysis and exacerbates systemic inflammation that is already caused by T2DM, and smoking-induced systemic inflammation increases the cardiovascular risk that is already high due to T2DM (NICE, 2021a). All clinical contacts are to advise all smoking patients to quit smoking and referral to NHS Stop Smoking Services and pharmacotherapy based on nicotine replacement therapy (NRT), varenicline</w:t>
      </w:r>
      <w:r w:rsidR="00E5402C" w:rsidRPr="002467E2">
        <w:rPr>
          <w:rFonts w:ascii="Arial" w:hAnsi="Arial" w:cs="Arial"/>
        </w:rPr>
        <w:t>,</w:t>
      </w:r>
      <w:r w:rsidRPr="002467E2">
        <w:rPr>
          <w:rFonts w:ascii="Arial" w:hAnsi="Arial" w:cs="Arial"/>
        </w:rPr>
        <w:t xml:space="preserve"> or bupropion should be introduced (NICE, 2021a). </w:t>
      </w:r>
      <w:r w:rsidR="007263E1" w:rsidRPr="002467E2">
        <w:rPr>
          <w:rFonts w:ascii="Arial" w:hAnsi="Arial" w:cs="Arial"/>
        </w:rPr>
        <w:t>In addition, research has shown that insulin sensitivity, HbA1C and lipid profiles undergo substantial changes in just a few weeks of cessation, and this explains why smoking cessation is one of the biggest effects and least costly interventions in primary care with T2DM patients.</w:t>
      </w:r>
    </w:p>
    <w:p w14:paraId="206087F5" w14:textId="77777777" w:rsidR="003F711A" w:rsidRPr="002467E2" w:rsidRDefault="003F711A" w:rsidP="002467E2">
      <w:pPr>
        <w:pStyle w:val="Heading2"/>
        <w:spacing w:line="360" w:lineRule="auto"/>
        <w:jc w:val="both"/>
        <w:rPr>
          <w:rFonts w:ascii="Arial" w:hAnsi="Arial" w:cs="Arial"/>
          <w:b/>
          <w:bCs/>
          <w:color w:val="auto"/>
          <w:sz w:val="22"/>
          <w:szCs w:val="22"/>
        </w:rPr>
      </w:pPr>
      <w:bookmarkStart w:id="5" w:name="_Toc222619801"/>
      <w:r w:rsidRPr="002467E2">
        <w:rPr>
          <w:rFonts w:ascii="Arial" w:hAnsi="Arial" w:cs="Arial"/>
          <w:b/>
          <w:bCs/>
          <w:color w:val="auto"/>
          <w:sz w:val="22"/>
          <w:szCs w:val="22"/>
        </w:rPr>
        <w:lastRenderedPageBreak/>
        <w:t>5.4 Weight Management</w:t>
      </w:r>
      <w:bookmarkEnd w:id="5"/>
    </w:p>
    <w:p w14:paraId="65A7F564" w14:textId="0649E459" w:rsidR="003F711A" w:rsidRPr="002467E2" w:rsidRDefault="003F711A" w:rsidP="002467E2">
      <w:pPr>
        <w:spacing w:line="360" w:lineRule="auto"/>
        <w:jc w:val="both"/>
        <w:rPr>
          <w:rFonts w:ascii="Arial" w:hAnsi="Arial" w:cs="Arial"/>
        </w:rPr>
      </w:pPr>
      <w:r w:rsidRPr="002467E2">
        <w:rPr>
          <w:rFonts w:ascii="Arial" w:hAnsi="Arial" w:cs="Arial"/>
        </w:rPr>
        <w:t xml:space="preserve">Pro-inflammatory adipokines, such as </w:t>
      </w:r>
      <w:r w:rsidR="00963653" w:rsidRPr="002467E2">
        <w:rPr>
          <w:rFonts w:ascii="Arial" w:hAnsi="Arial" w:cs="Arial"/>
        </w:rPr>
        <w:t>TNF-α</w:t>
      </w:r>
      <w:r w:rsidRPr="002467E2">
        <w:rPr>
          <w:rFonts w:ascii="Arial" w:hAnsi="Arial" w:cs="Arial"/>
        </w:rPr>
        <w:t xml:space="preserve"> and IL-6 secreted by visceral adipose tissue, have a direct negative effect on the insulin receptor signalling associated with peripheral tissues, and </w:t>
      </w:r>
      <w:r w:rsidR="00963653" w:rsidRPr="002467E2">
        <w:rPr>
          <w:rFonts w:ascii="Arial" w:hAnsi="Arial" w:cs="Arial"/>
        </w:rPr>
        <w:t>promote</w:t>
      </w:r>
      <w:r w:rsidRPr="002467E2">
        <w:rPr>
          <w:rFonts w:ascii="Arial" w:hAnsi="Arial" w:cs="Arial"/>
        </w:rPr>
        <w:t xml:space="preserve"> hepatic glucose production (Kahn et al., 2014). Individuals who lost weight by 5-10% showed clinically relevant HbA1c improvement; the DiRECT trial (Lean et al., 2018) showed T2DM remission in 74 </w:t>
      </w:r>
      <w:r w:rsidR="00963653" w:rsidRPr="002467E2">
        <w:rPr>
          <w:rFonts w:ascii="Arial" w:hAnsi="Arial" w:cs="Arial"/>
        </w:rPr>
        <w:t>per cent</w:t>
      </w:r>
      <w:r w:rsidRPr="002467E2">
        <w:rPr>
          <w:rFonts w:ascii="Arial" w:hAnsi="Arial" w:cs="Arial"/>
        </w:rPr>
        <w:t xml:space="preserve"> of people who lost [?]15 kg of weight. Table 2 presents a summarized information on lifestyle suggestions and their physiological explanations: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55"/>
        <w:gridCol w:w="3390"/>
        <w:gridCol w:w="3981"/>
      </w:tblGrid>
      <w:tr w:rsidR="003F711A" w:rsidRPr="002467E2" w14:paraId="4EBD1613" w14:textId="77777777" w:rsidTr="00B51FDA">
        <w:trPr>
          <w:tblHeader/>
        </w:trPr>
        <w:tc>
          <w:tcPr>
            <w:tcW w:w="0" w:type="auto"/>
            <w:tcBorders>
              <w:top w:val="single" w:sz="4" w:space="0" w:color="2E75B6"/>
              <w:left w:val="single" w:sz="4" w:space="0" w:color="2E75B6"/>
              <w:bottom w:val="single" w:sz="4" w:space="0" w:color="2E75B6"/>
              <w:right w:val="single" w:sz="4" w:space="0" w:color="2E75B6"/>
            </w:tcBorders>
            <w:shd w:val="clear" w:color="auto" w:fill="1F5C9E"/>
            <w:tcMar>
              <w:top w:w="80" w:type="dxa"/>
              <w:left w:w="120" w:type="dxa"/>
              <w:bottom w:w="80" w:type="dxa"/>
              <w:right w:w="120" w:type="dxa"/>
            </w:tcMar>
          </w:tcPr>
          <w:p w14:paraId="777DE866" w14:textId="77777777" w:rsidR="003F711A" w:rsidRPr="002467E2" w:rsidRDefault="003F711A" w:rsidP="002467E2">
            <w:pPr>
              <w:spacing w:line="360" w:lineRule="auto"/>
              <w:jc w:val="both"/>
              <w:rPr>
                <w:rFonts w:ascii="Arial" w:hAnsi="Arial" w:cs="Arial"/>
              </w:rPr>
            </w:pPr>
            <w:r w:rsidRPr="002467E2">
              <w:rPr>
                <w:rFonts w:ascii="Arial" w:eastAsia="Arial" w:hAnsi="Arial" w:cs="Arial"/>
                <w:b/>
                <w:bCs/>
                <w:color w:val="FFFFFF"/>
              </w:rPr>
              <w:t>Factor</w:t>
            </w:r>
          </w:p>
        </w:tc>
        <w:tc>
          <w:tcPr>
            <w:tcW w:w="0" w:type="auto"/>
            <w:tcBorders>
              <w:top w:val="single" w:sz="4" w:space="0" w:color="2E75B6"/>
              <w:left w:val="single" w:sz="4" w:space="0" w:color="2E75B6"/>
              <w:bottom w:val="single" w:sz="4" w:space="0" w:color="2E75B6"/>
              <w:right w:val="single" w:sz="4" w:space="0" w:color="2E75B6"/>
            </w:tcBorders>
            <w:shd w:val="clear" w:color="auto" w:fill="1F5C9E"/>
            <w:tcMar>
              <w:top w:w="80" w:type="dxa"/>
              <w:left w:w="120" w:type="dxa"/>
              <w:bottom w:w="80" w:type="dxa"/>
              <w:right w:w="120" w:type="dxa"/>
            </w:tcMar>
          </w:tcPr>
          <w:p w14:paraId="3449808D" w14:textId="77777777" w:rsidR="003F711A" w:rsidRPr="002467E2" w:rsidRDefault="003F711A" w:rsidP="002467E2">
            <w:pPr>
              <w:spacing w:line="360" w:lineRule="auto"/>
              <w:jc w:val="both"/>
              <w:rPr>
                <w:rFonts w:ascii="Arial" w:hAnsi="Arial" w:cs="Arial"/>
              </w:rPr>
            </w:pPr>
            <w:r w:rsidRPr="002467E2">
              <w:rPr>
                <w:rFonts w:ascii="Arial" w:eastAsia="Arial" w:hAnsi="Arial" w:cs="Arial"/>
                <w:b/>
                <w:bCs/>
                <w:color w:val="FFFFFF"/>
              </w:rPr>
              <w:t>Recommendation</w:t>
            </w:r>
          </w:p>
        </w:tc>
        <w:tc>
          <w:tcPr>
            <w:tcW w:w="0" w:type="auto"/>
            <w:tcBorders>
              <w:top w:val="single" w:sz="4" w:space="0" w:color="2E75B6"/>
              <w:left w:val="single" w:sz="4" w:space="0" w:color="2E75B6"/>
              <w:bottom w:val="single" w:sz="4" w:space="0" w:color="2E75B6"/>
              <w:right w:val="single" w:sz="4" w:space="0" w:color="2E75B6"/>
            </w:tcBorders>
            <w:shd w:val="clear" w:color="auto" w:fill="1F5C9E"/>
            <w:tcMar>
              <w:top w:w="80" w:type="dxa"/>
              <w:left w:w="120" w:type="dxa"/>
              <w:bottom w:w="80" w:type="dxa"/>
              <w:right w:w="120" w:type="dxa"/>
            </w:tcMar>
          </w:tcPr>
          <w:p w14:paraId="02D55F7E" w14:textId="77777777" w:rsidR="003F711A" w:rsidRPr="002467E2" w:rsidRDefault="003F711A" w:rsidP="002467E2">
            <w:pPr>
              <w:spacing w:line="360" w:lineRule="auto"/>
              <w:jc w:val="both"/>
              <w:rPr>
                <w:rFonts w:ascii="Arial" w:hAnsi="Arial" w:cs="Arial"/>
              </w:rPr>
            </w:pPr>
            <w:r w:rsidRPr="002467E2">
              <w:rPr>
                <w:rFonts w:ascii="Arial" w:eastAsia="Arial" w:hAnsi="Arial" w:cs="Arial"/>
                <w:b/>
                <w:bCs/>
                <w:color w:val="FFFFFF"/>
              </w:rPr>
              <w:t>Physiological Rationale</w:t>
            </w:r>
          </w:p>
        </w:tc>
      </w:tr>
      <w:tr w:rsidR="003F711A" w:rsidRPr="002467E2" w14:paraId="23AF71AF" w14:textId="77777777" w:rsidTr="00B51FDA">
        <w:tc>
          <w:tcPr>
            <w:tcW w:w="0" w:type="auto"/>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tcPr>
          <w:p w14:paraId="4704C4AD"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Diet</w:t>
            </w:r>
          </w:p>
        </w:tc>
        <w:tc>
          <w:tcPr>
            <w:tcW w:w="0" w:type="auto"/>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tcPr>
          <w:p w14:paraId="1CF9EF4D"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Low-GI foods; reduce refined carbohydrates; increase dietary fibre; Mediterranean-style pattern.</w:t>
            </w:r>
          </w:p>
        </w:tc>
        <w:tc>
          <w:tcPr>
            <w:tcW w:w="0" w:type="auto"/>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tcPr>
          <w:p w14:paraId="3B5E1744"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Slower glucose absorption reduces post-prandial peaks and insulin demand on failing beta cells (Willett et al., 2002).</w:t>
            </w:r>
          </w:p>
        </w:tc>
      </w:tr>
      <w:tr w:rsidR="003F711A" w:rsidRPr="002467E2" w14:paraId="05096BF6" w14:textId="77777777" w:rsidTr="00B51FDA">
        <w:tc>
          <w:tcPr>
            <w:tcW w:w="0" w:type="auto"/>
            <w:tcBorders>
              <w:top w:val="single" w:sz="4" w:space="0" w:color="2E75B6"/>
              <w:left w:val="single" w:sz="4" w:space="0" w:color="2E75B6"/>
              <w:bottom w:val="single" w:sz="4" w:space="0" w:color="2E75B6"/>
              <w:right w:val="single" w:sz="4" w:space="0" w:color="2E75B6"/>
            </w:tcBorders>
            <w:shd w:val="clear" w:color="auto" w:fill="D6E4F0"/>
            <w:tcMar>
              <w:top w:w="80" w:type="dxa"/>
              <w:left w:w="120" w:type="dxa"/>
              <w:bottom w:w="80" w:type="dxa"/>
              <w:right w:w="120" w:type="dxa"/>
            </w:tcMar>
          </w:tcPr>
          <w:p w14:paraId="1CA90238"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Physical Activity</w:t>
            </w:r>
          </w:p>
        </w:tc>
        <w:tc>
          <w:tcPr>
            <w:tcW w:w="0" w:type="auto"/>
            <w:tcBorders>
              <w:top w:val="single" w:sz="4" w:space="0" w:color="2E75B6"/>
              <w:left w:val="single" w:sz="4" w:space="0" w:color="2E75B6"/>
              <w:bottom w:val="single" w:sz="4" w:space="0" w:color="2E75B6"/>
              <w:right w:val="single" w:sz="4" w:space="0" w:color="2E75B6"/>
            </w:tcBorders>
            <w:shd w:val="clear" w:color="auto" w:fill="D6E4F0"/>
            <w:tcMar>
              <w:top w:w="80" w:type="dxa"/>
              <w:left w:w="120" w:type="dxa"/>
              <w:bottom w:w="80" w:type="dxa"/>
              <w:right w:w="120" w:type="dxa"/>
            </w:tcMar>
          </w:tcPr>
          <w:p w14:paraId="1AC6E84D"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≥150 min/week moderate aerobic exercise; resistance training ≥2 days/week.</w:t>
            </w:r>
          </w:p>
        </w:tc>
        <w:tc>
          <w:tcPr>
            <w:tcW w:w="0" w:type="auto"/>
            <w:tcBorders>
              <w:top w:val="single" w:sz="4" w:space="0" w:color="2E75B6"/>
              <w:left w:val="single" w:sz="4" w:space="0" w:color="2E75B6"/>
              <w:bottom w:val="single" w:sz="4" w:space="0" w:color="2E75B6"/>
              <w:right w:val="single" w:sz="4" w:space="0" w:color="2E75B6"/>
            </w:tcBorders>
            <w:shd w:val="clear" w:color="auto" w:fill="D6E4F0"/>
            <w:tcMar>
              <w:top w:w="80" w:type="dxa"/>
              <w:left w:w="120" w:type="dxa"/>
              <w:bottom w:w="80" w:type="dxa"/>
              <w:right w:w="120" w:type="dxa"/>
            </w:tcMar>
          </w:tcPr>
          <w:p w14:paraId="5BCA9029"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Exercise stimulates AMPK-mediated GLUT4 translocation, enabling insulin-independent glucose uptake in skeletal muscle (Umpierre et al., 2011).</w:t>
            </w:r>
          </w:p>
        </w:tc>
      </w:tr>
      <w:tr w:rsidR="003F711A" w:rsidRPr="002467E2" w14:paraId="6A235417" w14:textId="77777777" w:rsidTr="00B51FDA">
        <w:tc>
          <w:tcPr>
            <w:tcW w:w="0" w:type="auto"/>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tcPr>
          <w:p w14:paraId="557F6188"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Smoking Cessation</w:t>
            </w:r>
          </w:p>
        </w:tc>
        <w:tc>
          <w:tcPr>
            <w:tcW w:w="0" w:type="auto"/>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tcPr>
          <w:p w14:paraId="12CD7BD8"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Complete cessation; NHS Stop Smoking Services referral; NRT or varenicline as appropriate.</w:t>
            </w:r>
          </w:p>
        </w:tc>
        <w:tc>
          <w:tcPr>
            <w:tcW w:w="0" w:type="auto"/>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tcPr>
          <w:p w14:paraId="7014D459"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Nicotine raises catecholamines and cortisol, elevating blood glucose and worsening insulin resistance (NICE, 2021a).</w:t>
            </w:r>
          </w:p>
        </w:tc>
      </w:tr>
      <w:tr w:rsidR="003F711A" w:rsidRPr="002467E2" w14:paraId="37824E17" w14:textId="77777777" w:rsidTr="00B51FDA">
        <w:tc>
          <w:tcPr>
            <w:tcW w:w="0" w:type="auto"/>
            <w:tcBorders>
              <w:top w:val="single" w:sz="4" w:space="0" w:color="2E75B6"/>
              <w:left w:val="single" w:sz="4" w:space="0" w:color="2E75B6"/>
              <w:bottom w:val="single" w:sz="4" w:space="0" w:color="2E75B6"/>
              <w:right w:val="single" w:sz="4" w:space="0" w:color="2E75B6"/>
            </w:tcBorders>
            <w:shd w:val="clear" w:color="auto" w:fill="D6E4F0"/>
            <w:tcMar>
              <w:top w:w="80" w:type="dxa"/>
              <w:left w:w="120" w:type="dxa"/>
              <w:bottom w:w="80" w:type="dxa"/>
              <w:right w:w="120" w:type="dxa"/>
            </w:tcMar>
          </w:tcPr>
          <w:p w14:paraId="685DD6A3"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Weight Management</w:t>
            </w:r>
          </w:p>
        </w:tc>
        <w:tc>
          <w:tcPr>
            <w:tcW w:w="0" w:type="auto"/>
            <w:tcBorders>
              <w:top w:val="single" w:sz="4" w:space="0" w:color="2E75B6"/>
              <w:left w:val="single" w:sz="4" w:space="0" w:color="2E75B6"/>
              <w:bottom w:val="single" w:sz="4" w:space="0" w:color="2E75B6"/>
              <w:right w:val="single" w:sz="4" w:space="0" w:color="2E75B6"/>
            </w:tcBorders>
            <w:shd w:val="clear" w:color="auto" w:fill="D6E4F0"/>
            <w:tcMar>
              <w:top w:w="80" w:type="dxa"/>
              <w:left w:w="120" w:type="dxa"/>
              <w:bottom w:w="80" w:type="dxa"/>
              <w:right w:w="120" w:type="dxa"/>
            </w:tcMar>
          </w:tcPr>
          <w:p w14:paraId="730014B6"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Target 5–10% body weight reduction; structured programme; bariatric surgery if BMI ≥35 kg/m².</w:t>
            </w:r>
          </w:p>
        </w:tc>
        <w:tc>
          <w:tcPr>
            <w:tcW w:w="0" w:type="auto"/>
            <w:tcBorders>
              <w:top w:val="single" w:sz="4" w:space="0" w:color="2E75B6"/>
              <w:left w:val="single" w:sz="4" w:space="0" w:color="2E75B6"/>
              <w:bottom w:val="single" w:sz="4" w:space="0" w:color="2E75B6"/>
              <w:right w:val="single" w:sz="4" w:space="0" w:color="2E75B6"/>
            </w:tcBorders>
            <w:shd w:val="clear" w:color="auto" w:fill="D6E4F0"/>
            <w:tcMar>
              <w:top w:w="80" w:type="dxa"/>
              <w:left w:w="120" w:type="dxa"/>
              <w:bottom w:w="80" w:type="dxa"/>
              <w:right w:w="120" w:type="dxa"/>
            </w:tcMar>
          </w:tcPr>
          <w:p w14:paraId="652780BA" w14:textId="77777777" w:rsidR="003F711A" w:rsidRPr="002467E2" w:rsidRDefault="003F711A" w:rsidP="002467E2">
            <w:pPr>
              <w:spacing w:line="360" w:lineRule="auto"/>
              <w:jc w:val="both"/>
              <w:rPr>
                <w:rFonts w:ascii="Arial" w:hAnsi="Arial" w:cs="Arial"/>
              </w:rPr>
            </w:pPr>
            <w:r w:rsidRPr="002467E2">
              <w:rPr>
                <w:rFonts w:ascii="Arial" w:eastAsia="Arial" w:hAnsi="Arial" w:cs="Arial"/>
              </w:rPr>
              <w:t>Reduced visceral adiposity lowers adipokine-driven inflammation and restores peripheral insulin sensitivity (Lean et al., 2018).</w:t>
            </w:r>
          </w:p>
        </w:tc>
      </w:tr>
    </w:tbl>
    <w:p w14:paraId="1CFA9F20" w14:textId="77777777" w:rsidR="003F711A" w:rsidRPr="002467E2" w:rsidRDefault="003F711A" w:rsidP="002467E2">
      <w:pPr>
        <w:spacing w:before="80" w:after="180" w:line="360" w:lineRule="auto"/>
        <w:jc w:val="both"/>
        <w:rPr>
          <w:rFonts w:ascii="Arial" w:hAnsi="Arial" w:cs="Arial"/>
        </w:rPr>
      </w:pPr>
      <w:r w:rsidRPr="002467E2">
        <w:rPr>
          <w:rFonts w:ascii="Arial" w:eastAsia="Arial" w:hAnsi="Arial" w:cs="Arial"/>
          <w:i/>
          <w:iCs/>
        </w:rPr>
        <w:t>Table 2: Evidence-Based Lifestyle Recommendations (Adapted from Umpierre et al., 2011; Lean et al., 2018; Willett et al., 2002; NICE, 2021a; NICE, 2022)</w:t>
      </w:r>
    </w:p>
    <w:p w14:paraId="0C1C998C" w14:textId="4C7B0185" w:rsidR="003F711A" w:rsidRPr="002467E2" w:rsidRDefault="003F711A" w:rsidP="002467E2">
      <w:pPr>
        <w:pStyle w:val="Heading1"/>
        <w:spacing w:line="360" w:lineRule="auto"/>
        <w:jc w:val="both"/>
        <w:rPr>
          <w:rFonts w:ascii="Arial" w:hAnsi="Arial" w:cs="Arial"/>
          <w:b/>
          <w:bCs/>
          <w:color w:val="auto"/>
          <w:sz w:val="22"/>
          <w:szCs w:val="22"/>
        </w:rPr>
      </w:pPr>
      <w:bookmarkStart w:id="6" w:name="_Toc222619802"/>
      <w:r w:rsidRPr="002467E2">
        <w:rPr>
          <w:rFonts w:ascii="Arial" w:hAnsi="Arial" w:cs="Arial"/>
          <w:b/>
          <w:bCs/>
          <w:color w:val="auto"/>
          <w:sz w:val="22"/>
          <w:szCs w:val="22"/>
        </w:rPr>
        <w:t>6.0 Conclusion</w:t>
      </w:r>
      <w:bookmarkEnd w:id="6"/>
    </w:p>
    <w:p w14:paraId="2C5126AD" w14:textId="0886BEF0" w:rsidR="00017831" w:rsidRPr="002467E2" w:rsidRDefault="00E5402C" w:rsidP="002467E2">
      <w:pPr>
        <w:spacing w:line="360" w:lineRule="auto"/>
        <w:jc w:val="both"/>
        <w:rPr>
          <w:rFonts w:ascii="Arial" w:eastAsiaTheme="majorEastAsia" w:hAnsi="Arial" w:cs="Arial"/>
        </w:rPr>
      </w:pPr>
      <w:r w:rsidRPr="002467E2">
        <w:rPr>
          <w:rFonts w:ascii="Arial" w:hAnsi="Arial" w:cs="Arial"/>
        </w:rPr>
        <w:t xml:space="preserve">DM type 2 is a hereditary anomaly in the remote control of pancreatic hormone control of blood glucose through insulin resistance and progressive degeneration of the beta cell, which derails the aerobic metabolism of cellular energy with catastrophic collateral effects involving the </w:t>
      </w:r>
      <w:r w:rsidRPr="002467E2">
        <w:rPr>
          <w:rFonts w:ascii="Arial" w:hAnsi="Arial" w:cs="Arial"/>
        </w:rPr>
        <w:lastRenderedPageBreak/>
        <w:t>vascular system and nervous system, which is fatal.</w:t>
      </w:r>
      <w:r w:rsidR="007263E1" w:rsidRPr="002467E2">
        <w:rPr>
          <w:rFonts w:ascii="Arial" w:hAnsi="Arial" w:cs="Arial"/>
        </w:rPr>
        <w:t xml:space="preserve"> As this report has demonstrated, knowledge on these physiological processes is the bridge to successful engagement of the patient: when patients understand that hyperglycaemia predisposes them to cellular damage, that diet, physical exercise, and smoking directly determine the ability to alter the insulin-GLUT4 signalling pathway, they will be active and informed participants of their treatment, as opposed to the passive learners of the information. The empowerment of patient safety during the management of their condition, the prevention of complications and maintenance of their long-term quality of life is primarily the target of fermenting physiologically informed patient education in collaboration with dietitians, pharmacists, and professional diabetes nurses as a practise nurse.</w:t>
      </w:r>
      <w:r w:rsidR="00017831" w:rsidRPr="002467E2">
        <w:rPr>
          <w:rFonts w:ascii="Arial" w:hAnsi="Arial" w:cs="Arial"/>
        </w:rPr>
        <w:br w:type="page"/>
      </w:r>
    </w:p>
    <w:p w14:paraId="0DB0B45B" w14:textId="51CE3F38" w:rsidR="00A52ABB" w:rsidRPr="002467E2" w:rsidRDefault="00017831" w:rsidP="002467E2">
      <w:pPr>
        <w:pStyle w:val="Heading1"/>
        <w:spacing w:line="360" w:lineRule="auto"/>
        <w:jc w:val="both"/>
        <w:rPr>
          <w:rFonts w:ascii="Arial" w:hAnsi="Arial" w:cs="Arial"/>
          <w:b/>
          <w:bCs/>
          <w:color w:val="auto"/>
          <w:sz w:val="22"/>
          <w:szCs w:val="22"/>
        </w:rPr>
      </w:pPr>
      <w:bookmarkStart w:id="7" w:name="_Toc222619803"/>
      <w:r w:rsidRPr="002467E2">
        <w:rPr>
          <w:rFonts w:ascii="Arial" w:hAnsi="Arial" w:cs="Arial"/>
          <w:b/>
          <w:bCs/>
          <w:color w:val="auto"/>
          <w:sz w:val="22"/>
          <w:szCs w:val="22"/>
        </w:rPr>
        <w:lastRenderedPageBreak/>
        <w:t>7.0 List of references</w:t>
      </w:r>
      <w:bookmarkEnd w:id="7"/>
    </w:p>
    <w:p w14:paraId="4F03BB5C" w14:textId="77777777" w:rsidR="00A52ABB" w:rsidRPr="002467E2" w:rsidRDefault="00A52ABB" w:rsidP="002467E2">
      <w:pPr>
        <w:spacing w:after="180" w:line="360" w:lineRule="auto"/>
        <w:jc w:val="both"/>
        <w:rPr>
          <w:rFonts w:ascii="Arial" w:hAnsi="Arial" w:cs="Arial"/>
          <w:color w:val="222222"/>
          <w:shd w:val="clear" w:color="auto" w:fill="FFFFFF"/>
          <w:lang w:val="en-US"/>
        </w:rPr>
      </w:pPr>
      <w:r w:rsidRPr="002467E2">
        <w:rPr>
          <w:rFonts w:ascii="Arial" w:hAnsi="Arial" w:cs="Arial"/>
          <w:color w:val="222222"/>
          <w:shd w:val="clear" w:color="auto" w:fill="FFFFFF"/>
        </w:rPr>
        <w:t xml:space="preserve">Alsubaie, N., </w:t>
      </w:r>
      <w:r w:rsidRPr="002467E2">
        <w:rPr>
          <w:rFonts w:ascii="Arial" w:hAnsi="Arial" w:cs="Arial"/>
          <w:color w:val="222222"/>
          <w:shd w:val="clear" w:color="auto" w:fill="FFFFFF"/>
          <w:lang w:val="en-US"/>
        </w:rPr>
        <w:t>(</w:t>
      </w:r>
      <w:r w:rsidRPr="002467E2">
        <w:rPr>
          <w:rFonts w:ascii="Arial" w:hAnsi="Arial" w:cs="Arial"/>
          <w:color w:val="222222"/>
          <w:shd w:val="clear" w:color="auto" w:fill="FFFFFF"/>
        </w:rPr>
        <w:t>2019</w:t>
      </w:r>
      <w:r w:rsidRPr="002467E2">
        <w:rPr>
          <w:rFonts w:ascii="Arial" w:hAnsi="Arial" w:cs="Arial"/>
          <w:color w:val="222222"/>
          <w:shd w:val="clear" w:color="auto" w:fill="FFFFFF"/>
          <w:lang w:val="en-US"/>
        </w:rPr>
        <w:t>)</w:t>
      </w:r>
      <w:r w:rsidRPr="002467E2">
        <w:rPr>
          <w:rFonts w:ascii="Arial" w:hAnsi="Arial" w:cs="Arial"/>
          <w:color w:val="222222"/>
          <w:shd w:val="clear" w:color="auto" w:fill="FFFFFF"/>
        </w:rPr>
        <w:t>. The effects of a combined exercise programme, aerobic and resistance, on blood glucose, incretin, metabolic and inflammatory mediators that could control diabetes and improve insulin sensitivity in type 2 diabetes patients.</w:t>
      </w:r>
      <w:r w:rsidRPr="002467E2">
        <w:rPr>
          <w:rFonts w:ascii="Arial" w:hAnsi="Arial" w:cs="Arial"/>
          <w:color w:val="222222"/>
          <w:shd w:val="clear" w:color="auto" w:fill="FFFFFF"/>
          <w:lang w:val="en-US"/>
        </w:rPr>
        <w:t xml:space="preserve"> </w:t>
      </w:r>
      <w:hyperlink r:id="rId7" w:history="1">
        <w:r w:rsidRPr="002467E2">
          <w:rPr>
            <w:rStyle w:val="Hyperlink"/>
            <w:rFonts w:ascii="Arial" w:hAnsi="Arial" w:cs="Arial"/>
            <w:shd w:val="clear" w:color="auto" w:fill="FFFFFF"/>
            <w:lang w:val="en-US"/>
          </w:rPr>
          <w:t>https://www.academia.edu/download/92141415/e-thesis_submission__Alsubaie_Nawal_.pdf</w:t>
        </w:r>
      </w:hyperlink>
    </w:p>
    <w:p w14:paraId="5D378A04" w14:textId="77777777" w:rsidR="00A52ABB" w:rsidRPr="002467E2" w:rsidRDefault="00A52ABB" w:rsidP="002467E2">
      <w:pPr>
        <w:spacing w:after="180" w:line="360" w:lineRule="auto"/>
        <w:jc w:val="both"/>
        <w:rPr>
          <w:rFonts w:ascii="Arial" w:hAnsi="Arial" w:cs="Arial"/>
        </w:rPr>
      </w:pPr>
      <w:r w:rsidRPr="002467E2">
        <w:rPr>
          <w:rFonts w:ascii="Arial" w:eastAsia="Arial" w:hAnsi="Arial" w:cs="Arial"/>
        </w:rPr>
        <w:t xml:space="preserve">Diabetes UK (2023) Evidence-Based Nutrition Guidelines for the Prevention and Management of Diabetes. London: Diabetes UK. </w:t>
      </w:r>
      <w:hyperlink r:id="rId8" w:history="1">
        <w:r w:rsidRPr="002467E2">
          <w:rPr>
            <w:rStyle w:val="Hyperlink"/>
            <w:rFonts w:ascii="Arial" w:hAnsi="Arial" w:cs="Arial"/>
            <w:color w:val="auto"/>
          </w:rPr>
          <w:t>https://www.diabetes.org.uk/professionals/position-statements-reports/food-nutrition-lifestyle/evidence-based-nutrition-guidelines</w:t>
        </w:r>
      </w:hyperlink>
    </w:p>
    <w:p w14:paraId="36B6B43D" w14:textId="77777777" w:rsidR="00A52ABB" w:rsidRPr="002467E2" w:rsidRDefault="00A52ABB" w:rsidP="002467E2">
      <w:pPr>
        <w:spacing w:after="180" w:line="360" w:lineRule="auto"/>
        <w:jc w:val="both"/>
        <w:rPr>
          <w:rFonts w:ascii="Arial" w:hAnsi="Arial" w:cs="Arial"/>
        </w:rPr>
      </w:pPr>
      <w:r w:rsidRPr="002467E2">
        <w:rPr>
          <w:rFonts w:ascii="Arial" w:eastAsia="Arial" w:hAnsi="Arial" w:cs="Arial"/>
        </w:rPr>
        <w:t xml:space="preserve">International Diabetes Federation (IDF) (2021) IDF Diabetes Atlas. 10th edn. Brussels: IDF. </w:t>
      </w:r>
      <w:hyperlink r:id="rId9" w:history="1">
        <w:r w:rsidRPr="002467E2">
          <w:rPr>
            <w:rStyle w:val="Hyperlink"/>
            <w:rFonts w:ascii="Arial" w:hAnsi="Arial" w:cs="Arial"/>
          </w:rPr>
          <w:t>https://diabetesatlas.org/atlas/tenth-edition/</w:t>
        </w:r>
      </w:hyperlink>
    </w:p>
    <w:p w14:paraId="1A2D5A82" w14:textId="77777777" w:rsidR="00A52ABB" w:rsidRPr="002467E2" w:rsidRDefault="00A52ABB" w:rsidP="002467E2">
      <w:pPr>
        <w:spacing w:after="180" w:line="360" w:lineRule="auto"/>
        <w:jc w:val="both"/>
        <w:rPr>
          <w:rFonts w:ascii="Arial" w:hAnsi="Arial" w:cs="Arial"/>
        </w:rPr>
      </w:pPr>
      <w:r w:rsidRPr="002467E2">
        <w:rPr>
          <w:rFonts w:ascii="Arial" w:eastAsia="Arial" w:hAnsi="Arial" w:cs="Arial"/>
        </w:rPr>
        <w:t xml:space="preserve">Kahn, S.E., Cooper, M.E. and Del Prato, S. (2014). Pathophysiology and treatment of Type 2 diabetes: perspectives on the past, present, and future. The Lancet, 383(9922), pp.1068–1083. </w:t>
      </w:r>
      <w:hyperlink r:id="rId10" w:history="1">
        <w:r w:rsidRPr="002467E2">
          <w:rPr>
            <w:rStyle w:val="Hyperlink"/>
            <w:rFonts w:ascii="Arial" w:hAnsi="Arial" w:cs="Arial"/>
          </w:rPr>
          <w:t>https://doi.org/10.1016/S0140-6736(13)62154-6</w:t>
        </w:r>
      </w:hyperlink>
    </w:p>
    <w:p w14:paraId="58F5F89A" w14:textId="77777777" w:rsidR="00A52ABB" w:rsidRPr="002467E2" w:rsidRDefault="00A52ABB" w:rsidP="002467E2">
      <w:pPr>
        <w:spacing w:after="180" w:line="360" w:lineRule="auto"/>
        <w:jc w:val="both"/>
        <w:rPr>
          <w:rFonts w:ascii="Arial" w:hAnsi="Arial" w:cs="Arial"/>
        </w:rPr>
      </w:pPr>
      <w:r w:rsidRPr="002467E2">
        <w:rPr>
          <w:rFonts w:ascii="Arial" w:eastAsia="Arial" w:hAnsi="Arial" w:cs="Arial"/>
        </w:rPr>
        <w:t>Lean, M.E.J., Leslie, W.S., Barnes, A.C., Brosnahan, N., Thom, G., McCombie, L., Peters, C., Zhyzhneuskaya, S., Al-Mrabeh, A., Hollingsworth, K.G. and Taylor, R. (2018) Primary care-led weight management for remission of Type 2 diabetes (DiRECT): an open-label, cluster-randomised trial. The Lancet, 391(10120), pp.541–551.</w:t>
      </w:r>
      <w:r w:rsidRPr="002467E2">
        <w:rPr>
          <w:rFonts w:ascii="Arial" w:hAnsi="Arial" w:cs="Arial"/>
          <w:lang w:val="en-US"/>
        </w:rPr>
        <w:t xml:space="preserve"> </w:t>
      </w:r>
      <w:hyperlink r:id="rId11" w:history="1">
        <w:r w:rsidRPr="002467E2">
          <w:rPr>
            <w:rStyle w:val="Hyperlink"/>
            <w:rFonts w:ascii="Arial" w:hAnsi="Arial" w:cs="Arial"/>
          </w:rPr>
          <w:t>https://doi.org/10.1016/S0140-6736(17)33102-1</w:t>
        </w:r>
      </w:hyperlink>
    </w:p>
    <w:p w14:paraId="6F4F21CE" w14:textId="77777777" w:rsidR="00A52ABB" w:rsidRPr="002467E2" w:rsidRDefault="00A52ABB" w:rsidP="002467E2">
      <w:pPr>
        <w:spacing w:after="180" w:line="360" w:lineRule="auto"/>
        <w:jc w:val="both"/>
        <w:rPr>
          <w:rFonts w:ascii="Arial" w:hAnsi="Arial" w:cs="Arial"/>
        </w:rPr>
      </w:pPr>
      <w:r w:rsidRPr="002467E2">
        <w:rPr>
          <w:rFonts w:ascii="Arial" w:eastAsia="Arial" w:hAnsi="Arial" w:cs="Arial"/>
        </w:rPr>
        <w:t>Malanda, U.L., Welschen, L.M., Riphagen, I.I., Dekker, J.M., Nijpels, G. and Bot, S.D. (2012). Self-monitoring of blood glucose in patients with Type 2 diabetes mellitus who are not using insulin. Cochrane Database of Systematic Reviews, (1), CD005060.</w:t>
      </w:r>
      <w:r w:rsidRPr="002467E2">
        <w:rPr>
          <w:rFonts w:ascii="Arial" w:hAnsi="Arial" w:cs="Arial"/>
          <w:lang w:val="en-US"/>
        </w:rPr>
        <w:t xml:space="preserve"> </w:t>
      </w:r>
      <w:hyperlink r:id="rId12" w:history="1">
        <w:r w:rsidRPr="002467E2">
          <w:rPr>
            <w:rStyle w:val="Hyperlink"/>
            <w:rFonts w:ascii="Arial" w:hAnsi="Arial" w:cs="Arial"/>
          </w:rPr>
          <w:t>https://doi.org/10.1002/14651858.CD005060.pub3</w:t>
        </w:r>
      </w:hyperlink>
    </w:p>
    <w:p w14:paraId="49D0D153" w14:textId="77777777" w:rsidR="00A52ABB" w:rsidRPr="002467E2" w:rsidRDefault="00A52ABB" w:rsidP="002467E2">
      <w:pPr>
        <w:spacing w:after="180" w:line="360" w:lineRule="auto"/>
        <w:jc w:val="both"/>
        <w:rPr>
          <w:rFonts w:ascii="Arial" w:hAnsi="Arial" w:cs="Arial"/>
        </w:rPr>
      </w:pPr>
      <w:r w:rsidRPr="002467E2">
        <w:rPr>
          <w:rFonts w:ascii="Arial" w:eastAsia="Arial" w:hAnsi="Arial" w:cs="Arial"/>
        </w:rPr>
        <w:t>National Institute for Health and Care Excellence (NICE) (2021a) Stop Smoking Interventions and Services. NICE Guideline NG209. London: NICE.</w:t>
      </w:r>
      <w:r w:rsidRPr="002467E2">
        <w:rPr>
          <w:rFonts w:ascii="Arial" w:hAnsi="Arial" w:cs="Arial"/>
          <w:lang w:val="en-US"/>
        </w:rPr>
        <w:t xml:space="preserve"> </w:t>
      </w:r>
      <w:hyperlink r:id="rId13" w:history="1">
        <w:r w:rsidRPr="002467E2">
          <w:rPr>
            <w:rStyle w:val="Hyperlink"/>
            <w:rFonts w:ascii="Arial" w:hAnsi="Arial" w:cs="Arial"/>
          </w:rPr>
          <w:t>https://www.nice.org.uk/guidance/ng209</w:t>
        </w:r>
      </w:hyperlink>
    </w:p>
    <w:p w14:paraId="6AFB2FCC" w14:textId="77777777" w:rsidR="00A52ABB" w:rsidRPr="002467E2" w:rsidRDefault="00A52ABB" w:rsidP="002467E2">
      <w:pPr>
        <w:spacing w:after="180" w:line="360" w:lineRule="auto"/>
        <w:jc w:val="both"/>
        <w:rPr>
          <w:rFonts w:ascii="Arial" w:hAnsi="Arial" w:cs="Arial"/>
        </w:rPr>
      </w:pPr>
      <w:r w:rsidRPr="002467E2">
        <w:rPr>
          <w:rFonts w:ascii="Arial" w:eastAsia="Arial" w:hAnsi="Arial" w:cs="Arial"/>
        </w:rPr>
        <w:t>National Institute for Health and Care Excellence (NICE) (2022) Type 2 Diabetes in Adults: Management. NICE Guideline NG28 [Updated December 2022]. London: NICE.</w:t>
      </w:r>
      <w:r w:rsidRPr="002467E2">
        <w:rPr>
          <w:rFonts w:ascii="Arial" w:hAnsi="Arial" w:cs="Arial"/>
          <w:lang w:val="en-US"/>
        </w:rPr>
        <w:t xml:space="preserve"> </w:t>
      </w:r>
      <w:hyperlink r:id="rId14" w:history="1">
        <w:r w:rsidRPr="002467E2">
          <w:rPr>
            <w:rStyle w:val="Hyperlink"/>
            <w:rFonts w:ascii="Arial" w:hAnsi="Arial" w:cs="Arial"/>
          </w:rPr>
          <w:t>https://www.nice.org.uk/guidance/ng28</w:t>
        </w:r>
      </w:hyperlink>
    </w:p>
    <w:p w14:paraId="41658C5C" w14:textId="77777777" w:rsidR="00A52ABB" w:rsidRPr="002467E2" w:rsidRDefault="00A52ABB" w:rsidP="002467E2">
      <w:pPr>
        <w:spacing w:after="180" w:line="360" w:lineRule="auto"/>
        <w:jc w:val="both"/>
        <w:rPr>
          <w:rFonts w:ascii="Arial" w:hAnsi="Arial" w:cs="Arial"/>
        </w:rPr>
      </w:pPr>
      <w:r w:rsidRPr="002467E2">
        <w:rPr>
          <w:rFonts w:ascii="Arial" w:eastAsia="Arial" w:hAnsi="Arial" w:cs="Arial"/>
        </w:rPr>
        <w:t>National Institute for Health and Care Excellence (NICE) (2023) Continuous Glucose Monitoring for Managing Type 1 Diabetes. NICE Technology Appraisal TA943. London: NICE.</w:t>
      </w:r>
      <w:r w:rsidRPr="002467E2">
        <w:rPr>
          <w:rFonts w:ascii="Arial" w:hAnsi="Arial" w:cs="Arial"/>
          <w:lang w:val="en-US"/>
        </w:rPr>
        <w:t xml:space="preserve"> </w:t>
      </w:r>
      <w:hyperlink r:id="rId15" w:history="1">
        <w:r w:rsidRPr="002467E2">
          <w:rPr>
            <w:rStyle w:val="Hyperlink"/>
            <w:rFonts w:ascii="Arial" w:hAnsi="Arial" w:cs="Arial"/>
          </w:rPr>
          <w:t>https://www.nice.org.uk/guidance/ta943</w:t>
        </w:r>
      </w:hyperlink>
    </w:p>
    <w:p w14:paraId="6FC68AF2" w14:textId="77777777" w:rsidR="00A52ABB" w:rsidRPr="002467E2" w:rsidRDefault="00A52ABB" w:rsidP="002467E2">
      <w:pPr>
        <w:spacing w:after="180" w:line="360" w:lineRule="auto"/>
        <w:jc w:val="both"/>
        <w:rPr>
          <w:rFonts w:ascii="Arial" w:hAnsi="Arial" w:cs="Arial"/>
        </w:rPr>
      </w:pPr>
      <w:r w:rsidRPr="002467E2">
        <w:rPr>
          <w:rFonts w:ascii="Arial" w:eastAsia="Arial" w:hAnsi="Arial" w:cs="Arial"/>
        </w:rPr>
        <w:lastRenderedPageBreak/>
        <w:t>Umpierre, D., Ribeiro, P.A., Kramer, C.K., Leitão, C.B., Zucatti, A.T., Azevedo, M.J., Gross, J.L., Ribeiro, J.P. e Schaan, B.D. (2011) Physical activity advice only or structured exercise training and association with HbA1c levels in Type 2 diabetes: a systematic review and meta-analysis. JAMA, 305(17), pp.1790–1799.</w:t>
      </w:r>
      <w:r w:rsidRPr="002467E2">
        <w:rPr>
          <w:rFonts w:ascii="Arial" w:hAnsi="Arial" w:cs="Arial"/>
          <w:lang w:val="en-US"/>
        </w:rPr>
        <w:t xml:space="preserve"> </w:t>
      </w:r>
      <w:hyperlink r:id="rId16" w:history="1">
        <w:r w:rsidRPr="002467E2">
          <w:rPr>
            <w:rStyle w:val="Hyperlink"/>
            <w:rFonts w:ascii="Arial" w:hAnsi="Arial" w:cs="Arial"/>
          </w:rPr>
          <w:t>https://doi.org/10.1001/jama.2011.576</w:t>
        </w:r>
      </w:hyperlink>
    </w:p>
    <w:p w14:paraId="2ECD6AD7" w14:textId="77777777" w:rsidR="00A52ABB" w:rsidRPr="002467E2" w:rsidRDefault="00A52ABB" w:rsidP="002467E2">
      <w:pPr>
        <w:spacing w:after="180" w:line="360" w:lineRule="auto"/>
        <w:jc w:val="both"/>
        <w:rPr>
          <w:rFonts w:ascii="Arial" w:hAnsi="Arial" w:cs="Arial"/>
          <w:lang w:val="en-US"/>
        </w:rPr>
      </w:pPr>
      <w:r w:rsidRPr="002467E2">
        <w:rPr>
          <w:rFonts w:ascii="Arial" w:eastAsia="Arial" w:hAnsi="Arial" w:cs="Arial"/>
        </w:rPr>
        <w:t>Willett, W., Manson, J. and Liu, S. (2002). Glycemic index, glycemic load, and risk of Type 2 diabetes. American Journal of Clinical Nutrition, 76(1), pp.274S–280S.</w:t>
      </w:r>
      <w:r w:rsidRPr="002467E2">
        <w:rPr>
          <w:rFonts w:ascii="Arial" w:hAnsi="Arial" w:cs="Arial"/>
          <w:lang w:val="en-US"/>
        </w:rPr>
        <w:t xml:space="preserve"> </w:t>
      </w:r>
      <w:hyperlink r:id="rId17" w:history="1">
        <w:r w:rsidRPr="002467E2">
          <w:rPr>
            <w:rStyle w:val="Hyperlink"/>
            <w:rFonts w:ascii="Arial" w:hAnsi="Arial" w:cs="Arial"/>
            <w:lang w:val="en-US"/>
          </w:rPr>
          <w:t>https://www.sciencedirect.com/science/article/pii/S0002916523058288/pdf?md5=2e998b7849973e0693f35a4adb152390&amp;pid=1-s2.0-S0002916523058288-main.pdf</w:t>
        </w:r>
      </w:hyperlink>
    </w:p>
    <w:p w14:paraId="19887693" w14:textId="77777777" w:rsidR="00A52ABB" w:rsidRPr="002467E2" w:rsidRDefault="00A52ABB" w:rsidP="002467E2">
      <w:pPr>
        <w:spacing w:after="180" w:line="360" w:lineRule="auto"/>
        <w:jc w:val="both"/>
        <w:rPr>
          <w:rFonts w:ascii="Arial" w:hAnsi="Arial" w:cs="Arial"/>
        </w:rPr>
      </w:pPr>
      <w:r w:rsidRPr="002467E2">
        <w:rPr>
          <w:rFonts w:ascii="Arial" w:eastAsia="Arial" w:hAnsi="Arial" w:cs="Arial"/>
        </w:rPr>
        <w:t>World Health Organisation (WHO) (202</w:t>
      </w:r>
      <w:r w:rsidRPr="002467E2">
        <w:rPr>
          <w:rFonts w:ascii="Arial" w:hAnsi="Arial" w:cs="Arial"/>
          <w:lang w:val="en-US"/>
        </w:rPr>
        <w:t>4</w:t>
      </w:r>
      <w:r w:rsidRPr="002467E2">
        <w:rPr>
          <w:rFonts w:ascii="Arial" w:eastAsia="Arial" w:hAnsi="Arial" w:cs="Arial"/>
        </w:rPr>
        <w:t xml:space="preserve">) Diabetes. Geneva: WHO. </w:t>
      </w:r>
      <w:hyperlink r:id="rId18" w:history="1">
        <w:r w:rsidRPr="002467E2">
          <w:rPr>
            <w:rStyle w:val="Hyperlink"/>
            <w:rFonts w:ascii="Arial" w:hAnsi="Arial" w:cs="Arial"/>
          </w:rPr>
          <w:t>https://www.who.int/news-room/fact-sheets/detail/diabetes</w:t>
        </w:r>
      </w:hyperlink>
    </w:p>
    <w:sectPr w:rsidR="00A52ABB" w:rsidRPr="002467E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4203F5" w14:textId="77777777" w:rsidR="004E01EF" w:rsidRDefault="004E01EF" w:rsidP="00017831">
      <w:pPr>
        <w:spacing w:after="0" w:line="240" w:lineRule="auto"/>
      </w:pPr>
      <w:r>
        <w:separator/>
      </w:r>
    </w:p>
  </w:endnote>
  <w:endnote w:type="continuationSeparator" w:id="0">
    <w:p w14:paraId="6CDCD1B7" w14:textId="77777777" w:rsidR="004E01EF" w:rsidRDefault="004E01EF" w:rsidP="00017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5795238"/>
      <w:docPartObj>
        <w:docPartGallery w:val="Page Numbers (Bottom of Page)"/>
        <w:docPartUnique/>
      </w:docPartObj>
    </w:sdtPr>
    <w:sdtEndPr/>
    <w:sdtContent>
      <w:sdt>
        <w:sdtPr>
          <w:id w:val="-1705238520"/>
          <w:docPartObj>
            <w:docPartGallery w:val="Page Numbers (Top of Page)"/>
            <w:docPartUnique/>
          </w:docPartObj>
        </w:sdtPr>
        <w:sdtEndPr/>
        <w:sdtContent>
          <w:p w14:paraId="7A99DF1D" w14:textId="4271C28A" w:rsidR="00017831" w:rsidRDefault="00017831">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95416F">
              <w:rPr>
                <w:b/>
                <w:bCs/>
                <w:noProof/>
              </w:rPr>
              <w:t>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5416F">
              <w:rPr>
                <w:b/>
                <w:bCs/>
                <w:noProof/>
              </w:rPr>
              <w:t>10</w:t>
            </w:r>
            <w:r>
              <w:rPr>
                <w:b/>
                <w:bCs/>
                <w:sz w:val="24"/>
                <w:szCs w:val="24"/>
              </w:rPr>
              <w:fldChar w:fldCharType="end"/>
            </w:r>
          </w:p>
        </w:sdtContent>
      </w:sdt>
    </w:sdtContent>
  </w:sdt>
  <w:p w14:paraId="13595137" w14:textId="77777777" w:rsidR="00017831" w:rsidRDefault="000178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5B9BF6" w14:textId="77777777" w:rsidR="004E01EF" w:rsidRDefault="004E01EF" w:rsidP="00017831">
      <w:pPr>
        <w:spacing w:after="0" w:line="240" w:lineRule="auto"/>
      </w:pPr>
      <w:r>
        <w:separator/>
      </w:r>
    </w:p>
  </w:footnote>
  <w:footnote w:type="continuationSeparator" w:id="0">
    <w:p w14:paraId="4FD21A9C" w14:textId="77777777" w:rsidR="004E01EF" w:rsidRDefault="004E01EF" w:rsidP="000178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711A"/>
    <w:rsid w:val="00017831"/>
    <w:rsid w:val="00156830"/>
    <w:rsid w:val="002467E2"/>
    <w:rsid w:val="003F711A"/>
    <w:rsid w:val="004258BE"/>
    <w:rsid w:val="004E01EF"/>
    <w:rsid w:val="005C072B"/>
    <w:rsid w:val="00666549"/>
    <w:rsid w:val="007263E1"/>
    <w:rsid w:val="009478E6"/>
    <w:rsid w:val="0095416F"/>
    <w:rsid w:val="00963653"/>
    <w:rsid w:val="009D42D2"/>
    <w:rsid w:val="00A52ABB"/>
    <w:rsid w:val="00A83D91"/>
    <w:rsid w:val="00C46ADB"/>
    <w:rsid w:val="00E5402C"/>
    <w:rsid w:val="00FF0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0FE1E"/>
  <w15:chartTrackingRefBased/>
  <w15:docId w15:val="{FE4BBD7C-70B1-4C2A-A46A-8C4312F7B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F71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71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11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3F711A"/>
    <w:rPr>
      <w:rFonts w:asciiTheme="majorHAnsi" w:eastAsiaTheme="majorEastAsia" w:hAnsiTheme="majorHAnsi" w:cstheme="majorBidi"/>
      <w:color w:val="2F5496" w:themeColor="accent1" w:themeShade="BF"/>
      <w:sz w:val="26"/>
      <w:szCs w:val="26"/>
      <w:lang w:val="en-GB"/>
    </w:rPr>
  </w:style>
  <w:style w:type="character" w:styleId="Hyperlink">
    <w:name w:val="Hyperlink"/>
    <w:uiPriority w:val="99"/>
    <w:unhideWhenUsed/>
    <w:rsid w:val="00017831"/>
    <w:rPr>
      <w:color w:val="0563C1"/>
      <w:u w:val="single"/>
    </w:rPr>
  </w:style>
  <w:style w:type="character" w:styleId="FollowedHyperlink">
    <w:name w:val="FollowedHyperlink"/>
    <w:basedOn w:val="DefaultParagraphFont"/>
    <w:uiPriority w:val="99"/>
    <w:semiHidden/>
    <w:unhideWhenUsed/>
    <w:rsid w:val="00017831"/>
    <w:rPr>
      <w:color w:val="954F72" w:themeColor="followedHyperlink"/>
      <w:u w:val="single"/>
    </w:rPr>
  </w:style>
  <w:style w:type="paragraph" w:styleId="Header">
    <w:name w:val="header"/>
    <w:basedOn w:val="Normal"/>
    <w:link w:val="HeaderChar"/>
    <w:uiPriority w:val="99"/>
    <w:unhideWhenUsed/>
    <w:rsid w:val="00017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831"/>
    <w:rPr>
      <w:lang w:val="en-GB"/>
    </w:rPr>
  </w:style>
  <w:style w:type="paragraph" w:styleId="Footer">
    <w:name w:val="footer"/>
    <w:basedOn w:val="Normal"/>
    <w:link w:val="FooterChar"/>
    <w:uiPriority w:val="99"/>
    <w:unhideWhenUsed/>
    <w:rsid w:val="00017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831"/>
    <w:rPr>
      <w:lang w:val="en-GB"/>
    </w:rPr>
  </w:style>
  <w:style w:type="paragraph" w:styleId="TOCHeading">
    <w:name w:val="TOC Heading"/>
    <w:basedOn w:val="Heading1"/>
    <w:next w:val="Normal"/>
    <w:uiPriority w:val="39"/>
    <w:unhideWhenUsed/>
    <w:qFormat/>
    <w:rsid w:val="00A52ABB"/>
    <w:pPr>
      <w:outlineLvl w:val="9"/>
    </w:pPr>
    <w:rPr>
      <w:lang w:val="en-US"/>
    </w:rPr>
  </w:style>
  <w:style w:type="paragraph" w:styleId="TOC1">
    <w:name w:val="toc 1"/>
    <w:basedOn w:val="Normal"/>
    <w:next w:val="Normal"/>
    <w:autoRedefine/>
    <w:uiPriority w:val="39"/>
    <w:unhideWhenUsed/>
    <w:rsid w:val="00A52ABB"/>
    <w:pPr>
      <w:spacing w:after="100"/>
    </w:pPr>
  </w:style>
  <w:style w:type="paragraph" w:styleId="TOC2">
    <w:name w:val="toc 2"/>
    <w:basedOn w:val="Normal"/>
    <w:next w:val="Normal"/>
    <w:autoRedefine/>
    <w:uiPriority w:val="39"/>
    <w:unhideWhenUsed/>
    <w:rsid w:val="00A52AB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professionals/position-statements-reports/food-nutrition-lifestyle/evidence-based-nutrition-guidelines" TargetMode="External"/><Relationship Id="rId13" Type="http://schemas.openxmlformats.org/officeDocument/2006/relationships/hyperlink" Target="https://www.nice.org.uk/guidance/ng209" TargetMode="External"/><Relationship Id="rId18" Type="http://schemas.openxmlformats.org/officeDocument/2006/relationships/hyperlink" Target="https://www.who.int/news-room/fact-sheets/detail/diabete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cademia.edu/download/92141415/e-thesis_submission__Alsubaie_Nawal_.pdf" TargetMode="External"/><Relationship Id="rId12" Type="http://schemas.openxmlformats.org/officeDocument/2006/relationships/hyperlink" Target="https://doi.org/10.1002/14651858.CD005060.pub3" TargetMode="External"/><Relationship Id="rId17" Type="http://schemas.openxmlformats.org/officeDocument/2006/relationships/hyperlink" Target="https://www.sciencedirect.com/science/article/pii/S0002916523058288/pdf?md5=2e998b7849973e0693f35a4adb152390&amp;pid=1-s2.0-S0002916523058288-main.pdf" TargetMode="External"/><Relationship Id="rId2" Type="http://schemas.openxmlformats.org/officeDocument/2006/relationships/styles" Target="styles.xml"/><Relationship Id="rId16" Type="http://schemas.openxmlformats.org/officeDocument/2006/relationships/hyperlink" Target="https://doi.org/10.1001/jama.2011.57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S0140-6736(17)33102-1" TargetMode="External"/><Relationship Id="rId5" Type="http://schemas.openxmlformats.org/officeDocument/2006/relationships/footnotes" Target="footnotes.xml"/><Relationship Id="rId15" Type="http://schemas.openxmlformats.org/officeDocument/2006/relationships/hyperlink" Target="https://www.nice.org.uk/guidance/ta943" TargetMode="External"/><Relationship Id="rId10" Type="http://schemas.openxmlformats.org/officeDocument/2006/relationships/hyperlink" Target="https://doi.org/10.1016/S0140-6736(13)62154-6"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iabetesatlas.org/atlas/tenth-edition/" TargetMode="External"/><Relationship Id="rId14" Type="http://schemas.openxmlformats.org/officeDocument/2006/relationships/hyperlink" Target="https://www.nice.org.uk/guidance/ng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997914-F0AD-4363-BDE7-AA8E3533D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2908</Words>
  <Characters>16578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2026-02-23T08:42:00Z</dcterms:created>
  <dcterms:modified xsi:type="dcterms:W3CDTF">2026-02-23T08:42:00Z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ad9f70df-54a6-4903-902c-baaa1cc663dc</vt:lpwstr>
  </property>
</Properties>
</file>