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C0307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60F9B07"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CD7AF9">
        <w:rPr>
          <w:rFonts w:ascii="Arial" w:hAnsi="Arial" w:cs="Arial"/>
          <w:sz w:val="28"/>
          <w:szCs w:val="28"/>
          <w:lang w:val="nl-NL"/>
        </w:rPr>
        <w:t>Health and Social Care</w:t>
      </w:r>
    </w:p>
    <w:p w14:paraId="537571AF" w14:textId="6E2A6B9C"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proofErr w:type="gramStart"/>
      <w:r w:rsidRPr="00CD33A8">
        <w:rPr>
          <w:rFonts w:ascii="Arial" w:hAnsi="Arial" w:cs="Arial"/>
          <w:sz w:val="28"/>
          <w:szCs w:val="28"/>
        </w:rPr>
        <w:t>:</w:t>
      </w:r>
      <w:r w:rsidR="00CD7AF9">
        <w:rPr>
          <w:rFonts w:ascii="Arial" w:hAnsi="Arial" w:cs="Arial"/>
          <w:sz w:val="28"/>
          <w:szCs w:val="28"/>
        </w:rPr>
        <w:t xml:space="preserve"> </w:t>
      </w:r>
      <w:r w:rsidR="00CD7AF9" w:rsidRPr="00CD7AF9">
        <w:rPr>
          <w:rFonts w:ascii="Arial" w:hAnsi="Arial" w:cs="Arial"/>
          <w:sz w:val="22"/>
        </w:rPr>
        <w:t>:</w:t>
      </w:r>
      <w:proofErr w:type="gramEnd"/>
      <w:r w:rsidR="00CD7AF9" w:rsidRPr="00CD7AF9">
        <w:rPr>
          <w:rFonts w:ascii="Arial" w:hAnsi="Arial" w:cs="Arial"/>
          <w:sz w:val="22"/>
        </w:rPr>
        <w:t xml:space="preserve"> </w:t>
      </w:r>
      <w:r w:rsidR="00CD7AF9" w:rsidRPr="00CD7AF9">
        <w:rPr>
          <w:rFonts w:ascii="Arial" w:eastAsiaTheme="minorEastAsia" w:hAnsi="Arial" w:cs="Arial"/>
          <w:b/>
          <w:bCs/>
          <w:sz w:val="22"/>
        </w:rPr>
        <w:t>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3682F86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CD7AF9">
        <w:rPr>
          <w:rFonts w:ascii="Arial" w:hAnsi="Arial" w:cs="Arial"/>
          <w:sz w:val="28"/>
          <w:szCs w:val="28"/>
          <w:lang w:val="nl-NL"/>
        </w:rPr>
        <w:t xml:space="preserve"> Kayleigh Hickling</w:t>
      </w:r>
    </w:p>
    <w:p w14:paraId="39AA4413" w14:textId="3CE71F6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CD7AF9">
        <w:rPr>
          <w:rFonts w:ascii="Arial" w:hAnsi="Arial" w:cs="Arial"/>
          <w:sz w:val="28"/>
          <w:szCs w:val="28"/>
          <w:lang w:val="nl-NL"/>
        </w:rPr>
        <w:t>2524181</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37BA3BAF"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CD7AF9">
        <w:rPr>
          <w:rFonts w:ascii="Arial" w:hAnsi="Arial" w:cs="Arial"/>
          <w:sz w:val="28"/>
          <w:szCs w:val="28"/>
        </w:rPr>
        <w:t xml:space="preserve"> Christina Melam</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bookmarkStart w:id="0" w:name="_Toc235400729"/>
      <w:r w:rsidRPr="00CD33A8">
        <w:lastRenderedPageBreak/>
        <w:t>Table of contents</w:t>
      </w:r>
      <w:bookmarkEnd w:id="0"/>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id w:val="1948110928"/>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1A7E4245" w14:textId="3793BEE3" w:rsidR="00CD7AF9" w:rsidRDefault="00CD7AF9">
          <w:pPr>
            <w:pStyle w:val="TOCHeading"/>
          </w:pPr>
          <w:r>
            <w:t>Contents</w:t>
          </w:r>
        </w:p>
        <w:p w14:paraId="630A932D" w14:textId="6415F10F" w:rsidR="00CD7AF9" w:rsidRDefault="00CD7AF9">
          <w:pPr>
            <w:pStyle w:val="TOC1"/>
            <w:tabs>
              <w:tab w:val="right" w:leader="dot" w:pos="9016"/>
            </w:tabs>
            <w:rPr>
              <w:noProof/>
            </w:rPr>
          </w:pPr>
          <w:r>
            <w:fldChar w:fldCharType="begin"/>
          </w:r>
          <w:r>
            <w:instrText xml:space="preserve"> TOC \o "1-3" \h \z \u </w:instrText>
          </w:r>
          <w:r>
            <w:fldChar w:fldCharType="separate"/>
          </w:r>
          <w:hyperlink w:anchor="_Toc235400729" w:history="1">
            <w:r w:rsidRPr="00155F13">
              <w:rPr>
                <w:rStyle w:val="Hyperlink"/>
                <w:noProof/>
              </w:rPr>
              <w:t>Table of contents</w:t>
            </w:r>
            <w:r>
              <w:rPr>
                <w:noProof/>
                <w:webHidden/>
              </w:rPr>
              <w:tab/>
            </w:r>
            <w:r>
              <w:rPr>
                <w:noProof/>
                <w:webHidden/>
              </w:rPr>
              <w:fldChar w:fldCharType="begin"/>
            </w:r>
            <w:r>
              <w:rPr>
                <w:noProof/>
                <w:webHidden/>
              </w:rPr>
              <w:instrText xml:space="preserve"> PAGEREF _Toc235400729 \h </w:instrText>
            </w:r>
            <w:r>
              <w:rPr>
                <w:noProof/>
                <w:webHidden/>
              </w:rPr>
            </w:r>
            <w:r>
              <w:rPr>
                <w:noProof/>
                <w:webHidden/>
              </w:rPr>
              <w:fldChar w:fldCharType="separate"/>
            </w:r>
            <w:r>
              <w:rPr>
                <w:noProof/>
                <w:webHidden/>
              </w:rPr>
              <w:t>2</w:t>
            </w:r>
            <w:r>
              <w:rPr>
                <w:noProof/>
                <w:webHidden/>
              </w:rPr>
              <w:fldChar w:fldCharType="end"/>
            </w:r>
          </w:hyperlink>
        </w:p>
        <w:p w14:paraId="27BD1B83" w14:textId="4900420C" w:rsidR="00CD7AF9" w:rsidRDefault="00CD7AF9">
          <w:pPr>
            <w:pStyle w:val="TOC1"/>
            <w:tabs>
              <w:tab w:val="right" w:leader="dot" w:pos="9016"/>
            </w:tabs>
            <w:rPr>
              <w:noProof/>
            </w:rPr>
          </w:pPr>
          <w:hyperlink w:anchor="_Toc235400730" w:history="1">
            <w:r w:rsidRPr="00155F13">
              <w:rPr>
                <w:rStyle w:val="Hyperlink"/>
                <w:noProof/>
              </w:rPr>
              <w:t>1. Introduction</w:t>
            </w:r>
            <w:r>
              <w:rPr>
                <w:noProof/>
                <w:webHidden/>
              </w:rPr>
              <w:tab/>
            </w:r>
            <w:r>
              <w:rPr>
                <w:noProof/>
                <w:webHidden/>
              </w:rPr>
              <w:fldChar w:fldCharType="begin"/>
            </w:r>
            <w:r>
              <w:rPr>
                <w:noProof/>
                <w:webHidden/>
              </w:rPr>
              <w:instrText xml:space="preserve"> PAGEREF _Toc235400730 \h </w:instrText>
            </w:r>
            <w:r>
              <w:rPr>
                <w:noProof/>
                <w:webHidden/>
              </w:rPr>
            </w:r>
            <w:r>
              <w:rPr>
                <w:noProof/>
                <w:webHidden/>
              </w:rPr>
              <w:fldChar w:fldCharType="separate"/>
            </w:r>
            <w:r>
              <w:rPr>
                <w:noProof/>
                <w:webHidden/>
              </w:rPr>
              <w:t>3</w:t>
            </w:r>
            <w:r>
              <w:rPr>
                <w:noProof/>
                <w:webHidden/>
              </w:rPr>
              <w:fldChar w:fldCharType="end"/>
            </w:r>
          </w:hyperlink>
        </w:p>
        <w:p w14:paraId="1CD5353A" w14:textId="5E207D5E" w:rsidR="00CD7AF9" w:rsidRDefault="00CD7AF9">
          <w:pPr>
            <w:pStyle w:val="TOC1"/>
            <w:tabs>
              <w:tab w:val="right" w:leader="dot" w:pos="9016"/>
            </w:tabs>
            <w:rPr>
              <w:noProof/>
            </w:rPr>
          </w:pPr>
          <w:hyperlink w:anchor="_Toc235400731" w:history="1">
            <w:r w:rsidRPr="00155F13">
              <w:rPr>
                <w:rStyle w:val="Hyperlink"/>
                <w:noProof/>
              </w:rPr>
              <w:t>2. Importance of effective communication</w:t>
            </w:r>
            <w:r>
              <w:rPr>
                <w:noProof/>
                <w:webHidden/>
              </w:rPr>
              <w:tab/>
            </w:r>
            <w:r>
              <w:rPr>
                <w:noProof/>
                <w:webHidden/>
              </w:rPr>
              <w:fldChar w:fldCharType="begin"/>
            </w:r>
            <w:r>
              <w:rPr>
                <w:noProof/>
                <w:webHidden/>
              </w:rPr>
              <w:instrText xml:space="preserve"> PAGEREF _Toc235400731 \h </w:instrText>
            </w:r>
            <w:r>
              <w:rPr>
                <w:noProof/>
                <w:webHidden/>
              </w:rPr>
            </w:r>
            <w:r>
              <w:rPr>
                <w:noProof/>
                <w:webHidden/>
              </w:rPr>
              <w:fldChar w:fldCharType="separate"/>
            </w:r>
            <w:r>
              <w:rPr>
                <w:noProof/>
                <w:webHidden/>
              </w:rPr>
              <w:t>3</w:t>
            </w:r>
            <w:r>
              <w:rPr>
                <w:noProof/>
                <w:webHidden/>
              </w:rPr>
              <w:fldChar w:fldCharType="end"/>
            </w:r>
          </w:hyperlink>
        </w:p>
        <w:p w14:paraId="3A67B43C" w14:textId="1C575B88" w:rsidR="00CD7AF9" w:rsidRDefault="00CD7AF9">
          <w:pPr>
            <w:pStyle w:val="TOC1"/>
            <w:tabs>
              <w:tab w:val="right" w:leader="dot" w:pos="9016"/>
            </w:tabs>
            <w:rPr>
              <w:noProof/>
            </w:rPr>
          </w:pPr>
          <w:hyperlink w:anchor="_Toc235400732" w:history="1">
            <w:r w:rsidRPr="00155F13">
              <w:rPr>
                <w:rStyle w:val="Hyperlink"/>
                <w:noProof/>
              </w:rPr>
              <w:t>3. Importance of good administrative skills</w:t>
            </w:r>
            <w:r>
              <w:rPr>
                <w:noProof/>
                <w:webHidden/>
              </w:rPr>
              <w:tab/>
            </w:r>
            <w:r>
              <w:rPr>
                <w:noProof/>
                <w:webHidden/>
              </w:rPr>
              <w:fldChar w:fldCharType="begin"/>
            </w:r>
            <w:r>
              <w:rPr>
                <w:noProof/>
                <w:webHidden/>
              </w:rPr>
              <w:instrText xml:space="preserve"> PAGEREF _Toc235400732 \h </w:instrText>
            </w:r>
            <w:r>
              <w:rPr>
                <w:noProof/>
                <w:webHidden/>
              </w:rPr>
            </w:r>
            <w:r>
              <w:rPr>
                <w:noProof/>
                <w:webHidden/>
              </w:rPr>
              <w:fldChar w:fldCharType="separate"/>
            </w:r>
            <w:r>
              <w:rPr>
                <w:noProof/>
                <w:webHidden/>
              </w:rPr>
              <w:t>3</w:t>
            </w:r>
            <w:r>
              <w:rPr>
                <w:noProof/>
                <w:webHidden/>
              </w:rPr>
              <w:fldChar w:fldCharType="end"/>
            </w:r>
          </w:hyperlink>
        </w:p>
        <w:p w14:paraId="377A242F" w14:textId="02FBE643" w:rsidR="00CD7AF9" w:rsidRDefault="00CD7AF9">
          <w:pPr>
            <w:pStyle w:val="TOC1"/>
            <w:tabs>
              <w:tab w:val="right" w:leader="dot" w:pos="9016"/>
            </w:tabs>
            <w:rPr>
              <w:noProof/>
            </w:rPr>
          </w:pPr>
          <w:hyperlink w:anchor="_Toc235400733" w:history="1">
            <w:r w:rsidRPr="00155F13">
              <w:rPr>
                <w:rStyle w:val="Hyperlink"/>
                <w:noProof/>
              </w:rPr>
              <w:t>4. Importance of working collaboratively</w:t>
            </w:r>
            <w:r>
              <w:rPr>
                <w:noProof/>
                <w:webHidden/>
              </w:rPr>
              <w:tab/>
            </w:r>
            <w:r>
              <w:rPr>
                <w:noProof/>
                <w:webHidden/>
              </w:rPr>
              <w:fldChar w:fldCharType="begin"/>
            </w:r>
            <w:r>
              <w:rPr>
                <w:noProof/>
                <w:webHidden/>
              </w:rPr>
              <w:instrText xml:space="preserve"> PAGEREF _Toc235400733 \h </w:instrText>
            </w:r>
            <w:r>
              <w:rPr>
                <w:noProof/>
                <w:webHidden/>
              </w:rPr>
            </w:r>
            <w:r>
              <w:rPr>
                <w:noProof/>
                <w:webHidden/>
              </w:rPr>
              <w:fldChar w:fldCharType="separate"/>
            </w:r>
            <w:r>
              <w:rPr>
                <w:noProof/>
                <w:webHidden/>
              </w:rPr>
              <w:t>4</w:t>
            </w:r>
            <w:r>
              <w:rPr>
                <w:noProof/>
                <w:webHidden/>
              </w:rPr>
              <w:fldChar w:fldCharType="end"/>
            </w:r>
          </w:hyperlink>
        </w:p>
        <w:p w14:paraId="63CAF65D" w14:textId="3A88BFD4" w:rsidR="00CD7AF9" w:rsidRDefault="00CD7AF9">
          <w:pPr>
            <w:pStyle w:val="TOC1"/>
            <w:tabs>
              <w:tab w:val="right" w:leader="dot" w:pos="9016"/>
            </w:tabs>
            <w:rPr>
              <w:noProof/>
            </w:rPr>
          </w:pPr>
          <w:hyperlink w:anchor="_Toc235400734" w:history="1">
            <w:r w:rsidRPr="00155F13">
              <w:rPr>
                <w:rStyle w:val="Hyperlink"/>
                <w:noProof/>
              </w:rPr>
              <w:t>5. Conclusion</w:t>
            </w:r>
            <w:r>
              <w:rPr>
                <w:noProof/>
                <w:webHidden/>
              </w:rPr>
              <w:tab/>
            </w:r>
            <w:r>
              <w:rPr>
                <w:noProof/>
                <w:webHidden/>
              </w:rPr>
              <w:fldChar w:fldCharType="begin"/>
            </w:r>
            <w:r>
              <w:rPr>
                <w:noProof/>
                <w:webHidden/>
              </w:rPr>
              <w:instrText xml:space="preserve"> PAGEREF _Toc235400734 \h </w:instrText>
            </w:r>
            <w:r>
              <w:rPr>
                <w:noProof/>
                <w:webHidden/>
              </w:rPr>
            </w:r>
            <w:r>
              <w:rPr>
                <w:noProof/>
                <w:webHidden/>
              </w:rPr>
              <w:fldChar w:fldCharType="separate"/>
            </w:r>
            <w:r>
              <w:rPr>
                <w:noProof/>
                <w:webHidden/>
              </w:rPr>
              <w:t>4</w:t>
            </w:r>
            <w:r>
              <w:rPr>
                <w:noProof/>
                <w:webHidden/>
              </w:rPr>
              <w:fldChar w:fldCharType="end"/>
            </w:r>
          </w:hyperlink>
        </w:p>
        <w:p w14:paraId="7C5A3F13" w14:textId="0471A928" w:rsidR="00CD7AF9" w:rsidRDefault="00CD7AF9">
          <w:pPr>
            <w:pStyle w:val="TOC1"/>
            <w:tabs>
              <w:tab w:val="right" w:leader="dot" w:pos="9016"/>
            </w:tabs>
            <w:rPr>
              <w:noProof/>
            </w:rPr>
          </w:pPr>
          <w:hyperlink w:anchor="_Toc235400735" w:history="1">
            <w:r w:rsidRPr="00155F13">
              <w:rPr>
                <w:rStyle w:val="Hyperlink"/>
                <w:noProof/>
              </w:rPr>
              <w:t>References</w:t>
            </w:r>
            <w:r>
              <w:rPr>
                <w:noProof/>
                <w:webHidden/>
              </w:rPr>
              <w:tab/>
            </w:r>
            <w:r>
              <w:rPr>
                <w:noProof/>
                <w:webHidden/>
              </w:rPr>
              <w:fldChar w:fldCharType="begin"/>
            </w:r>
            <w:r>
              <w:rPr>
                <w:noProof/>
                <w:webHidden/>
              </w:rPr>
              <w:instrText xml:space="preserve"> PAGEREF _Toc235400735 \h </w:instrText>
            </w:r>
            <w:r>
              <w:rPr>
                <w:noProof/>
                <w:webHidden/>
              </w:rPr>
            </w:r>
            <w:r>
              <w:rPr>
                <w:noProof/>
                <w:webHidden/>
              </w:rPr>
              <w:fldChar w:fldCharType="separate"/>
            </w:r>
            <w:r>
              <w:rPr>
                <w:noProof/>
                <w:webHidden/>
              </w:rPr>
              <w:t>5</w:t>
            </w:r>
            <w:r>
              <w:rPr>
                <w:noProof/>
                <w:webHidden/>
              </w:rPr>
              <w:fldChar w:fldCharType="end"/>
            </w:r>
          </w:hyperlink>
        </w:p>
        <w:p w14:paraId="78C10D28" w14:textId="1773265F" w:rsidR="00CD7AF9" w:rsidRDefault="00CD7AF9">
          <w:r>
            <w:rPr>
              <w:b/>
              <w:bCs/>
            </w:rPr>
            <w:fldChar w:fldCharType="end"/>
          </w:r>
        </w:p>
      </w:sdtContent>
    </w:sdt>
    <w:p w14:paraId="12D76753" w14:textId="393172FB" w:rsidR="00B87E75" w:rsidRPr="00CD33A8" w:rsidRDefault="00B87E75" w:rsidP="00E620E7">
      <w:pPr>
        <w:pStyle w:val="Heading1"/>
      </w:pPr>
      <w:bookmarkStart w:id="1" w:name="_Toc235400730"/>
      <w:r w:rsidRPr="00CD33A8">
        <w:t>1. Introduction</w:t>
      </w:r>
      <w:bookmarkEnd w:id="1"/>
    </w:p>
    <w:p w14:paraId="68C53673" w14:textId="5FA55684" w:rsidR="008E3943" w:rsidRPr="00CD33A8" w:rsidRDefault="00CD7AF9" w:rsidP="008E3943">
      <w:pPr>
        <w:tabs>
          <w:tab w:val="left" w:pos="6540"/>
        </w:tabs>
        <w:spacing w:line="360" w:lineRule="auto"/>
        <w:rPr>
          <w:rFonts w:ascii="Arial" w:hAnsi="Arial" w:cs="Arial"/>
          <w:sz w:val="22"/>
        </w:rPr>
      </w:pPr>
      <w:r w:rsidRPr="00CD7AF9">
        <w:rPr>
          <w:rFonts w:ascii="Arial" w:hAnsi="Arial" w:cs="Arial"/>
          <w:sz w:val="22"/>
        </w:rPr>
        <w:t>This assignment explores the origins, development, and current significance of domiciliary care services in the UK. Domiciliary care, also known as home care, enables people to remain living in their own homes while receiving the support they need. It forms a vital part of the social care system, promoting independence, dignity, and wellbeing for older adults, disabled people, and those with long</w:t>
      </w:r>
      <w:r w:rsidRPr="00CD7AF9">
        <w:rPr>
          <w:rFonts w:ascii="Arial" w:hAnsi="Arial" w:cs="Arial"/>
          <w:sz w:val="22"/>
        </w:rPr>
        <w:noBreakHyphen/>
        <w:t>term health conditions.</w:t>
      </w: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Default="0026393A" w:rsidP="008E3943">
      <w:pPr>
        <w:pStyle w:val="Heading1"/>
      </w:pPr>
      <w:bookmarkStart w:id="2" w:name="_Toc235400731"/>
      <w:r w:rsidRPr="00CD33A8">
        <w:t xml:space="preserve">2. </w:t>
      </w:r>
      <w:r w:rsidR="008E3943">
        <w:t>I</w:t>
      </w:r>
      <w:r w:rsidR="008E3943" w:rsidRPr="008E3943">
        <w:t>mportance of effective communication</w:t>
      </w:r>
      <w:bookmarkEnd w:id="2"/>
    </w:p>
    <w:p w14:paraId="0537CEF5" w14:textId="79462893" w:rsidR="003E4ECF" w:rsidRDefault="00CD7AF9" w:rsidP="00CD33A8">
      <w:pPr>
        <w:tabs>
          <w:tab w:val="left" w:pos="6540"/>
        </w:tabs>
        <w:spacing w:line="360" w:lineRule="auto"/>
        <w:rPr>
          <w:rFonts w:asciiTheme="minorBidi" w:hAnsiTheme="minorBidi"/>
          <w:sz w:val="22"/>
        </w:rPr>
      </w:pPr>
      <w:r w:rsidRPr="00CD7AF9">
        <w:rPr>
          <w:rFonts w:asciiTheme="minorBidi" w:hAnsiTheme="minorBidi"/>
          <w:sz w:val="22"/>
        </w:rPr>
        <w:t>Effective communication is central to domiciliary care. Care workers must communicate clearly with service users, families, and professionals to ensure safety and continuity of care. Good communication helps identify changes in health, emotional wellbeing, or safeguarding concerns early. It also supports person</w:t>
      </w:r>
      <w:r w:rsidRPr="00CD7AF9">
        <w:rPr>
          <w:rFonts w:asciiTheme="minorBidi" w:hAnsiTheme="minorBidi"/>
          <w:sz w:val="22"/>
        </w:rPr>
        <w:noBreakHyphen/>
        <w:t>centred care by allowing individuals to express preferences about routines, meals, and activities. Regular contact with care workers reduces social isolation and builds trust, which is particularly important for people with dementia or complex needs. Clear communication between agencies — such as GPs, nurses, and social workers — ensures coordinated support and timely interventions.</w:t>
      </w: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Pr="00CD33A8" w:rsidRDefault="0026393A" w:rsidP="00E620E7">
      <w:pPr>
        <w:pStyle w:val="Heading1"/>
      </w:pPr>
      <w:bookmarkStart w:id="3" w:name="_Toc235400732"/>
      <w:r w:rsidRPr="00CD33A8">
        <w:t>3</w:t>
      </w:r>
      <w:r w:rsidR="00B87E75" w:rsidRPr="00CD33A8">
        <w:t>.</w:t>
      </w:r>
      <w:r w:rsidR="008E3943">
        <w:t xml:space="preserve"> I</w:t>
      </w:r>
      <w:r w:rsidR="008E3943" w:rsidRPr="008E3943">
        <w:t>mportance of good administrative skills</w:t>
      </w:r>
      <w:bookmarkEnd w:id="3"/>
      <w:r w:rsidR="008E3943" w:rsidRPr="008E3943">
        <w:t xml:space="preserve"> </w:t>
      </w:r>
    </w:p>
    <w:p w14:paraId="4FC14C6B" w14:textId="52E19C01" w:rsidR="00B87E75" w:rsidRDefault="00CD7AF9" w:rsidP="00CD33A8">
      <w:pPr>
        <w:tabs>
          <w:tab w:val="left" w:pos="6540"/>
        </w:tabs>
        <w:spacing w:line="360" w:lineRule="auto"/>
        <w:rPr>
          <w:rFonts w:asciiTheme="minorBidi" w:hAnsiTheme="minorBidi"/>
          <w:sz w:val="22"/>
        </w:rPr>
      </w:pPr>
      <w:r w:rsidRPr="00CD7AF9">
        <w:rPr>
          <w:rFonts w:asciiTheme="minorBidi" w:hAnsiTheme="minorBidi"/>
          <w:sz w:val="22"/>
        </w:rPr>
        <w:t>Administrative skills underpin safe and effective domiciliary care. Accurate record</w:t>
      </w:r>
      <w:r w:rsidRPr="00CD7AF9">
        <w:rPr>
          <w:rFonts w:asciiTheme="minorBidi" w:hAnsiTheme="minorBidi"/>
          <w:sz w:val="22"/>
        </w:rPr>
        <w:noBreakHyphen/>
        <w:t xml:space="preserve">keeping ensures that care plans, medication schedules, and incident reports are up to date and accessible. The Care Act 2014 requires local authorities and providers to maintain detailed documentation to promote wellbeing and prevent neglect. The Care Quality Commission </w:t>
      </w:r>
      <w:r w:rsidRPr="00CD7AF9">
        <w:rPr>
          <w:rFonts w:asciiTheme="minorBidi" w:hAnsiTheme="minorBidi"/>
          <w:sz w:val="22"/>
        </w:rPr>
        <w:lastRenderedPageBreak/>
        <w:t>(CQC) regulates these standards, ensuring that records reflect person</w:t>
      </w:r>
      <w:r w:rsidRPr="00CD7AF9">
        <w:rPr>
          <w:rFonts w:asciiTheme="minorBidi" w:hAnsiTheme="minorBidi"/>
          <w:sz w:val="22"/>
        </w:rPr>
        <w:noBreakHyphen/>
        <w:t>centred practice. Administrative competence also supports compliance with the Data Protection Act 2018, safeguarding personal information. Without strong administrative systems, continuity of care and accountability would be compromised.</w:t>
      </w: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bookmarkStart w:id="4" w:name="_Toc235400733"/>
      <w:r w:rsidRPr="00CD33A8">
        <w:t>4</w:t>
      </w:r>
      <w:r w:rsidR="00B87E75" w:rsidRPr="00CD33A8">
        <w:t xml:space="preserve">. </w:t>
      </w:r>
      <w:r w:rsidR="008E3943">
        <w:t>I</w:t>
      </w:r>
      <w:r w:rsidR="008E3943" w:rsidRPr="008E3943">
        <w:t>mportance of working collaboratively</w:t>
      </w:r>
      <w:bookmarkEnd w:id="4"/>
    </w:p>
    <w:p w14:paraId="682D1769" w14:textId="65A3904F" w:rsidR="003E4ECF" w:rsidRDefault="00CD7AF9" w:rsidP="00CD33A8">
      <w:pPr>
        <w:tabs>
          <w:tab w:val="left" w:pos="6540"/>
        </w:tabs>
        <w:spacing w:line="360" w:lineRule="auto"/>
        <w:rPr>
          <w:rFonts w:asciiTheme="minorBidi" w:hAnsiTheme="minorBidi"/>
          <w:sz w:val="22"/>
        </w:rPr>
      </w:pPr>
      <w:r w:rsidRPr="00CD7AF9">
        <w:rPr>
          <w:rFonts w:asciiTheme="minorBidi" w:hAnsiTheme="minorBidi"/>
          <w:sz w:val="22"/>
        </w:rPr>
        <w:t>Administrative skills underpin safe and effective domiciliary care. Accurate record</w:t>
      </w:r>
      <w:r w:rsidRPr="00CD7AF9">
        <w:rPr>
          <w:rFonts w:asciiTheme="minorBidi" w:hAnsiTheme="minorBidi"/>
          <w:sz w:val="22"/>
        </w:rPr>
        <w:noBreakHyphen/>
        <w:t>keeping ensures that care plans, medication schedules, and incident reports are up to date and accessible. The Care Act 2014 requires local authorities and providers to maintain detailed documentation to promote wellbeing and prevent neglect. The Care Quality Commission (CQC) regulates these standards, ensuring that records reflect person</w:t>
      </w:r>
      <w:r w:rsidRPr="00CD7AF9">
        <w:rPr>
          <w:rFonts w:asciiTheme="minorBidi" w:hAnsiTheme="minorBidi"/>
          <w:sz w:val="22"/>
        </w:rPr>
        <w:noBreakHyphen/>
        <w:t>centred practice. Administrative competence also supports compliance with the Data Protection Act 2018, safeguarding personal information. Without strong administrative systems, continuity of care and accountability would be compromised.</w:t>
      </w: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E620E7">
      <w:pPr>
        <w:pStyle w:val="Heading1"/>
      </w:pPr>
      <w:bookmarkStart w:id="5" w:name="_Toc235400734"/>
      <w:r>
        <w:t>5</w:t>
      </w:r>
      <w:r w:rsidR="00B87E75" w:rsidRPr="00CD33A8">
        <w:t>. Conclusion</w:t>
      </w:r>
      <w:bookmarkEnd w:id="5"/>
      <w:r w:rsidR="00CD33A8">
        <w:t xml:space="preserve"> </w:t>
      </w:r>
    </w:p>
    <w:p w14:paraId="6812580D" w14:textId="737DA516" w:rsidR="0090040D" w:rsidRPr="00CD33A8" w:rsidRDefault="00CD7AF9" w:rsidP="00CD33A8">
      <w:pPr>
        <w:tabs>
          <w:tab w:val="left" w:pos="6540"/>
        </w:tabs>
        <w:spacing w:line="360" w:lineRule="auto"/>
        <w:rPr>
          <w:rFonts w:asciiTheme="minorBidi" w:hAnsiTheme="minorBidi"/>
          <w:sz w:val="22"/>
        </w:rPr>
      </w:pPr>
      <w:r w:rsidRPr="00CD7AF9">
        <w:rPr>
          <w:rFonts w:asciiTheme="minorBidi" w:hAnsiTheme="minorBidi"/>
          <w:sz w:val="22"/>
        </w:rPr>
        <w:t>Domiciliary care has evolved from early charitable efforts into a regulated, essential component of modern social care. It relies on effective communication, strong administrative practice, and collaborative working to deliver safe, person</w:t>
      </w:r>
      <w:r w:rsidRPr="00CD7AF9">
        <w:rPr>
          <w:rFonts w:asciiTheme="minorBidi" w:hAnsiTheme="minorBidi"/>
          <w:sz w:val="22"/>
        </w:rPr>
        <w:noBreakHyphen/>
        <w:t>centred support. Despite challenges such as workforce shortages and increasing complexity of needs, domiciliary care continues to promote independence, wellbeing, and dignity for service users, significantly enhancing their quality of life within the community.</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bookmarkStart w:id="6" w:name="_Toc235400735"/>
      <w:r w:rsidRPr="00CD33A8">
        <w:lastRenderedPageBreak/>
        <w:t>References</w:t>
      </w:r>
      <w:bookmarkEnd w:id="6"/>
    </w:p>
    <w:p w14:paraId="79CC23E9" w14:textId="77777777" w:rsidR="00CD7AF9" w:rsidRPr="00CD7AF9" w:rsidRDefault="00CD7AF9" w:rsidP="00CD7AF9">
      <w:pPr>
        <w:tabs>
          <w:tab w:val="left" w:pos="6540"/>
        </w:tabs>
        <w:spacing w:line="360" w:lineRule="auto"/>
        <w:rPr>
          <w:rFonts w:asciiTheme="minorBidi" w:hAnsiTheme="minorBidi"/>
          <w:sz w:val="22"/>
        </w:rPr>
      </w:pPr>
      <w:r w:rsidRPr="00CD7AF9">
        <w:rPr>
          <w:rFonts w:asciiTheme="minorBidi" w:hAnsiTheme="minorBidi"/>
          <w:b/>
          <w:bCs/>
          <w:sz w:val="22"/>
        </w:rPr>
        <w:t>Care Act 2014</w:t>
      </w:r>
      <w:r w:rsidRPr="00CD7AF9">
        <w:rPr>
          <w:rFonts w:asciiTheme="minorBidi" w:hAnsiTheme="minorBidi"/>
          <w:sz w:val="22"/>
        </w:rPr>
        <w:t xml:space="preserve"> (2014) </w:t>
      </w:r>
      <w:r w:rsidRPr="00CD7AF9">
        <w:rPr>
          <w:rFonts w:asciiTheme="minorBidi" w:hAnsiTheme="minorBidi"/>
          <w:i/>
          <w:iCs/>
          <w:sz w:val="22"/>
        </w:rPr>
        <w:t>Care Act 2014: Statutory guidance</w:t>
      </w:r>
      <w:r w:rsidRPr="00CD7AF9">
        <w:rPr>
          <w:rFonts w:asciiTheme="minorBidi" w:hAnsiTheme="minorBidi"/>
          <w:sz w:val="22"/>
        </w:rPr>
        <w:t xml:space="preserve">. London: Department of Health. Available at: https://www.gov.uk/government/publications/care-act-2014-statutory-guidance-for-implementation </w:t>
      </w:r>
      <w:hyperlink r:id="rId8" w:tgtFrame="_blank" w:tooltip="www.bing.com" w:history="1">
        <w:r w:rsidRPr="00CD7AF9">
          <w:rPr>
            <w:rStyle w:val="Hyperlink"/>
            <w:rFonts w:asciiTheme="minorBidi" w:hAnsiTheme="minorBidi"/>
            <w:sz w:val="22"/>
          </w:rPr>
          <w:t>(gov.uk in Bing)</w:t>
        </w:r>
      </w:hyperlink>
      <w:r w:rsidRPr="00CD7AF9">
        <w:rPr>
          <w:rFonts w:asciiTheme="minorBidi" w:hAnsiTheme="minorBidi"/>
          <w:sz w:val="22"/>
        </w:rPr>
        <w:t xml:space="preserve"> (Accessed: 20 July 2026).</w:t>
      </w:r>
    </w:p>
    <w:p w14:paraId="278A9603" w14:textId="77777777" w:rsidR="00CD7AF9" w:rsidRPr="00CD7AF9" w:rsidRDefault="00CD7AF9" w:rsidP="00CD7AF9">
      <w:pPr>
        <w:tabs>
          <w:tab w:val="left" w:pos="6540"/>
        </w:tabs>
        <w:spacing w:line="360" w:lineRule="auto"/>
        <w:rPr>
          <w:rFonts w:asciiTheme="minorBidi" w:hAnsiTheme="minorBidi"/>
          <w:sz w:val="22"/>
        </w:rPr>
      </w:pPr>
      <w:r w:rsidRPr="00CD7AF9">
        <w:rPr>
          <w:rFonts w:asciiTheme="minorBidi" w:hAnsiTheme="minorBidi"/>
          <w:b/>
          <w:bCs/>
          <w:sz w:val="22"/>
        </w:rPr>
        <w:t>Care Quality Commission (CQC)</w:t>
      </w:r>
      <w:r w:rsidRPr="00CD7AF9">
        <w:rPr>
          <w:rFonts w:asciiTheme="minorBidi" w:hAnsiTheme="minorBidi"/>
          <w:sz w:val="22"/>
        </w:rPr>
        <w:t xml:space="preserve"> (2023) </w:t>
      </w:r>
      <w:r w:rsidRPr="00CD7AF9">
        <w:rPr>
          <w:rFonts w:asciiTheme="minorBidi" w:hAnsiTheme="minorBidi"/>
          <w:i/>
          <w:iCs/>
          <w:sz w:val="22"/>
        </w:rPr>
        <w:t>Guidance for Providers</w:t>
      </w:r>
      <w:r w:rsidRPr="00CD7AF9">
        <w:rPr>
          <w:rFonts w:asciiTheme="minorBidi" w:hAnsiTheme="minorBidi"/>
          <w:sz w:val="22"/>
        </w:rPr>
        <w:t xml:space="preserve">. London: CQC. Available at: </w:t>
      </w:r>
      <w:hyperlink r:id="rId9" w:tgtFrame="_blank" w:tooltip="www.cqc.org.uk" w:history="1">
        <w:r w:rsidRPr="00CD7AF9">
          <w:rPr>
            <w:rStyle w:val="Hyperlink"/>
            <w:rFonts w:asciiTheme="minorBidi" w:hAnsiTheme="minorBidi"/>
            <w:sz w:val="22"/>
          </w:rPr>
          <w:t>https://www.cqc.org.uk</w:t>
        </w:r>
      </w:hyperlink>
      <w:r w:rsidRPr="00CD7AF9">
        <w:rPr>
          <w:rFonts w:asciiTheme="minorBidi" w:hAnsiTheme="minorBidi"/>
          <w:sz w:val="22"/>
        </w:rPr>
        <w:t xml:space="preserve"> (Accessed: 20 July 2026).</w:t>
      </w:r>
    </w:p>
    <w:p w14:paraId="0AA9A804" w14:textId="77777777" w:rsidR="00CD7AF9" w:rsidRPr="00CD7AF9" w:rsidRDefault="00CD7AF9" w:rsidP="00CD7AF9">
      <w:pPr>
        <w:tabs>
          <w:tab w:val="left" w:pos="6540"/>
        </w:tabs>
        <w:spacing w:line="360" w:lineRule="auto"/>
        <w:rPr>
          <w:rFonts w:asciiTheme="minorBidi" w:hAnsiTheme="minorBidi"/>
          <w:sz w:val="22"/>
        </w:rPr>
      </w:pPr>
      <w:r w:rsidRPr="00CD7AF9">
        <w:rPr>
          <w:rFonts w:asciiTheme="minorBidi" w:hAnsiTheme="minorBidi"/>
          <w:b/>
          <w:bCs/>
          <w:sz w:val="22"/>
        </w:rPr>
        <w:t>Glasby, J.</w:t>
      </w:r>
      <w:r w:rsidRPr="00CD7AF9">
        <w:rPr>
          <w:rFonts w:asciiTheme="minorBidi" w:hAnsiTheme="minorBidi"/>
          <w:sz w:val="22"/>
        </w:rPr>
        <w:t xml:space="preserve"> (2017) </w:t>
      </w:r>
      <w:r w:rsidRPr="00CD7AF9">
        <w:rPr>
          <w:rFonts w:asciiTheme="minorBidi" w:hAnsiTheme="minorBidi"/>
          <w:i/>
          <w:iCs/>
          <w:sz w:val="22"/>
        </w:rPr>
        <w:t>Understanding Social Care</w:t>
      </w:r>
      <w:r w:rsidRPr="00CD7AF9">
        <w:rPr>
          <w:rFonts w:asciiTheme="minorBidi" w:hAnsiTheme="minorBidi"/>
          <w:sz w:val="22"/>
        </w:rPr>
        <w:t>. 2nd ed. Bristol: Policy Press.</w:t>
      </w:r>
    </w:p>
    <w:p w14:paraId="299F5A66" w14:textId="77777777" w:rsidR="00CD7AF9" w:rsidRPr="00CD7AF9" w:rsidRDefault="00CD7AF9" w:rsidP="00CD7AF9">
      <w:pPr>
        <w:tabs>
          <w:tab w:val="left" w:pos="6540"/>
        </w:tabs>
        <w:spacing w:line="360" w:lineRule="auto"/>
        <w:rPr>
          <w:rFonts w:asciiTheme="minorBidi" w:hAnsiTheme="minorBidi"/>
          <w:sz w:val="22"/>
        </w:rPr>
      </w:pPr>
      <w:r w:rsidRPr="00CD7AF9">
        <w:rPr>
          <w:rFonts w:asciiTheme="minorBidi" w:hAnsiTheme="minorBidi"/>
          <w:b/>
          <w:bCs/>
          <w:sz w:val="22"/>
        </w:rPr>
        <w:t>Glasby, J. and Dickinson, H.</w:t>
      </w:r>
      <w:r w:rsidRPr="00CD7AF9">
        <w:rPr>
          <w:rFonts w:asciiTheme="minorBidi" w:hAnsiTheme="minorBidi"/>
          <w:sz w:val="22"/>
        </w:rPr>
        <w:t xml:space="preserve"> (2014) </w:t>
      </w:r>
      <w:r w:rsidRPr="00CD7AF9">
        <w:rPr>
          <w:rFonts w:asciiTheme="minorBidi" w:hAnsiTheme="minorBidi"/>
          <w:i/>
          <w:iCs/>
          <w:sz w:val="22"/>
        </w:rPr>
        <w:t>Partnership Working in Health and Social Care</w:t>
      </w:r>
      <w:r w:rsidRPr="00CD7AF9">
        <w:rPr>
          <w:rFonts w:asciiTheme="minorBidi" w:hAnsiTheme="minorBidi"/>
          <w:sz w:val="22"/>
        </w:rPr>
        <w:t>. Bristol: Policy Press.</w:t>
      </w:r>
    </w:p>
    <w:p w14:paraId="615BD6B1" w14:textId="77777777" w:rsidR="00CD7AF9" w:rsidRPr="00CD7AF9" w:rsidRDefault="00CD7AF9" w:rsidP="00CD7AF9">
      <w:pPr>
        <w:tabs>
          <w:tab w:val="left" w:pos="6540"/>
        </w:tabs>
        <w:spacing w:line="360" w:lineRule="auto"/>
        <w:rPr>
          <w:rFonts w:asciiTheme="minorBidi" w:hAnsiTheme="minorBidi"/>
          <w:sz w:val="22"/>
        </w:rPr>
      </w:pPr>
      <w:r w:rsidRPr="00CD7AF9">
        <w:rPr>
          <w:rFonts w:asciiTheme="minorBidi" w:hAnsiTheme="minorBidi"/>
          <w:b/>
          <w:bCs/>
          <w:sz w:val="22"/>
        </w:rPr>
        <w:t>Means, R., Richards, S. and Smith, R.</w:t>
      </w:r>
      <w:r w:rsidRPr="00CD7AF9">
        <w:rPr>
          <w:rFonts w:asciiTheme="minorBidi" w:hAnsiTheme="minorBidi"/>
          <w:sz w:val="22"/>
        </w:rPr>
        <w:t xml:space="preserve"> (2008) </w:t>
      </w:r>
      <w:r w:rsidRPr="00CD7AF9">
        <w:rPr>
          <w:rFonts w:asciiTheme="minorBidi" w:hAnsiTheme="minorBidi"/>
          <w:i/>
          <w:iCs/>
          <w:sz w:val="22"/>
        </w:rPr>
        <w:t>Community Care: Policy and Practice</w:t>
      </w:r>
      <w:r w:rsidRPr="00CD7AF9">
        <w:rPr>
          <w:rFonts w:asciiTheme="minorBidi" w:hAnsiTheme="minorBidi"/>
          <w:sz w:val="22"/>
        </w:rPr>
        <w:t>. 4th ed. Basingstoke: Palgrave Macmillan.</w:t>
      </w:r>
    </w:p>
    <w:p w14:paraId="1B4823C3" w14:textId="77777777" w:rsidR="00CD7AF9" w:rsidRPr="00CD7AF9" w:rsidRDefault="00CD7AF9" w:rsidP="00CD7AF9">
      <w:pPr>
        <w:tabs>
          <w:tab w:val="left" w:pos="6540"/>
        </w:tabs>
        <w:spacing w:line="360" w:lineRule="auto"/>
        <w:rPr>
          <w:rFonts w:asciiTheme="minorBidi" w:hAnsiTheme="minorBidi"/>
          <w:sz w:val="22"/>
        </w:rPr>
      </w:pPr>
      <w:r w:rsidRPr="00CD7AF9">
        <w:rPr>
          <w:rFonts w:asciiTheme="minorBidi" w:hAnsiTheme="minorBidi"/>
          <w:b/>
          <w:bCs/>
          <w:sz w:val="22"/>
        </w:rPr>
        <w:t>NHS England</w:t>
      </w:r>
      <w:r w:rsidRPr="00CD7AF9">
        <w:rPr>
          <w:rFonts w:asciiTheme="minorBidi" w:hAnsiTheme="minorBidi"/>
          <w:sz w:val="22"/>
        </w:rPr>
        <w:t xml:space="preserve"> (2023) </w:t>
      </w:r>
      <w:r w:rsidRPr="00CD7AF9">
        <w:rPr>
          <w:rFonts w:asciiTheme="minorBidi" w:hAnsiTheme="minorBidi"/>
          <w:i/>
          <w:iCs/>
          <w:sz w:val="22"/>
        </w:rPr>
        <w:t>Community Health Services Overview</w:t>
      </w:r>
      <w:r w:rsidRPr="00CD7AF9">
        <w:rPr>
          <w:rFonts w:asciiTheme="minorBidi" w:hAnsiTheme="minorBidi"/>
          <w:sz w:val="22"/>
        </w:rPr>
        <w:t xml:space="preserve">. London: NHS England. Available at: </w:t>
      </w:r>
      <w:hyperlink r:id="rId10" w:tgtFrame="_blank" w:tooltip="www.england.nhs.uk" w:history="1">
        <w:r w:rsidRPr="00CD7AF9">
          <w:rPr>
            <w:rStyle w:val="Hyperlink"/>
            <w:rFonts w:asciiTheme="minorBidi" w:hAnsiTheme="minorBidi"/>
            <w:sz w:val="22"/>
          </w:rPr>
          <w:t>https://www.england.nhs.uk</w:t>
        </w:r>
      </w:hyperlink>
      <w:r w:rsidRPr="00CD7AF9">
        <w:rPr>
          <w:rFonts w:asciiTheme="minorBidi" w:hAnsiTheme="minorBidi"/>
          <w:sz w:val="22"/>
        </w:rPr>
        <w:t xml:space="preserve"> (Accessed: 20 July 2026).</w:t>
      </w:r>
    </w:p>
    <w:p w14:paraId="3990B30D" w14:textId="77777777" w:rsidR="00CD7AF9" w:rsidRPr="00CD7AF9" w:rsidRDefault="00CD7AF9" w:rsidP="00CD7AF9">
      <w:pPr>
        <w:tabs>
          <w:tab w:val="left" w:pos="6540"/>
        </w:tabs>
        <w:spacing w:line="360" w:lineRule="auto"/>
        <w:rPr>
          <w:rFonts w:asciiTheme="minorBidi" w:hAnsiTheme="minorBidi"/>
          <w:sz w:val="22"/>
        </w:rPr>
      </w:pPr>
      <w:r w:rsidRPr="00CD7AF9">
        <w:rPr>
          <w:rFonts w:asciiTheme="minorBidi" w:hAnsiTheme="minorBidi"/>
          <w:b/>
          <w:bCs/>
          <w:sz w:val="22"/>
        </w:rPr>
        <w:t>NICE</w:t>
      </w:r>
      <w:r w:rsidRPr="00CD7AF9">
        <w:rPr>
          <w:rFonts w:asciiTheme="minorBidi" w:hAnsiTheme="minorBidi"/>
          <w:sz w:val="22"/>
        </w:rPr>
        <w:t xml:space="preserve"> (2022) </w:t>
      </w:r>
      <w:r w:rsidRPr="00CD7AF9">
        <w:rPr>
          <w:rFonts w:asciiTheme="minorBidi" w:hAnsiTheme="minorBidi"/>
          <w:i/>
          <w:iCs/>
          <w:sz w:val="22"/>
        </w:rPr>
        <w:t>Dementia: Assessment, Management and Support</w:t>
      </w:r>
      <w:r w:rsidRPr="00CD7AF9">
        <w:rPr>
          <w:rFonts w:asciiTheme="minorBidi" w:hAnsiTheme="minorBidi"/>
          <w:sz w:val="22"/>
        </w:rPr>
        <w:t xml:space="preserve">. London: NICE. Available at: </w:t>
      </w:r>
      <w:hyperlink r:id="rId11" w:tgtFrame="_blank" w:tooltip="www.nice.org.uk" w:history="1">
        <w:r w:rsidRPr="00CD7AF9">
          <w:rPr>
            <w:rStyle w:val="Hyperlink"/>
            <w:rFonts w:asciiTheme="minorBidi" w:hAnsiTheme="minorBidi"/>
            <w:sz w:val="22"/>
          </w:rPr>
          <w:t>https://www.nice.org.uk/guidance</w:t>
        </w:r>
      </w:hyperlink>
      <w:r w:rsidRPr="00CD7AF9">
        <w:rPr>
          <w:rFonts w:asciiTheme="minorBidi" w:hAnsiTheme="minorBidi"/>
          <w:sz w:val="22"/>
        </w:rPr>
        <w:t xml:space="preserve"> (Accessed: 20 July 2026).</w:t>
      </w:r>
    </w:p>
    <w:p w14:paraId="7F31D0F0" w14:textId="77777777" w:rsidR="00CD7AF9" w:rsidRPr="00CD7AF9" w:rsidRDefault="00CD7AF9" w:rsidP="00CD7AF9">
      <w:pPr>
        <w:tabs>
          <w:tab w:val="left" w:pos="6540"/>
        </w:tabs>
        <w:spacing w:line="360" w:lineRule="auto"/>
        <w:rPr>
          <w:rFonts w:asciiTheme="minorBidi" w:hAnsiTheme="minorBidi"/>
          <w:sz w:val="22"/>
        </w:rPr>
      </w:pPr>
      <w:r w:rsidRPr="00CD7AF9">
        <w:rPr>
          <w:rFonts w:asciiTheme="minorBidi" w:hAnsiTheme="minorBidi"/>
          <w:b/>
          <w:bCs/>
          <w:sz w:val="22"/>
        </w:rPr>
        <w:t>Skills for Care</w:t>
      </w:r>
      <w:r w:rsidRPr="00CD7AF9">
        <w:rPr>
          <w:rFonts w:asciiTheme="minorBidi" w:hAnsiTheme="minorBidi"/>
          <w:sz w:val="22"/>
        </w:rPr>
        <w:t xml:space="preserve"> (2023) </w:t>
      </w:r>
      <w:r w:rsidRPr="00CD7AF9">
        <w:rPr>
          <w:rFonts w:asciiTheme="minorBidi" w:hAnsiTheme="minorBidi"/>
          <w:i/>
          <w:iCs/>
          <w:sz w:val="22"/>
        </w:rPr>
        <w:t>The State of the Adult Social Care Sector and Workforce</w:t>
      </w:r>
      <w:r w:rsidRPr="00CD7AF9">
        <w:rPr>
          <w:rFonts w:asciiTheme="minorBidi" w:hAnsiTheme="minorBidi"/>
          <w:sz w:val="22"/>
        </w:rPr>
        <w:t xml:space="preserve">. Leeds: Skills for Care. Available at: https://www.skillsforcare.org.uk </w:t>
      </w:r>
      <w:hyperlink r:id="rId12" w:tgtFrame="_blank" w:tooltip="www.bing.com" w:history="1">
        <w:r w:rsidRPr="00CD7AF9">
          <w:rPr>
            <w:rStyle w:val="Hyperlink"/>
            <w:rFonts w:asciiTheme="minorBidi" w:hAnsiTheme="minorBidi"/>
            <w:sz w:val="22"/>
          </w:rPr>
          <w:t>(skillsforcare.org.uk in Bing)</w:t>
        </w:r>
      </w:hyperlink>
      <w:r w:rsidRPr="00CD7AF9">
        <w:rPr>
          <w:rFonts w:asciiTheme="minorBidi" w:hAnsiTheme="minorBidi"/>
          <w:sz w:val="22"/>
        </w:rPr>
        <w:t xml:space="preserve"> (Accessed: 20 July 2026).</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E3029" w14:textId="77777777" w:rsidR="00DA6CFB" w:rsidRDefault="00DA6CFB" w:rsidP="003E4ECF">
      <w:pPr>
        <w:spacing w:after="0" w:line="240" w:lineRule="auto"/>
      </w:pPr>
      <w:r>
        <w:separator/>
      </w:r>
    </w:p>
  </w:endnote>
  <w:endnote w:type="continuationSeparator" w:id="0">
    <w:p w14:paraId="6ED62AF8" w14:textId="77777777" w:rsidR="00DA6CFB" w:rsidRDefault="00DA6CF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94EB0" w14:textId="77777777" w:rsidR="00DA6CFB" w:rsidRDefault="00DA6CFB" w:rsidP="003E4ECF">
      <w:pPr>
        <w:spacing w:after="0" w:line="240" w:lineRule="auto"/>
      </w:pPr>
      <w:r>
        <w:separator/>
      </w:r>
    </w:p>
  </w:footnote>
  <w:footnote w:type="continuationSeparator" w:id="0">
    <w:p w14:paraId="39605CEA" w14:textId="77777777" w:rsidR="00DA6CFB" w:rsidRDefault="00DA6CFB"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6393A"/>
    <w:rsid w:val="00273EDD"/>
    <w:rsid w:val="002C3965"/>
    <w:rsid w:val="00321C4C"/>
    <w:rsid w:val="00392BBC"/>
    <w:rsid w:val="003E4ECF"/>
    <w:rsid w:val="004A736E"/>
    <w:rsid w:val="00687618"/>
    <w:rsid w:val="006925AA"/>
    <w:rsid w:val="00725177"/>
    <w:rsid w:val="007A1B8D"/>
    <w:rsid w:val="00814A9E"/>
    <w:rsid w:val="008E3943"/>
    <w:rsid w:val="0090040D"/>
    <w:rsid w:val="009D052C"/>
    <w:rsid w:val="009D1D1E"/>
    <w:rsid w:val="00A035FD"/>
    <w:rsid w:val="00AD23A0"/>
    <w:rsid w:val="00B87E75"/>
    <w:rsid w:val="00C0307A"/>
    <w:rsid w:val="00CD33A8"/>
    <w:rsid w:val="00CD7AF9"/>
    <w:rsid w:val="00DA6CFB"/>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CD7AF9"/>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CD7AF9"/>
    <w:pPr>
      <w:spacing w:after="100"/>
    </w:pPr>
  </w:style>
  <w:style w:type="character" w:styleId="Hyperlink">
    <w:name w:val="Hyperlink"/>
    <w:basedOn w:val="DefaultParagraphFont"/>
    <w:uiPriority w:val="99"/>
    <w:unhideWhenUsed/>
    <w:rsid w:val="00CD7AF9"/>
    <w:rPr>
      <w:color w:val="0563C1" w:themeColor="hyperlink"/>
      <w:u w:val="single"/>
    </w:rPr>
  </w:style>
  <w:style w:type="character" w:styleId="UnresolvedMention">
    <w:name w:val="Unresolved Mention"/>
    <w:basedOn w:val="DefaultParagraphFont"/>
    <w:uiPriority w:val="99"/>
    <w:semiHidden/>
    <w:unhideWhenUsed/>
    <w:rsid w:val="00CD7A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22https%3A%2F%2Fwww.gov.uk%2Fgovernment%2Fpublications%2Fcare-act-2014-statutory-guidance-for-implementation%22&amp;utm_source=copilot.com"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bing.com/search?q=%22https%3A%2F%2Fwww.skillsforcare.org.uk%2F%22&amp;utm_source=copilo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ice.org.uk/guidance?utm_source=copilot.com"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ngland.nhs.uk/?utm_source=copilot.com" TargetMode="External"/><Relationship Id="rId4" Type="http://schemas.openxmlformats.org/officeDocument/2006/relationships/footnotes" Target="footnotes.xml"/><Relationship Id="rId9" Type="http://schemas.openxmlformats.org/officeDocument/2006/relationships/hyperlink" Target="https://www.cqc.org.uk/?utm_source=copilo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799</Words>
  <Characters>5034</Characters>
  <Application>Microsoft Office Word</Application>
  <DocSecurity>0</DocSecurity>
  <Lines>74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Izzie-louise Hickling</cp:lastModifiedBy>
  <cp:revision>2</cp:revision>
  <dcterms:created xsi:type="dcterms:W3CDTF">2026-07-19T23:48:00Z</dcterms:created>
  <dcterms:modified xsi:type="dcterms:W3CDTF">2026-07-19T23:48:00Z</dcterms:modified>
</cp:coreProperties>
</file>