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pPr>
      <w:r w:rsidDel="00000000" w:rsidR="00000000" w:rsidRPr="00000000">
        <w:rPr>
          <w:rtl w:val="0"/>
        </w:rPr>
        <w:t xml:space="preserve">Globalisation and Major Forces Shaping the Global Business Environment:</w:t>
        <w:br w:type="textWrapping"/>
        <w:t xml:space="preserve">A Critical Analysis of Unilever</w:t>
      </w:r>
    </w:p>
    <w:p w:rsidR="00000000" w:rsidDel="00000000" w:rsidP="00000000" w:rsidRDefault="00000000" w:rsidRPr="00000000" w14:paraId="00000002">
      <w:pPr>
        <w:rPr/>
      </w:pPr>
      <w:r w:rsidDel="00000000" w:rsidR="00000000" w:rsidRPr="00000000">
        <w:rPr>
          <w:b w:val="1"/>
          <w:bCs w:val="1"/>
          <w:rtl w:val="0"/>
        </w:rPr>
        <w:t xml:space="preserve">Student Name: </w:t>
      </w:r>
      <w:r w:rsidDel="00000000" w:rsidR="00000000" w:rsidRPr="00000000">
        <w:rPr>
          <w:rtl w:val="0"/>
        </w:rPr>
        <w:t xml:space="preserve">Raluca Nicolici</w:t>
      </w:r>
    </w:p>
    <w:p w:rsidR="00000000" w:rsidDel="00000000" w:rsidP="00000000" w:rsidRDefault="00000000" w:rsidRPr="00000000" w14:paraId="00000003">
      <w:pPr>
        <w:rPr/>
      </w:pPr>
      <w:r w:rsidDel="00000000" w:rsidR="00000000" w:rsidRPr="00000000">
        <w:rPr>
          <w:b w:val="1"/>
          <w:bCs w:val="1"/>
          <w:rtl w:val="0"/>
        </w:rPr>
        <w:t xml:space="preserve">Student Number: </w:t>
      </w:r>
      <w:r w:rsidDel="00000000" w:rsidR="00000000" w:rsidRPr="00000000">
        <w:rPr>
          <w:rtl w:val="0"/>
        </w:rPr>
        <w:t xml:space="preserve">2311955</w:t>
      </w:r>
    </w:p>
    <w:p w:rsidR="00000000" w:rsidDel="00000000" w:rsidP="00000000" w:rsidRDefault="00000000" w:rsidRPr="00000000" w14:paraId="00000004">
      <w:pPr>
        <w:rPr/>
      </w:pPr>
      <w:r w:rsidDel="00000000" w:rsidR="00000000" w:rsidRPr="00000000">
        <w:rPr>
          <w:b w:val="1"/>
          <w:bCs w:val="1"/>
          <w:rtl w:val="0"/>
        </w:rPr>
        <w:t xml:space="preserve">Module: </w:t>
      </w:r>
      <w:r w:rsidDel="00000000" w:rsidR="00000000" w:rsidRPr="00000000">
        <w:rPr>
          <w:rtl w:val="0"/>
        </w:rPr>
        <w:t xml:space="preserve">Global Business Environment</w:t>
      </w:r>
    </w:p>
    <w:p w:rsidR="00000000" w:rsidDel="00000000" w:rsidP="00000000" w:rsidRDefault="00000000" w:rsidRPr="00000000" w14:paraId="00000005">
      <w:pPr>
        <w:rPr/>
      </w:pPr>
      <w:r w:rsidDel="00000000" w:rsidR="00000000" w:rsidRPr="00000000">
        <w:rPr>
          <w:b w:val="1"/>
          <w:bCs w:val="1"/>
          <w:rtl w:val="0"/>
        </w:rPr>
        <w:t xml:space="preserve">Assessment: </w:t>
      </w:r>
      <w:r w:rsidDel="00000000" w:rsidR="00000000" w:rsidRPr="00000000">
        <w:rPr>
          <w:rtl w:val="0"/>
        </w:rPr>
        <w:t xml:space="preserve">Component 1 – Individual Essay</w:t>
      </w:r>
    </w:p>
    <w:p w:rsidR="00000000" w:rsidDel="00000000" w:rsidP="00000000" w:rsidRDefault="00000000" w:rsidRPr="00000000" w14:paraId="00000006">
      <w:pPr>
        <w:rPr/>
      </w:pPr>
      <w:r w:rsidDel="00000000" w:rsidR="00000000" w:rsidRPr="00000000">
        <w:rPr>
          <w:rtl w:val="0"/>
        </w:rPr>
        <w:br w:type="textWrapping"/>
      </w:r>
    </w:p>
    <w:p w:rsidR="00000000" w:rsidDel="00000000" w:rsidP="00000000" w:rsidRDefault="00000000" w:rsidRPr="00000000" w14:paraId="00000007">
      <w:pPr>
        <w:pStyle w:val="Heading2"/>
        <w:rPr/>
      </w:pPr>
      <w:r w:rsidDel="00000000" w:rsidR="00000000" w:rsidRPr="00000000">
        <w:rPr>
          <w:rtl w:val="0"/>
        </w:rPr>
        <w:t xml:space="preserve">Introduction</w:t>
      </w:r>
    </w:p>
    <w:p w:rsidR="00000000" w:rsidDel="00000000" w:rsidP="00000000" w:rsidRDefault="00000000" w:rsidRPr="00000000" w14:paraId="00000008">
      <w:pPr>
        <w:rPr/>
      </w:pPr>
      <w:r w:rsidDel="00000000" w:rsidR="00000000" w:rsidRPr="00000000">
        <w:rPr>
          <w:rtl w:val="0"/>
        </w:rPr>
        <w:t xml:space="preserve">Globalisation refers to the increasing integration of economies, societies and markets through trade, technology, investment flows and the movement of labour (Giddens, 2018). It has significantly reshaped global business practices by expanding cross-border operations, increasing competition and accelerating technological change. Multinational enterprises must continuously adapt to global economic, political and social forces to remain competitive (Hill, 2022).</w:t>
        <w:br w:type="textWrapping"/>
        <w:br w:type="textWrapping"/>
        <w:t xml:space="preserve">This essay critically examines the influence of globalisation on Unilever, a UK-based multinational operating in more than 190 countries. As one of the world’s largest fast-moving consumer goods companies, Unilever provides a strong example of how globalisation presents both opportunities and challenges. The essay analyses the dual impact of globalisation, evaluates the major global forces shaping Unilever’s strategic and operational decisions, and offers practical recommendations for sustaining global competitiveness.</w:t>
      </w:r>
    </w:p>
    <w:p w:rsidR="00000000" w:rsidDel="00000000" w:rsidP="00000000" w:rsidRDefault="00000000" w:rsidRPr="00000000" w14:paraId="00000009">
      <w:pPr>
        <w:pStyle w:val="Heading2"/>
        <w:rPr/>
      </w:pPr>
      <w:r w:rsidDel="00000000" w:rsidR="00000000" w:rsidRPr="00000000">
        <w:rPr>
          <w:rtl w:val="0"/>
        </w:rPr>
        <w:t xml:space="preserve">Globalisation’s Dual Impact</w:t>
      </w:r>
    </w:p>
    <w:p w:rsidR="00000000" w:rsidDel="00000000" w:rsidP="00000000" w:rsidRDefault="00000000" w:rsidRPr="00000000" w14:paraId="0000000A">
      <w:pPr>
        <w:rPr/>
      </w:pPr>
      <w:r w:rsidDel="00000000" w:rsidR="00000000" w:rsidRPr="00000000">
        <w:rPr>
          <w:rtl w:val="0"/>
        </w:rPr>
        <w:t xml:space="preserve">One of the primary advantages of globalisation for Unilever is expanded market access. By operating across developed and emerging markets, the company diversifies its revenue streams and reduces dependency on a single economy (Hill, 2022). Globalisation also enables economies of scale through integrated supply chains and centralised procurement (Peng, 2021).</w:t>
        <w:br w:type="textWrapping"/>
        <w:br w:type="textWrapping"/>
        <w:t xml:space="preserve">However, globalisation exposes Unilever to risks including geopolitical instability, currency fluctuations (Madura, 2020), cultural differences (Hofstede, 2011), and intensified global competition. These challenges require constant strategic adaptation.</w:t>
      </w:r>
    </w:p>
    <w:p w:rsidR="00000000" w:rsidDel="00000000" w:rsidP="00000000" w:rsidRDefault="00000000" w:rsidRPr="00000000" w14:paraId="0000000B">
      <w:pPr>
        <w:pStyle w:val="Heading2"/>
        <w:rPr/>
      </w:pPr>
      <w:r w:rsidDel="00000000" w:rsidR="00000000" w:rsidRPr="00000000">
        <w:rPr>
          <w:rtl w:val="0"/>
        </w:rPr>
        <w:t xml:space="preserve">Major Global Forces Affecting Unilever</w:t>
      </w:r>
    </w:p>
    <w:p w:rsidR="00000000" w:rsidDel="00000000" w:rsidP="00000000" w:rsidRDefault="00000000" w:rsidRPr="00000000" w14:paraId="0000000C">
      <w:pPr>
        <w:rPr/>
      </w:pPr>
      <w:r w:rsidDel="00000000" w:rsidR="00000000" w:rsidRPr="00000000">
        <w:rPr>
          <w:rtl w:val="0"/>
        </w:rPr>
        <w:t xml:space="preserve">Technological advancements such as artificial intelligence and digital transformation influence production and marketing (Schwab, 2017). Political risks including Brexit and trade tensions disrupt supply chains (Dhingra et al., 2021; World Trade Organization, 2023). Talent management challenges arise from managing a diverse global workforce (Collings, Scullion and Morley, 2007).</w:t>
        <w:br w:type="textWrapping"/>
        <w:br w:type="textWrapping"/>
        <w:t xml:space="preserve">Economic inequality and sustainability pressures shape consumer behaviour and corporate responsibility strategies (Porter and Kramer, 2011). Cultural diversity requires balancing global brand consistency with local adaptation (Hofstede, 2011).</w:t>
      </w:r>
    </w:p>
    <w:p w:rsidR="00000000" w:rsidDel="00000000" w:rsidP="00000000" w:rsidRDefault="00000000" w:rsidRPr="00000000" w14:paraId="0000000D">
      <w:pPr>
        <w:pStyle w:val="Heading2"/>
        <w:rPr/>
      </w:pPr>
      <w:r w:rsidDel="00000000" w:rsidR="00000000" w:rsidRPr="00000000">
        <w:rPr>
          <w:rtl w:val="0"/>
        </w:rPr>
        <w:t xml:space="preserve">Strategic Recommendations</w:t>
      </w:r>
    </w:p>
    <w:p w:rsidR="00000000" w:rsidDel="00000000" w:rsidP="00000000" w:rsidRDefault="00000000" w:rsidRPr="00000000" w14:paraId="0000000E">
      <w:pPr>
        <w:rPr/>
      </w:pPr>
      <w:r w:rsidDel="00000000" w:rsidR="00000000" w:rsidRPr="00000000">
        <w:rPr>
          <w:rtl w:val="0"/>
        </w:rPr>
        <w:t xml:space="preserve">Unilever should strengthen supply chain resilience, accelerate digital innovation, enhance global talent development, deepen sustainability integration, and promote localised innovation strategies. These actions will help the company manage global risks while leveraging opportunities created by globalisation.</w:t>
      </w:r>
    </w:p>
    <w:p w:rsidR="00000000" w:rsidDel="00000000" w:rsidP="00000000" w:rsidRDefault="00000000" w:rsidRPr="00000000" w14:paraId="0000000F">
      <w:pPr>
        <w:pStyle w:val="Heading2"/>
        <w:rPr/>
      </w:pPr>
      <w:r w:rsidDel="00000000" w:rsidR="00000000" w:rsidRPr="00000000">
        <w:rPr>
          <w:rtl w:val="0"/>
        </w:rPr>
        <w:t xml:space="preserve">Conclusion</w:t>
      </w:r>
    </w:p>
    <w:p w:rsidR="00000000" w:rsidDel="00000000" w:rsidP="00000000" w:rsidRDefault="00000000" w:rsidRPr="00000000" w14:paraId="00000010">
      <w:pPr>
        <w:rPr/>
      </w:pPr>
      <w:r w:rsidDel="00000000" w:rsidR="00000000" w:rsidRPr="00000000">
        <w:rPr>
          <w:rtl w:val="0"/>
        </w:rPr>
        <w:t xml:space="preserve">Globalisation has profoundly shaped Unilever’s global operations by creating market expansion opportunities while introducing geopolitical, technological and cultural challenges. Understanding and adapting to these global forces is essential for long-term strategic success in the international business environment.</w:t>
      </w:r>
    </w:p>
    <w:p w:rsidR="00000000" w:rsidDel="00000000" w:rsidP="00000000" w:rsidRDefault="00000000" w:rsidRPr="00000000" w14:paraId="00000011">
      <w:pPr>
        <w:pStyle w:val="Heading2"/>
        <w:rPr/>
      </w:pPr>
      <w:r w:rsidDel="00000000" w:rsidR="00000000" w:rsidRPr="00000000">
        <w:rPr>
          <w:rtl w:val="0"/>
        </w:rPr>
        <w:t xml:space="preserve">Harvard Reference List</w:t>
      </w:r>
    </w:p>
    <w:p w:rsidR="00000000" w:rsidDel="00000000" w:rsidP="00000000" w:rsidRDefault="00000000" w:rsidRPr="00000000" w14:paraId="00000012">
      <w:pPr>
        <w:rPr/>
      </w:pPr>
      <w:r w:rsidDel="00000000" w:rsidR="00000000" w:rsidRPr="00000000">
        <w:rPr>
          <w:rtl w:val="0"/>
        </w:rPr>
        <w:t xml:space="preserve">Bartlett, C.A. and Ghoshal, S. (1989) Managing across borders: The transnational solution. Boston: Harvard Business School Press.</w:t>
        <w:br w:type="textWrapping"/>
        <w:t xml:space="preserve">Collings, D.G., Scullion, H. and Morley, M.J. (2007) Changing patterns of global staffing in the multinational enterprise. Journal of World Business, 42(2), pp. 198–213.</w:t>
        <w:br w:type="textWrapping"/>
        <w:t xml:space="preserve">Dhingra, S., Ottaviano, G., Sampson, T. and Van Reenen, J. (2021) The consequences of Brexit for UK trade and living standards. Economic Policy, 36(106), pp. 231–268.</w:t>
        <w:br w:type="textWrapping"/>
        <w:t xml:space="preserve">Giddens, A. (2018) Runaway world: How globalisation is reshaping our lives. London: Profile Books.</w:t>
        <w:br w:type="textWrapping"/>
        <w:t xml:space="preserve">Hill, C.W.L. (2022) International business: Competing in the global marketplace. 13th edn. New York: McGraw-Hill.</w:t>
        <w:br w:type="textWrapping"/>
        <w:t xml:space="preserve">Hofstede, G. (2011) Dimensionalizing cultures: The Hofstede model in context. Online Readings in Psychology and Culture, 2(1), pp. 1–26.</w:t>
        <w:br w:type="textWrapping"/>
        <w:t xml:space="preserve">Madura, J. (2020) International financial management. 13th edn. Boston: Cengage Learning.</w:t>
        <w:br w:type="textWrapping"/>
        <w:t xml:space="preserve">McKinsey Global Institute (2016) Digital globalization: The new era of global flows. McKinsey &amp; Company.</w:t>
        <w:br w:type="textWrapping"/>
        <w:t xml:space="preserve">Peng, M.W. (2021) Global business. 5th edn. Boston: Cengage Learning.</w:t>
        <w:br w:type="textWrapping"/>
        <w:t xml:space="preserve">Porter, M.E. and Kramer, M.R. (2011) Creating shared value. Harvard Business Review, 89(1/2), pp. 62–77.</w:t>
        <w:br w:type="textWrapping"/>
        <w:t xml:space="preserve">Schwab, K. (2017) The fourth industrial revolution. London: Penguin.</w:t>
        <w:br w:type="textWrapping"/>
        <w:t xml:space="preserve">World Trade Organization (2023) World trade report 2023. Geneva: WTO.</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