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69F235"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32"/>
          <w:szCs w:val="32"/>
        </w:rPr>
      </w:pPr>
      <w:r w:rsidRPr="00D40429">
        <w:rPr>
          <w:rFonts w:ascii="Times New Roman" w:eastAsia="Times New Roman" w:hAnsi="Times New Roman" w:cs="Times New Roman"/>
          <w:b/>
          <w:bCs/>
          <w:sz w:val="32"/>
          <w:szCs w:val="32"/>
        </w:rPr>
        <w:t>Comparing Learner Engagement in Traditional and AI-Enhanced Learning Management Systems</w:t>
      </w:r>
    </w:p>
    <w:p w14:paraId="307DBC4A"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t>Abstract</w:t>
      </w:r>
    </w:p>
    <w:p w14:paraId="62AD1EF9"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This research proposal outlines a study designed to compare learner engagement in higher education settings using two different Learning Management Systems (LMS): Moodle, a traditional LMS, and Coursa, an AI-enhanced LMS. The study will employ a mixed-methods approach, combining quantitative and qualitative data collection and analysis, to examine the impact of LMS type on overall, cognitive, emotional, and behavioral engagement. The findings are expected to contribute to the understanding of how LMS design, particularly the integration of AI, influences learner engagement and to provide practical implications for the design of effective digital learning environments.</w:t>
      </w:r>
    </w:p>
    <w:p w14:paraId="268A2A39"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t>1. Introduction</w:t>
      </w:r>
    </w:p>
    <w:p w14:paraId="1D829889"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t>1.1 Background and Context</w:t>
      </w:r>
    </w:p>
    <w:p w14:paraId="362292B7"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 xml:space="preserve">The integration of technology has become a defining characteristic of contemporary higher education, fundamentally reshaping the learning experience. Learning Management Systems (LMSs), which initially served as repositories for course materials, have evolved into dynamic platforms that support a wide range of pedagogical activities, including interaction, collaboration, and personalized instruction. This evolution has been significantly influenced by the advancement of Artificial Intelligence (AI), which has enabled LMS platforms to adapt to individual learner needs and behaviors in real-time.   </w:t>
      </w:r>
    </w:p>
    <w:p w14:paraId="6763533D"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 xml:space="preserve">As educational institutions increasingly adopt diverse LMS solutions, ranging from established systems like Moodle to innovative AI-driven platforms like Coursa, it is crucial to investigate their relative effectiveness in fostering student engagement. Moodle, known for its open-source architecture and flexibility, provides a comprehensive suite of tools for course management and delivery. In contrast, AI-enhanced LMS platforms like Coursa utilize machine learning algorithms to offer adaptive feedback, personalized learning pathways, and predictive analytics for early intervention. While AI-driven features hold the potential to enhance learner engagement and instructional efficiency, they also raise important considerations related to ethical implications, such as data privacy and algorithmic transparency.   </w:t>
      </w:r>
    </w:p>
    <w:p w14:paraId="687D466A"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 xml:space="preserve">Therefore, a thorough examination of how these different LMS types influence learner engagement is essential to inform evidence-based decision-making in online education and to guide the development of more effective and engaging digital learning environments.   </w:t>
      </w:r>
    </w:p>
    <w:p w14:paraId="290348FF"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t>1.2 Research Problem</w:t>
      </w:r>
    </w:p>
    <w:p w14:paraId="7E14151B"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 xml:space="preserve">Learner engagement is a critical factor in predicting student success, persistence, and satisfaction in online learning environments. While extensive research has explored the concept of learner engagement within digital learning environments, a significant gap remains in studies that directly compare traditional LMS platforms with AI-enhanced alternatives. Much of the existing research </w:t>
      </w:r>
      <w:r w:rsidRPr="006B3FCE">
        <w:rPr>
          <w:rFonts w:ascii="Times New Roman" w:eastAsia="Times New Roman" w:hAnsi="Times New Roman" w:cs="Times New Roman"/>
          <w:sz w:val="24"/>
          <w:szCs w:val="24"/>
        </w:rPr>
        <w:lastRenderedPageBreak/>
        <w:t xml:space="preserve">tends to examine either the features of AI technologies in isolation or the design of structured LMS platforms without a comparative analysis. Consequently, there is a limited understanding of how AI-driven personalization specifically influences the key dimensions of learner engagement: cognitive, emotional, and behavioral.   </w:t>
      </w:r>
    </w:p>
    <w:p w14:paraId="637AAF08"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 xml:space="preserve">This lack of comparative research hinders the ability of educational institutions to make informed decisions regarding the selection and implementation of LMS platforms that effectively support and promote student engagement. To address this gap, this study aims to conduct an empirical comparison of learner engagement levels among students using Moodle, a traditional LMS, and those using Coursa, an AI-enhanced LMS.   </w:t>
      </w:r>
    </w:p>
    <w:p w14:paraId="7499BA6B"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t>1.3 Research Questions</w:t>
      </w:r>
    </w:p>
    <w:p w14:paraId="48918605"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This study seeks to answer the following research questions:</w:t>
      </w:r>
    </w:p>
    <w:p w14:paraId="11CF3E11" w14:textId="77777777" w:rsidR="006B3FCE" w:rsidRPr="006B3FCE" w:rsidRDefault="006B3FCE" w:rsidP="00D40429">
      <w:pPr>
        <w:numPr>
          <w:ilvl w:val="0"/>
          <w:numId w:val="1"/>
        </w:num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t>Main Research Question:</w:t>
      </w:r>
      <w:r w:rsidRPr="006B3FCE">
        <w:rPr>
          <w:rFonts w:ascii="Times New Roman" w:eastAsia="Times New Roman" w:hAnsi="Times New Roman" w:cs="Times New Roman"/>
          <w:sz w:val="24"/>
          <w:szCs w:val="24"/>
        </w:rPr>
        <w:t xml:space="preserve"> How do traditional and AI-enhanced LMS platforms compare in their impact on overall learner engagement in higher education?</w:t>
      </w:r>
    </w:p>
    <w:p w14:paraId="568CDA41" w14:textId="77777777" w:rsidR="006B3FCE" w:rsidRPr="006B3FCE" w:rsidRDefault="006B3FCE" w:rsidP="00D40429">
      <w:pPr>
        <w:numPr>
          <w:ilvl w:val="0"/>
          <w:numId w:val="1"/>
        </w:num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t>Sub-Questions:</w:t>
      </w:r>
      <w:r w:rsidRPr="006B3FCE">
        <w:rPr>
          <w:rFonts w:ascii="Times New Roman" w:eastAsia="Times New Roman" w:hAnsi="Times New Roman" w:cs="Times New Roman"/>
          <w:sz w:val="24"/>
          <w:szCs w:val="24"/>
        </w:rPr>
        <w:t xml:space="preserve"> </w:t>
      </w:r>
    </w:p>
    <w:p w14:paraId="749DE5C6" w14:textId="77777777" w:rsidR="006B3FCE" w:rsidRPr="006B3FCE" w:rsidRDefault="006B3FCE" w:rsidP="00D40429">
      <w:pPr>
        <w:spacing w:before="100" w:beforeAutospacing="1" w:after="100" w:afterAutospacing="1" w:line="240" w:lineRule="auto"/>
        <w:ind w:left="1440"/>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How does the use of Moodle and Coursa influence the cognitive, emotional, and behavioral dimensions of learner engagement?</w:t>
      </w:r>
    </w:p>
    <w:p w14:paraId="6884C7ED" w14:textId="77777777" w:rsidR="006B3FCE" w:rsidRPr="006B3FCE" w:rsidRDefault="006B3FCE" w:rsidP="00D40429">
      <w:pPr>
        <w:spacing w:before="100" w:beforeAutospacing="1" w:after="100" w:afterAutospacing="1" w:line="240" w:lineRule="auto"/>
        <w:ind w:left="1440"/>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To what extent does prior online learning experience moderate the relationship between LMS platform type and learner engagement?</w:t>
      </w:r>
    </w:p>
    <w:p w14:paraId="48F6B79F"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t>1.4 Aims and Objectives</w:t>
      </w:r>
    </w:p>
    <w:p w14:paraId="3BEF3783"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 xml:space="preserve">The primary aim of this research is to compare learner engagement across Moodle and Coursa within higher education settings.   </w:t>
      </w:r>
    </w:p>
    <w:p w14:paraId="633173E1"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The specific objectives of the study are:</w:t>
      </w:r>
    </w:p>
    <w:p w14:paraId="7B377007" w14:textId="77777777" w:rsidR="006B3FCE" w:rsidRPr="006B3FCE" w:rsidRDefault="006B3FCE" w:rsidP="00D40429">
      <w:pPr>
        <w:numPr>
          <w:ilvl w:val="0"/>
          <w:numId w:val="2"/>
        </w:num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 xml:space="preserve">To examine the impact of LMS platform type (Moodle vs. Coursa) on overall learner engagement.   </w:t>
      </w:r>
    </w:p>
    <w:p w14:paraId="18D1AEF6" w14:textId="77777777" w:rsidR="006B3FCE" w:rsidRPr="006B3FCE" w:rsidRDefault="006B3FCE" w:rsidP="00D40429">
      <w:pPr>
        <w:numPr>
          <w:ilvl w:val="0"/>
          <w:numId w:val="2"/>
        </w:num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 xml:space="preserve">To assess differences in cognitive, emotional, and behavioral engagement between students using Moodle and Coursa.   </w:t>
      </w:r>
    </w:p>
    <w:p w14:paraId="3F31D4EE" w14:textId="77777777" w:rsidR="006B3FCE" w:rsidRPr="006B3FCE" w:rsidRDefault="006B3FCE" w:rsidP="00D40429">
      <w:pPr>
        <w:numPr>
          <w:ilvl w:val="0"/>
          <w:numId w:val="2"/>
        </w:num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 xml:space="preserve">To investigate the role of prior online learning experience as a covariate in the analysis of learner engagement.   </w:t>
      </w:r>
    </w:p>
    <w:p w14:paraId="75C285D3"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t>1.5 Significance of the Study</w:t>
      </w:r>
    </w:p>
    <w:p w14:paraId="4294E7EA"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 xml:space="preserve">This study is significant because student engagement is a well-established predictor of various positive outcomes in online learning, including academic success, persistence, and satisfaction. As digital learning environments continue to expand and play an increasingly central role in higher education, it is crucial to understand how LMS platforms can be designed and utilized to effectively support and enhance student engagement.   </w:t>
      </w:r>
    </w:p>
    <w:p w14:paraId="6591C403"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lastRenderedPageBreak/>
        <w:t xml:space="preserve">The findings of this research will provide empirical evidence on the impact of AI-enhanced LMS design on learner engagement outcomes. This evidence can inform the development and implementation of more responsive and learner-centered learning systems, offering practical guidance for educational institutions seeking to adopt platforms that foster sustained and meaningful engagement through adaptive and personalized learning experiences.   </w:t>
      </w:r>
    </w:p>
    <w:p w14:paraId="24199649"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t>2. Literature Review</w:t>
      </w:r>
    </w:p>
    <w:p w14:paraId="04A73747"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t>2.1 Learner Engagement</w:t>
      </w:r>
    </w:p>
    <w:p w14:paraId="1E006095"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t>2.1.1 Defining Learner Engagement</w:t>
      </w:r>
    </w:p>
    <w:p w14:paraId="0F85FA0A"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 xml:space="preserve">Learner engagement is a multifaceted construct that reflects the quality and quantity of students' involvement in the learning process. It encompasses the attention, interest, motivation, and effort that students invest in their learning activities. Rather than being a fixed trait, learner engagement is dynamic and emerges from the complex interactions between learners, instructors, peers, and the learning environment. It includes both observable behaviors, such as participation and task completion, and internal states, such as motivation and affect, that contribute to academic success and sustained learning.   </w:t>
      </w:r>
    </w:p>
    <w:p w14:paraId="21D6172B"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t>2.1.2 Dimensions of Learner Engagement</w:t>
      </w:r>
    </w:p>
    <w:p w14:paraId="2D4395AD"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 xml:space="preserve">Fredricks, Blumenfeld, and Paris (2004) proposed a widely recognized framework that identifies three key dimensions of learner engagement:   </w:t>
      </w:r>
    </w:p>
    <w:p w14:paraId="14D1EB83" w14:textId="77777777" w:rsidR="006B3FCE" w:rsidRPr="006B3FCE" w:rsidRDefault="006B3FCE" w:rsidP="00D40429">
      <w:pPr>
        <w:numPr>
          <w:ilvl w:val="0"/>
          <w:numId w:val="3"/>
        </w:num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t>Behavioral Engagement:</w:t>
      </w:r>
      <w:r w:rsidRPr="006B3FCE">
        <w:rPr>
          <w:rFonts w:ascii="Times New Roman" w:eastAsia="Times New Roman" w:hAnsi="Times New Roman" w:cs="Times New Roman"/>
          <w:sz w:val="24"/>
          <w:szCs w:val="24"/>
        </w:rPr>
        <w:t xml:space="preserve"> This dimension refers to students' active participation and involvement in learning activities, including attendance, task completion, and classroom participation.   </w:t>
      </w:r>
    </w:p>
    <w:p w14:paraId="5444B603" w14:textId="77777777" w:rsidR="006B3FCE" w:rsidRPr="006B3FCE" w:rsidRDefault="006B3FCE" w:rsidP="00D40429">
      <w:pPr>
        <w:numPr>
          <w:ilvl w:val="0"/>
          <w:numId w:val="3"/>
        </w:num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t>Emotional Engagement:</w:t>
      </w:r>
      <w:r w:rsidRPr="006B3FCE">
        <w:rPr>
          <w:rFonts w:ascii="Times New Roman" w:eastAsia="Times New Roman" w:hAnsi="Times New Roman" w:cs="Times New Roman"/>
          <w:sz w:val="24"/>
          <w:szCs w:val="24"/>
        </w:rPr>
        <w:t xml:space="preserve"> This dimension encompasses students' affective reactions to the learning environment, such as interest, enjoyment, enthusiasm, and a sense of belonging.   </w:t>
      </w:r>
    </w:p>
    <w:p w14:paraId="6B077E7C" w14:textId="77777777" w:rsidR="006B3FCE" w:rsidRPr="006B3FCE" w:rsidRDefault="006B3FCE" w:rsidP="00D40429">
      <w:pPr>
        <w:numPr>
          <w:ilvl w:val="0"/>
          <w:numId w:val="3"/>
        </w:num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t>Cognitive Engagement:</w:t>
      </w:r>
      <w:r w:rsidRPr="006B3FCE">
        <w:rPr>
          <w:rFonts w:ascii="Times New Roman" w:eastAsia="Times New Roman" w:hAnsi="Times New Roman" w:cs="Times New Roman"/>
          <w:sz w:val="24"/>
          <w:szCs w:val="24"/>
        </w:rPr>
        <w:t xml:space="preserve"> This dimension involves students' investment in learning, including their use of learning strategies, critical thinking skills, and self-regulation to master complex material.   </w:t>
      </w:r>
    </w:p>
    <w:p w14:paraId="198C3C62"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 xml:space="preserve">These three dimensions are interconnected and contribute to overall learner engagement. Research has consistently demonstrated that higher levels of engagement across these dimensions are associated with improved academic performance, increased motivation, and greater persistence in educational settings.   </w:t>
      </w:r>
    </w:p>
    <w:p w14:paraId="33F52D48"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t>2.1.3 Theoretical Perspectives on Learner Engagement</w:t>
      </w:r>
    </w:p>
    <w:p w14:paraId="5FD6E70A"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Several theoretical frameworks offer valuable insights into the factors and processes that influence learner engagement, particularly in technology-enhanced learning environments:</w:t>
      </w:r>
    </w:p>
    <w:p w14:paraId="526A5A33" w14:textId="77777777" w:rsidR="006B3FCE" w:rsidRPr="006B3FCE" w:rsidRDefault="006B3FCE" w:rsidP="00D40429">
      <w:pPr>
        <w:numPr>
          <w:ilvl w:val="0"/>
          <w:numId w:val="4"/>
        </w:num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t>Self-Determination Theory (SDT):</w:t>
      </w:r>
      <w:r w:rsidRPr="006B3FCE">
        <w:rPr>
          <w:rFonts w:ascii="Times New Roman" w:eastAsia="Times New Roman" w:hAnsi="Times New Roman" w:cs="Times New Roman"/>
          <w:sz w:val="24"/>
          <w:szCs w:val="24"/>
        </w:rPr>
        <w:t xml:space="preserve"> Developed by Deci and Ryan (2000), SDT posits that learners are more likely to be intrinsically motivated and engaged when their basic </w:t>
      </w:r>
      <w:r w:rsidRPr="006B3FCE">
        <w:rPr>
          <w:rFonts w:ascii="Times New Roman" w:eastAsia="Times New Roman" w:hAnsi="Times New Roman" w:cs="Times New Roman"/>
          <w:sz w:val="24"/>
          <w:szCs w:val="24"/>
        </w:rPr>
        <w:lastRenderedPageBreak/>
        <w:t xml:space="preserve">psychological needs for autonomy (a sense of control), competence (a sense of mastery), and relatedness (a sense of belonging) are met. LMS platforms that provide students with choices, opportunities for feedback, and collaborative activities can support these needs and foster engagement. However, SDT does not explicitly address the role of technology or AI in shaping learner engagement.   </w:t>
      </w:r>
    </w:p>
    <w:p w14:paraId="55134220" w14:textId="77777777" w:rsidR="006B3FCE" w:rsidRPr="006B3FCE" w:rsidRDefault="006B3FCE" w:rsidP="00D40429">
      <w:pPr>
        <w:spacing w:before="100" w:beforeAutospacing="1" w:after="100" w:afterAutospacing="1" w:line="240" w:lineRule="auto"/>
        <w:ind w:left="720"/>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t>Social Cognitive Theory (SCT):</w:t>
      </w:r>
      <w:r w:rsidRPr="006B3FCE">
        <w:rPr>
          <w:rFonts w:ascii="Times New Roman" w:eastAsia="Times New Roman" w:hAnsi="Times New Roman" w:cs="Times New Roman"/>
          <w:sz w:val="24"/>
          <w:szCs w:val="24"/>
        </w:rPr>
        <w:t xml:space="preserve"> Articulated by Bandura (1986), SCT emphasizes the role of self-efficacy, which is learners' belief in their ability to succeed, as a key driver of engagement. LMS platforms that offer clear learning paths, scaffolding, and opportunities for peer interaction and modeling can enhance self-efficacy and promote engagement. However, SCT may not fully account for the influence of the design and features of digital platforms on learner engagement.   </w:t>
      </w:r>
    </w:p>
    <w:p w14:paraId="5EDC992B" w14:textId="77777777" w:rsidR="006B3FCE" w:rsidRPr="006B3FCE" w:rsidRDefault="006B3FCE" w:rsidP="00D40429">
      <w:pPr>
        <w:spacing w:before="100" w:beforeAutospacing="1" w:after="100" w:afterAutospacing="1" w:line="240" w:lineRule="auto"/>
        <w:ind w:left="720"/>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t>The Educational Interface Model:</w:t>
      </w:r>
      <w:r w:rsidRPr="006B3FCE">
        <w:rPr>
          <w:rFonts w:ascii="Times New Roman" w:eastAsia="Times New Roman" w:hAnsi="Times New Roman" w:cs="Times New Roman"/>
          <w:sz w:val="24"/>
          <w:szCs w:val="24"/>
        </w:rPr>
        <w:t xml:space="preserve"> Proposed by Kahu and Nelson (2018), this model provides a holistic perspective on learner engagement, integrating the influence of institutional practices, technological design, and individual learner characteristics. It highlights the complex interplay between the learning environment and the learner's background, identity, and expectations. While this model offers a comprehensive understanding of the factors that shape learner engagement, it can be challenging to apply in quantitative research.   </w:t>
      </w:r>
    </w:p>
    <w:p w14:paraId="4FECF4C4" w14:textId="77777777" w:rsidR="00D543E4" w:rsidRPr="00D543E4" w:rsidRDefault="00D543E4" w:rsidP="00D40429">
      <w:pPr>
        <w:pStyle w:val="ListParagraph"/>
        <w:spacing w:before="100" w:beforeAutospacing="1" w:after="100" w:afterAutospacing="1" w:line="240" w:lineRule="auto"/>
        <w:jc w:val="both"/>
        <w:outlineLvl w:val="2"/>
        <w:rPr>
          <w:rFonts w:ascii="Times New Roman" w:eastAsia="Times New Roman" w:hAnsi="Times New Roman" w:cs="Times New Roman"/>
          <w:b/>
          <w:bCs/>
          <w:sz w:val="27"/>
          <w:szCs w:val="27"/>
        </w:rPr>
      </w:pPr>
      <w:r w:rsidRPr="00D543E4">
        <w:rPr>
          <w:rFonts w:ascii="Times New Roman" w:eastAsia="Times New Roman" w:hAnsi="Times New Roman" w:cs="Times New Roman"/>
          <w:b/>
          <w:bCs/>
          <w:sz w:val="27"/>
          <w:szCs w:val="27"/>
        </w:rPr>
        <w:t>2.1.4 Philosophical Positioning</w:t>
      </w:r>
    </w:p>
    <w:p w14:paraId="5076DD7E" w14:textId="77777777" w:rsidR="00D543E4" w:rsidRPr="00D543E4" w:rsidRDefault="00D543E4" w:rsidP="00D40429">
      <w:pPr>
        <w:pStyle w:val="ListParagraph"/>
        <w:spacing w:before="100" w:beforeAutospacing="1" w:after="100" w:afterAutospacing="1" w:line="240" w:lineRule="auto"/>
        <w:jc w:val="both"/>
        <w:rPr>
          <w:rFonts w:ascii="Times New Roman" w:eastAsia="Times New Roman" w:hAnsi="Times New Roman" w:cs="Times New Roman"/>
          <w:sz w:val="24"/>
          <w:szCs w:val="24"/>
        </w:rPr>
      </w:pPr>
      <w:r w:rsidRPr="00D543E4">
        <w:rPr>
          <w:rFonts w:ascii="Times New Roman" w:eastAsia="Times New Roman" w:hAnsi="Times New Roman" w:cs="Times New Roman"/>
          <w:sz w:val="24"/>
          <w:szCs w:val="24"/>
        </w:rPr>
        <w:t xml:space="preserve">This study adopts a </w:t>
      </w:r>
      <w:r w:rsidRPr="00D543E4">
        <w:rPr>
          <w:rFonts w:ascii="Times New Roman" w:eastAsia="Times New Roman" w:hAnsi="Times New Roman" w:cs="Times New Roman"/>
          <w:b/>
          <w:bCs/>
          <w:sz w:val="24"/>
          <w:szCs w:val="24"/>
        </w:rPr>
        <w:t>post-positivist philosophical paradigm</w:t>
      </w:r>
      <w:r w:rsidRPr="00D543E4">
        <w:rPr>
          <w:rFonts w:ascii="Times New Roman" w:eastAsia="Times New Roman" w:hAnsi="Times New Roman" w:cs="Times New Roman"/>
          <w:sz w:val="24"/>
          <w:szCs w:val="24"/>
        </w:rPr>
        <w:t xml:space="preserve">, which recognizes that while objective reality exists, our understanding of it is inherently influenced by human perspectives and limitations in measurement. Within this paradigm, </w:t>
      </w:r>
      <w:r w:rsidRPr="00D543E4">
        <w:rPr>
          <w:rFonts w:ascii="Times New Roman" w:eastAsia="Times New Roman" w:hAnsi="Times New Roman" w:cs="Times New Roman"/>
          <w:b/>
          <w:bCs/>
          <w:sz w:val="24"/>
          <w:szCs w:val="24"/>
        </w:rPr>
        <w:t>ontology</w:t>
      </w:r>
      <w:r w:rsidRPr="00D543E4">
        <w:rPr>
          <w:rFonts w:ascii="Times New Roman" w:eastAsia="Times New Roman" w:hAnsi="Times New Roman" w:cs="Times New Roman"/>
          <w:sz w:val="24"/>
          <w:szCs w:val="24"/>
        </w:rPr>
        <w:t xml:space="preserve"> is critical realist—accepting that reality exists independently of human perception, but it can only be approximated through careful, systematic inquiry. </w:t>
      </w:r>
      <w:r w:rsidRPr="00D543E4">
        <w:rPr>
          <w:rFonts w:ascii="Times New Roman" w:eastAsia="Times New Roman" w:hAnsi="Times New Roman" w:cs="Times New Roman"/>
          <w:b/>
          <w:bCs/>
          <w:sz w:val="24"/>
          <w:szCs w:val="24"/>
        </w:rPr>
        <w:t>Epistemologically</w:t>
      </w:r>
      <w:r w:rsidRPr="00D543E4">
        <w:rPr>
          <w:rFonts w:ascii="Times New Roman" w:eastAsia="Times New Roman" w:hAnsi="Times New Roman" w:cs="Times New Roman"/>
          <w:sz w:val="24"/>
          <w:szCs w:val="24"/>
        </w:rPr>
        <w:t>, the study takes a modified objectivist stance, acknowledging that while knowledge can be gained through empirical observation and measurement, it is always subject to error, bias, and the context of the observer.</w:t>
      </w:r>
    </w:p>
    <w:p w14:paraId="7B1BFFE4" w14:textId="77777777" w:rsidR="00D543E4" w:rsidRPr="00D543E4" w:rsidRDefault="00D543E4" w:rsidP="00D40429">
      <w:pPr>
        <w:pStyle w:val="ListParagraph"/>
        <w:spacing w:before="100" w:beforeAutospacing="1" w:after="100" w:afterAutospacing="1" w:line="240" w:lineRule="auto"/>
        <w:jc w:val="both"/>
        <w:rPr>
          <w:rFonts w:ascii="Times New Roman" w:eastAsia="Times New Roman" w:hAnsi="Times New Roman" w:cs="Times New Roman"/>
          <w:sz w:val="24"/>
          <w:szCs w:val="24"/>
        </w:rPr>
      </w:pPr>
      <w:r w:rsidRPr="00D543E4">
        <w:rPr>
          <w:rFonts w:ascii="Times New Roman" w:eastAsia="Times New Roman" w:hAnsi="Times New Roman" w:cs="Times New Roman"/>
          <w:sz w:val="24"/>
          <w:szCs w:val="24"/>
        </w:rPr>
        <w:t xml:space="preserve">This ontological and epistemological orientation justifies the use of </w:t>
      </w:r>
      <w:r w:rsidRPr="00D543E4">
        <w:rPr>
          <w:rFonts w:ascii="Times New Roman" w:eastAsia="Times New Roman" w:hAnsi="Times New Roman" w:cs="Times New Roman"/>
          <w:b/>
          <w:bCs/>
          <w:sz w:val="24"/>
          <w:szCs w:val="24"/>
        </w:rPr>
        <w:t>quantitative methods</w:t>
      </w:r>
      <w:r w:rsidRPr="00D543E4">
        <w:rPr>
          <w:rFonts w:ascii="Times New Roman" w:eastAsia="Times New Roman" w:hAnsi="Times New Roman" w:cs="Times New Roman"/>
          <w:sz w:val="24"/>
          <w:szCs w:val="24"/>
        </w:rPr>
        <w:t xml:space="preserve"> such as structured surveys and statistical analysis, which aim to uncover patterns and relationships in learner engagement across LMS platforms. At the same time, the paradigm is flexible enough to accommodate </w:t>
      </w:r>
      <w:r w:rsidRPr="00D543E4">
        <w:rPr>
          <w:rFonts w:ascii="Times New Roman" w:eastAsia="Times New Roman" w:hAnsi="Times New Roman" w:cs="Times New Roman"/>
          <w:b/>
          <w:bCs/>
          <w:sz w:val="24"/>
          <w:szCs w:val="24"/>
        </w:rPr>
        <w:t>qualitative approaches</w:t>
      </w:r>
      <w:r w:rsidRPr="00D543E4">
        <w:rPr>
          <w:rFonts w:ascii="Times New Roman" w:eastAsia="Times New Roman" w:hAnsi="Times New Roman" w:cs="Times New Roman"/>
          <w:sz w:val="24"/>
          <w:szCs w:val="24"/>
        </w:rPr>
        <w:t xml:space="preserve">, such as semi-structured interviews, that capture individual experiences and contextual factors that cannot be fully quantified. This dual focus aligns with the </w:t>
      </w:r>
      <w:r w:rsidRPr="00D543E4">
        <w:rPr>
          <w:rFonts w:ascii="Times New Roman" w:eastAsia="Times New Roman" w:hAnsi="Times New Roman" w:cs="Times New Roman"/>
          <w:b/>
          <w:bCs/>
          <w:sz w:val="24"/>
          <w:szCs w:val="24"/>
        </w:rPr>
        <w:t>pragmatic methodological orientation</w:t>
      </w:r>
      <w:r w:rsidRPr="00D543E4">
        <w:rPr>
          <w:rFonts w:ascii="Times New Roman" w:eastAsia="Times New Roman" w:hAnsi="Times New Roman" w:cs="Times New Roman"/>
          <w:sz w:val="24"/>
          <w:szCs w:val="24"/>
        </w:rPr>
        <w:t xml:space="preserve"> of the study, which values the use of multiple methods to address research questions in a comprehensive and practical manner.</w:t>
      </w:r>
    </w:p>
    <w:p w14:paraId="7C34B4DA" w14:textId="77777777" w:rsidR="00D543E4" w:rsidRPr="00D543E4" w:rsidRDefault="00D543E4" w:rsidP="00D40429">
      <w:pPr>
        <w:pStyle w:val="ListParagraph"/>
        <w:spacing w:before="100" w:beforeAutospacing="1" w:after="100" w:afterAutospacing="1" w:line="240" w:lineRule="auto"/>
        <w:jc w:val="both"/>
        <w:rPr>
          <w:rFonts w:ascii="Times New Roman" w:eastAsia="Times New Roman" w:hAnsi="Times New Roman" w:cs="Times New Roman"/>
          <w:sz w:val="24"/>
          <w:szCs w:val="24"/>
        </w:rPr>
      </w:pPr>
      <w:r w:rsidRPr="00D543E4">
        <w:rPr>
          <w:rFonts w:ascii="Times New Roman" w:eastAsia="Times New Roman" w:hAnsi="Times New Roman" w:cs="Times New Roman"/>
          <w:sz w:val="24"/>
          <w:szCs w:val="24"/>
        </w:rPr>
        <w:t xml:space="preserve">Adopting a post-positivist stance is particularly appropriate for educational research involving technology-enhanced environments, where the complexity of human behavior, social interaction, and digital systems necessitates a balanced approach that combines </w:t>
      </w:r>
      <w:r w:rsidRPr="00D543E4">
        <w:rPr>
          <w:rFonts w:ascii="Times New Roman" w:eastAsia="Times New Roman" w:hAnsi="Times New Roman" w:cs="Times New Roman"/>
          <w:b/>
          <w:bCs/>
          <w:sz w:val="24"/>
          <w:szCs w:val="24"/>
        </w:rPr>
        <w:t>rigor</w:t>
      </w:r>
      <w:r w:rsidRPr="00D543E4">
        <w:rPr>
          <w:rFonts w:ascii="Times New Roman" w:eastAsia="Times New Roman" w:hAnsi="Times New Roman" w:cs="Times New Roman"/>
          <w:sz w:val="24"/>
          <w:szCs w:val="24"/>
        </w:rPr>
        <w:t xml:space="preserve"> with </w:t>
      </w:r>
      <w:r w:rsidRPr="00D543E4">
        <w:rPr>
          <w:rFonts w:ascii="Times New Roman" w:eastAsia="Times New Roman" w:hAnsi="Times New Roman" w:cs="Times New Roman"/>
          <w:b/>
          <w:bCs/>
          <w:sz w:val="24"/>
          <w:szCs w:val="24"/>
        </w:rPr>
        <w:t>interpretive insight</w:t>
      </w:r>
      <w:r w:rsidRPr="00D543E4">
        <w:rPr>
          <w:rFonts w:ascii="Times New Roman" w:eastAsia="Times New Roman" w:hAnsi="Times New Roman" w:cs="Times New Roman"/>
          <w:sz w:val="24"/>
          <w:szCs w:val="24"/>
        </w:rPr>
        <w:t xml:space="preserve">. It enables the researcher to investigate not only measurable outcomes, such as engagement scores, but also the </w:t>
      </w:r>
      <w:r w:rsidRPr="00D543E4">
        <w:rPr>
          <w:rFonts w:ascii="Times New Roman" w:eastAsia="Times New Roman" w:hAnsi="Times New Roman" w:cs="Times New Roman"/>
          <w:b/>
          <w:bCs/>
          <w:sz w:val="24"/>
          <w:szCs w:val="24"/>
        </w:rPr>
        <w:t>underlying mechanisms and perceptions</w:t>
      </w:r>
      <w:r w:rsidRPr="00D543E4">
        <w:rPr>
          <w:rFonts w:ascii="Times New Roman" w:eastAsia="Times New Roman" w:hAnsi="Times New Roman" w:cs="Times New Roman"/>
          <w:sz w:val="24"/>
          <w:szCs w:val="24"/>
        </w:rPr>
        <w:t xml:space="preserve"> that shape learners' experiences with AI-enhanced and traditional LMS platforms.</w:t>
      </w:r>
    </w:p>
    <w:p w14:paraId="0D0B061C"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lastRenderedPageBreak/>
        <w:t>2.2 Learning Management Systems (LMS)</w:t>
      </w:r>
    </w:p>
    <w:p w14:paraId="7AF61DD6"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t>2.2.1 Traditional LMS: Moodle</w:t>
      </w:r>
    </w:p>
    <w:p w14:paraId="4EE38763"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 xml:space="preserve">Moodle is a widely used open-source LMS known for its flexibility and extensive set of features for course management. It supports various instructional activities, including content delivery, communication through forums and messaging, and assessment through quizzes and assignments. Moodle's open-source nature allows instructors to customize their courses and adapt the platform to their specific needs. However, the effectiveness of Moodle in fostering learner engagement depends largely on how instructors utilize its features and integrate pedagogical strategies. Without intentional design that incorporates interactive and learner-centered approaches, Moodle may not fully realize its potential to enhance engagement. Furthermore, Moodle lacks built-in adaptive features, which can lead to varied learning experiences depending on the instructor's design choices.   </w:t>
      </w:r>
    </w:p>
    <w:p w14:paraId="09CDC97E"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t>2.2.2 AI-Enhanced LMS: Coursa</w:t>
      </w:r>
    </w:p>
    <w:p w14:paraId="36B7A929"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 xml:space="preserve">Coursa represents a newer generation of LMS platforms that integrate AI to personalize and enhance the learning experience. These platforms leverage AI algorithms to analyze learner data in real-time and provide adaptive content, personalized feedback, and predictive analytics to identify students who may be at risk of disengagement or academic difficulty. AI-enhanced LMS platforms aim to create individualized learning pathways that adapt to each student's learning pace, preferences, and performance. While these features offer potential benefits for increasing learner motivation and academic outcomes, they also raise ethical concerns related to data privacy, algorithmic bias, and the potential for over-reliance on technology.   </w:t>
      </w:r>
    </w:p>
    <w:p w14:paraId="3EE16130"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t>2.3 AI in Education and Learning</w:t>
      </w:r>
    </w:p>
    <w:p w14:paraId="675A395D"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 xml:space="preserve">Artificial intelligence (AI) is rapidly transforming various sectors, and education is no exception. AI applications in education range from intelligent tutoring systems and personalized learning platforms to automated grading and administrative tasks. AI has the potential to personalize learning experiences by adapting content, pacing, and feedback to individual student needs. AI-powered LMS platforms can analyze student data to identify learning patterns, predict performance, and provide targeted interventions. However, the integration of AI in education also raises important ethical considerations, such as data privacy, algorithmic transparency, and the potential impact on the role of educators.   </w:t>
      </w:r>
    </w:p>
    <w:p w14:paraId="0B579734"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t>2.4 Learner Engagement in LMS Environments</w:t>
      </w:r>
    </w:p>
    <w:p w14:paraId="3A506761"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 xml:space="preserve">Research on learner engagement in LMS environments has explored various factors that influence student involvement and success. Studies have examined the role of LMS features, instructional design, social interaction, and learner characteristics in shaping engagement outcomes. Findings suggest that LMS platforms that support active learning, collaboration, and communication tend to foster higher levels of engagement. Personalized learning strategies, such as adaptive content and individualized feedback, have also been found to enhance student motivation and engagement. </w:t>
      </w:r>
      <w:r w:rsidRPr="006B3FCE">
        <w:rPr>
          <w:rFonts w:ascii="Times New Roman" w:eastAsia="Times New Roman" w:hAnsi="Times New Roman" w:cs="Times New Roman"/>
          <w:sz w:val="24"/>
          <w:szCs w:val="24"/>
        </w:rPr>
        <w:lastRenderedPageBreak/>
        <w:t xml:space="preserve">However, more research is needed to compare the effectiveness of different LMS types, particularly traditional versus AI-enhanced platforms, in promoting learner engagement.   </w:t>
      </w:r>
    </w:p>
    <w:p w14:paraId="399AC4A3"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t>2.5 Research Gap</w:t>
      </w:r>
    </w:p>
    <w:p w14:paraId="0176773D"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 xml:space="preserve">Despite the growing body of research on learner engagement and the increasing use of AI in education, there is a notable gap in studies that directly compare learner engagement in traditional and AI-enhanced LMS platforms. While previous research has examined the impact of specific LMS features or AI applications on learning outcomes, there is limited empirical evidence on how these different LMS types influence the various dimensions of learner engagement (cognitive, emotional, and behavioral). This study aims to address this gap by providing a comparative analysis of learner engagement in Moodle (traditional LMS) and Coursa (AI-enhanced LMS), contributing valuable insights to the field of educational technology and informing the design and implementation of effective digital learning environments.   </w:t>
      </w:r>
    </w:p>
    <w:p w14:paraId="38C9005B"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t>3. Methodology</w:t>
      </w:r>
    </w:p>
    <w:p w14:paraId="121F6872" w14:textId="77777777" w:rsidR="005F1422" w:rsidRPr="000466A1"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This study employs a mixed-methods research approach, combining quantitative and qualitative data collection and analysis techniques, to provide a comprehensive understanding of the impact of LMS platform type on learner engagement. Pragmatism serves as the guiding paradigm, prioritizing the use of diverse methods to address the research question effectively. This approach allows for the strengths of both quantitative (generalizability, statistical analysis) and qualitative (in-depth understanding of experiences) methods to complement each other.</w:t>
      </w:r>
      <w:r w:rsidR="005F1422" w:rsidRPr="005F1422">
        <w:rPr>
          <w:rFonts w:ascii="Times New Roman" w:eastAsia="Times New Roman" w:hAnsi="Times New Roman" w:cs="Times New Roman"/>
          <w:sz w:val="24"/>
          <w:szCs w:val="24"/>
        </w:rPr>
        <w:t xml:space="preserve"> </w:t>
      </w:r>
      <w:r w:rsidR="005F1422" w:rsidRPr="000466A1">
        <w:rPr>
          <w:rFonts w:ascii="Times New Roman" w:eastAsia="Times New Roman" w:hAnsi="Times New Roman" w:cs="Times New Roman"/>
          <w:sz w:val="24"/>
          <w:szCs w:val="24"/>
        </w:rPr>
        <w:t>This research will be conducted over a 12-month period and will consist of four main phases:</w:t>
      </w:r>
    </w:p>
    <w:p w14:paraId="59F6A3FF" w14:textId="77777777" w:rsidR="005F1422" w:rsidRPr="000466A1" w:rsidRDefault="005F1422" w:rsidP="00D40429">
      <w:pPr>
        <w:numPr>
          <w:ilvl w:val="0"/>
          <w:numId w:val="6"/>
        </w:numPr>
        <w:spacing w:before="100" w:beforeAutospacing="1" w:after="100" w:afterAutospacing="1" w:line="240" w:lineRule="auto"/>
        <w:jc w:val="both"/>
        <w:rPr>
          <w:rFonts w:ascii="Times New Roman" w:eastAsia="Times New Roman" w:hAnsi="Times New Roman" w:cs="Times New Roman"/>
          <w:sz w:val="24"/>
          <w:szCs w:val="24"/>
        </w:rPr>
      </w:pPr>
      <w:r w:rsidRPr="000466A1">
        <w:rPr>
          <w:rFonts w:ascii="Times New Roman" w:eastAsia="Times New Roman" w:hAnsi="Times New Roman" w:cs="Times New Roman"/>
          <w:b/>
          <w:bCs/>
          <w:sz w:val="24"/>
          <w:szCs w:val="24"/>
        </w:rPr>
        <w:t>Phase 1: Planning and Preparation (Month 1-3):</w:t>
      </w:r>
      <w:r w:rsidRPr="000466A1">
        <w:rPr>
          <w:rFonts w:ascii="Times New Roman" w:eastAsia="Times New Roman" w:hAnsi="Times New Roman" w:cs="Times New Roman"/>
          <w:sz w:val="24"/>
          <w:szCs w:val="24"/>
        </w:rPr>
        <w:t xml:space="preserve"> In this phase, the existing literature will be thoroughly reviewed, and the research instruments will be finalized. Additionally, the necessary ethical approvals will be obtained from the university, and the study participants will be selected and invited to participate.</w:t>
      </w:r>
    </w:p>
    <w:p w14:paraId="65FE4B85" w14:textId="77777777" w:rsidR="005F1422" w:rsidRPr="000466A1" w:rsidRDefault="005F1422" w:rsidP="00D40429">
      <w:pPr>
        <w:numPr>
          <w:ilvl w:val="0"/>
          <w:numId w:val="6"/>
        </w:numPr>
        <w:spacing w:before="100" w:beforeAutospacing="1" w:after="100" w:afterAutospacing="1" w:line="240" w:lineRule="auto"/>
        <w:jc w:val="both"/>
        <w:rPr>
          <w:rFonts w:ascii="Times New Roman" w:eastAsia="Times New Roman" w:hAnsi="Times New Roman" w:cs="Times New Roman"/>
          <w:sz w:val="24"/>
          <w:szCs w:val="24"/>
        </w:rPr>
      </w:pPr>
      <w:r w:rsidRPr="000466A1">
        <w:rPr>
          <w:rFonts w:ascii="Times New Roman" w:eastAsia="Times New Roman" w:hAnsi="Times New Roman" w:cs="Times New Roman"/>
          <w:b/>
          <w:bCs/>
          <w:sz w:val="24"/>
          <w:szCs w:val="24"/>
        </w:rPr>
        <w:t>Phase 2: Data Collection (Month 4-6):</w:t>
      </w:r>
      <w:r w:rsidRPr="000466A1">
        <w:rPr>
          <w:rFonts w:ascii="Times New Roman" w:eastAsia="Times New Roman" w:hAnsi="Times New Roman" w:cs="Times New Roman"/>
          <w:sz w:val="24"/>
          <w:szCs w:val="24"/>
        </w:rPr>
        <w:t xml:space="preserve"> In this phase, quantitative and qualitative data will be collected through questionnaires and interviews. Data collection will be conducted in full compliance with ethical principles and with strict adherence to participant privacy.</w:t>
      </w:r>
    </w:p>
    <w:p w14:paraId="67A41E02" w14:textId="77777777" w:rsidR="005F1422" w:rsidRPr="000466A1" w:rsidRDefault="005F1422" w:rsidP="00D40429">
      <w:pPr>
        <w:numPr>
          <w:ilvl w:val="0"/>
          <w:numId w:val="6"/>
        </w:numPr>
        <w:spacing w:before="100" w:beforeAutospacing="1" w:after="100" w:afterAutospacing="1" w:line="240" w:lineRule="auto"/>
        <w:jc w:val="both"/>
        <w:rPr>
          <w:rFonts w:ascii="Times New Roman" w:eastAsia="Times New Roman" w:hAnsi="Times New Roman" w:cs="Times New Roman"/>
          <w:sz w:val="24"/>
          <w:szCs w:val="24"/>
        </w:rPr>
      </w:pPr>
      <w:r w:rsidRPr="000466A1">
        <w:rPr>
          <w:rFonts w:ascii="Times New Roman" w:eastAsia="Times New Roman" w:hAnsi="Times New Roman" w:cs="Times New Roman"/>
          <w:b/>
          <w:bCs/>
          <w:sz w:val="24"/>
          <w:szCs w:val="24"/>
        </w:rPr>
        <w:t>Phase 3: Data Analysis (Month 7-9):</w:t>
      </w:r>
      <w:r w:rsidRPr="000466A1">
        <w:rPr>
          <w:rFonts w:ascii="Times New Roman" w:eastAsia="Times New Roman" w:hAnsi="Times New Roman" w:cs="Times New Roman"/>
          <w:sz w:val="24"/>
          <w:szCs w:val="24"/>
        </w:rPr>
        <w:t xml:space="preserve"> In this phase, the collected data will be analyzed using appropriate statistical methods (for quantitative data) and content and thematic analysis (for qualitative data).</w:t>
      </w:r>
    </w:p>
    <w:p w14:paraId="1E2013C3" w14:textId="77777777" w:rsidR="006B3FCE" w:rsidRPr="006B3FCE" w:rsidRDefault="005F1422" w:rsidP="00D40429">
      <w:pPr>
        <w:spacing w:before="100" w:beforeAutospacing="1" w:after="100" w:afterAutospacing="1" w:line="240" w:lineRule="auto"/>
        <w:jc w:val="both"/>
        <w:rPr>
          <w:rFonts w:ascii="Times New Roman" w:eastAsia="Times New Roman" w:hAnsi="Times New Roman" w:cs="Times New Roman"/>
          <w:sz w:val="24"/>
          <w:szCs w:val="24"/>
        </w:rPr>
      </w:pPr>
      <w:r w:rsidRPr="000466A1">
        <w:rPr>
          <w:rFonts w:ascii="Times New Roman" w:eastAsia="Times New Roman" w:hAnsi="Times New Roman" w:cs="Times New Roman"/>
          <w:b/>
          <w:bCs/>
          <w:sz w:val="24"/>
          <w:szCs w:val="24"/>
        </w:rPr>
        <w:t>Phase 4: Interpretation of Results and Report Writing (Month 10-12):</w:t>
      </w:r>
      <w:r w:rsidRPr="000466A1">
        <w:rPr>
          <w:rFonts w:ascii="Times New Roman" w:eastAsia="Times New Roman" w:hAnsi="Times New Roman" w:cs="Times New Roman"/>
          <w:sz w:val="24"/>
          <w:szCs w:val="24"/>
        </w:rPr>
        <w:t xml:space="preserve"> In the final phase, the analyzed results will be interpreted, and the final research report will be prepared and compiled. This report will include a discussion of the findings, a comparison with the existing literature, conclusions, and reco</w:t>
      </w:r>
      <w:r>
        <w:rPr>
          <w:rFonts w:ascii="Times New Roman" w:eastAsia="Times New Roman" w:hAnsi="Times New Roman" w:cs="Times New Roman"/>
          <w:sz w:val="24"/>
          <w:szCs w:val="24"/>
        </w:rPr>
        <w:t>mmendations for future research</w:t>
      </w:r>
      <w:r w:rsidR="006B3FCE" w:rsidRPr="006B3FCE">
        <w:rPr>
          <w:rFonts w:ascii="Times New Roman" w:eastAsia="Times New Roman" w:hAnsi="Times New Roman" w:cs="Times New Roman"/>
          <w:sz w:val="24"/>
          <w:szCs w:val="24"/>
        </w:rPr>
        <w:t xml:space="preserve">   </w:t>
      </w:r>
    </w:p>
    <w:p w14:paraId="4FA2DBEF"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t>3.1 Research Design</w:t>
      </w:r>
    </w:p>
    <w:p w14:paraId="35DC2D3A"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 xml:space="preserve">The quantitative component of the study utilizes a quasi-experimental, post-test-only design to compare learner engagement outcomes between students using Moodle and those using Coursa. Analysis of Covariance (ANCOVA) will be employed to determine the effect of the LMS platform </w:t>
      </w:r>
      <w:r w:rsidRPr="006B3FCE">
        <w:rPr>
          <w:rFonts w:ascii="Times New Roman" w:eastAsia="Times New Roman" w:hAnsi="Times New Roman" w:cs="Times New Roman"/>
          <w:sz w:val="24"/>
          <w:szCs w:val="24"/>
        </w:rPr>
        <w:lastRenderedPageBreak/>
        <w:t>(independent variable) on overall, cognitive, emotional, and behavioral engagement (dependent variables), while statistically controlling for prior online learning experience (covariate). This design facilitates the isolation of the LMS platform's impact on engagement while accounting for a potential confounding variable.</w:t>
      </w:r>
    </w:p>
    <w:p w14:paraId="5ABFD5E5"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The qualitative component involves semi-structured interviews to explore students' perceptions and experiences with each LMS platform, focusing on the nuances of their engagement and the factors that influence it.</w:t>
      </w:r>
    </w:p>
    <w:p w14:paraId="0C7DAB81"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b/>
          <w:bCs/>
          <w:sz w:val="24"/>
          <w:szCs w:val="24"/>
        </w:rPr>
        <w:t>3.2 Participants</w:t>
      </w:r>
    </w:p>
    <w:p w14:paraId="4C292A43"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Participants will be undergraduate students enrolled in fully online courses at a medium-sized university in [Country]. A total of 200 students will be recruited for the study, with 100 students using Moodle and 100 students using Coursa to ensure equal group sizes for comparison.</w:t>
      </w:r>
    </w:p>
    <w:p w14:paraId="6247213B" w14:textId="77777777" w:rsidR="006B3FCE" w:rsidRPr="006B3FCE" w:rsidRDefault="006B3FCE" w:rsidP="00D40429">
      <w:pPr>
        <w:spacing w:before="100" w:beforeAutospacing="1" w:after="100" w:afterAutospacing="1" w:line="240" w:lineRule="auto"/>
        <w:jc w:val="both"/>
        <w:rPr>
          <w:rFonts w:ascii="Times New Roman" w:eastAsia="Times New Roman" w:hAnsi="Times New Roman" w:cs="Times New Roman"/>
          <w:sz w:val="24"/>
          <w:szCs w:val="24"/>
        </w:rPr>
      </w:pPr>
      <w:r w:rsidRPr="006B3FCE">
        <w:rPr>
          <w:rFonts w:ascii="Times New Roman" w:eastAsia="Times New Roman" w:hAnsi="Times New Roman" w:cs="Times New Roman"/>
          <w:sz w:val="24"/>
          <w:szCs w:val="24"/>
        </w:rPr>
        <w:t>A stratified random sampling strategy will be used to select participants, ensuring representation from diverse academic disciplines and varying levels of prior online learning experience. Eligibility criteria will include completion of at least one online course prior to the study. Demographic information, including age, gender, academic major, and prior experience with online learning, will be collected to provide a detailed profile of the sample and allow for further analysis.</w:t>
      </w:r>
    </w:p>
    <w:p w14:paraId="5DD2CCEB" w14:textId="77777777" w:rsidR="005B5DD9" w:rsidRPr="000466A1" w:rsidRDefault="005B5DD9" w:rsidP="00D40429">
      <w:pPr>
        <w:spacing w:before="100" w:beforeAutospacing="1" w:after="100" w:afterAutospacing="1" w:line="240" w:lineRule="auto"/>
        <w:jc w:val="both"/>
        <w:rPr>
          <w:rFonts w:ascii="Times New Roman" w:eastAsia="Times New Roman" w:hAnsi="Times New Roman" w:cs="Times New Roman"/>
          <w:sz w:val="24"/>
          <w:szCs w:val="24"/>
        </w:rPr>
      </w:pPr>
      <w:r w:rsidRPr="000466A1">
        <w:rPr>
          <w:rFonts w:ascii="Times New Roman" w:eastAsia="Times New Roman" w:hAnsi="Times New Roman" w:cs="Times New Roman"/>
          <w:b/>
          <w:bCs/>
          <w:sz w:val="24"/>
          <w:szCs w:val="24"/>
        </w:rPr>
        <w:t>3.3 Materials and Instruments</w:t>
      </w:r>
    </w:p>
    <w:p w14:paraId="7B0C3034" w14:textId="77777777" w:rsidR="00B939DB" w:rsidRPr="00B939DB" w:rsidRDefault="005B5DD9" w:rsidP="00880077">
      <w:pPr>
        <w:spacing w:before="100" w:beforeAutospacing="1" w:after="100" w:afterAutospacing="1"/>
        <w:jc w:val="both"/>
        <w:rPr>
          <w:rFonts w:ascii="Times New Roman" w:eastAsia="Times New Roman" w:hAnsi="Times New Roman" w:cs="Times New Roman"/>
          <w:sz w:val="24"/>
          <w:szCs w:val="24"/>
        </w:rPr>
      </w:pPr>
      <w:r w:rsidRPr="000466A1">
        <w:rPr>
          <w:rFonts w:ascii="Times New Roman" w:eastAsia="Times New Roman" w:hAnsi="Times New Roman" w:cs="Times New Roman"/>
          <w:sz w:val="24"/>
          <w:szCs w:val="24"/>
        </w:rPr>
        <w:t xml:space="preserve">Learner engagement will be assessed using the User Engagement Scale (UES). The UES is a validated instrument comprising 20 items across three subscales: cognitive engagement (7 items), emotional engagement (6 items), and behavioral engagement (7 items). Responses will be recorded on a 5-point Likert scale ranging from "strongly disagree" to "strongly agree." The UES has demonstrated high internal consistency (Cronbach’s α &gt; .85) and has been widely applied in research on digital learning environments. </w:t>
      </w:r>
      <w:r w:rsidR="00B939DB" w:rsidRPr="00B939DB">
        <w:rPr>
          <w:rFonts w:ascii="Times New Roman" w:eastAsia="Times New Roman" w:hAnsi="Times New Roman" w:cs="Times New Roman"/>
          <w:sz w:val="24"/>
          <w:szCs w:val="24"/>
        </w:rPr>
        <w:t xml:space="preserve">The UES has demonstrated strong reliability and validity in measuring student engagement across digital environments. Its structured format allows for straightforward administration and comparison across groups. However, one notable limitation is its reliance on self-reported data, which may introduce social desirability bias or inaccuracies in self-assessment. Additionally, while the scale captures cognitive, emotional, and behavioral dimensions, it may not fully reflect deeper relational or social engagement aspects that emerge through peer interaction or instructor </w:t>
      </w:r>
      <w:r w:rsidR="00B939DB">
        <w:rPr>
          <w:rFonts w:ascii="Times New Roman" w:eastAsia="Times New Roman" w:hAnsi="Times New Roman" w:cs="Times New Roman"/>
          <w:sz w:val="24"/>
          <w:szCs w:val="24"/>
        </w:rPr>
        <w:t>feedback.</w:t>
      </w:r>
    </w:p>
    <w:p w14:paraId="1DA23D1E" w14:textId="77777777" w:rsidR="005B5DD9" w:rsidRPr="000466A1" w:rsidRDefault="005B5DD9" w:rsidP="00D40429">
      <w:pPr>
        <w:spacing w:before="100" w:beforeAutospacing="1" w:after="100" w:afterAutospacing="1" w:line="240" w:lineRule="auto"/>
        <w:jc w:val="both"/>
        <w:rPr>
          <w:rFonts w:ascii="Times New Roman" w:eastAsia="Times New Roman" w:hAnsi="Times New Roman" w:cs="Times New Roman"/>
          <w:sz w:val="24"/>
          <w:szCs w:val="24"/>
        </w:rPr>
      </w:pPr>
      <w:r w:rsidRPr="000466A1">
        <w:rPr>
          <w:rFonts w:ascii="Times New Roman" w:eastAsia="Times New Roman" w:hAnsi="Times New Roman" w:cs="Times New Roman"/>
          <w:sz w:val="24"/>
          <w:szCs w:val="24"/>
        </w:rPr>
        <w:t xml:space="preserve">  </w:t>
      </w:r>
    </w:p>
    <w:p w14:paraId="740F760C" w14:textId="77777777" w:rsidR="005B5DD9" w:rsidRPr="000466A1" w:rsidRDefault="005B5DD9" w:rsidP="00D40429">
      <w:pPr>
        <w:spacing w:before="100" w:beforeAutospacing="1" w:after="100" w:afterAutospacing="1" w:line="240" w:lineRule="auto"/>
        <w:jc w:val="both"/>
        <w:rPr>
          <w:rFonts w:ascii="Times New Roman" w:eastAsia="Times New Roman" w:hAnsi="Times New Roman" w:cs="Times New Roman"/>
          <w:sz w:val="24"/>
          <w:szCs w:val="24"/>
        </w:rPr>
      </w:pPr>
      <w:r w:rsidRPr="000466A1">
        <w:rPr>
          <w:rFonts w:ascii="Times New Roman" w:eastAsia="Times New Roman" w:hAnsi="Times New Roman" w:cs="Times New Roman"/>
          <w:sz w:val="24"/>
          <w:szCs w:val="24"/>
        </w:rPr>
        <w:t>Prior online learning experience will be measured using a self-report instrument. This instrument will ask participants to indicate the number of online courses previously completed and rate their familiarity with LMS platforms on a 5-point scale (e.g., from "not at all familiar" to "very familiar").</w:t>
      </w:r>
    </w:p>
    <w:p w14:paraId="10309583" w14:textId="77777777" w:rsidR="005B5DD9" w:rsidRPr="000466A1" w:rsidRDefault="005B5DD9" w:rsidP="00D40429">
      <w:pPr>
        <w:spacing w:before="100" w:beforeAutospacing="1" w:after="100" w:afterAutospacing="1" w:line="240" w:lineRule="auto"/>
        <w:jc w:val="both"/>
        <w:rPr>
          <w:rFonts w:ascii="Times New Roman" w:eastAsia="Times New Roman" w:hAnsi="Times New Roman" w:cs="Times New Roman"/>
          <w:sz w:val="24"/>
          <w:szCs w:val="24"/>
        </w:rPr>
      </w:pPr>
      <w:r w:rsidRPr="000466A1">
        <w:rPr>
          <w:rFonts w:ascii="Times New Roman" w:eastAsia="Times New Roman" w:hAnsi="Times New Roman" w:cs="Times New Roman"/>
          <w:sz w:val="24"/>
          <w:szCs w:val="24"/>
        </w:rPr>
        <w:lastRenderedPageBreak/>
        <w:t xml:space="preserve">Semi-structured interview protocols will be developed to guide the qualitative data collection. These protocols will include open-ended questions designed to explore students' experiences with LMS platforms, their perceptions of engagement factors, and specific examples of how the platforms influence their learning. The interview questions will be designed to align with the research questions and explore themes emerging from the literature </w:t>
      </w:r>
      <w:r w:rsidR="00880077" w:rsidRPr="000466A1">
        <w:rPr>
          <w:rFonts w:ascii="Times New Roman" w:eastAsia="Times New Roman" w:hAnsi="Times New Roman" w:cs="Times New Roman"/>
          <w:sz w:val="24"/>
          <w:szCs w:val="24"/>
        </w:rPr>
        <w:t>review.</w:t>
      </w:r>
      <w:r w:rsidR="00880077">
        <w:rPr>
          <w:rFonts w:ascii="Times New Roman" w:eastAsia="Times New Roman" w:hAnsi="Times New Roman" w:cs="Times New Roman"/>
          <w:sz w:val="24"/>
          <w:szCs w:val="24"/>
        </w:rPr>
        <w:t xml:space="preserve"> </w:t>
      </w:r>
      <w:r w:rsidR="00880077" w:rsidRPr="00880077">
        <w:rPr>
          <w:rFonts w:ascii="Times New Roman" w:eastAsia="Times New Roman" w:hAnsi="Times New Roman" w:cs="Times New Roman"/>
          <w:sz w:val="24"/>
          <w:szCs w:val="24"/>
        </w:rPr>
        <w:t>Semi-structured interviews offer rich, in-depth insights into participants’ subjective experiences, allowing researchers to explore complex and contextual factors influencing engagement. They also enable flexibility to probe further into emerging themes. However, online or virtual interviews can present challenges related to audio/video quality, reduced non-verbal cues, and potential discomfort for some participants, which may affect the depth or authenticity of responses.</w:t>
      </w:r>
      <w:r w:rsidRPr="000466A1">
        <w:rPr>
          <w:rFonts w:ascii="Times New Roman" w:eastAsia="Times New Roman" w:hAnsi="Times New Roman" w:cs="Times New Roman"/>
          <w:sz w:val="24"/>
          <w:szCs w:val="24"/>
        </w:rPr>
        <w:t xml:space="preserve">   </w:t>
      </w:r>
    </w:p>
    <w:p w14:paraId="32E46C7A" w14:textId="77777777" w:rsidR="005B5DD9" w:rsidRPr="000466A1" w:rsidRDefault="005B5DD9" w:rsidP="00D40429">
      <w:pPr>
        <w:spacing w:before="100" w:beforeAutospacing="1" w:after="100" w:afterAutospacing="1" w:line="240" w:lineRule="auto"/>
        <w:jc w:val="both"/>
        <w:rPr>
          <w:rFonts w:ascii="Times New Roman" w:eastAsia="Times New Roman" w:hAnsi="Times New Roman" w:cs="Times New Roman"/>
          <w:sz w:val="24"/>
          <w:szCs w:val="24"/>
        </w:rPr>
      </w:pPr>
      <w:r w:rsidRPr="000466A1">
        <w:rPr>
          <w:rFonts w:ascii="Times New Roman" w:eastAsia="Times New Roman" w:hAnsi="Times New Roman" w:cs="Times New Roman"/>
          <w:b/>
          <w:bCs/>
          <w:sz w:val="24"/>
          <w:szCs w:val="24"/>
        </w:rPr>
        <w:t>3.4 Procedure</w:t>
      </w:r>
    </w:p>
    <w:p w14:paraId="00224C68" w14:textId="77777777" w:rsidR="005B5DD9" w:rsidRPr="000466A1" w:rsidRDefault="005B5DD9" w:rsidP="00D40429">
      <w:pPr>
        <w:spacing w:before="100" w:beforeAutospacing="1" w:after="100" w:afterAutospacing="1" w:line="240" w:lineRule="auto"/>
        <w:jc w:val="both"/>
        <w:rPr>
          <w:rFonts w:ascii="Times New Roman" w:eastAsia="Times New Roman" w:hAnsi="Times New Roman" w:cs="Times New Roman"/>
          <w:sz w:val="24"/>
          <w:szCs w:val="24"/>
        </w:rPr>
      </w:pPr>
      <w:r w:rsidRPr="000466A1">
        <w:rPr>
          <w:rFonts w:ascii="Times New Roman" w:eastAsia="Times New Roman" w:hAnsi="Times New Roman" w:cs="Times New Roman"/>
          <w:sz w:val="24"/>
          <w:szCs w:val="24"/>
        </w:rPr>
        <w:t xml:space="preserve">Following ethical approval from the university's Institutional Review Board (IRB), participants will be recruited through course announcements and university mailing lists. Informed consent will be obtained from all participants before their involvement in the study.   </w:t>
      </w:r>
    </w:p>
    <w:p w14:paraId="3ED9DB38" w14:textId="77777777" w:rsidR="005B5DD9" w:rsidRPr="000466A1" w:rsidRDefault="005B5DD9" w:rsidP="00D40429">
      <w:pPr>
        <w:spacing w:before="100" w:beforeAutospacing="1" w:after="100" w:afterAutospacing="1" w:line="240" w:lineRule="auto"/>
        <w:jc w:val="both"/>
        <w:rPr>
          <w:rFonts w:ascii="Times New Roman" w:eastAsia="Times New Roman" w:hAnsi="Times New Roman" w:cs="Times New Roman"/>
          <w:sz w:val="24"/>
          <w:szCs w:val="24"/>
        </w:rPr>
      </w:pPr>
      <w:r w:rsidRPr="000466A1">
        <w:rPr>
          <w:rFonts w:ascii="Times New Roman" w:eastAsia="Times New Roman" w:hAnsi="Times New Roman" w:cs="Times New Roman"/>
          <w:sz w:val="24"/>
          <w:szCs w:val="24"/>
        </w:rPr>
        <w:t xml:space="preserve">Quantitative data will be collected through an online survey administered at the end of the academic term. The survey will include the UES and the self-report instrument for prior online learning experience. Participants will be assured of anonymity and confidentiality.   </w:t>
      </w:r>
    </w:p>
    <w:p w14:paraId="46BBB7FB" w14:textId="77777777" w:rsidR="005B5DD9" w:rsidRPr="000466A1" w:rsidRDefault="005B5DD9" w:rsidP="00D40429">
      <w:pPr>
        <w:spacing w:before="100" w:beforeAutospacing="1" w:after="100" w:afterAutospacing="1" w:line="240" w:lineRule="auto"/>
        <w:jc w:val="both"/>
        <w:rPr>
          <w:rFonts w:ascii="Times New Roman" w:eastAsia="Times New Roman" w:hAnsi="Times New Roman" w:cs="Times New Roman"/>
          <w:sz w:val="24"/>
          <w:szCs w:val="24"/>
        </w:rPr>
      </w:pPr>
      <w:r w:rsidRPr="000466A1">
        <w:rPr>
          <w:rFonts w:ascii="Times New Roman" w:eastAsia="Times New Roman" w:hAnsi="Times New Roman" w:cs="Times New Roman"/>
          <w:sz w:val="24"/>
          <w:szCs w:val="24"/>
        </w:rPr>
        <w:t xml:space="preserve">Qualitative data will be collected through semi-structured interviews conducted either in person or via video conferencing, depending on participant preference and availability. Interviews will be audio-recorded with participants' consent and transcribed for analysis.   </w:t>
      </w:r>
    </w:p>
    <w:p w14:paraId="2A8DE8BC" w14:textId="77777777" w:rsidR="005B5DD9" w:rsidRPr="000466A1" w:rsidRDefault="005B5DD9" w:rsidP="00D40429">
      <w:pPr>
        <w:spacing w:before="100" w:beforeAutospacing="1" w:after="100" w:afterAutospacing="1" w:line="240" w:lineRule="auto"/>
        <w:jc w:val="both"/>
        <w:rPr>
          <w:rFonts w:ascii="Times New Roman" w:eastAsia="Times New Roman" w:hAnsi="Times New Roman" w:cs="Times New Roman"/>
          <w:sz w:val="24"/>
          <w:szCs w:val="24"/>
        </w:rPr>
      </w:pPr>
      <w:r w:rsidRPr="000466A1">
        <w:rPr>
          <w:rFonts w:ascii="Times New Roman" w:eastAsia="Times New Roman" w:hAnsi="Times New Roman" w:cs="Times New Roman"/>
          <w:b/>
          <w:bCs/>
          <w:sz w:val="24"/>
          <w:szCs w:val="24"/>
        </w:rPr>
        <w:t>3.5 Data Analysis</w:t>
      </w:r>
    </w:p>
    <w:p w14:paraId="212631E4" w14:textId="77777777" w:rsidR="005B5DD9" w:rsidRPr="000466A1" w:rsidRDefault="005B5DD9" w:rsidP="00C8058B">
      <w:pPr>
        <w:spacing w:before="100" w:beforeAutospacing="1" w:after="100" w:afterAutospacing="1" w:line="240" w:lineRule="auto"/>
        <w:jc w:val="both"/>
        <w:rPr>
          <w:rFonts w:ascii="Times New Roman" w:eastAsia="Times New Roman" w:hAnsi="Times New Roman" w:cs="Times New Roman"/>
          <w:sz w:val="24"/>
          <w:szCs w:val="24"/>
        </w:rPr>
      </w:pPr>
      <w:r w:rsidRPr="000466A1">
        <w:rPr>
          <w:rFonts w:ascii="Times New Roman" w:eastAsia="Times New Roman" w:hAnsi="Times New Roman" w:cs="Times New Roman"/>
          <w:sz w:val="24"/>
          <w:szCs w:val="24"/>
        </w:rPr>
        <w:t xml:space="preserve">Quantitative data will be analyzed using IBM SPSS Statistics (Version XX). Descriptive statistics (means, standard deviations, frequencies) will be calculated to summarize participant demographics and engagement scores. Inferential statistics, specifically ANCOVA, will be used to test the study's hypotheses, with LMS platform as the independent variable, learner engagement dimensions as dependent variables, and prior online learning experience as the covariate. Assumptions of ANCOVA (normality, homogeneity of variance, homogeneity of regression slopes) will be tested. Effect sizes (η²) will be calculated, and Bonferroni post-hoc tests will be conducted where necessary.   </w:t>
      </w:r>
    </w:p>
    <w:p w14:paraId="5154B724" w14:textId="77777777" w:rsidR="00C8058B" w:rsidRPr="00C8058B" w:rsidRDefault="005B5DD9" w:rsidP="00C8058B">
      <w:pPr>
        <w:spacing w:before="100" w:beforeAutospacing="1" w:after="100" w:afterAutospacing="1"/>
        <w:jc w:val="both"/>
        <w:rPr>
          <w:rFonts w:ascii="Times New Roman" w:eastAsia="Times New Roman" w:hAnsi="Times New Roman" w:cs="Times New Roman"/>
          <w:sz w:val="24"/>
          <w:szCs w:val="24"/>
        </w:rPr>
      </w:pPr>
      <w:r w:rsidRPr="000466A1">
        <w:rPr>
          <w:rFonts w:ascii="Times New Roman" w:eastAsia="Times New Roman" w:hAnsi="Times New Roman" w:cs="Times New Roman"/>
          <w:sz w:val="24"/>
          <w:szCs w:val="24"/>
        </w:rPr>
        <w:t xml:space="preserve">Qualitative data will be analyzed using thematic analysis. Interview transcripts will be coded to identify recurring themes and patterns related to learner engagement, LMS platform features, and influencing factors. Thematic analysis will be conducted to complement the quantitative findings and provide a richer understanding of the data.   </w:t>
      </w:r>
      <w:r w:rsidR="00C8058B" w:rsidRPr="00C8058B">
        <w:rPr>
          <w:rFonts w:ascii="Times New Roman" w:eastAsia="Times New Roman" w:hAnsi="Times New Roman" w:cs="Times New Roman"/>
          <w:sz w:val="24"/>
          <w:szCs w:val="24"/>
        </w:rPr>
        <w:t>ANCOVA allows for statistical control of covariates, thereby enhancing the accuracy of comparisons between groups and reducing potential confounding effects. It is particularly useful in quasi-experimental designs where random assignment is not feasible. However, ANCOVA requires strict assumptions (e.g., homogeneity of regression slopes, normal distribution), which may not always hold in educational settings, thus potentially limiting the interpretability of results.</w:t>
      </w:r>
      <w:r w:rsidR="00C8058B" w:rsidRPr="00C8058B">
        <w:t xml:space="preserve"> </w:t>
      </w:r>
      <w:r w:rsidR="00C8058B" w:rsidRPr="00C8058B">
        <w:rPr>
          <w:rFonts w:ascii="Times New Roman" w:eastAsia="Times New Roman" w:hAnsi="Times New Roman" w:cs="Times New Roman"/>
          <w:sz w:val="24"/>
          <w:szCs w:val="24"/>
        </w:rPr>
        <w:t xml:space="preserve">In addition to the quantitative analysis, qualitative data from semi-structured interviews will be analyzed using </w:t>
      </w:r>
      <w:r w:rsidR="00C8058B" w:rsidRPr="00C8058B">
        <w:rPr>
          <w:rFonts w:ascii="Times New Roman" w:eastAsia="Times New Roman" w:hAnsi="Times New Roman" w:cs="Times New Roman"/>
          <w:b/>
          <w:bCs/>
          <w:sz w:val="24"/>
          <w:szCs w:val="24"/>
        </w:rPr>
        <w:t>thematic analysis</w:t>
      </w:r>
      <w:r w:rsidR="00C8058B" w:rsidRPr="00C8058B">
        <w:rPr>
          <w:rFonts w:ascii="Times New Roman" w:eastAsia="Times New Roman" w:hAnsi="Times New Roman" w:cs="Times New Roman"/>
          <w:sz w:val="24"/>
          <w:szCs w:val="24"/>
        </w:rPr>
        <w:t xml:space="preserve">, as </w:t>
      </w:r>
      <w:r w:rsidR="00C8058B" w:rsidRPr="00C8058B">
        <w:rPr>
          <w:rFonts w:ascii="Times New Roman" w:eastAsia="Times New Roman" w:hAnsi="Times New Roman" w:cs="Times New Roman"/>
          <w:sz w:val="24"/>
          <w:szCs w:val="24"/>
        </w:rPr>
        <w:lastRenderedPageBreak/>
        <w:t>outlined by Braun and Clarke (2006). This method involves a six-phase process: familiarization with the data, generating initial codes, searching for themes, reviewing themes, defining and naming themes, and producing the final report. Thematic analysis provides a flexible yet rigorous approach to identifying patterns and meanings across the dataset, allowing for rich interpretation of students’ experiences with different LMS platforms.</w:t>
      </w:r>
    </w:p>
    <w:p w14:paraId="3A02CC93" w14:textId="77777777" w:rsidR="00C8058B" w:rsidRPr="00C8058B" w:rsidRDefault="00C8058B" w:rsidP="00C8058B">
      <w:pPr>
        <w:spacing w:before="100" w:beforeAutospacing="1" w:after="100" w:afterAutospacing="1" w:line="240" w:lineRule="auto"/>
        <w:jc w:val="both"/>
        <w:rPr>
          <w:rFonts w:ascii="Times New Roman" w:eastAsia="Times New Roman" w:hAnsi="Times New Roman" w:cs="Times New Roman"/>
          <w:sz w:val="24"/>
          <w:szCs w:val="24"/>
        </w:rPr>
      </w:pPr>
      <w:r w:rsidRPr="00C8058B">
        <w:rPr>
          <w:rFonts w:ascii="Times New Roman" w:eastAsia="Times New Roman" w:hAnsi="Times New Roman" w:cs="Times New Roman"/>
          <w:b/>
          <w:bCs/>
          <w:sz w:val="24"/>
          <w:szCs w:val="24"/>
        </w:rPr>
        <w:t>The strengths</w:t>
      </w:r>
      <w:r w:rsidRPr="00C8058B">
        <w:rPr>
          <w:rFonts w:ascii="Times New Roman" w:eastAsia="Times New Roman" w:hAnsi="Times New Roman" w:cs="Times New Roman"/>
          <w:sz w:val="24"/>
          <w:szCs w:val="24"/>
        </w:rPr>
        <w:t xml:space="preserve"> of thematic analysis lie in its accessibility, adaptability across epistemological positions, and ability to uncover nuanced insights that might not emerge through quantitative methods alone. It is especially effective in capturing context-specific engagement experiences and learner perspectives. However, </w:t>
      </w:r>
      <w:r w:rsidRPr="00C8058B">
        <w:rPr>
          <w:rFonts w:ascii="Times New Roman" w:eastAsia="Times New Roman" w:hAnsi="Times New Roman" w:cs="Times New Roman"/>
          <w:b/>
          <w:bCs/>
          <w:sz w:val="24"/>
          <w:szCs w:val="24"/>
        </w:rPr>
        <w:t>its limitations</w:t>
      </w:r>
      <w:r w:rsidRPr="00C8058B">
        <w:rPr>
          <w:rFonts w:ascii="Times New Roman" w:eastAsia="Times New Roman" w:hAnsi="Times New Roman" w:cs="Times New Roman"/>
          <w:sz w:val="24"/>
          <w:szCs w:val="24"/>
        </w:rPr>
        <w:t xml:space="preserve"> include potential researcher bias during coding and interpretation, and a dependence on the researcher's skill and reflexivity to ensure credibility and trustworthiness. The quality of findings in thematic analysis is also strongly influenced by the depth and clarity of the interview data.</w:t>
      </w:r>
    </w:p>
    <w:p w14:paraId="186EFDD8" w14:textId="77777777" w:rsidR="00C8058B" w:rsidRPr="00C8058B" w:rsidRDefault="00C8058B" w:rsidP="00C8058B">
      <w:pPr>
        <w:spacing w:before="100" w:beforeAutospacing="1" w:after="100" w:afterAutospacing="1"/>
        <w:jc w:val="both"/>
        <w:rPr>
          <w:rFonts w:ascii="Times New Roman" w:eastAsia="Times New Roman" w:hAnsi="Times New Roman" w:cs="Times New Roman"/>
          <w:sz w:val="24"/>
          <w:szCs w:val="24"/>
        </w:rPr>
      </w:pPr>
    </w:p>
    <w:p w14:paraId="750D0428" w14:textId="77777777" w:rsidR="005B5DD9" w:rsidRPr="000466A1" w:rsidRDefault="005B5DD9" w:rsidP="00D40429">
      <w:pPr>
        <w:spacing w:before="100" w:beforeAutospacing="1" w:after="100" w:afterAutospacing="1" w:line="240" w:lineRule="auto"/>
        <w:jc w:val="both"/>
        <w:rPr>
          <w:rFonts w:ascii="Times New Roman" w:eastAsia="Times New Roman" w:hAnsi="Times New Roman" w:cs="Times New Roman"/>
          <w:sz w:val="24"/>
          <w:szCs w:val="24"/>
        </w:rPr>
      </w:pPr>
    </w:p>
    <w:p w14:paraId="0F6577AF" w14:textId="77777777" w:rsidR="005B5DD9" w:rsidRPr="000466A1" w:rsidRDefault="005B5DD9" w:rsidP="00D40429">
      <w:pPr>
        <w:spacing w:before="100" w:beforeAutospacing="1" w:after="100" w:afterAutospacing="1" w:line="240" w:lineRule="auto"/>
        <w:jc w:val="both"/>
        <w:rPr>
          <w:rFonts w:ascii="Times New Roman" w:eastAsia="Times New Roman" w:hAnsi="Times New Roman" w:cs="Times New Roman"/>
          <w:sz w:val="24"/>
          <w:szCs w:val="24"/>
        </w:rPr>
      </w:pPr>
      <w:r w:rsidRPr="000466A1">
        <w:rPr>
          <w:rFonts w:ascii="Times New Roman" w:eastAsia="Times New Roman" w:hAnsi="Times New Roman" w:cs="Times New Roman"/>
          <w:b/>
          <w:bCs/>
          <w:sz w:val="24"/>
          <w:szCs w:val="24"/>
        </w:rPr>
        <w:t>3.6 Ethical Considerations</w:t>
      </w:r>
    </w:p>
    <w:p w14:paraId="42AD1F82" w14:textId="77777777" w:rsidR="005B5DD9" w:rsidRPr="000466A1" w:rsidRDefault="005B5DD9" w:rsidP="00D40429">
      <w:pPr>
        <w:spacing w:before="100" w:beforeAutospacing="1" w:after="100" w:afterAutospacing="1" w:line="240" w:lineRule="auto"/>
        <w:jc w:val="both"/>
        <w:rPr>
          <w:rFonts w:ascii="Times New Roman" w:eastAsia="Times New Roman" w:hAnsi="Times New Roman" w:cs="Times New Roman"/>
          <w:sz w:val="24"/>
          <w:szCs w:val="24"/>
        </w:rPr>
      </w:pPr>
      <w:r w:rsidRPr="000466A1">
        <w:rPr>
          <w:rFonts w:ascii="Times New Roman" w:eastAsia="Times New Roman" w:hAnsi="Times New Roman" w:cs="Times New Roman"/>
          <w:sz w:val="24"/>
          <w:szCs w:val="24"/>
        </w:rPr>
        <w:t xml:space="preserve">Ethical approval will be obtained from the [Name of University] Institutional Review Board (IRB). The study will adhere to the ethical guidelines for research, ensuring the protection of participants' rights and well-being.   </w:t>
      </w:r>
    </w:p>
    <w:p w14:paraId="069E9B24" w14:textId="77777777" w:rsidR="005B5DD9" w:rsidRPr="000466A1" w:rsidRDefault="005B5DD9" w:rsidP="00D40429">
      <w:pPr>
        <w:spacing w:before="100" w:beforeAutospacing="1" w:after="100" w:afterAutospacing="1" w:line="240" w:lineRule="auto"/>
        <w:jc w:val="both"/>
        <w:rPr>
          <w:rFonts w:ascii="Times New Roman" w:eastAsia="Times New Roman" w:hAnsi="Times New Roman" w:cs="Times New Roman"/>
          <w:sz w:val="24"/>
          <w:szCs w:val="24"/>
        </w:rPr>
      </w:pPr>
      <w:r w:rsidRPr="000466A1">
        <w:rPr>
          <w:rFonts w:ascii="Times New Roman" w:eastAsia="Times New Roman" w:hAnsi="Times New Roman" w:cs="Times New Roman"/>
          <w:sz w:val="24"/>
          <w:szCs w:val="24"/>
        </w:rPr>
        <w:t xml:space="preserve">Informed consent will be obtained from all participants after providing them with detailed information about the study's purpose, procedures, potential risks and benefits, and their right to withdraw at any time without penalty.   </w:t>
      </w:r>
    </w:p>
    <w:p w14:paraId="0DB2708C" w14:textId="77777777" w:rsidR="005B5DD9" w:rsidRDefault="005B5DD9" w:rsidP="00D40429">
      <w:pPr>
        <w:spacing w:before="100" w:beforeAutospacing="1" w:after="100" w:afterAutospacing="1" w:line="240" w:lineRule="auto"/>
        <w:jc w:val="both"/>
        <w:rPr>
          <w:rFonts w:ascii="Times New Roman" w:eastAsia="Times New Roman" w:hAnsi="Times New Roman" w:cs="Times New Roman"/>
          <w:sz w:val="24"/>
          <w:szCs w:val="24"/>
        </w:rPr>
      </w:pPr>
      <w:r w:rsidRPr="000466A1">
        <w:rPr>
          <w:rFonts w:ascii="Times New Roman" w:eastAsia="Times New Roman" w:hAnsi="Times New Roman" w:cs="Times New Roman"/>
          <w:sz w:val="24"/>
          <w:szCs w:val="24"/>
        </w:rPr>
        <w:t xml:space="preserve">Participants' anonymity and the confidentiality of their data will be strictly maintained throughout the study. Data will be stored securely and accessed only by the research team, in compliance with relevant data protection regulations (e.g., GDPR).   </w:t>
      </w:r>
    </w:p>
    <w:p w14:paraId="119474BE" w14:textId="77777777" w:rsidR="00777293" w:rsidRPr="00777293" w:rsidRDefault="00777293" w:rsidP="00D40429">
      <w:pPr>
        <w:spacing w:before="100" w:beforeAutospacing="1" w:after="100" w:afterAutospacing="1" w:line="240" w:lineRule="auto"/>
        <w:jc w:val="both"/>
        <w:outlineLvl w:val="2"/>
        <w:rPr>
          <w:rFonts w:ascii="Times New Roman" w:eastAsia="Times New Roman" w:hAnsi="Times New Roman" w:cs="Times New Roman"/>
          <w:b/>
          <w:bCs/>
          <w:sz w:val="27"/>
          <w:szCs w:val="27"/>
        </w:rPr>
      </w:pPr>
      <w:r w:rsidRPr="00777293">
        <w:rPr>
          <w:rFonts w:ascii="Times New Roman" w:eastAsia="Times New Roman" w:hAnsi="Times New Roman" w:cs="Times New Roman"/>
          <w:b/>
          <w:bCs/>
          <w:sz w:val="27"/>
          <w:szCs w:val="27"/>
        </w:rPr>
        <w:t>Conclusion</w:t>
      </w:r>
    </w:p>
    <w:p w14:paraId="074F5440" w14:textId="77777777" w:rsidR="00777293" w:rsidRPr="00777293" w:rsidRDefault="00777293" w:rsidP="00D40429">
      <w:pPr>
        <w:spacing w:before="100" w:beforeAutospacing="1" w:after="100" w:afterAutospacing="1" w:line="240" w:lineRule="auto"/>
        <w:jc w:val="both"/>
        <w:rPr>
          <w:rFonts w:ascii="Times New Roman" w:eastAsia="Times New Roman" w:hAnsi="Times New Roman" w:cs="Times New Roman"/>
          <w:sz w:val="24"/>
          <w:szCs w:val="24"/>
        </w:rPr>
      </w:pPr>
      <w:r w:rsidRPr="00777293">
        <w:rPr>
          <w:rFonts w:ascii="Times New Roman" w:eastAsia="Times New Roman" w:hAnsi="Times New Roman" w:cs="Times New Roman"/>
          <w:sz w:val="24"/>
          <w:szCs w:val="24"/>
        </w:rPr>
        <w:t>This research proposal set out to explore how learner engagement differs between a traditional Learning Management System (Moodle) and an AI-enhanced platform (Coursa) in higher education contexts. The main research question focused on the extent to which the type of LMS influences cognitive, emotional, and behavioral engagement among undergraduate students.</w:t>
      </w:r>
    </w:p>
    <w:p w14:paraId="095FC9B6" w14:textId="77777777" w:rsidR="00777293" w:rsidRPr="00777293" w:rsidRDefault="00777293" w:rsidP="00D40429">
      <w:pPr>
        <w:spacing w:before="100" w:beforeAutospacing="1" w:after="100" w:afterAutospacing="1" w:line="240" w:lineRule="auto"/>
        <w:jc w:val="both"/>
        <w:rPr>
          <w:rFonts w:ascii="Times New Roman" w:eastAsia="Times New Roman" w:hAnsi="Times New Roman" w:cs="Times New Roman"/>
          <w:sz w:val="24"/>
          <w:szCs w:val="24"/>
        </w:rPr>
      </w:pPr>
      <w:r w:rsidRPr="00777293">
        <w:rPr>
          <w:rFonts w:ascii="Times New Roman" w:eastAsia="Times New Roman" w:hAnsi="Times New Roman" w:cs="Times New Roman"/>
          <w:sz w:val="24"/>
          <w:szCs w:val="24"/>
        </w:rPr>
        <w:t>The mixed-methods approach—combining quantitative data through validated engagement scales and qualitative insights from semi-structured interviews—was chosen to provide a comprehensive understanding of learner engagement from both statistical and experiential perspectives. This method aligns well with the pragmatic philosophical stance adopted in the study, as it allows for the triangulation of data and a nuanced interpretation of complex educational phenomena.</w:t>
      </w:r>
    </w:p>
    <w:p w14:paraId="3AC9EFE8" w14:textId="77777777" w:rsidR="00777293" w:rsidRPr="00777293" w:rsidRDefault="00777293" w:rsidP="00D40429">
      <w:pPr>
        <w:spacing w:before="100" w:beforeAutospacing="1" w:after="100" w:afterAutospacing="1" w:line="240" w:lineRule="auto"/>
        <w:jc w:val="both"/>
        <w:rPr>
          <w:rFonts w:ascii="Times New Roman" w:eastAsia="Times New Roman" w:hAnsi="Times New Roman" w:cs="Times New Roman"/>
          <w:sz w:val="24"/>
          <w:szCs w:val="24"/>
        </w:rPr>
      </w:pPr>
      <w:r w:rsidRPr="00777293">
        <w:rPr>
          <w:rFonts w:ascii="Times New Roman" w:eastAsia="Times New Roman" w:hAnsi="Times New Roman" w:cs="Times New Roman"/>
          <w:sz w:val="24"/>
          <w:szCs w:val="24"/>
        </w:rPr>
        <w:lastRenderedPageBreak/>
        <w:t>The anticipated findings of this study hold practical significance for universities and educators seeking to optimize online learning environments. Insights gained may guide the selection, design, and implementation of digital learning platforms that foster meaningful, sustained student engagement. Additionally, the study’s outcomes could inform future research in educational technology, particularly regarding the ethical and pedagogical implications of AI-driven learning tools.</w:t>
      </w:r>
    </w:p>
    <w:p w14:paraId="7005783C" w14:textId="77777777" w:rsidR="00777293" w:rsidRPr="000466A1" w:rsidRDefault="00777293" w:rsidP="00D40429">
      <w:pPr>
        <w:spacing w:before="100" w:beforeAutospacing="1" w:after="100" w:afterAutospacing="1" w:line="240" w:lineRule="auto"/>
        <w:jc w:val="both"/>
        <w:rPr>
          <w:rFonts w:ascii="Times New Roman" w:eastAsia="Times New Roman" w:hAnsi="Times New Roman" w:cs="Times New Roman"/>
          <w:sz w:val="24"/>
          <w:szCs w:val="24"/>
        </w:rPr>
      </w:pPr>
    </w:p>
    <w:p w14:paraId="1CE297A6" w14:textId="77777777" w:rsidR="003A2DE7" w:rsidRPr="002F68C8" w:rsidRDefault="003A2DE7" w:rsidP="00D4042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heme="majorBidi" w:eastAsia="Times New Roman" w:hAnsiTheme="majorBidi" w:cstheme="majorBidi"/>
          <w:color w:val="575B5F"/>
          <w:bdr w:val="none" w:sz="0" w:space="0" w:color="auto" w:frame="1"/>
        </w:rPr>
      </w:pPr>
    </w:p>
    <w:p w14:paraId="3BE08CE7" w14:textId="77777777" w:rsidR="003A2DE7" w:rsidRPr="00F5125E" w:rsidRDefault="003A2DE7" w:rsidP="00D4042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heme="majorBidi" w:eastAsia="Times New Roman" w:hAnsiTheme="majorBidi" w:cstheme="majorBidi"/>
          <w:b/>
          <w:bCs/>
          <w:color w:val="575B5F"/>
          <w:bdr w:val="none" w:sz="0" w:space="0" w:color="auto" w:frame="1"/>
        </w:rPr>
      </w:pPr>
      <w:r w:rsidRPr="00F5125E">
        <w:rPr>
          <w:rFonts w:asciiTheme="majorBidi" w:eastAsia="Times New Roman" w:hAnsiTheme="majorBidi" w:cstheme="majorBidi"/>
          <w:b/>
          <w:bCs/>
          <w:color w:val="575B5F"/>
          <w:bdr w:val="none" w:sz="0" w:space="0" w:color="auto" w:frame="1"/>
        </w:rPr>
        <w:t>References</w:t>
      </w:r>
    </w:p>
    <w:p w14:paraId="308A4C57" w14:textId="77777777" w:rsidR="00D543E4" w:rsidRPr="00D543E4" w:rsidRDefault="00D543E4" w:rsidP="00D40429">
      <w:pPr>
        <w:spacing w:before="100" w:beforeAutospacing="1" w:after="100" w:afterAutospacing="1" w:line="240" w:lineRule="auto"/>
        <w:jc w:val="both"/>
        <w:rPr>
          <w:rFonts w:ascii="Times New Roman" w:eastAsia="Times New Roman" w:hAnsi="Times New Roman" w:cs="Times New Roman"/>
          <w:sz w:val="24"/>
          <w:szCs w:val="24"/>
        </w:rPr>
      </w:pPr>
      <w:r w:rsidRPr="00D543E4">
        <w:rPr>
          <w:rFonts w:ascii="Times New Roman" w:eastAsia="Times New Roman" w:hAnsi="Times New Roman" w:cs="Times New Roman"/>
          <w:sz w:val="24"/>
          <w:szCs w:val="24"/>
        </w:rPr>
        <w:t xml:space="preserve">Al-Ajlan, A. and Zedan, H. (2008) ‘Moodle: An open source learning management system’, </w:t>
      </w:r>
      <w:r w:rsidRPr="00D543E4">
        <w:rPr>
          <w:rFonts w:ascii="Times New Roman" w:eastAsia="Times New Roman" w:hAnsi="Times New Roman" w:cs="Times New Roman"/>
          <w:i/>
          <w:iCs/>
          <w:sz w:val="24"/>
          <w:szCs w:val="24"/>
        </w:rPr>
        <w:t>Proceedings of the 2008 International Arab Conference on Information Technology (ACIT 2008)</w:t>
      </w:r>
      <w:r w:rsidRPr="00D543E4">
        <w:rPr>
          <w:rFonts w:ascii="Times New Roman" w:eastAsia="Times New Roman" w:hAnsi="Times New Roman" w:cs="Times New Roman"/>
          <w:sz w:val="24"/>
          <w:szCs w:val="24"/>
        </w:rPr>
        <w:t>, pp. 475–482.</w:t>
      </w:r>
    </w:p>
    <w:p w14:paraId="449F77F4" w14:textId="77777777" w:rsidR="00D543E4" w:rsidRPr="00D543E4" w:rsidRDefault="00D543E4" w:rsidP="00D40429">
      <w:pPr>
        <w:spacing w:before="100" w:beforeAutospacing="1" w:after="100" w:afterAutospacing="1" w:line="240" w:lineRule="auto"/>
        <w:jc w:val="both"/>
        <w:rPr>
          <w:rFonts w:ascii="Times New Roman" w:eastAsia="Times New Roman" w:hAnsi="Times New Roman" w:cs="Times New Roman"/>
          <w:sz w:val="24"/>
          <w:szCs w:val="24"/>
        </w:rPr>
      </w:pPr>
      <w:r w:rsidRPr="00D543E4">
        <w:rPr>
          <w:rFonts w:ascii="Times New Roman" w:eastAsia="Times New Roman" w:hAnsi="Times New Roman" w:cs="Times New Roman"/>
          <w:sz w:val="24"/>
          <w:szCs w:val="24"/>
        </w:rPr>
        <w:t xml:space="preserve">Astin, A.W. (1984) ‘Student involvement: A developmental theory for higher education’, </w:t>
      </w:r>
      <w:r w:rsidRPr="00D543E4">
        <w:rPr>
          <w:rFonts w:ascii="Times New Roman" w:eastAsia="Times New Roman" w:hAnsi="Times New Roman" w:cs="Times New Roman"/>
          <w:i/>
          <w:iCs/>
          <w:sz w:val="24"/>
          <w:szCs w:val="24"/>
        </w:rPr>
        <w:t>Journal of College Student Personnel</w:t>
      </w:r>
      <w:r w:rsidRPr="00D543E4">
        <w:rPr>
          <w:rFonts w:ascii="Times New Roman" w:eastAsia="Times New Roman" w:hAnsi="Times New Roman" w:cs="Times New Roman"/>
          <w:sz w:val="24"/>
          <w:szCs w:val="24"/>
        </w:rPr>
        <w:t>, 25(4), pp. 297–308.</w:t>
      </w:r>
    </w:p>
    <w:p w14:paraId="34C99705" w14:textId="77777777" w:rsidR="00D543E4" w:rsidRDefault="00D543E4" w:rsidP="00D40429">
      <w:pPr>
        <w:spacing w:before="100" w:beforeAutospacing="1" w:after="100" w:afterAutospacing="1" w:line="240" w:lineRule="auto"/>
        <w:jc w:val="both"/>
        <w:rPr>
          <w:rFonts w:ascii="Times New Roman" w:eastAsia="Times New Roman" w:hAnsi="Times New Roman" w:cs="Times New Roman"/>
          <w:sz w:val="24"/>
          <w:szCs w:val="24"/>
        </w:rPr>
      </w:pPr>
      <w:r w:rsidRPr="00D543E4">
        <w:rPr>
          <w:rFonts w:ascii="Times New Roman" w:eastAsia="Times New Roman" w:hAnsi="Times New Roman" w:cs="Times New Roman"/>
          <w:sz w:val="24"/>
          <w:szCs w:val="24"/>
        </w:rPr>
        <w:t xml:space="preserve">Bandura, A. (1986) </w:t>
      </w:r>
      <w:r w:rsidRPr="00D543E4">
        <w:rPr>
          <w:rFonts w:ascii="Times New Roman" w:eastAsia="Times New Roman" w:hAnsi="Times New Roman" w:cs="Times New Roman"/>
          <w:i/>
          <w:iCs/>
          <w:sz w:val="24"/>
          <w:szCs w:val="24"/>
        </w:rPr>
        <w:t>Social foundations of thought and action: A social cognitive theory</w:t>
      </w:r>
      <w:r w:rsidRPr="00D543E4">
        <w:rPr>
          <w:rFonts w:ascii="Times New Roman" w:eastAsia="Times New Roman" w:hAnsi="Times New Roman" w:cs="Times New Roman"/>
          <w:sz w:val="24"/>
          <w:szCs w:val="24"/>
        </w:rPr>
        <w:t>. Englewood Cliffs, NJ: Prentice-Hall.</w:t>
      </w:r>
    </w:p>
    <w:p w14:paraId="34B36A51" w14:textId="77777777" w:rsidR="00C8058B" w:rsidRPr="00C8058B" w:rsidRDefault="00C8058B" w:rsidP="00C8058B">
      <w:pPr>
        <w:spacing w:before="100" w:beforeAutospacing="1" w:after="100" w:afterAutospacing="1" w:line="240" w:lineRule="auto"/>
        <w:rPr>
          <w:rFonts w:ascii="Times New Roman" w:eastAsia="Times New Roman" w:hAnsi="Times New Roman" w:cs="Times New Roman"/>
          <w:sz w:val="24"/>
          <w:szCs w:val="24"/>
        </w:rPr>
      </w:pPr>
      <w:r w:rsidRPr="00C8058B">
        <w:rPr>
          <w:rFonts w:ascii="Times New Roman" w:eastAsia="Times New Roman" w:hAnsi="Times New Roman" w:cs="Times New Roman"/>
          <w:sz w:val="24"/>
          <w:szCs w:val="24"/>
        </w:rPr>
        <w:t xml:space="preserve">Braun, V. and Clarke, V. (2006) ‘Using thematic analysis in psychology’, </w:t>
      </w:r>
      <w:r w:rsidRPr="00C8058B">
        <w:rPr>
          <w:rFonts w:ascii="Times New Roman" w:eastAsia="Times New Roman" w:hAnsi="Times New Roman" w:cs="Times New Roman"/>
          <w:i/>
          <w:iCs/>
          <w:sz w:val="24"/>
          <w:szCs w:val="24"/>
        </w:rPr>
        <w:t>Qualitative Research in Psychology</w:t>
      </w:r>
      <w:r w:rsidRPr="00C8058B">
        <w:rPr>
          <w:rFonts w:ascii="Times New Roman" w:eastAsia="Times New Roman" w:hAnsi="Times New Roman" w:cs="Times New Roman"/>
          <w:sz w:val="24"/>
          <w:szCs w:val="24"/>
        </w:rPr>
        <w:t>, 3(2), pp. 77–101.</w:t>
      </w:r>
    </w:p>
    <w:p w14:paraId="6202748C" w14:textId="77777777" w:rsidR="00D543E4" w:rsidRPr="00D543E4" w:rsidRDefault="00D543E4" w:rsidP="00D40429">
      <w:pPr>
        <w:spacing w:before="100" w:beforeAutospacing="1" w:after="100" w:afterAutospacing="1" w:line="240" w:lineRule="auto"/>
        <w:jc w:val="both"/>
        <w:rPr>
          <w:rFonts w:ascii="Times New Roman" w:eastAsia="Times New Roman" w:hAnsi="Times New Roman" w:cs="Times New Roman"/>
          <w:sz w:val="24"/>
          <w:szCs w:val="24"/>
        </w:rPr>
      </w:pPr>
      <w:r w:rsidRPr="00D543E4">
        <w:rPr>
          <w:rFonts w:ascii="Times New Roman" w:eastAsia="Times New Roman" w:hAnsi="Times New Roman" w:cs="Times New Roman"/>
          <w:sz w:val="24"/>
          <w:szCs w:val="24"/>
        </w:rPr>
        <w:t xml:space="preserve">Deci, E.L. and Ryan, R.M. (2000) ‘The “what” and “why” of goal pursuits: Human needs and the self-determination of behavior’, </w:t>
      </w:r>
      <w:r w:rsidRPr="00D543E4">
        <w:rPr>
          <w:rFonts w:ascii="Times New Roman" w:eastAsia="Times New Roman" w:hAnsi="Times New Roman" w:cs="Times New Roman"/>
          <w:i/>
          <w:iCs/>
          <w:sz w:val="24"/>
          <w:szCs w:val="24"/>
        </w:rPr>
        <w:t>Psychological Inquiry</w:t>
      </w:r>
      <w:r w:rsidRPr="00D543E4">
        <w:rPr>
          <w:rFonts w:ascii="Times New Roman" w:eastAsia="Times New Roman" w:hAnsi="Times New Roman" w:cs="Times New Roman"/>
          <w:sz w:val="24"/>
          <w:szCs w:val="24"/>
        </w:rPr>
        <w:t>, 11(4), pp. 227–268.</w:t>
      </w:r>
    </w:p>
    <w:p w14:paraId="133E17DF" w14:textId="77777777" w:rsidR="00D543E4" w:rsidRPr="00D543E4" w:rsidRDefault="00D543E4" w:rsidP="00D40429">
      <w:pPr>
        <w:spacing w:before="100" w:beforeAutospacing="1" w:after="100" w:afterAutospacing="1" w:line="240" w:lineRule="auto"/>
        <w:jc w:val="both"/>
        <w:rPr>
          <w:rFonts w:ascii="Times New Roman" w:eastAsia="Times New Roman" w:hAnsi="Times New Roman" w:cs="Times New Roman"/>
          <w:sz w:val="24"/>
          <w:szCs w:val="24"/>
        </w:rPr>
      </w:pPr>
      <w:r w:rsidRPr="00D543E4">
        <w:rPr>
          <w:rFonts w:ascii="Times New Roman" w:eastAsia="Times New Roman" w:hAnsi="Times New Roman" w:cs="Times New Roman"/>
          <w:sz w:val="24"/>
          <w:szCs w:val="24"/>
        </w:rPr>
        <w:t xml:space="preserve">Dixson, M.D. (2010) ‘Creating effective student engagement in online courses: What do students find engaging?’, </w:t>
      </w:r>
      <w:r w:rsidRPr="00D543E4">
        <w:rPr>
          <w:rFonts w:ascii="Times New Roman" w:eastAsia="Times New Roman" w:hAnsi="Times New Roman" w:cs="Times New Roman"/>
          <w:i/>
          <w:iCs/>
          <w:sz w:val="24"/>
          <w:szCs w:val="24"/>
        </w:rPr>
        <w:t>Journal of Scholarship of Teaching and Learning</w:t>
      </w:r>
      <w:r w:rsidRPr="00D543E4">
        <w:rPr>
          <w:rFonts w:ascii="Times New Roman" w:eastAsia="Times New Roman" w:hAnsi="Times New Roman" w:cs="Times New Roman"/>
          <w:sz w:val="24"/>
          <w:szCs w:val="24"/>
        </w:rPr>
        <w:t>, 10(2), pp. 1–13.</w:t>
      </w:r>
    </w:p>
    <w:p w14:paraId="502686E6" w14:textId="77777777" w:rsidR="00D543E4" w:rsidRPr="00D543E4" w:rsidRDefault="00D543E4" w:rsidP="00D40429">
      <w:pPr>
        <w:spacing w:before="100" w:beforeAutospacing="1" w:after="100" w:afterAutospacing="1" w:line="240" w:lineRule="auto"/>
        <w:jc w:val="both"/>
        <w:rPr>
          <w:rFonts w:ascii="Times New Roman" w:eastAsia="Times New Roman" w:hAnsi="Times New Roman" w:cs="Times New Roman"/>
          <w:sz w:val="24"/>
          <w:szCs w:val="24"/>
        </w:rPr>
      </w:pPr>
      <w:r w:rsidRPr="00D543E4">
        <w:rPr>
          <w:rFonts w:ascii="Times New Roman" w:eastAsia="Times New Roman" w:hAnsi="Times New Roman" w:cs="Times New Roman"/>
          <w:sz w:val="24"/>
          <w:szCs w:val="24"/>
        </w:rPr>
        <w:t xml:space="preserve">Fredricks, J.A., Blumenfeld, P.C. and Paris, A.H. (2004) ‘School engagement: Potential of the concept, state of the evidence’, </w:t>
      </w:r>
      <w:r w:rsidRPr="00D543E4">
        <w:rPr>
          <w:rFonts w:ascii="Times New Roman" w:eastAsia="Times New Roman" w:hAnsi="Times New Roman" w:cs="Times New Roman"/>
          <w:i/>
          <w:iCs/>
          <w:sz w:val="24"/>
          <w:szCs w:val="24"/>
        </w:rPr>
        <w:t>Review of Educational Research</w:t>
      </w:r>
      <w:r w:rsidRPr="00D543E4">
        <w:rPr>
          <w:rFonts w:ascii="Times New Roman" w:eastAsia="Times New Roman" w:hAnsi="Times New Roman" w:cs="Times New Roman"/>
          <w:sz w:val="24"/>
          <w:szCs w:val="24"/>
        </w:rPr>
        <w:t>, 74(1), pp. 59–109.</w:t>
      </w:r>
    </w:p>
    <w:p w14:paraId="71120AEE" w14:textId="77777777" w:rsidR="00D543E4" w:rsidRPr="00D543E4" w:rsidRDefault="00D543E4" w:rsidP="00D40429">
      <w:pPr>
        <w:spacing w:before="100" w:beforeAutospacing="1" w:after="100" w:afterAutospacing="1" w:line="240" w:lineRule="auto"/>
        <w:jc w:val="both"/>
        <w:rPr>
          <w:rFonts w:ascii="Times New Roman" w:eastAsia="Times New Roman" w:hAnsi="Times New Roman" w:cs="Times New Roman"/>
          <w:sz w:val="24"/>
          <w:szCs w:val="24"/>
        </w:rPr>
      </w:pPr>
      <w:r w:rsidRPr="00D543E4">
        <w:rPr>
          <w:rFonts w:ascii="Times New Roman" w:eastAsia="Times New Roman" w:hAnsi="Times New Roman" w:cs="Times New Roman"/>
          <w:sz w:val="24"/>
          <w:szCs w:val="24"/>
        </w:rPr>
        <w:t xml:space="preserve">Fredricks, J.A., Wang, M.T., Smylie, M.A., Greene, J.A. and Eccles, J.S. (2007) ‘A qualitative exploration of adolescents' commitment to athletics and the arts’, </w:t>
      </w:r>
      <w:r w:rsidRPr="00D543E4">
        <w:rPr>
          <w:rFonts w:ascii="Times New Roman" w:eastAsia="Times New Roman" w:hAnsi="Times New Roman" w:cs="Times New Roman"/>
          <w:i/>
          <w:iCs/>
          <w:sz w:val="24"/>
          <w:szCs w:val="24"/>
        </w:rPr>
        <w:t>Journal of Adolescent Research</w:t>
      </w:r>
      <w:r w:rsidRPr="00D543E4">
        <w:rPr>
          <w:rFonts w:ascii="Times New Roman" w:eastAsia="Times New Roman" w:hAnsi="Times New Roman" w:cs="Times New Roman"/>
          <w:sz w:val="24"/>
          <w:szCs w:val="24"/>
        </w:rPr>
        <w:t>, 22(1), pp. 1–32.</w:t>
      </w:r>
    </w:p>
    <w:p w14:paraId="5C3A4372" w14:textId="77777777" w:rsidR="00D543E4" w:rsidRPr="00D543E4" w:rsidRDefault="00D543E4" w:rsidP="00D40429">
      <w:pPr>
        <w:spacing w:before="100" w:beforeAutospacing="1" w:after="100" w:afterAutospacing="1" w:line="240" w:lineRule="auto"/>
        <w:jc w:val="both"/>
        <w:rPr>
          <w:rFonts w:ascii="Times New Roman" w:eastAsia="Times New Roman" w:hAnsi="Times New Roman" w:cs="Times New Roman"/>
          <w:sz w:val="24"/>
          <w:szCs w:val="24"/>
        </w:rPr>
      </w:pPr>
      <w:r w:rsidRPr="00D543E4">
        <w:rPr>
          <w:rFonts w:ascii="Times New Roman" w:eastAsia="Times New Roman" w:hAnsi="Times New Roman" w:cs="Times New Roman"/>
          <w:sz w:val="24"/>
          <w:szCs w:val="24"/>
        </w:rPr>
        <w:t xml:space="preserve">Fredricks, J.A., Wang, M.T., Smylie, M.A., Greene, J.A. and Eccles, J.S. (2011) ‘Understanding student engagement and achievement: A longitudinal perspective’, </w:t>
      </w:r>
      <w:r w:rsidRPr="00D543E4">
        <w:rPr>
          <w:rFonts w:ascii="Times New Roman" w:eastAsia="Times New Roman" w:hAnsi="Times New Roman" w:cs="Times New Roman"/>
          <w:i/>
          <w:iCs/>
          <w:sz w:val="24"/>
          <w:szCs w:val="24"/>
        </w:rPr>
        <w:t>Journal of Youth and Adolescence</w:t>
      </w:r>
      <w:r w:rsidRPr="00D543E4">
        <w:rPr>
          <w:rFonts w:ascii="Times New Roman" w:eastAsia="Times New Roman" w:hAnsi="Times New Roman" w:cs="Times New Roman"/>
          <w:sz w:val="24"/>
          <w:szCs w:val="24"/>
        </w:rPr>
        <w:t>, 40(1), pp. 1–12.</w:t>
      </w:r>
    </w:p>
    <w:p w14:paraId="423A5756" w14:textId="77777777" w:rsidR="00D543E4" w:rsidRPr="00D543E4" w:rsidRDefault="00D543E4" w:rsidP="00D40429">
      <w:pPr>
        <w:spacing w:before="100" w:beforeAutospacing="1" w:after="100" w:afterAutospacing="1" w:line="240" w:lineRule="auto"/>
        <w:jc w:val="both"/>
        <w:rPr>
          <w:rFonts w:ascii="Times New Roman" w:eastAsia="Times New Roman" w:hAnsi="Times New Roman" w:cs="Times New Roman"/>
          <w:sz w:val="24"/>
          <w:szCs w:val="24"/>
        </w:rPr>
      </w:pPr>
      <w:r w:rsidRPr="00D543E4">
        <w:rPr>
          <w:rFonts w:ascii="Times New Roman" w:eastAsia="Times New Roman" w:hAnsi="Times New Roman" w:cs="Times New Roman"/>
          <w:sz w:val="24"/>
          <w:szCs w:val="24"/>
        </w:rPr>
        <w:t xml:space="preserve">Henrie, C.R., Halverson, L.R. and Graham, C.R. (2015) ‘Measuring student engagement in technology-mediated learning: A review’, </w:t>
      </w:r>
      <w:r w:rsidRPr="00D543E4">
        <w:rPr>
          <w:rFonts w:ascii="Times New Roman" w:eastAsia="Times New Roman" w:hAnsi="Times New Roman" w:cs="Times New Roman"/>
          <w:i/>
          <w:iCs/>
          <w:sz w:val="24"/>
          <w:szCs w:val="24"/>
        </w:rPr>
        <w:t>Computers &amp; Education</w:t>
      </w:r>
      <w:r w:rsidRPr="00D543E4">
        <w:rPr>
          <w:rFonts w:ascii="Times New Roman" w:eastAsia="Times New Roman" w:hAnsi="Times New Roman" w:cs="Times New Roman"/>
          <w:sz w:val="24"/>
          <w:szCs w:val="24"/>
        </w:rPr>
        <w:t>, 90, pp. 36–53.</w:t>
      </w:r>
    </w:p>
    <w:p w14:paraId="53355FCC" w14:textId="77777777" w:rsidR="00D543E4" w:rsidRPr="00D543E4" w:rsidRDefault="00D543E4" w:rsidP="00D40429">
      <w:pPr>
        <w:spacing w:before="100" w:beforeAutospacing="1" w:after="100" w:afterAutospacing="1" w:line="240" w:lineRule="auto"/>
        <w:jc w:val="both"/>
        <w:rPr>
          <w:rFonts w:ascii="Times New Roman" w:eastAsia="Times New Roman" w:hAnsi="Times New Roman" w:cs="Times New Roman"/>
          <w:sz w:val="24"/>
          <w:szCs w:val="24"/>
        </w:rPr>
      </w:pPr>
      <w:r w:rsidRPr="00D543E4">
        <w:rPr>
          <w:rFonts w:ascii="Times New Roman" w:eastAsia="Times New Roman" w:hAnsi="Times New Roman" w:cs="Times New Roman"/>
          <w:sz w:val="24"/>
          <w:szCs w:val="24"/>
        </w:rPr>
        <w:lastRenderedPageBreak/>
        <w:t xml:space="preserve">Hew, K.F., Lan, M., Tang, Y., Jia, C. and Lo, C.K. (2020) ‘Predictive learning analytics using deep learning and learning analytics: A systematic review of journal publications’, </w:t>
      </w:r>
      <w:r w:rsidRPr="00D543E4">
        <w:rPr>
          <w:rFonts w:ascii="Times New Roman" w:eastAsia="Times New Roman" w:hAnsi="Times New Roman" w:cs="Times New Roman"/>
          <w:i/>
          <w:iCs/>
          <w:sz w:val="24"/>
          <w:szCs w:val="24"/>
        </w:rPr>
        <w:t>Computers &amp; Education</w:t>
      </w:r>
      <w:r w:rsidRPr="00D543E4">
        <w:rPr>
          <w:rFonts w:ascii="Times New Roman" w:eastAsia="Times New Roman" w:hAnsi="Times New Roman" w:cs="Times New Roman"/>
          <w:sz w:val="24"/>
          <w:szCs w:val="24"/>
        </w:rPr>
        <w:t>, 156, Article 103998.</w:t>
      </w:r>
    </w:p>
    <w:p w14:paraId="41A901FB" w14:textId="77777777" w:rsidR="00D543E4" w:rsidRPr="00D543E4" w:rsidRDefault="00D543E4" w:rsidP="00D40429">
      <w:pPr>
        <w:spacing w:before="100" w:beforeAutospacing="1" w:after="100" w:afterAutospacing="1" w:line="240" w:lineRule="auto"/>
        <w:jc w:val="both"/>
        <w:rPr>
          <w:rFonts w:ascii="Times New Roman" w:eastAsia="Times New Roman" w:hAnsi="Times New Roman" w:cs="Times New Roman"/>
          <w:sz w:val="24"/>
          <w:szCs w:val="24"/>
        </w:rPr>
      </w:pPr>
      <w:r w:rsidRPr="00D543E4">
        <w:rPr>
          <w:rFonts w:ascii="Times New Roman" w:eastAsia="Times New Roman" w:hAnsi="Times New Roman" w:cs="Times New Roman"/>
          <w:sz w:val="24"/>
          <w:szCs w:val="24"/>
        </w:rPr>
        <w:t xml:space="preserve">Kahu, E.R. (2013) ‘Framing student engagement in higher education’, </w:t>
      </w:r>
      <w:r w:rsidRPr="00D543E4">
        <w:rPr>
          <w:rFonts w:ascii="Times New Roman" w:eastAsia="Times New Roman" w:hAnsi="Times New Roman" w:cs="Times New Roman"/>
          <w:i/>
          <w:iCs/>
          <w:sz w:val="24"/>
          <w:szCs w:val="24"/>
        </w:rPr>
        <w:t>Studies in Higher Education</w:t>
      </w:r>
      <w:r w:rsidRPr="00D543E4">
        <w:rPr>
          <w:rFonts w:ascii="Times New Roman" w:eastAsia="Times New Roman" w:hAnsi="Times New Roman" w:cs="Times New Roman"/>
          <w:sz w:val="24"/>
          <w:szCs w:val="24"/>
        </w:rPr>
        <w:t>, 38(5), pp. 758–773.</w:t>
      </w:r>
    </w:p>
    <w:p w14:paraId="0BBDD11B" w14:textId="77777777" w:rsidR="00D543E4" w:rsidRPr="00D543E4" w:rsidRDefault="00D543E4" w:rsidP="00D40429">
      <w:pPr>
        <w:spacing w:before="100" w:beforeAutospacing="1" w:after="100" w:afterAutospacing="1" w:line="240" w:lineRule="auto"/>
        <w:jc w:val="both"/>
        <w:rPr>
          <w:rFonts w:ascii="Times New Roman" w:eastAsia="Times New Roman" w:hAnsi="Times New Roman" w:cs="Times New Roman"/>
          <w:sz w:val="24"/>
          <w:szCs w:val="24"/>
        </w:rPr>
      </w:pPr>
      <w:r w:rsidRPr="00D543E4">
        <w:rPr>
          <w:rFonts w:ascii="Times New Roman" w:eastAsia="Times New Roman" w:hAnsi="Times New Roman" w:cs="Times New Roman"/>
          <w:sz w:val="24"/>
          <w:szCs w:val="24"/>
        </w:rPr>
        <w:t xml:space="preserve">Kahu, E.R. and Nelson, K. (2018) ‘Student engagement in the educational interface: Understanding the mechanisms of student success’, </w:t>
      </w:r>
      <w:r w:rsidRPr="00D543E4">
        <w:rPr>
          <w:rFonts w:ascii="Times New Roman" w:eastAsia="Times New Roman" w:hAnsi="Times New Roman" w:cs="Times New Roman"/>
          <w:i/>
          <w:iCs/>
          <w:sz w:val="24"/>
          <w:szCs w:val="24"/>
        </w:rPr>
        <w:t>Higher Education Research &amp; Development</w:t>
      </w:r>
      <w:r w:rsidRPr="00D543E4">
        <w:rPr>
          <w:rFonts w:ascii="Times New Roman" w:eastAsia="Times New Roman" w:hAnsi="Times New Roman" w:cs="Times New Roman"/>
          <w:sz w:val="24"/>
          <w:szCs w:val="24"/>
        </w:rPr>
        <w:t>, 37(1), pp. 58–71.</w:t>
      </w:r>
    </w:p>
    <w:p w14:paraId="0C0BA0E6" w14:textId="77777777" w:rsidR="00D543E4" w:rsidRPr="00D543E4" w:rsidRDefault="00D543E4" w:rsidP="00D40429">
      <w:pPr>
        <w:spacing w:before="100" w:beforeAutospacing="1" w:after="100" w:afterAutospacing="1" w:line="240" w:lineRule="auto"/>
        <w:jc w:val="both"/>
        <w:rPr>
          <w:rFonts w:ascii="Times New Roman" w:eastAsia="Times New Roman" w:hAnsi="Times New Roman" w:cs="Times New Roman"/>
          <w:sz w:val="24"/>
          <w:szCs w:val="24"/>
        </w:rPr>
      </w:pPr>
      <w:r w:rsidRPr="00D543E4">
        <w:rPr>
          <w:rFonts w:ascii="Times New Roman" w:eastAsia="Times New Roman" w:hAnsi="Times New Roman" w:cs="Times New Roman"/>
          <w:sz w:val="24"/>
          <w:szCs w:val="24"/>
        </w:rPr>
        <w:t>Krause, K.-L. and Coates, H. (2008) ‘Students’ engagement in first</w:t>
      </w:r>
      <w:r w:rsidRPr="00D543E4">
        <w:rPr>
          <w:rFonts w:ascii="Cambria Math" w:eastAsia="Times New Roman" w:hAnsi="Cambria Math" w:cs="Cambria Math"/>
          <w:sz w:val="24"/>
          <w:szCs w:val="24"/>
        </w:rPr>
        <w:t>‐</w:t>
      </w:r>
      <w:r w:rsidRPr="00D543E4">
        <w:rPr>
          <w:rFonts w:ascii="Times New Roman" w:eastAsia="Times New Roman" w:hAnsi="Times New Roman" w:cs="Times New Roman"/>
          <w:sz w:val="24"/>
          <w:szCs w:val="24"/>
        </w:rPr>
        <w:t xml:space="preserve">year university’, </w:t>
      </w:r>
      <w:r w:rsidRPr="00D543E4">
        <w:rPr>
          <w:rFonts w:ascii="Times New Roman" w:eastAsia="Times New Roman" w:hAnsi="Times New Roman" w:cs="Times New Roman"/>
          <w:i/>
          <w:iCs/>
          <w:sz w:val="24"/>
          <w:szCs w:val="24"/>
        </w:rPr>
        <w:t>Assessment &amp; Evaluation in Higher Education</w:t>
      </w:r>
      <w:r w:rsidRPr="00D543E4">
        <w:rPr>
          <w:rFonts w:ascii="Times New Roman" w:eastAsia="Times New Roman" w:hAnsi="Times New Roman" w:cs="Times New Roman"/>
          <w:sz w:val="24"/>
          <w:szCs w:val="24"/>
        </w:rPr>
        <w:t>, 33(5), pp. 493–505.</w:t>
      </w:r>
    </w:p>
    <w:p w14:paraId="352851DA" w14:textId="77777777" w:rsidR="00D543E4" w:rsidRPr="00D543E4" w:rsidRDefault="00D543E4" w:rsidP="00D40429">
      <w:pPr>
        <w:spacing w:before="100" w:beforeAutospacing="1" w:after="100" w:afterAutospacing="1" w:line="240" w:lineRule="auto"/>
        <w:jc w:val="both"/>
        <w:rPr>
          <w:rFonts w:ascii="Times New Roman" w:eastAsia="Times New Roman" w:hAnsi="Times New Roman" w:cs="Times New Roman"/>
          <w:sz w:val="24"/>
          <w:szCs w:val="24"/>
        </w:rPr>
      </w:pPr>
      <w:r w:rsidRPr="00D543E4">
        <w:rPr>
          <w:rFonts w:ascii="Times New Roman" w:eastAsia="Times New Roman" w:hAnsi="Times New Roman" w:cs="Times New Roman"/>
          <w:sz w:val="24"/>
          <w:szCs w:val="24"/>
        </w:rPr>
        <w:t xml:space="preserve">Papamitsiou, Z. and Economides, A.A. (2014) ‘Learning analytics and educational data mining in practice: A systematic literature review of empirical evidence’, </w:t>
      </w:r>
      <w:r w:rsidRPr="00D543E4">
        <w:rPr>
          <w:rFonts w:ascii="Times New Roman" w:eastAsia="Times New Roman" w:hAnsi="Times New Roman" w:cs="Times New Roman"/>
          <w:i/>
          <w:iCs/>
          <w:sz w:val="24"/>
          <w:szCs w:val="24"/>
        </w:rPr>
        <w:t>Educational Technology &amp; Society</w:t>
      </w:r>
      <w:r w:rsidRPr="00D543E4">
        <w:rPr>
          <w:rFonts w:ascii="Times New Roman" w:eastAsia="Times New Roman" w:hAnsi="Times New Roman" w:cs="Times New Roman"/>
          <w:sz w:val="24"/>
          <w:szCs w:val="24"/>
        </w:rPr>
        <w:t>, 17(4), pp. 49–64.</w:t>
      </w:r>
    </w:p>
    <w:p w14:paraId="66D8D7CF" w14:textId="77777777" w:rsidR="00D543E4" w:rsidRPr="00D543E4" w:rsidRDefault="00D543E4" w:rsidP="00D40429">
      <w:pPr>
        <w:spacing w:before="100" w:beforeAutospacing="1" w:after="100" w:afterAutospacing="1" w:line="240" w:lineRule="auto"/>
        <w:jc w:val="both"/>
        <w:rPr>
          <w:rFonts w:ascii="Times New Roman" w:eastAsia="Times New Roman" w:hAnsi="Times New Roman" w:cs="Times New Roman"/>
          <w:sz w:val="24"/>
          <w:szCs w:val="24"/>
        </w:rPr>
      </w:pPr>
      <w:r w:rsidRPr="00D543E4">
        <w:rPr>
          <w:rFonts w:ascii="Times New Roman" w:eastAsia="Times New Roman" w:hAnsi="Times New Roman" w:cs="Times New Roman"/>
          <w:sz w:val="24"/>
          <w:szCs w:val="24"/>
        </w:rPr>
        <w:t xml:space="preserve">Park, Y. and Lee, S. (2014) ‘Adaptive learning systems: A new approach to personalized education’, </w:t>
      </w:r>
      <w:r w:rsidRPr="00D543E4">
        <w:rPr>
          <w:rFonts w:ascii="Times New Roman" w:eastAsia="Times New Roman" w:hAnsi="Times New Roman" w:cs="Times New Roman"/>
          <w:i/>
          <w:iCs/>
          <w:sz w:val="24"/>
          <w:szCs w:val="24"/>
        </w:rPr>
        <w:t>Educational Technology International</w:t>
      </w:r>
      <w:r w:rsidRPr="00D543E4">
        <w:rPr>
          <w:rFonts w:ascii="Times New Roman" w:eastAsia="Times New Roman" w:hAnsi="Times New Roman" w:cs="Times New Roman"/>
          <w:sz w:val="24"/>
          <w:szCs w:val="24"/>
        </w:rPr>
        <w:t>, 15(1), pp. 1–18.</w:t>
      </w:r>
    </w:p>
    <w:p w14:paraId="27DC0235" w14:textId="77777777" w:rsidR="00D543E4" w:rsidRPr="00D543E4" w:rsidRDefault="00D543E4" w:rsidP="00D40429">
      <w:pPr>
        <w:spacing w:before="100" w:beforeAutospacing="1" w:after="100" w:afterAutospacing="1" w:line="240" w:lineRule="auto"/>
        <w:jc w:val="both"/>
        <w:rPr>
          <w:rFonts w:ascii="Times New Roman" w:eastAsia="Times New Roman" w:hAnsi="Times New Roman" w:cs="Times New Roman"/>
          <w:sz w:val="24"/>
          <w:szCs w:val="24"/>
        </w:rPr>
      </w:pPr>
      <w:r w:rsidRPr="00D543E4">
        <w:rPr>
          <w:rFonts w:ascii="Times New Roman" w:eastAsia="Times New Roman" w:hAnsi="Times New Roman" w:cs="Times New Roman"/>
          <w:sz w:val="24"/>
          <w:szCs w:val="24"/>
        </w:rPr>
        <w:t xml:space="preserve">Selwyn, N. (2019) </w:t>
      </w:r>
      <w:r w:rsidRPr="00D543E4">
        <w:rPr>
          <w:rFonts w:ascii="Times New Roman" w:eastAsia="Times New Roman" w:hAnsi="Times New Roman" w:cs="Times New Roman"/>
          <w:i/>
          <w:iCs/>
          <w:sz w:val="24"/>
          <w:szCs w:val="24"/>
        </w:rPr>
        <w:t>Should robots replace teachers? AI and the future of education</w:t>
      </w:r>
      <w:r w:rsidRPr="00D543E4">
        <w:rPr>
          <w:rFonts w:ascii="Times New Roman" w:eastAsia="Times New Roman" w:hAnsi="Times New Roman" w:cs="Times New Roman"/>
          <w:sz w:val="24"/>
          <w:szCs w:val="24"/>
        </w:rPr>
        <w:t>. Cambridge: Polity Press.</w:t>
      </w:r>
    </w:p>
    <w:p w14:paraId="3E4D7535" w14:textId="77777777" w:rsidR="00D543E4" w:rsidRPr="00D543E4" w:rsidRDefault="00D543E4" w:rsidP="00D40429">
      <w:pPr>
        <w:spacing w:before="100" w:beforeAutospacing="1" w:after="100" w:afterAutospacing="1" w:line="240" w:lineRule="auto"/>
        <w:jc w:val="both"/>
        <w:rPr>
          <w:rFonts w:ascii="Times New Roman" w:eastAsia="Times New Roman" w:hAnsi="Times New Roman" w:cs="Times New Roman"/>
          <w:sz w:val="24"/>
          <w:szCs w:val="24"/>
        </w:rPr>
      </w:pPr>
      <w:r w:rsidRPr="00D543E4">
        <w:rPr>
          <w:rFonts w:ascii="Times New Roman" w:eastAsia="Times New Roman" w:hAnsi="Times New Roman" w:cs="Times New Roman"/>
          <w:sz w:val="24"/>
          <w:szCs w:val="24"/>
        </w:rPr>
        <w:t xml:space="preserve">Sun, P.C., Tsai, R.J., Finger, G., Chen, Y.Y. and Yeh, D. (2008) ‘What drives a successful e-Learning? An empirical investigation of the critical factors influencing learner satisfaction’, </w:t>
      </w:r>
      <w:r w:rsidRPr="00D543E4">
        <w:rPr>
          <w:rFonts w:ascii="Times New Roman" w:eastAsia="Times New Roman" w:hAnsi="Times New Roman" w:cs="Times New Roman"/>
          <w:i/>
          <w:iCs/>
          <w:sz w:val="24"/>
          <w:szCs w:val="24"/>
        </w:rPr>
        <w:t>Computers &amp; Education</w:t>
      </w:r>
      <w:r w:rsidRPr="00D543E4">
        <w:rPr>
          <w:rFonts w:ascii="Times New Roman" w:eastAsia="Times New Roman" w:hAnsi="Times New Roman" w:cs="Times New Roman"/>
          <w:sz w:val="24"/>
          <w:szCs w:val="24"/>
        </w:rPr>
        <w:t>, 50(4), pp. 1183–1202.</w:t>
      </w:r>
    </w:p>
    <w:p w14:paraId="3C9656CF" w14:textId="77777777" w:rsidR="00FC3825" w:rsidRDefault="00FC3825" w:rsidP="00D40429">
      <w:pPr>
        <w:spacing w:before="100" w:beforeAutospacing="1" w:after="100" w:afterAutospacing="1" w:line="240" w:lineRule="auto"/>
        <w:jc w:val="both"/>
      </w:pPr>
    </w:p>
    <w:sectPr w:rsidR="00FC382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7E552B"/>
    <w:multiLevelType w:val="multilevel"/>
    <w:tmpl w:val="3A8A2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E11787"/>
    <w:multiLevelType w:val="multilevel"/>
    <w:tmpl w:val="8B9C7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BA0445"/>
    <w:multiLevelType w:val="multilevel"/>
    <w:tmpl w:val="1A28D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9E0058"/>
    <w:multiLevelType w:val="multilevel"/>
    <w:tmpl w:val="DAC2D6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1150C99"/>
    <w:multiLevelType w:val="multilevel"/>
    <w:tmpl w:val="E92A8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562A22"/>
    <w:multiLevelType w:val="multilevel"/>
    <w:tmpl w:val="3C864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3911792">
    <w:abstractNumId w:val="3"/>
  </w:num>
  <w:num w:numId="2" w16cid:durableId="1316950429">
    <w:abstractNumId w:val="4"/>
  </w:num>
  <w:num w:numId="3" w16cid:durableId="1507019020">
    <w:abstractNumId w:val="2"/>
  </w:num>
  <w:num w:numId="4" w16cid:durableId="2108188946">
    <w:abstractNumId w:val="1"/>
  </w:num>
  <w:num w:numId="5" w16cid:durableId="1532690704">
    <w:abstractNumId w:val="5"/>
  </w:num>
  <w:num w:numId="6" w16cid:durableId="1020396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3FCE"/>
    <w:rsid w:val="000C4E81"/>
    <w:rsid w:val="0028207D"/>
    <w:rsid w:val="003A2DE7"/>
    <w:rsid w:val="005B5DD9"/>
    <w:rsid w:val="005F1422"/>
    <w:rsid w:val="006B3FCE"/>
    <w:rsid w:val="00777293"/>
    <w:rsid w:val="00880077"/>
    <w:rsid w:val="00B939DB"/>
    <w:rsid w:val="00C8058B"/>
    <w:rsid w:val="00D40429"/>
    <w:rsid w:val="00D543E4"/>
    <w:rsid w:val="00F2382B"/>
    <w:rsid w:val="00F473AD"/>
    <w:rsid w:val="00FC382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E6410"/>
  <w15:chartTrackingRefBased/>
  <w15:docId w15:val="{85126BBF-B065-494B-AF2B-380B8A84A0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777293"/>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ndNoteBibliographyTitle">
    <w:name w:val="EndNote Bibliography Title"/>
    <w:basedOn w:val="Normal"/>
    <w:link w:val="EndNoteBibliographyTitleChar"/>
    <w:autoRedefine/>
    <w:qFormat/>
    <w:rsid w:val="0028207D"/>
    <w:pPr>
      <w:spacing w:after="0"/>
      <w:jc w:val="center"/>
    </w:pPr>
    <w:rPr>
      <w:rFonts w:asciiTheme="majorBidi" w:hAnsiTheme="majorBidi"/>
      <w:noProof/>
      <w:sz w:val="20"/>
    </w:rPr>
  </w:style>
  <w:style w:type="character" w:customStyle="1" w:styleId="EndNoteBibliographyTitleChar">
    <w:name w:val="EndNote Bibliography Title Char"/>
    <w:basedOn w:val="DefaultParagraphFont"/>
    <w:link w:val="EndNoteBibliographyTitle"/>
    <w:rsid w:val="0028207D"/>
    <w:rPr>
      <w:rFonts w:asciiTheme="majorBidi" w:hAnsiTheme="majorBidi"/>
      <w:noProof/>
      <w:sz w:val="20"/>
    </w:rPr>
  </w:style>
  <w:style w:type="paragraph" w:styleId="NormalWeb">
    <w:name w:val="Normal (Web)"/>
    <w:basedOn w:val="Normal"/>
    <w:uiPriority w:val="99"/>
    <w:semiHidden/>
    <w:unhideWhenUsed/>
    <w:rsid w:val="006B3FC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B3FCE"/>
    <w:rPr>
      <w:b/>
      <w:bCs/>
    </w:rPr>
  </w:style>
  <w:style w:type="character" w:customStyle="1" w:styleId="button-container">
    <w:name w:val="button-container"/>
    <w:basedOn w:val="DefaultParagraphFont"/>
    <w:rsid w:val="006B3FCE"/>
  </w:style>
  <w:style w:type="character" w:customStyle="1" w:styleId="citation-0">
    <w:name w:val="citation-0"/>
    <w:basedOn w:val="DefaultParagraphFont"/>
    <w:rsid w:val="006B3FCE"/>
  </w:style>
  <w:style w:type="character" w:customStyle="1" w:styleId="Heading3Char">
    <w:name w:val="Heading 3 Char"/>
    <w:basedOn w:val="DefaultParagraphFont"/>
    <w:link w:val="Heading3"/>
    <w:uiPriority w:val="9"/>
    <w:rsid w:val="00777293"/>
    <w:rPr>
      <w:rFonts w:ascii="Times New Roman" w:eastAsia="Times New Roman" w:hAnsi="Times New Roman" w:cs="Times New Roman"/>
      <w:b/>
      <w:bCs/>
      <w:sz w:val="27"/>
      <w:szCs w:val="27"/>
    </w:rPr>
  </w:style>
  <w:style w:type="paragraph" w:styleId="ListParagraph">
    <w:name w:val="List Paragraph"/>
    <w:basedOn w:val="Normal"/>
    <w:uiPriority w:val="34"/>
    <w:qFormat/>
    <w:rsid w:val="00D543E4"/>
    <w:pPr>
      <w:ind w:left="720"/>
      <w:contextualSpacing/>
    </w:pPr>
  </w:style>
  <w:style w:type="character" w:styleId="Emphasis">
    <w:name w:val="Emphasis"/>
    <w:basedOn w:val="DefaultParagraphFont"/>
    <w:uiPriority w:val="20"/>
    <w:qFormat/>
    <w:rsid w:val="00D543E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823393">
      <w:bodyDiv w:val="1"/>
      <w:marLeft w:val="0"/>
      <w:marRight w:val="0"/>
      <w:marTop w:val="0"/>
      <w:marBottom w:val="0"/>
      <w:divBdr>
        <w:top w:val="none" w:sz="0" w:space="0" w:color="auto"/>
        <w:left w:val="none" w:sz="0" w:space="0" w:color="auto"/>
        <w:bottom w:val="none" w:sz="0" w:space="0" w:color="auto"/>
        <w:right w:val="none" w:sz="0" w:space="0" w:color="auto"/>
      </w:divBdr>
    </w:div>
    <w:div w:id="673650368">
      <w:bodyDiv w:val="1"/>
      <w:marLeft w:val="0"/>
      <w:marRight w:val="0"/>
      <w:marTop w:val="0"/>
      <w:marBottom w:val="0"/>
      <w:divBdr>
        <w:top w:val="none" w:sz="0" w:space="0" w:color="auto"/>
        <w:left w:val="none" w:sz="0" w:space="0" w:color="auto"/>
        <w:bottom w:val="none" w:sz="0" w:space="0" w:color="auto"/>
        <w:right w:val="none" w:sz="0" w:space="0" w:color="auto"/>
      </w:divBdr>
    </w:div>
    <w:div w:id="1243489272">
      <w:bodyDiv w:val="1"/>
      <w:marLeft w:val="0"/>
      <w:marRight w:val="0"/>
      <w:marTop w:val="0"/>
      <w:marBottom w:val="0"/>
      <w:divBdr>
        <w:top w:val="none" w:sz="0" w:space="0" w:color="auto"/>
        <w:left w:val="none" w:sz="0" w:space="0" w:color="auto"/>
        <w:bottom w:val="none" w:sz="0" w:space="0" w:color="auto"/>
        <w:right w:val="none" w:sz="0" w:space="0" w:color="auto"/>
      </w:divBdr>
    </w:div>
    <w:div w:id="1283802815">
      <w:bodyDiv w:val="1"/>
      <w:marLeft w:val="0"/>
      <w:marRight w:val="0"/>
      <w:marTop w:val="0"/>
      <w:marBottom w:val="0"/>
      <w:divBdr>
        <w:top w:val="none" w:sz="0" w:space="0" w:color="auto"/>
        <w:left w:val="none" w:sz="0" w:space="0" w:color="auto"/>
        <w:bottom w:val="none" w:sz="0" w:space="0" w:color="auto"/>
        <w:right w:val="none" w:sz="0" w:space="0" w:color="auto"/>
      </w:divBdr>
      <w:divsChild>
        <w:div w:id="7191345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79154260">
      <w:bodyDiv w:val="1"/>
      <w:marLeft w:val="0"/>
      <w:marRight w:val="0"/>
      <w:marTop w:val="0"/>
      <w:marBottom w:val="0"/>
      <w:divBdr>
        <w:top w:val="none" w:sz="0" w:space="0" w:color="auto"/>
        <w:left w:val="none" w:sz="0" w:space="0" w:color="auto"/>
        <w:bottom w:val="none" w:sz="0" w:space="0" w:color="auto"/>
        <w:right w:val="none" w:sz="0" w:space="0" w:color="auto"/>
      </w:divBdr>
    </w:div>
    <w:div w:id="1518612981">
      <w:bodyDiv w:val="1"/>
      <w:marLeft w:val="0"/>
      <w:marRight w:val="0"/>
      <w:marTop w:val="0"/>
      <w:marBottom w:val="0"/>
      <w:divBdr>
        <w:top w:val="none" w:sz="0" w:space="0" w:color="auto"/>
        <w:left w:val="none" w:sz="0" w:space="0" w:color="auto"/>
        <w:bottom w:val="none" w:sz="0" w:space="0" w:color="auto"/>
        <w:right w:val="none" w:sz="0" w:space="0" w:color="auto"/>
      </w:divBdr>
    </w:div>
    <w:div w:id="1606378369">
      <w:bodyDiv w:val="1"/>
      <w:marLeft w:val="0"/>
      <w:marRight w:val="0"/>
      <w:marTop w:val="0"/>
      <w:marBottom w:val="0"/>
      <w:divBdr>
        <w:top w:val="none" w:sz="0" w:space="0" w:color="auto"/>
        <w:left w:val="none" w:sz="0" w:space="0" w:color="auto"/>
        <w:bottom w:val="none" w:sz="0" w:space="0" w:color="auto"/>
        <w:right w:val="none" w:sz="0" w:space="0" w:color="auto"/>
      </w:divBdr>
      <w:divsChild>
        <w:div w:id="2754506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20810404">
      <w:bodyDiv w:val="1"/>
      <w:marLeft w:val="0"/>
      <w:marRight w:val="0"/>
      <w:marTop w:val="0"/>
      <w:marBottom w:val="0"/>
      <w:divBdr>
        <w:top w:val="none" w:sz="0" w:space="0" w:color="auto"/>
        <w:left w:val="none" w:sz="0" w:space="0" w:color="auto"/>
        <w:bottom w:val="none" w:sz="0" w:space="0" w:color="auto"/>
        <w:right w:val="none" w:sz="0" w:space="0" w:color="auto"/>
      </w:divBdr>
      <w:divsChild>
        <w:div w:id="38603419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43494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4417</Words>
  <Characters>25181</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Kak Khosro</dc:creator>
  <cp:keywords/>
  <dc:description/>
  <cp:lastModifiedBy>roya barati</cp:lastModifiedBy>
  <cp:revision>2</cp:revision>
  <dcterms:created xsi:type="dcterms:W3CDTF">2025-04-24T16:58:00Z</dcterms:created>
  <dcterms:modified xsi:type="dcterms:W3CDTF">2025-04-24T16:58:00Z</dcterms:modified>
</cp:coreProperties>
</file>