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779A" w:rsidRDefault="0042779A" w:rsidP="000E3D50">
      <w:pPr>
        <w:spacing w:line="480" w:lineRule="auto"/>
        <w:jc w:val="center"/>
        <w:rPr>
          <w:u w:val="single"/>
        </w:rPr>
      </w:pPr>
      <w:bookmarkStart w:id="0" w:name="_GoBack"/>
      <w:bookmarkEnd w:id="0"/>
      <w:r>
        <w:rPr>
          <w:u w:val="single"/>
        </w:rPr>
        <w:t>Wales on the Boer War and the First World War</w:t>
      </w:r>
    </w:p>
    <w:p w:rsidR="0042779A" w:rsidRDefault="0042779A" w:rsidP="000E3D50">
      <w:pPr>
        <w:spacing w:line="480" w:lineRule="auto"/>
        <w:jc w:val="center"/>
        <w:rPr>
          <w:u w:val="single"/>
        </w:rPr>
      </w:pPr>
    </w:p>
    <w:p w:rsidR="0042779A" w:rsidRDefault="0042779A" w:rsidP="00B64C3F">
      <w:pPr>
        <w:spacing w:line="480" w:lineRule="auto"/>
        <w:rPr>
          <w:u w:val="single"/>
        </w:rPr>
      </w:pPr>
    </w:p>
    <w:p w:rsidR="001F3314" w:rsidRDefault="001F3314" w:rsidP="000E3D50">
      <w:pPr>
        <w:spacing w:line="480" w:lineRule="auto"/>
      </w:pPr>
      <w:r>
        <w:t xml:space="preserve">There has long been </w:t>
      </w:r>
      <w:r w:rsidR="0038237A">
        <w:t>the belief that the Welsh</w:t>
      </w:r>
      <w:r>
        <w:t xml:space="preserve"> felt a connection with the Boer people born out of their fierce nationalism and anti-imperialism mentality. This connection is why many have believed that the Welsh opposed the Second Boer War, and that the Welsh </w:t>
      </w:r>
      <w:r w:rsidR="0038237A">
        <w:t xml:space="preserve">even </w:t>
      </w:r>
      <w:r>
        <w:t xml:space="preserve">opposed war in general. Kenneth Morgan disagrees with this belief, and in his article in the Welsh History Review he states that the Welsh were in fact very supportive of the Boer War. Morgan follows this up with a chapter in his book </w:t>
      </w:r>
      <w:r>
        <w:rPr>
          <w:i/>
        </w:rPr>
        <w:t>Rebirth of a Nation</w:t>
      </w:r>
      <w:r>
        <w:t xml:space="preserve">, that lays out his argument showing how the Welsh people also showed a great deal of enthusiasm for World War One. Called ‘the standard authority on modern Wales’ by author Adrian Gregory, Morgan </w:t>
      </w:r>
      <w:r w:rsidR="00180456">
        <w:t>is an expert on Welsh history, and uses a wide range of sources to back up his arguments.</w:t>
      </w:r>
      <w:r w:rsidR="00180456">
        <w:rPr>
          <w:rStyle w:val="FootnoteReference"/>
        </w:rPr>
        <w:footnoteReference w:id="1"/>
      </w:r>
      <w:r w:rsidR="00180456">
        <w:t xml:space="preserve"> </w:t>
      </w:r>
    </w:p>
    <w:p w:rsidR="00180456" w:rsidRPr="001F3314" w:rsidRDefault="00180456" w:rsidP="000E3D50">
      <w:pPr>
        <w:spacing w:line="480" w:lineRule="auto"/>
      </w:pPr>
      <w:r>
        <w:t>This assignment will seek to prove or disprove Morgan’s statements that Wales was supportive of both the Boer War and the First World War. Comparisons will be made between Morgan and other authors, in order to compare arguments and form a decision. In particular, this work will examine Welsh nationalism, and how this may have affected the Welsh people’s views on war. This will be followed by an analysis of David Lloyd George, a very influential and powerful Welsh politician of the time, who could be held responsible for much of the</w:t>
      </w:r>
      <w:r w:rsidR="000E3754">
        <w:t xml:space="preserve"> belief that Wales was pro-Boer and supported the First World War. </w:t>
      </w:r>
    </w:p>
    <w:p w:rsidR="0042779A" w:rsidRDefault="0011616E" w:rsidP="000E3D50">
      <w:pPr>
        <w:spacing w:line="480" w:lineRule="auto"/>
      </w:pPr>
      <w:r>
        <w:t>There has long been a belief that Wales was very ‘pro Boer’ during the Boer War of 1899 to 1902.</w:t>
      </w:r>
      <w:r>
        <w:rPr>
          <w:rStyle w:val="FootnoteReference"/>
        </w:rPr>
        <w:footnoteReference w:id="2"/>
      </w:r>
      <w:r>
        <w:t xml:space="preserve"> This view was for a long time accepted, however, in an article in the Welsh History Review by </w:t>
      </w:r>
      <w:r>
        <w:lastRenderedPageBreak/>
        <w:t>Kenneth Morgan, this belief is disputed.</w:t>
      </w:r>
      <w:r w:rsidR="009778B5">
        <w:rPr>
          <w:rStyle w:val="FootnoteReference"/>
        </w:rPr>
        <w:footnoteReference w:id="3"/>
      </w:r>
      <w:r>
        <w:t xml:space="preserve"> Morgan instead states that Wales was in fact ‘pro war’ during</w:t>
      </w:r>
      <w:r w:rsidR="009778B5">
        <w:t xml:space="preserve"> the Boer War, and it is this statement by Morgan that will be examined in this section.</w:t>
      </w:r>
      <w:r>
        <w:t xml:space="preserve"> </w:t>
      </w:r>
    </w:p>
    <w:p w:rsidR="0011616E" w:rsidRDefault="009778B5" w:rsidP="000E3D50">
      <w:pPr>
        <w:spacing w:line="480" w:lineRule="auto"/>
      </w:pPr>
      <w:r>
        <w:t xml:space="preserve">There is evidence that can be used to support the conception that Wales was ‘pro Boer’ during this period. </w:t>
      </w:r>
      <w:r w:rsidR="00630828">
        <w:t xml:space="preserve">During the latter part of the nineteenth century, Wales was experiencing a growth in nationalism. </w:t>
      </w:r>
      <w:r>
        <w:t>There was a growing body in Wales calling for ‘home rule’, to allow Wales to govern itself to a greater extent, and away from imperialist Westminster.</w:t>
      </w:r>
      <w:r>
        <w:rPr>
          <w:rStyle w:val="FootnoteReference"/>
        </w:rPr>
        <w:footnoteReference w:id="4"/>
      </w:r>
      <w:r w:rsidR="00993A90">
        <w:t xml:space="preserve"> This feeling of nationalism and anti-imperialism created a climate that could be considered sympathetic towards the two Boer states. </w:t>
      </w:r>
      <w:r w:rsidR="00630828">
        <w:t>There have also been comparisons made between the communities of the people of South Africa and Wales, with both being heavily invested in agriculture.</w:t>
      </w:r>
      <w:r w:rsidR="00630828">
        <w:rPr>
          <w:rStyle w:val="FootnoteReference"/>
        </w:rPr>
        <w:footnoteReference w:id="5"/>
      </w:r>
      <w:r w:rsidR="00630828">
        <w:t xml:space="preserve"> These comparisons have allowed historian</w:t>
      </w:r>
      <w:r w:rsidR="005F5F3B">
        <w:t>s to almost assume a connection</w:t>
      </w:r>
      <w:r w:rsidR="00630828">
        <w:t xml:space="preserve"> between these two peoples, a connection that bolstered anti-war feelings within Wales. </w:t>
      </w:r>
    </w:p>
    <w:p w:rsidR="00EB7638" w:rsidRDefault="00EB7638" w:rsidP="000E3D50">
      <w:pPr>
        <w:spacing w:line="480" w:lineRule="auto"/>
      </w:pPr>
      <w:r>
        <w:t>However, despite this opinion being held by many historians, Morgan points out that many Welsh newspapers openly supported the war.</w:t>
      </w:r>
      <w:r>
        <w:rPr>
          <w:rStyle w:val="FootnoteReference"/>
        </w:rPr>
        <w:footnoteReference w:id="6"/>
      </w:r>
      <w:r w:rsidR="007B5973">
        <w:t xml:space="preserve"> On page four of the </w:t>
      </w:r>
      <w:r w:rsidR="007B5973">
        <w:rPr>
          <w:i/>
        </w:rPr>
        <w:t xml:space="preserve">Western Mail </w:t>
      </w:r>
      <w:r w:rsidR="007B5973">
        <w:t>on the 12</w:t>
      </w:r>
      <w:r w:rsidR="007B5973" w:rsidRPr="007B5973">
        <w:rPr>
          <w:vertAlign w:val="superscript"/>
        </w:rPr>
        <w:t>th</w:t>
      </w:r>
      <w:r w:rsidR="007B5973">
        <w:t xml:space="preserve"> October 1899 (a day after war was declared) there is an article about the new war with South Africa.</w:t>
      </w:r>
      <w:r w:rsidR="007B5973">
        <w:rPr>
          <w:rStyle w:val="FootnoteReference"/>
        </w:rPr>
        <w:footnoteReference w:id="7"/>
      </w:r>
      <w:r w:rsidR="007B5973">
        <w:t xml:space="preserve"> In this article the South Africans are described as ‘the traitors of Cape Town’ and the article even suggests hanging ‘a dozen of the traitors as an example to the rest.’</w:t>
      </w:r>
      <w:r w:rsidR="007B5973">
        <w:rPr>
          <w:rStyle w:val="FootnoteReference"/>
        </w:rPr>
        <w:footnoteReference w:id="8"/>
      </w:r>
      <w:r w:rsidR="007B5973">
        <w:t xml:space="preserve"> It is clear that this newspaper is staunchly pro-war and anti-Boer, but an argument could be made that it is not as nationalist as other newspapers.</w:t>
      </w:r>
      <w:r w:rsidR="00057BB5">
        <w:t xml:space="preserve"> In his article, Morgan acknowledges that many of the Welsh language newspapers were far more anti-war than their more anglicised counterparts, perhaps hinting that these Welsh speaking communities and areas are more nationalist.</w:t>
      </w:r>
      <w:r w:rsidR="00057BB5">
        <w:rPr>
          <w:rStyle w:val="FootnoteReference"/>
        </w:rPr>
        <w:footnoteReference w:id="9"/>
      </w:r>
      <w:r w:rsidR="00057BB5">
        <w:t xml:space="preserve"> However, it appears that the </w:t>
      </w:r>
      <w:r w:rsidR="00057BB5">
        <w:rPr>
          <w:i/>
        </w:rPr>
        <w:t xml:space="preserve">Western Mail </w:t>
      </w:r>
      <w:r w:rsidR="00057BB5">
        <w:t xml:space="preserve">is also pro Welsh nationalism as there is an article on the very same page as the Boer War article, stating that </w:t>
      </w:r>
      <w:r w:rsidR="00057BB5">
        <w:lastRenderedPageBreak/>
        <w:t xml:space="preserve">an Englishman got a job at the Newtown and </w:t>
      </w:r>
      <w:proofErr w:type="spellStart"/>
      <w:r w:rsidR="00057BB5">
        <w:t>Llanidloes</w:t>
      </w:r>
      <w:proofErr w:type="spellEnd"/>
      <w:r w:rsidR="00057BB5">
        <w:t xml:space="preserve"> Board of Guardians over many other Welsh applicants.</w:t>
      </w:r>
      <w:r w:rsidR="00057BB5">
        <w:rPr>
          <w:rStyle w:val="FootnoteReference"/>
        </w:rPr>
        <w:footnoteReference w:id="10"/>
      </w:r>
      <w:r w:rsidR="00057BB5">
        <w:t xml:space="preserve"> The newspaper is full of indignation as it describes how the English applicant got the job despite him being the only applicant that could not speak any Welsh, and that being a fluent Welsh speaker is a requirement for the job.</w:t>
      </w:r>
      <w:r w:rsidR="00057BB5">
        <w:rPr>
          <w:rStyle w:val="FootnoteReference"/>
        </w:rPr>
        <w:footnoteReference w:id="11"/>
      </w:r>
      <w:r w:rsidR="00BD105E">
        <w:t xml:space="preserve"> It seems clear that the </w:t>
      </w:r>
      <w:r w:rsidR="00BD105E">
        <w:rPr>
          <w:i/>
        </w:rPr>
        <w:t xml:space="preserve">Western Mail </w:t>
      </w:r>
      <w:r w:rsidR="00BD105E">
        <w:t xml:space="preserve">has some nationalist leanings, without the corresponding sympathy for the Boer cause, highlighting that the two do not necessarily go hand in hand. </w:t>
      </w:r>
    </w:p>
    <w:p w:rsidR="00AA1052" w:rsidRDefault="00750443" w:rsidP="000E3D50">
      <w:pPr>
        <w:spacing w:line="480" w:lineRule="auto"/>
      </w:pPr>
      <w:r>
        <w:t xml:space="preserve">When making a study of pro-Boer feeling in the UK during the Second South African War, the name of David Lloyd George will always come up. Lloyd George is famous for his very strong anti-war stance, and because he was arguably the most influential Welsh politician at this time, his stance became representative of the whole of Wales. </w:t>
      </w:r>
      <w:r w:rsidR="002C4752">
        <w:t>It is firstly of great importance point out exactly why Lloyd George was against the Boer War, and that was simply because he believed that Britain could still achieve its goals through negotiation rather than war.</w:t>
      </w:r>
      <w:r w:rsidR="002C4752">
        <w:rPr>
          <w:rStyle w:val="FootnoteReference"/>
        </w:rPr>
        <w:footnoteReference w:id="12"/>
      </w:r>
      <w:r w:rsidR="002C4752">
        <w:t xml:space="preserve"> However, it must be understood that Lloyd George was not necessarily pro-Boer when he opposed the war. In a PhD thesis by Paul </w:t>
      </w:r>
      <w:proofErr w:type="spellStart"/>
      <w:r w:rsidR="002C4752">
        <w:t>Harkison</w:t>
      </w:r>
      <w:proofErr w:type="spellEnd"/>
      <w:r w:rsidR="002C4752">
        <w:t>, it is pointe</w:t>
      </w:r>
      <w:r w:rsidR="0002321B">
        <w:t>d out that Lloyd George was</w:t>
      </w:r>
      <w:r w:rsidR="002C4752">
        <w:t xml:space="preserve"> a great supporter in British supremacy over other nations.</w:t>
      </w:r>
      <w:r w:rsidR="002C4752">
        <w:rPr>
          <w:rStyle w:val="FootnoteReference"/>
        </w:rPr>
        <w:footnoteReference w:id="13"/>
      </w:r>
      <w:r w:rsidR="002C4752">
        <w:t xml:space="preserve"> </w:t>
      </w:r>
      <w:r w:rsidR="0002321B">
        <w:t xml:space="preserve">This could mean that </w:t>
      </w:r>
      <w:r w:rsidR="002C4752">
        <w:t>Lloyd George simply believed that negotiating with the two Boer states would be in Britain’s best interests, and that he was not necessarily concerned with the interests of the Boers.</w:t>
      </w:r>
      <w:r w:rsidR="00AA1052">
        <w:t xml:space="preserve"> Lloyd George’s attitude of supporting British interests over those of other nations can be seen when he refused to oppose the annexation of the republics.</w:t>
      </w:r>
      <w:r w:rsidR="00AA1052">
        <w:rPr>
          <w:rStyle w:val="FootnoteReference"/>
        </w:rPr>
        <w:footnoteReference w:id="14"/>
      </w:r>
    </w:p>
    <w:p w:rsidR="00750443" w:rsidRDefault="002C4752" w:rsidP="000E3D50">
      <w:pPr>
        <w:spacing w:line="480" w:lineRule="auto"/>
      </w:pPr>
      <w:r>
        <w:t xml:space="preserve"> </w:t>
      </w:r>
      <w:r w:rsidR="00275F22">
        <w:t>It has been stated that Lloyd George’s motivation for being opposed to the Boer War have come from him being Welsh</w:t>
      </w:r>
      <w:r w:rsidR="000F7026">
        <w:t>,</w:t>
      </w:r>
      <w:r w:rsidR="00275F22">
        <w:t xml:space="preserve"> and, to quote author Arthur Davey, sympathising with ‘a people in the </w:t>
      </w:r>
      <w:r w:rsidR="00275F22">
        <w:lastRenderedPageBreak/>
        <w:t>shadow of conquest.’</w:t>
      </w:r>
      <w:r w:rsidR="00275F22">
        <w:rPr>
          <w:rStyle w:val="FootnoteReference"/>
        </w:rPr>
        <w:footnoteReference w:id="15"/>
      </w:r>
      <w:r w:rsidR="000F7026">
        <w:t xml:space="preserve"> This view is again, largely assumed, and only works if Welsh nationalism is in harmony with the Boer cause, which it has been shown to not be guaranteed. </w:t>
      </w:r>
    </w:p>
    <w:p w:rsidR="00CB6A69" w:rsidRDefault="00CB6A69" w:rsidP="000E3D50">
      <w:pPr>
        <w:spacing w:line="480" w:lineRule="auto"/>
      </w:pPr>
      <w:r>
        <w:t xml:space="preserve">In the book </w:t>
      </w:r>
      <w:r>
        <w:rPr>
          <w:i/>
        </w:rPr>
        <w:t>The British Pro-Boers 1877-1902</w:t>
      </w:r>
      <w:r>
        <w:t xml:space="preserve">, author Arthur Davey speculates that Lloyd George may have opposed the Boer War </w:t>
      </w:r>
      <w:r w:rsidR="00697166">
        <w:t>as a political plo</w:t>
      </w:r>
      <w:r>
        <w:t>y to gain him notoriety.</w:t>
      </w:r>
      <w:r>
        <w:rPr>
          <w:rStyle w:val="FootnoteReference"/>
        </w:rPr>
        <w:footnoteReference w:id="16"/>
      </w:r>
      <w:r>
        <w:t xml:space="preserve"> </w:t>
      </w:r>
      <w:r w:rsidR="00EB3816">
        <w:t xml:space="preserve">It seems that many thought of Lloyd George as a political animal, in the book </w:t>
      </w:r>
      <w:r w:rsidR="00EB3816">
        <w:rPr>
          <w:i/>
        </w:rPr>
        <w:t>A History of Wales</w:t>
      </w:r>
      <w:r w:rsidR="00EB3816">
        <w:t xml:space="preserve">, it is mentioned that D. A. Thomas (the treasurer of </w:t>
      </w:r>
      <w:proofErr w:type="spellStart"/>
      <w:r w:rsidR="00EB3816">
        <w:t>Cymru</w:t>
      </w:r>
      <w:proofErr w:type="spellEnd"/>
      <w:r w:rsidR="00EB3816">
        <w:t xml:space="preserve"> </w:t>
      </w:r>
      <w:proofErr w:type="spellStart"/>
      <w:r w:rsidR="00EB3816">
        <w:t>Fydd</w:t>
      </w:r>
      <w:proofErr w:type="spellEnd"/>
      <w:r w:rsidR="00EB3816">
        <w:t>) thought that Lloyd George ‘was wholly concerned with his own advancement.’</w:t>
      </w:r>
      <w:r w:rsidR="00EB3816">
        <w:rPr>
          <w:rStyle w:val="FootnoteReference"/>
        </w:rPr>
        <w:footnoteReference w:id="17"/>
      </w:r>
      <w:r w:rsidR="00B56607">
        <w:t xml:space="preserve"> So it could be considered that Lloyd George was simply using the conflict to further his own ends, however, if he did then he was being exceptionally clever. It appears that Lloyd George was working completely against the support of his party and the public when he opposed the Boer War. </w:t>
      </w:r>
      <w:r w:rsidR="00AA1052">
        <w:t xml:space="preserve">In his article, Morgan </w:t>
      </w:r>
      <w:r w:rsidR="00FA0F9D">
        <w:t>states that Lloyd George only had the support of four others in the Liberal Party.</w:t>
      </w:r>
      <w:r w:rsidR="00FA0F9D">
        <w:rPr>
          <w:rStyle w:val="FootnoteReference"/>
        </w:rPr>
        <w:footnoteReference w:id="18"/>
      </w:r>
      <w:r w:rsidR="001A6F30">
        <w:t xml:space="preserve"> </w:t>
      </w:r>
      <w:r w:rsidR="00FA0F9D">
        <w:t xml:space="preserve">Author </w:t>
      </w:r>
      <w:proofErr w:type="spellStart"/>
      <w:r w:rsidR="00FA0F9D">
        <w:t>Goronwy</w:t>
      </w:r>
      <w:proofErr w:type="spellEnd"/>
      <w:r w:rsidR="00FA0F9D">
        <w:t xml:space="preserve"> Jones in the book </w:t>
      </w:r>
      <w:r w:rsidR="00FA0F9D">
        <w:rPr>
          <w:i/>
        </w:rPr>
        <w:t>Wales and the Quest for Peace</w:t>
      </w:r>
      <w:r w:rsidR="00FA0F9D">
        <w:t xml:space="preserve">, states that the vast majority of the Liberal Party </w:t>
      </w:r>
      <w:r w:rsidR="001A6F30">
        <w:t>felt obliged to support the government after war had been declared, and it was only a very small majority that opposed the conflict.</w:t>
      </w:r>
      <w:r w:rsidR="001A6F30">
        <w:rPr>
          <w:rStyle w:val="FootnoteReference"/>
        </w:rPr>
        <w:footnoteReference w:id="19"/>
      </w:r>
      <w:r w:rsidR="001A6F30">
        <w:t xml:space="preserve"> </w:t>
      </w:r>
      <w:r w:rsidR="000D2FE3">
        <w:t xml:space="preserve">Lloyd George’s lack of support also seemed to include a fair amount of the Welsh population, as he suffered </w:t>
      </w:r>
      <w:r w:rsidR="004F1077">
        <w:t xml:space="preserve">attacks from </w:t>
      </w:r>
      <w:r w:rsidR="000D2FE3">
        <w:t>mobs and physical assaults on his person.</w:t>
      </w:r>
      <w:r w:rsidR="000D2FE3">
        <w:rPr>
          <w:rStyle w:val="FootnoteReference"/>
        </w:rPr>
        <w:footnoteReference w:id="20"/>
      </w:r>
      <w:r w:rsidR="004F1077">
        <w:t xml:space="preserve"> From this it would seem surprising that anyone could think that Lloyd George was opposing the war as a political ploy. However, the judgement is made because of the huge shift in the fortunes of the Liberal Party in Wales at this time.</w:t>
      </w:r>
    </w:p>
    <w:p w:rsidR="00F56106" w:rsidRDefault="00F56106" w:rsidP="000E3D50">
      <w:pPr>
        <w:spacing w:line="480" w:lineRule="auto"/>
      </w:pPr>
      <w:r>
        <w:t>In the 1900 election the Liberal Party saw massive gains in Wales, and much of this has been credited to Lloyd George’s opposition of the Boer War. Indeed, public opinion on the Boer War began to shift later into the conflict, as more and more people came to sympathise with the Boer people.</w:t>
      </w:r>
      <w:r>
        <w:rPr>
          <w:rStyle w:val="FootnoteReference"/>
        </w:rPr>
        <w:footnoteReference w:id="21"/>
      </w:r>
      <w:r>
        <w:t xml:space="preserve"> This shifting in support is largely down to the stories coming out of South Africa of the </w:t>
      </w:r>
      <w:r>
        <w:lastRenderedPageBreak/>
        <w:t>suffering of the people in British concentration camps.</w:t>
      </w:r>
      <w:r>
        <w:rPr>
          <w:rStyle w:val="FootnoteReference"/>
        </w:rPr>
        <w:footnoteReference w:id="22"/>
      </w:r>
      <w:r>
        <w:t xml:space="preserve"> As the public attitude towards the war began to change in Wales, so then did the attitude of the Liberal Party. The Liberal Party slowly started to change its support against the war, and Lloyd George gained a great deal of notoriety as the man that had opposed the war from the very start, and it was this notoriety that led him to being included in the cabinet in 1905.</w:t>
      </w:r>
      <w:r>
        <w:rPr>
          <w:rStyle w:val="FootnoteReference"/>
        </w:rPr>
        <w:footnoteReference w:id="23"/>
      </w:r>
    </w:p>
    <w:p w:rsidR="002E605F" w:rsidRDefault="002E605F" w:rsidP="000E3D50">
      <w:pPr>
        <w:spacing w:line="480" w:lineRule="auto"/>
      </w:pPr>
      <w:r>
        <w:t xml:space="preserve">It seems clear then that Lloyd George did not oppose the war in order to propel his political career, as he could have had no way of knowing that the public opinion towards the war would shift in such a way. Rather, Lloyd George opposed it because he believed that the conflict did not serve Britain’s best interests. It remains unclear if some Welsh nationalism helped to push Lloyd George into this decision. </w:t>
      </w:r>
    </w:p>
    <w:p w:rsidR="002E605F" w:rsidRDefault="002E605F" w:rsidP="000E3D50">
      <w:pPr>
        <w:spacing w:line="480" w:lineRule="auto"/>
      </w:pPr>
      <w:r>
        <w:t xml:space="preserve">It would be untrue to say that the Welsh people completely opposed the Second Boer War. Certainly there were some within Wales that opposed the conflict, and this opposition seemed to stem from areas that would be more supporting of Welsh nationalism and anti-imperialism. More anglicised areas of Wales seemed to show a great deal more support of Wales, possibly as the people were able to support Welsh nationalism while approving of imperialism. </w:t>
      </w:r>
      <w:r w:rsidR="00E60848">
        <w:t xml:space="preserve">Also, it cannot be denied that the general public’s reaction to the Welsh heroes at </w:t>
      </w:r>
      <w:proofErr w:type="spellStart"/>
      <w:r w:rsidR="00E60848">
        <w:t>Rorke’s</w:t>
      </w:r>
      <w:proofErr w:type="spellEnd"/>
      <w:r w:rsidR="00E60848">
        <w:t xml:space="preserve"> Drift displays a militaristic society that was proud of its soldier’s achievements. </w:t>
      </w:r>
    </w:p>
    <w:p w:rsidR="00E60848" w:rsidRDefault="00E81AF3" w:rsidP="000E3D50">
      <w:pPr>
        <w:spacing w:line="480" w:lineRule="auto"/>
      </w:pPr>
      <w:r>
        <w:t xml:space="preserve">Morgan continues his beliefs regarding Wales being strongly pro-war into the First World War. In his book </w:t>
      </w:r>
      <w:r>
        <w:rPr>
          <w:i/>
        </w:rPr>
        <w:t>Rebirth of a Nation</w:t>
      </w:r>
      <w:r>
        <w:t>, Morgan insists that Wales entered World War One ‘with a gusto’.</w:t>
      </w:r>
      <w:r>
        <w:rPr>
          <w:rStyle w:val="FootnoteReference"/>
        </w:rPr>
        <w:footnoteReference w:id="24"/>
      </w:r>
      <w:r>
        <w:t xml:space="preserve"> </w:t>
      </w:r>
    </w:p>
    <w:p w:rsidR="00E81AF3" w:rsidRDefault="00CA507C" w:rsidP="000E3D50">
      <w:pPr>
        <w:spacing w:line="480" w:lineRule="auto"/>
      </w:pPr>
      <w:r>
        <w:t xml:space="preserve">Once again, Lloyd George is a central figure regarding Wales and its stance on the war. Lloyd George became prime minister in 1916, just two years into the war. Lloyd George is famous for his strong stance against Germany and the other Alliance powers during World War One, publicly </w:t>
      </w:r>
      <w:r w:rsidR="00573B7D">
        <w:t xml:space="preserve">stating that </w:t>
      </w:r>
      <w:r w:rsidR="00573B7D">
        <w:lastRenderedPageBreak/>
        <w:t>he would accept nothing less than their unconditional surrender</w:t>
      </w:r>
      <w:r w:rsidR="007846A7">
        <w:t xml:space="preserve">. It is important to remember that as the most important Welsh politician in history, the opinion of Lloyd George carried a great deal of sway in Wales. It would be reasonable to say that many in Wales would have shown a much enthusiasm for the war simply because of loyalty to Lloyd George. </w:t>
      </w:r>
      <w:r w:rsidR="00F76DC7">
        <w:t xml:space="preserve">This loyalty also extends to his fellow Liberal politicians who supported him throughout the war, even </w:t>
      </w:r>
      <w:r w:rsidR="00F56E52">
        <w:t>when the government made the controversial decision to introduce conscription.</w:t>
      </w:r>
      <w:r w:rsidR="003641B9">
        <w:t xml:space="preserve"> Though you could also argue that the Welsh Liberals were simply supporting ‘their government’, despite what contradicting views they might personally have.</w:t>
      </w:r>
      <w:r w:rsidR="007B50D4">
        <w:t xml:space="preserve"> Following on from this, author Adrian Gregory argues that Lloyd George over exaggerated the extent of war enthusiasm in 1914.</w:t>
      </w:r>
      <w:r w:rsidR="007B50D4">
        <w:rPr>
          <w:rStyle w:val="FootnoteReference"/>
        </w:rPr>
        <w:footnoteReference w:id="25"/>
      </w:r>
      <w:r w:rsidR="007B50D4">
        <w:t xml:space="preserve"> Gregory states that Lloyd George over stated the extent of war enthusiasm in order to defend his decisions regarding the war, and in defence of the allegations that ‘old men sacrificed the young’.</w:t>
      </w:r>
      <w:r w:rsidR="007B50D4">
        <w:rPr>
          <w:rStyle w:val="FootnoteReference"/>
        </w:rPr>
        <w:footnoteReference w:id="26"/>
      </w:r>
    </w:p>
    <w:p w:rsidR="001E0F4D" w:rsidRDefault="001E0F4D" w:rsidP="000E3D50">
      <w:pPr>
        <w:spacing w:line="480" w:lineRule="auto"/>
      </w:pPr>
      <w:r>
        <w:t>When it came to Britain declaring war on the two Boer states in 1899, many in Wales identified with this struggling small state, and supported its rights over the of imperial Britain. In his article, Morgan points out that the same thing happened again in the First World War, but instead in reverse.</w:t>
      </w:r>
      <w:r>
        <w:rPr>
          <w:rStyle w:val="FootnoteReference"/>
        </w:rPr>
        <w:footnoteReference w:id="27"/>
      </w:r>
      <w:r w:rsidR="00214967">
        <w:t xml:space="preserve"> Morgan states that many in Wales felt a sympathy with little countries like Belgium and Serbia, and were eager to see Britain act to defend their rights. This argument is made with some basis, as </w:t>
      </w:r>
      <w:proofErr w:type="spellStart"/>
      <w:r w:rsidR="00214967">
        <w:t>Emrys</w:t>
      </w:r>
      <w:proofErr w:type="spellEnd"/>
      <w:r w:rsidR="00214967">
        <w:t xml:space="preserve"> Hughes states that the people were told that they had entered the war to “support little nations against mighty oppression”, and to “fight for the cause of liberty”.</w:t>
      </w:r>
      <w:r w:rsidR="00214967">
        <w:rPr>
          <w:rStyle w:val="FootnoteReference"/>
        </w:rPr>
        <w:footnoteReference w:id="28"/>
      </w:r>
      <w:r w:rsidR="00214967">
        <w:t xml:space="preserve"> It seems that this rhetoric was extremely effective with the Welsh people, when Keir </w:t>
      </w:r>
      <w:proofErr w:type="spellStart"/>
      <w:r w:rsidR="00214967">
        <w:t>Hardie</w:t>
      </w:r>
      <w:proofErr w:type="spellEnd"/>
      <w:r w:rsidR="00214967">
        <w:t xml:space="preserve"> attempted to address a crowd in Aberdare in opposition to the war he was forced to flee from the aggressive crowd. Welsh nationalism allowed the people to sympathise with countries like Belgium and Serbia, without being in opposition to their country (like in the Boer War). This could possibly be the reason why Morgan </w:t>
      </w:r>
      <w:r w:rsidR="00214967">
        <w:lastRenderedPageBreak/>
        <w:t xml:space="preserve">was almost dismissive of the argument of nationalism in the Boer War, but so accepting of it with World War One.  </w:t>
      </w:r>
    </w:p>
    <w:p w:rsidR="001A6CA7" w:rsidRDefault="001A6CA7" w:rsidP="000E3D50">
      <w:pPr>
        <w:spacing w:line="480" w:lineRule="auto"/>
      </w:pPr>
      <w:r>
        <w:t xml:space="preserve">It must also be remembered that the Boer War was a remote imperial war, a conflict that would have little direct effect on Britain itself. However, the First World War constituted a direct threat to Britain and her empire, and would have gained far more support from the people all over Britain because of it. </w:t>
      </w:r>
    </w:p>
    <w:p w:rsidR="00913551" w:rsidRDefault="00913551" w:rsidP="000E3D50">
      <w:pPr>
        <w:spacing w:line="480" w:lineRule="auto"/>
      </w:pPr>
      <w:r>
        <w:t xml:space="preserve">Both in his chapter called </w:t>
      </w:r>
      <w:r>
        <w:rPr>
          <w:i/>
        </w:rPr>
        <w:t xml:space="preserve">The Crisis of War </w:t>
      </w:r>
      <w:r>
        <w:t xml:space="preserve">in his book </w:t>
      </w:r>
      <w:r>
        <w:rPr>
          <w:i/>
        </w:rPr>
        <w:t>Rebirth of a Nation</w:t>
      </w:r>
      <w:r>
        <w:t>, and in his article, Morgan goes into great detail discussing anti-war protests and protesters in Wales during World War One. While he acknowledges that there were those in Wales who were in opposition to the war, Morgan states that this was still a minority, and that the vast majority of the Welsh population remained ‘patriotic’.</w:t>
      </w:r>
      <w:r>
        <w:rPr>
          <w:rStyle w:val="FootnoteReference"/>
        </w:rPr>
        <w:footnoteReference w:id="29"/>
      </w:r>
      <w:r>
        <w:t xml:space="preserve"> In particular, Morgan states that there was a great deal of war enthusiasm at the beginning of the war when the people of Wales threw themselves into it ‘with a gusto’.</w:t>
      </w:r>
      <w:r>
        <w:rPr>
          <w:rStyle w:val="FootnoteReference"/>
        </w:rPr>
        <w:footnoteReference w:id="30"/>
      </w:r>
      <w:r>
        <w:t xml:space="preserve"> However, author Adrian Gregory completely disagrees with this very statement. In his book </w:t>
      </w:r>
      <w:r>
        <w:rPr>
          <w:i/>
        </w:rPr>
        <w:t>The Last Great War</w:t>
      </w:r>
      <w:r>
        <w:t xml:space="preserve">, Gregory </w:t>
      </w:r>
      <w:r w:rsidR="000E2C2D">
        <w:t>uses the response from the South Wales Miners’ Federation to the government’s request to cut annual holidays for the workers.</w:t>
      </w:r>
      <w:r w:rsidR="000E2C2D">
        <w:rPr>
          <w:rStyle w:val="FootnoteReference"/>
        </w:rPr>
        <w:footnoteReference w:id="31"/>
      </w:r>
      <w:r w:rsidR="000E2C2D">
        <w:t xml:space="preserve"> Gregory states that their refusal to cooperate with the government shows that if there is any war enthusiasm, then it is superficial and not enough to make the Welsh miners give up on the gains they had made to working conditions during peacetime.</w:t>
      </w:r>
      <w:r w:rsidR="000E2C2D">
        <w:rPr>
          <w:rStyle w:val="FootnoteReference"/>
        </w:rPr>
        <w:footnoteReference w:id="32"/>
      </w:r>
      <w:r w:rsidR="000E2C2D">
        <w:t xml:space="preserve"> </w:t>
      </w:r>
      <w:r w:rsidR="004D796A">
        <w:t>Gregory further backs up this argument by referencing the Welsh miners’ strike of 1915, using this as evidence of continued unhappiness in Wales about the wartime situation, and showing how the Welsh miners’ prioritised their conditions over the war effort.</w:t>
      </w:r>
      <w:r w:rsidR="004D796A">
        <w:rPr>
          <w:rStyle w:val="FootnoteReference"/>
        </w:rPr>
        <w:footnoteReference w:id="33"/>
      </w:r>
    </w:p>
    <w:p w:rsidR="009F4B83" w:rsidRDefault="009F4B83" w:rsidP="000E3D50">
      <w:pPr>
        <w:spacing w:line="480" w:lineRule="auto"/>
      </w:pPr>
      <w:r>
        <w:lastRenderedPageBreak/>
        <w:t>Morgan goes on to state that the war was financially beneficial to the Welsh people.</w:t>
      </w:r>
      <w:r>
        <w:rPr>
          <w:rStyle w:val="FootnoteReference"/>
        </w:rPr>
        <w:footnoteReference w:id="34"/>
      </w:r>
      <w:r>
        <w:t xml:space="preserve"> Morgan makes the argument that the demands of war made Welsh industry flourish, and this brought prosperity to Britain.</w:t>
      </w:r>
      <w:r>
        <w:rPr>
          <w:rStyle w:val="FootnoteReference"/>
        </w:rPr>
        <w:footnoteReference w:id="35"/>
      </w:r>
      <w:r>
        <w:t xml:space="preserve"> However, the Welsh miner’s strikes of 1915 were over their continually low pay, so it would seem that the extra profits being made from the war were not filtering down to the local Welsh people. This would only serve to cause further resentment in Wales, and not help endure the people to the war. </w:t>
      </w:r>
    </w:p>
    <w:p w:rsidR="009F4B83" w:rsidRDefault="009F4B83" w:rsidP="000E3D50">
      <w:pPr>
        <w:spacing w:line="480" w:lineRule="auto"/>
      </w:pPr>
      <w:r>
        <w:t xml:space="preserve">An article by Anthony </w:t>
      </w:r>
      <w:proofErr w:type="spellStart"/>
      <w:r>
        <w:t>Mor</w:t>
      </w:r>
      <w:proofErr w:type="spellEnd"/>
      <w:r>
        <w:t xml:space="preserve"> O’Brien disagrees with Gregory’s summary and comes out in favour of Morgan’s </w:t>
      </w:r>
      <w:r w:rsidR="004F68D0">
        <w:t>hypothesis that the Welsh were supportive of the war. O’Brien argues that forty percent of Welsh miners joined up to fight in the war.</w:t>
      </w:r>
      <w:r w:rsidR="004F68D0">
        <w:rPr>
          <w:rStyle w:val="FootnoteReference"/>
        </w:rPr>
        <w:footnoteReference w:id="36"/>
      </w:r>
      <w:r w:rsidR="004F68D0">
        <w:t xml:space="preserve"> O’Brien also echoes Morgan in stating that proportionally more Welsh men volunteered to fight in the war than in England or Scotland, a very convincing argument that the people of Wales supported the war.</w:t>
      </w:r>
      <w:r w:rsidR="004F68D0">
        <w:rPr>
          <w:rStyle w:val="FootnoteReference"/>
        </w:rPr>
        <w:footnoteReference w:id="37"/>
      </w:r>
      <w:r w:rsidR="00967E0C">
        <w:t xml:space="preserve"> </w:t>
      </w:r>
      <w:r w:rsidR="00A05CDF">
        <w:t>O’Brien believes that just because the miners wanted better wages, does not mean that they were not patriotic, and that they were actually praised many times for their patriotic hard work.</w:t>
      </w:r>
      <w:r w:rsidR="00A05CDF">
        <w:rPr>
          <w:rStyle w:val="FootnoteReference"/>
        </w:rPr>
        <w:footnoteReference w:id="38"/>
      </w:r>
    </w:p>
    <w:p w:rsidR="003641B9" w:rsidRDefault="003641B9" w:rsidP="000E3D50">
      <w:pPr>
        <w:spacing w:line="480" w:lineRule="auto"/>
      </w:pPr>
      <w:r>
        <w:t xml:space="preserve">The high rate of enlistment could also be viewed in Lloyd George’s new Welsh army division. This new division was a great success, with the ranks being filled very quickly with Welsh volunteers, and every victory achieved by this division was much celebrated back home. </w:t>
      </w:r>
    </w:p>
    <w:p w:rsidR="003641B9" w:rsidRDefault="00B70312" w:rsidP="000E3D50">
      <w:pPr>
        <w:spacing w:line="480" w:lineRule="auto"/>
      </w:pPr>
      <w:r>
        <w:t>However, Gregory argues that much of volunteering occurred in the first few months of the war, at a time when everyone in Britain believed that they would be ‘home be Christmas’.</w:t>
      </w:r>
      <w:r>
        <w:rPr>
          <w:rStyle w:val="FootnoteReference"/>
        </w:rPr>
        <w:footnoteReference w:id="39"/>
      </w:r>
      <w:r w:rsidR="006417F8">
        <w:t xml:space="preserve"> Gregory argues that much of the initial war enthusiasm waned as the war dragged on</w:t>
      </w:r>
      <w:r w:rsidR="007B50D4">
        <w:t>,</w:t>
      </w:r>
      <w:r w:rsidR="006417F8">
        <w:t xml:space="preserve"> and the horrific losses mounted. </w:t>
      </w:r>
      <w:r w:rsidR="007B50D4">
        <w:t xml:space="preserve">While Morgan does acknowledge a waning of enthusiasm in Wales during the later years </w:t>
      </w:r>
      <w:r w:rsidR="007B50D4">
        <w:lastRenderedPageBreak/>
        <w:t>of the war, he still insists that the population largely remained enthusiastic and supportive of the war.</w:t>
      </w:r>
      <w:r w:rsidR="007B50D4">
        <w:rPr>
          <w:rStyle w:val="FootnoteReference"/>
        </w:rPr>
        <w:footnoteReference w:id="40"/>
      </w:r>
    </w:p>
    <w:p w:rsidR="002849B6" w:rsidRDefault="002849B6" w:rsidP="000E3D50">
      <w:pPr>
        <w:spacing w:line="480" w:lineRule="auto"/>
      </w:pPr>
      <w:r>
        <w:t>In conclusion, there are strong arguments that both support and disagree with Morgan in his statements in his article and book. It seems clear that certain areas of Wales (particularly the more anglicised parts) supported the Boer War. However, it less conclusive with areas that had a higher sense of Welsh nationalism. It can be said for certain that many in these areas would have opposed the war, but the extent of the opposition remains unclear. David Lloyd George’s influence on Welsh public opinion to the Boer War seems limited at the beginning of the war, with him even suffering from personal attack from crowds who did not agree with him. However, news of the conditions inside of British concentration camps in South Africa gathered a great deal of public sympathy, and Lloyd George’s opposition from the start helped to galvanise many of the Welsh people behind him, a fact that Morgan himself states in his article.</w:t>
      </w:r>
      <w:r>
        <w:rPr>
          <w:rStyle w:val="FootnoteReference"/>
        </w:rPr>
        <w:footnoteReference w:id="41"/>
      </w:r>
    </w:p>
    <w:p w:rsidR="002849B6" w:rsidRDefault="002849B6" w:rsidP="000E3D50">
      <w:pPr>
        <w:spacing w:line="480" w:lineRule="auto"/>
      </w:pPr>
      <w:r>
        <w:t xml:space="preserve">By the time of the First World War, Lloyd George had increased massively in power and influence, and his views could be considered very representative of Wales as a whole, as he had a great deal of Liberal support from there. </w:t>
      </w:r>
      <w:r w:rsidR="00E32CC2">
        <w:t xml:space="preserve">Lloyd George very openly supported the war through its entire course, and he had the backing of his party and government through all of it. The very high levels of enlistment in Wales (proportionally higher than either England or Scotland) is concrete proof that a very high percentage of the population supported the war. However, Gregory has cast doubt upon this argument by highlighting how enlistment fell after its original boom upon the declaration of war. He goes further by highlighting how civil unrest displayed some dissatisfaction in Wales with war conditions. </w:t>
      </w:r>
    </w:p>
    <w:p w:rsidR="00E32CC2" w:rsidRDefault="00E32CC2" w:rsidP="000E3D50">
      <w:pPr>
        <w:spacing w:line="480" w:lineRule="auto"/>
      </w:pPr>
      <w:r>
        <w:t xml:space="preserve">The main point that has become clear from this work is that it is impossible to say with certainty that all of Wales either supported or opposed either of the conflicts. The opinions of people in one part </w:t>
      </w:r>
      <w:r>
        <w:lastRenderedPageBreak/>
        <w:t xml:space="preserve">of Wales could have been wholly in disagreement with people from another part. Equally, the people of Wales had different opinions at different points in both wars, making it extremely difficult to make a generalisation for the entire population for the entire course of both conflicts. However, that being said, Morgan has backed up his arguments with a wide array of primary sources, and has received the support from other historians. Certainly, it seems that Morgan has some basis for his statement, and as the </w:t>
      </w:r>
      <w:r w:rsidR="004727A1">
        <w:t xml:space="preserve">authority on this period of Welsh history, his opinion should be respected. </w:t>
      </w:r>
    </w:p>
    <w:p w:rsidR="002849B6" w:rsidRDefault="002849B6" w:rsidP="000E3D50">
      <w:pPr>
        <w:spacing w:line="480" w:lineRule="auto"/>
      </w:pPr>
    </w:p>
    <w:p w:rsidR="003C18A6" w:rsidRPr="00913551" w:rsidRDefault="003C18A6" w:rsidP="000E3D50">
      <w:pPr>
        <w:spacing w:line="480" w:lineRule="auto"/>
      </w:pPr>
    </w:p>
    <w:p w:rsidR="00E60848" w:rsidRDefault="00E60848" w:rsidP="000E3D50">
      <w:pPr>
        <w:spacing w:line="480" w:lineRule="auto"/>
      </w:pPr>
    </w:p>
    <w:p w:rsidR="005E7D2B" w:rsidRDefault="005E7D2B" w:rsidP="000E3D50">
      <w:pPr>
        <w:spacing w:line="480" w:lineRule="auto"/>
      </w:pPr>
    </w:p>
    <w:p w:rsidR="004F1077" w:rsidRPr="00FA0F9D" w:rsidRDefault="004F1077" w:rsidP="000E3D50">
      <w:pPr>
        <w:spacing w:line="480" w:lineRule="auto"/>
      </w:pPr>
    </w:p>
    <w:p w:rsidR="0011616E" w:rsidRDefault="0011616E" w:rsidP="000E3D50">
      <w:pPr>
        <w:spacing w:line="480" w:lineRule="auto"/>
      </w:pPr>
    </w:p>
    <w:p w:rsidR="000E3D50" w:rsidRDefault="000E3D50" w:rsidP="000E3D50">
      <w:pPr>
        <w:spacing w:line="480" w:lineRule="auto"/>
      </w:pPr>
    </w:p>
    <w:p w:rsidR="000E3D50" w:rsidRDefault="000E3D50" w:rsidP="000E3D50">
      <w:pPr>
        <w:spacing w:line="480" w:lineRule="auto"/>
      </w:pPr>
    </w:p>
    <w:p w:rsidR="000E3D50" w:rsidRDefault="000E3D50" w:rsidP="000E3D50">
      <w:pPr>
        <w:spacing w:line="480" w:lineRule="auto"/>
      </w:pPr>
    </w:p>
    <w:p w:rsidR="000E3D50" w:rsidRDefault="000E3D50" w:rsidP="000E3D50">
      <w:pPr>
        <w:spacing w:line="480" w:lineRule="auto"/>
      </w:pPr>
    </w:p>
    <w:p w:rsidR="000E3D50" w:rsidRDefault="000E3D50" w:rsidP="000E3D50">
      <w:pPr>
        <w:spacing w:line="480" w:lineRule="auto"/>
      </w:pPr>
    </w:p>
    <w:p w:rsidR="000E3D50" w:rsidRDefault="000E3D50" w:rsidP="000E3D50">
      <w:pPr>
        <w:spacing w:line="480" w:lineRule="auto"/>
      </w:pPr>
    </w:p>
    <w:p w:rsidR="000E3D50" w:rsidRDefault="000E3D50" w:rsidP="000E3D50">
      <w:pPr>
        <w:spacing w:line="480" w:lineRule="auto"/>
        <w:rPr>
          <w:u w:val="single"/>
        </w:rPr>
      </w:pPr>
    </w:p>
    <w:p w:rsidR="00275F22" w:rsidRDefault="00275F22" w:rsidP="000E3D50">
      <w:pPr>
        <w:spacing w:line="480" w:lineRule="auto"/>
        <w:rPr>
          <w:u w:val="single"/>
        </w:rPr>
      </w:pPr>
    </w:p>
    <w:p w:rsidR="005E6B89" w:rsidRDefault="005E6B89" w:rsidP="000E3D50">
      <w:pPr>
        <w:spacing w:line="480" w:lineRule="auto"/>
        <w:rPr>
          <w:u w:val="single"/>
        </w:rPr>
      </w:pPr>
    </w:p>
    <w:p w:rsidR="0011616E" w:rsidRDefault="0011616E" w:rsidP="000E3D50">
      <w:pPr>
        <w:spacing w:line="480" w:lineRule="auto"/>
        <w:rPr>
          <w:u w:val="single"/>
        </w:rPr>
      </w:pPr>
      <w:r>
        <w:rPr>
          <w:u w:val="single"/>
        </w:rPr>
        <w:lastRenderedPageBreak/>
        <w:t>Bibliography</w:t>
      </w:r>
    </w:p>
    <w:p w:rsidR="0011616E" w:rsidRDefault="0011616E" w:rsidP="000E3D50">
      <w:pPr>
        <w:spacing w:line="480" w:lineRule="auto"/>
      </w:pPr>
    </w:p>
    <w:p w:rsidR="00697166" w:rsidRDefault="00697166" w:rsidP="000E3D50">
      <w:pPr>
        <w:pStyle w:val="FootnoteText"/>
        <w:spacing w:line="480" w:lineRule="auto"/>
        <w:rPr>
          <w:sz w:val="22"/>
          <w:szCs w:val="22"/>
        </w:rPr>
      </w:pPr>
      <w:r>
        <w:rPr>
          <w:sz w:val="22"/>
          <w:szCs w:val="22"/>
        </w:rPr>
        <w:t xml:space="preserve">Davey A, </w:t>
      </w:r>
      <w:proofErr w:type="gramStart"/>
      <w:r>
        <w:rPr>
          <w:i/>
          <w:sz w:val="22"/>
          <w:szCs w:val="22"/>
        </w:rPr>
        <w:t>The</w:t>
      </w:r>
      <w:proofErr w:type="gramEnd"/>
      <w:r>
        <w:rPr>
          <w:i/>
          <w:sz w:val="22"/>
          <w:szCs w:val="22"/>
        </w:rPr>
        <w:t xml:space="preserve"> British Pro Boers 1877-1902 </w:t>
      </w:r>
      <w:r>
        <w:rPr>
          <w:sz w:val="22"/>
          <w:szCs w:val="22"/>
        </w:rPr>
        <w:t xml:space="preserve">(Cape Town: </w:t>
      </w:r>
      <w:proofErr w:type="spellStart"/>
      <w:r>
        <w:rPr>
          <w:sz w:val="22"/>
          <w:szCs w:val="22"/>
        </w:rPr>
        <w:t>Tafelberg</w:t>
      </w:r>
      <w:proofErr w:type="spellEnd"/>
      <w:r>
        <w:rPr>
          <w:sz w:val="22"/>
          <w:szCs w:val="22"/>
        </w:rPr>
        <w:t xml:space="preserve"> Publishers Ltd, 1978). </w:t>
      </w:r>
    </w:p>
    <w:p w:rsidR="00EE4F60" w:rsidRPr="00697166" w:rsidRDefault="00EE4F60" w:rsidP="000E3D50">
      <w:pPr>
        <w:pStyle w:val="FootnoteText"/>
        <w:spacing w:line="480" w:lineRule="auto"/>
        <w:rPr>
          <w:sz w:val="22"/>
          <w:szCs w:val="22"/>
        </w:rPr>
      </w:pPr>
    </w:p>
    <w:p w:rsidR="000E3D50" w:rsidRDefault="00993A90" w:rsidP="000E3D50">
      <w:pPr>
        <w:pStyle w:val="FootnoteText"/>
        <w:spacing w:line="480" w:lineRule="auto"/>
        <w:rPr>
          <w:sz w:val="22"/>
          <w:szCs w:val="22"/>
        </w:rPr>
      </w:pPr>
      <w:r w:rsidRPr="00993A90">
        <w:rPr>
          <w:sz w:val="22"/>
          <w:szCs w:val="22"/>
        </w:rPr>
        <w:t>Davies</w:t>
      </w:r>
      <w:r>
        <w:rPr>
          <w:sz w:val="22"/>
          <w:szCs w:val="22"/>
        </w:rPr>
        <w:t xml:space="preserve"> J</w:t>
      </w:r>
      <w:r w:rsidRPr="00993A90">
        <w:rPr>
          <w:sz w:val="22"/>
          <w:szCs w:val="22"/>
        </w:rPr>
        <w:t xml:space="preserve">, </w:t>
      </w:r>
      <w:proofErr w:type="gramStart"/>
      <w:r w:rsidRPr="00993A90">
        <w:rPr>
          <w:i/>
          <w:sz w:val="22"/>
          <w:szCs w:val="22"/>
        </w:rPr>
        <w:t>The</w:t>
      </w:r>
      <w:proofErr w:type="gramEnd"/>
      <w:r w:rsidRPr="00993A90">
        <w:rPr>
          <w:i/>
          <w:sz w:val="22"/>
          <w:szCs w:val="22"/>
        </w:rPr>
        <w:t xml:space="preserve"> History of Wales </w:t>
      </w:r>
      <w:r w:rsidRPr="00993A90">
        <w:rPr>
          <w:sz w:val="22"/>
          <w:szCs w:val="22"/>
        </w:rPr>
        <w:t>(London:</w:t>
      </w:r>
      <w:r>
        <w:rPr>
          <w:sz w:val="22"/>
          <w:szCs w:val="22"/>
        </w:rPr>
        <w:t xml:space="preserve"> Penguin Books, 2007)</w:t>
      </w:r>
      <w:r w:rsidRPr="00993A90">
        <w:rPr>
          <w:sz w:val="22"/>
          <w:szCs w:val="22"/>
        </w:rPr>
        <w:t>.</w:t>
      </w:r>
    </w:p>
    <w:p w:rsidR="00EE4F60" w:rsidRDefault="00EE4F60" w:rsidP="000E3D50">
      <w:pPr>
        <w:pStyle w:val="FootnoteText"/>
        <w:spacing w:line="480" w:lineRule="auto"/>
        <w:rPr>
          <w:sz w:val="22"/>
          <w:szCs w:val="22"/>
        </w:rPr>
      </w:pPr>
    </w:p>
    <w:p w:rsidR="000E3D50" w:rsidRDefault="000E3D50" w:rsidP="000E3D50">
      <w:pPr>
        <w:pStyle w:val="FootnoteText"/>
        <w:spacing w:line="480" w:lineRule="auto"/>
        <w:rPr>
          <w:sz w:val="22"/>
          <w:szCs w:val="22"/>
        </w:rPr>
      </w:pPr>
      <w:r>
        <w:rPr>
          <w:sz w:val="22"/>
          <w:szCs w:val="22"/>
        </w:rPr>
        <w:t xml:space="preserve">‘Englishmen for Welsh Appointments’, </w:t>
      </w:r>
      <w:r>
        <w:rPr>
          <w:i/>
          <w:sz w:val="22"/>
          <w:szCs w:val="22"/>
        </w:rPr>
        <w:t>Western Mail</w:t>
      </w:r>
      <w:r>
        <w:rPr>
          <w:sz w:val="22"/>
          <w:szCs w:val="22"/>
        </w:rPr>
        <w:t>, 12</w:t>
      </w:r>
      <w:r w:rsidRPr="000E3D50">
        <w:rPr>
          <w:sz w:val="22"/>
          <w:szCs w:val="22"/>
          <w:vertAlign w:val="superscript"/>
        </w:rPr>
        <w:t>th</w:t>
      </w:r>
      <w:r>
        <w:rPr>
          <w:sz w:val="22"/>
          <w:szCs w:val="22"/>
        </w:rPr>
        <w:t xml:space="preserve"> October 1899. </w:t>
      </w:r>
    </w:p>
    <w:p w:rsidR="00EE4F60" w:rsidRDefault="00EE4F60" w:rsidP="000E3D50">
      <w:pPr>
        <w:pStyle w:val="FootnoteText"/>
        <w:spacing w:line="480" w:lineRule="auto"/>
        <w:rPr>
          <w:sz w:val="22"/>
          <w:szCs w:val="22"/>
        </w:rPr>
      </w:pPr>
    </w:p>
    <w:p w:rsidR="00EE4F60" w:rsidRDefault="00EE4F60" w:rsidP="000E3D50">
      <w:pPr>
        <w:pStyle w:val="FootnoteText"/>
        <w:spacing w:line="480" w:lineRule="auto"/>
        <w:rPr>
          <w:sz w:val="22"/>
          <w:szCs w:val="22"/>
        </w:rPr>
      </w:pPr>
      <w:r>
        <w:rPr>
          <w:sz w:val="22"/>
          <w:szCs w:val="22"/>
        </w:rPr>
        <w:t xml:space="preserve">Gregory A, </w:t>
      </w:r>
      <w:proofErr w:type="gramStart"/>
      <w:r>
        <w:rPr>
          <w:i/>
          <w:sz w:val="22"/>
          <w:szCs w:val="22"/>
        </w:rPr>
        <w:t>The</w:t>
      </w:r>
      <w:proofErr w:type="gramEnd"/>
      <w:r>
        <w:rPr>
          <w:i/>
          <w:sz w:val="22"/>
          <w:szCs w:val="22"/>
        </w:rPr>
        <w:t xml:space="preserve"> Last Great War: British Society and the First World War </w:t>
      </w:r>
      <w:r>
        <w:rPr>
          <w:sz w:val="22"/>
          <w:szCs w:val="22"/>
        </w:rPr>
        <w:t xml:space="preserve">(Cambridge, Cambridge University Press, 2009). </w:t>
      </w:r>
    </w:p>
    <w:p w:rsidR="00CF2A5D" w:rsidRDefault="00CF2A5D" w:rsidP="000E3D50">
      <w:pPr>
        <w:pStyle w:val="FootnoteText"/>
        <w:spacing w:line="480" w:lineRule="auto"/>
        <w:rPr>
          <w:sz w:val="22"/>
          <w:szCs w:val="22"/>
        </w:rPr>
      </w:pPr>
    </w:p>
    <w:p w:rsidR="00CF2A5D" w:rsidRDefault="00CF2A5D" w:rsidP="00CF2A5D">
      <w:pPr>
        <w:pStyle w:val="FootnoteText"/>
        <w:spacing w:line="480" w:lineRule="auto"/>
        <w:rPr>
          <w:rFonts w:cstheme="minorHAnsi"/>
          <w:sz w:val="22"/>
          <w:szCs w:val="22"/>
        </w:rPr>
      </w:pPr>
      <w:proofErr w:type="spellStart"/>
      <w:r w:rsidRPr="00CF2A5D">
        <w:rPr>
          <w:rFonts w:cstheme="minorHAnsi"/>
          <w:sz w:val="22"/>
          <w:szCs w:val="22"/>
        </w:rPr>
        <w:t>Harkison</w:t>
      </w:r>
      <w:proofErr w:type="spellEnd"/>
      <w:r w:rsidRPr="00CF2A5D">
        <w:rPr>
          <w:rFonts w:cstheme="minorHAnsi"/>
          <w:sz w:val="22"/>
          <w:szCs w:val="22"/>
        </w:rPr>
        <w:t xml:space="preserve"> Paul,</w:t>
      </w:r>
      <w:r>
        <w:rPr>
          <w:rFonts w:cstheme="minorHAnsi"/>
          <w:sz w:val="22"/>
          <w:szCs w:val="22"/>
        </w:rPr>
        <w:t xml:space="preserve"> ‘David Lloyd George as the “hammer” of dissent: the war premiership, 1916-1918’ (unpublished PhD thesis, McMaster University, 1994). </w:t>
      </w:r>
    </w:p>
    <w:p w:rsidR="00EE4F60" w:rsidRPr="00EE4F60" w:rsidRDefault="00EE4F60" w:rsidP="000E3D50">
      <w:pPr>
        <w:pStyle w:val="FootnoteText"/>
        <w:spacing w:line="480" w:lineRule="auto"/>
        <w:rPr>
          <w:sz w:val="22"/>
          <w:szCs w:val="22"/>
        </w:rPr>
      </w:pPr>
    </w:p>
    <w:p w:rsidR="001A6F30" w:rsidRDefault="001A6F30" w:rsidP="000E3D50">
      <w:pPr>
        <w:pStyle w:val="FootnoteText"/>
        <w:spacing w:line="480" w:lineRule="auto"/>
        <w:rPr>
          <w:sz w:val="22"/>
          <w:szCs w:val="22"/>
        </w:rPr>
      </w:pPr>
      <w:r>
        <w:rPr>
          <w:sz w:val="22"/>
          <w:szCs w:val="22"/>
        </w:rPr>
        <w:t xml:space="preserve">Jones G, </w:t>
      </w:r>
      <w:r>
        <w:rPr>
          <w:i/>
          <w:sz w:val="22"/>
          <w:szCs w:val="22"/>
        </w:rPr>
        <w:t>Wales and the Quest for Peace</w:t>
      </w:r>
      <w:r>
        <w:rPr>
          <w:sz w:val="22"/>
          <w:szCs w:val="22"/>
        </w:rPr>
        <w:t xml:space="preserve"> (Cardiff: University of Wales Press, 1969). </w:t>
      </w:r>
    </w:p>
    <w:p w:rsidR="00EE4F60" w:rsidRPr="001A6F30" w:rsidRDefault="00EE4F60" w:rsidP="000E3D50">
      <w:pPr>
        <w:pStyle w:val="FootnoteText"/>
        <w:spacing w:line="480" w:lineRule="auto"/>
        <w:rPr>
          <w:sz w:val="22"/>
          <w:szCs w:val="22"/>
        </w:rPr>
      </w:pPr>
    </w:p>
    <w:p w:rsidR="00DB520A" w:rsidRDefault="00DB520A" w:rsidP="000E3D50">
      <w:pPr>
        <w:pStyle w:val="FootnoteText"/>
        <w:spacing w:line="480" w:lineRule="auto"/>
        <w:rPr>
          <w:sz w:val="22"/>
          <w:szCs w:val="22"/>
        </w:rPr>
      </w:pPr>
      <w:r>
        <w:rPr>
          <w:sz w:val="22"/>
          <w:szCs w:val="22"/>
        </w:rPr>
        <w:t xml:space="preserve">Morgan K, </w:t>
      </w:r>
      <w:r>
        <w:rPr>
          <w:i/>
          <w:sz w:val="22"/>
          <w:szCs w:val="22"/>
        </w:rPr>
        <w:t xml:space="preserve">Modern Wales: Politics, Places and People </w:t>
      </w:r>
      <w:r>
        <w:rPr>
          <w:sz w:val="22"/>
          <w:szCs w:val="22"/>
        </w:rPr>
        <w:t>(Cardiff: University of Wales Press, 1995).</w:t>
      </w:r>
    </w:p>
    <w:p w:rsidR="00EE4F60" w:rsidRDefault="00EE4F60" w:rsidP="000E3D50">
      <w:pPr>
        <w:pStyle w:val="FootnoteText"/>
        <w:spacing w:line="480" w:lineRule="auto"/>
        <w:rPr>
          <w:sz w:val="22"/>
          <w:szCs w:val="22"/>
        </w:rPr>
      </w:pPr>
    </w:p>
    <w:p w:rsidR="00EE4F60" w:rsidRDefault="00EE4F60" w:rsidP="000E3D50">
      <w:pPr>
        <w:pStyle w:val="FootnoteText"/>
        <w:spacing w:line="480" w:lineRule="auto"/>
        <w:rPr>
          <w:sz w:val="22"/>
          <w:szCs w:val="22"/>
        </w:rPr>
      </w:pPr>
      <w:r>
        <w:rPr>
          <w:sz w:val="22"/>
          <w:szCs w:val="22"/>
        </w:rPr>
        <w:t xml:space="preserve">Morgan K, Peace Movements in Wales 1899-1945. </w:t>
      </w:r>
      <w:r>
        <w:rPr>
          <w:i/>
          <w:sz w:val="22"/>
          <w:szCs w:val="22"/>
        </w:rPr>
        <w:t>Welsh Historical Review</w:t>
      </w:r>
      <w:r>
        <w:rPr>
          <w:sz w:val="22"/>
          <w:szCs w:val="22"/>
        </w:rPr>
        <w:t>, Vol 10, no 3: (1981) p398-430.</w:t>
      </w:r>
    </w:p>
    <w:p w:rsidR="00EE4F60" w:rsidRDefault="00EE4F60" w:rsidP="000E3D50">
      <w:pPr>
        <w:pStyle w:val="FootnoteText"/>
        <w:spacing w:line="480" w:lineRule="auto"/>
        <w:rPr>
          <w:sz w:val="22"/>
          <w:szCs w:val="22"/>
        </w:rPr>
      </w:pPr>
    </w:p>
    <w:p w:rsidR="00EE4F60" w:rsidRDefault="00EE4F60" w:rsidP="000E3D50">
      <w:pPr>
        <w:pStyle w:val="FootnoteText"/>
        <w:spacing w:line="480" w:lineRule="auto"/>
        <w:rPr>
          <w:sz w:val="22"/>
          <w:szCs w:val="22"/>
        </w:rPr>
      </w:pPr>
      <w:r>
        <w:rPr>
          <w:sz w:val="22"/>
          <w:szCs w:val="22"/>
        </w:rPr>
        <w:t xml:space="preserve">Morgan K, </w:t>
      </w:r>
      <w:r>
        <w:rPr>
          <w:i/>
          <w:sz w:val="22"/>
          <w:szCs w:val="22"/>
        </w:rPr>
        <w:t xml:space="preserve">Rebirth of a Nation: Wales 1880-1980 </w:t>
      </w:r>
      <w:r>
        <w:rPr>
          <w:sz w:val="22"/>
          <w:szCs w:val="22"/>
        </w:rPr>
        <w:t xml:space="preserve">(Oxford: Oxford University Press, 1982). </w:t>
      </w:r>
    </w:p>
    <w:p w:rsidR="00B41DB9" w:rsidRDefault="00B41DB9" w:rsidP="000E3D50">
      <w:pPr>
        <w:pStyle w:val="FootnoteText"/>
        <w:spacing w:line="480" w:lineRule="auto"/>
        <w:rPr>
          <w:sz w:val="22"/>
          <w:szCs w:val="22"/>
        </w:rPr>
      </w:pPr>
    </w:p>
    <w:p w:rsidR="00B41DB9" w:rsidRDefault="00B41DB9" w:rsidP="000E3D50">
      <w:pPr>
        <w:pStyle w:val="FootnoteText"/>
        <w:spacing w:line="480" w:lineRule="auto"/>
        <w:rPr>
          <w:sz w:val="22"/>
          <w:szCs w:val="22"/>
        </w:rPr>
      </w:pPr>
      <w:r>
        <w:rPr>
          <w:sz w:val="22"/>
          <w:szCs w:val="22"/>
        </w:rPr>
        <w:t xml:space="preserve">O’ Brien A, ‘Conchie’ </w:t>
      </w:r>
      <w:proofErr w:type="spellStart"/>
      <w:r>
        <w:rPr>
          <w:sz w:val="22"/>
          <w:szCs w:val="22"/>
        </w:rPr>
        <w:t>Emrys</w:t>
      </w:r>
      <w:proofErr w:type="spellEnd"/>
      <w:r>
        <w:rPr>
          <w:sz w:val="22"/>
          <w:szCs w:val="22"/>
        </w:rPr>
        <w:t xml:space="preserve"> Hughes and the First World War. </w:t>
      </w:r>
      <w:r>
        <w:rPr>
          <w:i/>
          <w:sz w:val="22"/>
          <w:szCs w:val="22"/>
        </w:rPr>
        <w:t>Welsh Historical Review</w:t>
      </w:r>
      <w:r>
        <w:rPr>
          <w:sz w:val="22"/>
          <w:szCs w:val="22"/>
        </w:rPr>
        <w:t xml:space="preserve">, Vol 10, no 3: (1981) p328-352. </w:t>
      </w:r>
    </w:p>
    <w:p w:rsidR="00B41DB9" w:rsidRDefault="00B41DB9" w:rsidP="000E3D50">
      <w:pPr>
        <w:pStyle w:val="FootnoteText"/>
        <w:spacing w:line="480" w:lineRule="auto"/>
        <w:rPr>
          <w:sz w:val="22"/>
          <w:szCs w:val="22"/>
        </w:rPr>
      </w:pPr>
    </w:p>
    <w:p w:rsidR="00B41DB9" w:rsidRPr="00B41DB9" w:rsidRDefault="00B41DB9" w:rsidP="000E3D50">
      <w:pPr>
        <w:pStyle w:val="FootnoteText"/>
        <w:spacing w:line="480" w:lineRule="auto"/>
        <w:rPr>
          <w:sz w:val="22"/>
          <w:szCs w:val="22"/>
        </w:rPr>
      </w:pPr>
      <w:r>
        <w:rPr>
          <w:sz w:val="22"/>
          <w:szCs w:val="22"/>
        </w:rPr>
        <w:t xml:space="preserve">O’Brien A, Patriotism on Trial. </w:t>
      </w:r>
      <w:r>
        <w:rPr>
          <w:i/>
          <w:sz w:val="22"/>
          <w:szCs w:val="22"/>
        </w:rPr>
        <w:t>Welsh Historical Review</w:t>
      </w:r>
      <w:r>
        <w:rPr>
          <w:sz w:val="22"/>
          <w:szCs w:val="22"/>
        </w:rPr>
        <w:t xml:space="preserve">, Vol 12, no 1: (1984-85) p76-104. </w:t>
      </w:r>
    </w:p>
    <w:p w:rsidR="00EE4F60" w:rsidRDefault="00EE4F60" w:rsidP="000E3D50">
      <w:pPr>
        <w:pStyle w:val="FootnoteText"/>
        <w:spacing w:line="480" w:lineRule="auto"/>
        <w:rPr>
          <w:sz w:val="22"/>
          <w:szCs w:val="22"/>
        </w:rPr>
      </w:pPr>
    </w:p>
    <w:p w:rsidR="00EE4F60" w:rsidRPr="00EE4F60" w:rsidRDefault="00EE4F60" w:rsidP="000E3D50">
      <w:pPr>
        <w:pStyle w:val="FootnoteText"/>
        <w:spacing w:line="480" w:lineRule="auto"/>
        <w:rPr>
          <w:sz w:val="22"/>
          <w:szCs w:val="22"/>
        </w:rPr>
      </w:pPr>
      <w:r>
        <w:rPr>
          <w:sz w:val="22"/>
          <w:szCs w:val="22"/>
        </w:rPr>
        <w:t xml:space="preserve">‘Preparing for a Coup in Cape Town’, </w:t>
      </w:r>
      <w:r>
        <w:rPr>
          <w:i/>
          <w:sz w:val="22"/>
          <w:szCs w:val="22"/>
        </w:rPr>
        <w:t>Western Mail</w:t>
      </w:r>
      <w:r>
        <w:rPr>
          <w:sz w:val="22"/>
          <w:szCs w:val="22"/>
        </w:rPr>
        <w:t>, 12</w:t>
      </w:r>
      <w:r w:rsidRPr="00EE4F60">
        <w:rPr>
          <w:sz w:val="22"/>
          <w:szCs w:val="22"/>
          <w:vertAlign w:val="superscript"/>
        </w:rPr>
        <w:t>th</w:t>
      </w:r>
      <w:r>
        <w:rPr>
          <w:sz w:val="22"/>
          <w:szCs w:val="22"/>
        </w:rPr>
        <w:t xml:space="preserve"> October 1899. </w:t>
      </w:r>
    </w:p>
    <w:p w:rsidR="000E3D50" w:rsidRPr="000E3D50" w:rsidRDefault="000E3D50" w:rsidP="000E3D50">
      <w:pPr>
        <w:spacing w:line="480" w:lineRule="auto"/>
      </w:pPr>
    </w:p>
    <w:sectPr w:rsidR="000E3D50" w:rsidRPr="000E3D5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616E" w:rsidRDefault="0011616E" w:rsidP="0011616E">
      <w:pPr>
        <w:spacing w:after="0" w:line="240" w:lineRule="auto"/>
      </w:pPr>
      <w:r>
        <w:separator/>
      </w:r>
    </w:p>
  </w:endnote>
  <w:endnote w:type="continuationSeparator" w:id="0">
    <w:p w:rsidR="0011616E" w:rsidRDefault="0011616E" w:rsidP="00116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2308" w:rsidRDefault="00E323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2308" w:rsidRDefault="00E32308">
    <w:pPr>
      <w:pStyle w:val="Footer"/>
    </w:pPr>
    <w:r>
      <w:t>Richard Harries – 1500258</w:t>
    </w:r>
  </w:p>
  <w:p w:rsidR="00E32308" w:rsidRDefault="00E323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2308" w:rsidRDefault="00E32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616E" w:rsidRDefault="0011616E" w:rsidP="0011616E">
      <w:pPr>
        <w:spacing w:after="0" w:line="240" w:lineRule="auto"/>
      </w:pPr>
      <w:r>
        <w:separator/>
      </w:r>
    </w:p>
  </w:footnote>
  <w:footnote w:type="continuationSeparator" w:id="0">
    <w:p w:rsidR="0011616E" w:rsidRDefault="0011616E" w:rsidP="0011616E">
      <w:pPr>
        <w:spacing w:after="0" w:line="240" w:lineRule="auto"/>
      </w:pPr>
      <w:r>
        <w:continuationSeparator/>
      </w:r>
    </w:p>
  </w:footnote>
  <w:footnote w:id="1">
    <w:p w:rsidR="00180456" w:rsidRDefault="00180456">
      <w:pPr>
        <w:pStyle w:val="FootnoteText"/>
      </w:pPr>
      <w:r>
        <w:rPr>
          <w:rStyle w:val="FootnoteReference"/>
        </w:rPr>
        <w:footnoteRef/>
      </w:r>
      <w:r>
        <w:t xml:space="preserve"> </w:t>
      </w:r>
      <w:r w:rsidR="00EE4F60" w:rsidRPr="00EE4F60">
        <w:t xml:space="preserve">A Gregory, </w:t>
      </w:r>
      <w:r w:rsidR="00EE4F60" w:rsidRPr="00EE4F60">
        <w:rPr>
          <w:i/>
        </w:rPr>
        <w:t xml:space="preserve">The Last Great War: British Society and the First World War </w:t>
      </w:r>
      <w:r w:rsidR="00EE4F60" w:rsidRPr="00EE4F60">
        <w:t>(Cambridge, Cambridge University Press, 2009) p11.</w:t>
      </w:r>
    </w:p>
  </w:footnote>
  <w:footnote w:id="2">
    <w:p w:rsidR="0011616E" w:rsidRPr="00DB520A" w:rsidRDefault="0011616E">
      <w:pPr>
        <w:pStyle w:val="FootnoteText"/>
      </w:pPr>
      <w:r w:rsidRPr="00DB520A">
        <w:rPr>
          <w:rStyle w:val="FootnoteReference"/>
        </w:rPr>
        <w:footnoteRef/>
      </w:r>
      <w:r w:rsidRPr="00DB520A">
        <w:t xml:space="preserve"> </w:t>
      </w:r>
      <w:r w:rsidR="00DB520A" w:rsidRPr="00DB520A">
        <w:t xml:space="preserve">K Morgan, </w:t>
      </w:r>
      <w:r w:rsidR="00DB520A" w:rsidRPr="00DB520A">
        <w:rPr>
          <w:i/>
        </w:rPr>
        <w:t xml:space="preserve">Modern Wales: Politics, Places and People </w:t>
      </w:r>
      <w:r w:rsidR="00DB520A" w:rsidRPr="00DB520A">
        <w:t>(Cardiff: University of Wales Press, 1995) p46.</w:t>
      </w:r>
    </w:p>
  </w:footnote>
  <w:footnote w:id="3">
    <w:p w:rsidR="009778B5" w:rsidRDefault="009778B5">
      <w:pPr>
        <w:pStyle w:val="FootnoteText"/>
      </w:pPr>
      <w:r>
        <w:rPr>
          <w:rStyle w:val="FootnoteReference"/>
        </w:rPr>
        <w:footnoteRef/>
      </w:r>
      <w:r>
        <w:t xml:space="preserve"> K Morgan, Peace Movements in Wales 1899-1945. </w:t>
      </w:r>
      <w:r>
        <w:rPr>
          <w:i/>
        </w:rPr>
        <w:t>Welsh Historical Review</w:t>
      </w:r>
      <w:r>
        <w:t xml:space="preserve">, </w:t>
      </w:r>
      <w:proofErr w:type="spellStart"/>
      <w:r>
        <w:t>vol</w:t>
      </w:r>
      <w:proofErr w:type="spellEnd"/>
      <w:r>
        <w:t xml:space="preserve"> 10, no 3: (1981) p398-430.</w:t>
      </w:r>
    </w:p>
  </w:footnote>
  <w:footnote w:id="4">
    <w:p w:rsidR="009778B5" w:rsidRPr="00993A90" w:rsidRDefault="009778B5">
      <w:pPr>
        <w:pStyle w:val="FootnoteText"/>
      </w:pPr>
      <w:r>
        <w:rPr>
          <w:rStyle w:val="FootnoteReference"/>
        </w:rPr>
        <w:footnoteRef/>
      </w:r>
      <w:r>
        <w:t xml:space="preserve"> J Davies, </w:t>
      </w:r>
      <w:r w:rsidR="00993A90">
        <w:rPr>
          <w:i/>
        </w:rPr>
        <w:t xml:space="preserve">The History of Wales </w:t>
      </w:r>
      <w:r w:rsidR="00993A90">
        <w:t>(London: Penguin Books, 2007) p452.</w:t>
      </w:r>
    </w:p>
  </w:footnote>
  <w:footnote w:id="5">
    <w:p w:rsidR="00630828" w:rsidRDefault="00630828">
      <w:pPr>
        <w:pStyle w:val="FootnoteText"/>
      </w:pPr>
      <w:r>
        <w:rPr>
          <w:rStyle w:val="FootnoteReference"/>
        </w:rPr>
        <w:footnoteRef/>
      </w:r>
      <w:r>
        <w:t xml:space="preserve"> </w:t>
      </w:r>
      <w:r w:rsidR="00360358">
        <w:t>K Morgan, Peace Movements in Wales 1899-1945 p401.</w:t>
      </w:r>
    </w:p>
  </w:footnote>
  <w:footnote w:id="6">
    <w:p w:rsidR="00EB7638" w:rsidRDefault="00EB7638">
      <w:pPr>
        <w:pStyle w:val="FootnoteText"/>
      </w:pPr>
      <w:r>
        <w:rPr>
          <w:rStyle w:val="FootnoteReference"/>
        </w:rPr>
        <w:footnoteRef/>
      </w:r>
      <w:r>
        <w:t xml:space="preserve"> K Morgan, Peace Movements in Wales 1899-1945 p400. </w:t>
      </w:r>
    </w:p>
  </w:footnote>
  <w:footnote w:id="7">
    <w:p w:rsidR="007B5973" w:rsidRDefault="007B5973">
      <w:pPr>
        <w:pStyle w:val="FootnoteText"/>
      </w:pPr>
      <w:r>
        <w:rPr>
          <w:rStyle w:val="FootnoteReference"/>
        </w:rPr>
        <w:footnoteRef/>
      </w:r>
      <w:r>
        <w:t xml:space="preserve"> </w:t>
      </w:r>
      <w:r w:rsidR="000E3D50">
        <w:t xml:space="preserve">‘Preparing for a Coup in Cape Town’, </w:t>
      </w:r>
      <w:r w:rsidR="000E3D50">
        <w:rPr>
          <w:i/>
        </w:rPr>
        <w:t>Western Mail</w:t>
      </w:r>
      <w:r w:rsidR="000E3D50">
        <w:t>, 12</w:t>
      </w:r>
      <w:r w:rsidR="000E3D50" w:rsidRPr="000E3D50">
        <w:rPr>
          <w:vertAlign w:val="superscript"/>
        </w:rPr>
        <w:t>th</w:t>
      </w:r>
      <w:r w:rsidR="000E3D50">
        <w:t xml:space="preserve"> October 1899.</w:t>
      </w:r>
    </w:p>
  </w:footnote>
  <w:footnote w:id="8">
    <w:p w:rsidR="007B5973" w:rsidRPr="000E3D50" w:rsidRDefault="007B5973">
      <w:pPr>
        <w:pStyle w:val="FootnoteText"/>
      </w:pPr>
      <w:r>
        <w:rPr>
          <w:rStyle w:val="FootnoteReference"/>
        </w:rPr>
        <w:footnoteRef/>
      </w:r>
      <w:r>
        <w:t xml:space="preserve"> </w:t>
      </w:r>
      <w:r w:rsidR="000E3D50">
        <w:t>‘</w:t>
      </w:r>
      <w:r w:rsidR="000E3D50" w:rsidRPr="000E3D50">
        <w:t xml:space="preserve">Preparing for a Coup in Cape Town’, </w:t>
      </w:r>
      <w:r w:rsidR="000E3D50" w:rsidRPr="000E3D50">
        <w:rPr>
          <w:i/>
        </w:rPr>
        <w:t>Western Mail</w:t>
      </w:r>
      <w:r w:rsidR="000E3D50" w:rsidRPr="000E3D50">
        <w:t>, 12</w:t>
      </w:r>
      <w:r w:rsidR="000E3D50" w:rsidRPr="000E3D50">
        <w:rPr>
          <w:vertAlign w:val="superscript"/>
        </w:rPr>
        <w:t>th</w:t>
      </w:r>
      <w:r w:rsidR="000E3D50" w:rsidRPr="000E3D50">
        <w:t xml:space="preserve"> October 1899.</w:t>
      </w:r>
    </w:p>
  </w:footnote>
  <w:footnote w:id="9">
    <w:p w:rsidR="00057BB5" w:rsidRPr="000E3D50" w:rsidRDefault="00057BB5">
      <w:pPr>
        <w:pStyle w:val="FootnoteText"/>
      </w:pPr>
      <w:r w:rsidRPr="000E3D50">
        <w:rPr>
          <w:rStyle w:val="FootnoteReference"/>
        </w:rPr>
        <w:footnoteRef/>
      </w:r>
      <w:r w:rsidRPr="000E3D50">
        <w:t xml:space="preserve"> K Morgan, Peace Movements in Wales 1899-1945 p400. </w:t>
      </w:r>
    </w:p>
  </w:footnote>
  <w:footnote w:id="10">
    <w:p w:rsidR="00057BB5" w:rsidRPr="000E3D50" w:rsidRDefault="00057BB5">
      <w:pPr>
        <w:pStyle w:val="FootnoteText"/>
      </w:pPr>
      <w:r w:rsidRPr="000E3D50">
        <w:rPr>
          <w:rStyle w:val="FootnoteReference"/>
        </w:rPr>
        <w:footnoteRef/>
      </w:r>
      <w:r w:rsidRPr="000E3D50">
        <w:t xml:space="preserve"> </w:t>
      </w:r>
      <w:r w:rsidR="000E3D50" w:rsidRPr="000E3D50">
        <w:t xml:space="preserve">‘Englishmen for Welsh Appointments’, </w:t>
      </w:r>
      <w:r w:rsidR="000E3D50" w:rsidRPr="000E3D50">
        <w:rPr>
          <w:i/>
        </w:rPr>
        <w:t>Western Mail</w:t>
      </w:r>
      <w:r w:rsidR="000E3D50" w:rsidRPr="000E3D50">
        <w:t>, 12</w:t>
      </w:r>
      <w:r w:rsidR="000E3D50" w:rsidRPr="000E3D50">
        <w:rPr>
          <w:vertAlign w:val="superscript"/>
        </w:rPr>
        <w:t>th</w:t>
      </w:r>
      <w:r w:rsidR="000E3D50" w:rsidRPr="000E3D50">
        <w:t xml:space="preserve"> October 1899</w:t>
      </w:r>
    </w:p>
  </w:footnote>
  <w:footnote w:id="11">
    <w:p w:rsidR="00057BB5" w:rsidRDefault="00057BB5">
      <w:pPr>
        <w:pStyle w:val="FootnoteText"/>
      </w:pPr>
      <w:r w:rsidRPr="000E3D50">
        <w:rPr>
          <w:rStyle w:val="FootnoteReference"/>
        </w:rPr>
        <w:footnoteRef/>
      </w:r>
      <w:r w:rsidRPr="000E3D50">
        <w:t xml:space="preserve"> </w:t>
      </w:r>
      <w:r w:rsidR="000E3D50" w:rsidRPr="000E3D50">
        <w:t xml:space="preserve">‘Englishmen for Welsh Appointments’, </w:t>
      </w:r>
      <w:r w:rsidR="000E3D50" w:rsidRPr="000E3D50">
        <w:rPr>
          <w:i/>
        </w:rPr>
        <w:t>Western Mail</w:t>
      </w:r>
      <w:r w:rsidR="000E3D50" w:rsidRPr="000E3D50">
        <w:t>, 12</w:t>
      </w:r>
      <w:r w:rsidR="000E3D50" w:rsidRPr="000E3D50">
        <w:rPr>
          <w:vertAlign w:val="superscript"/>
        </w:rPr>
        <w:t>th</w:t>
      </w:r>
      <w:r w:rsidR="000E3D50" w:rsidRPr="000E3D50">
        <w:t xml:space="preserve"> October 1899</w:t>
      </w:r>
    </w:p>
  </w:footnote>
  <w:footnote w:id="12">
    <w:p w:rsidR="002C4752" w:rsidRDefault="002C4752">
      <w:pPr>
        <w:pStyle w:val="FootnoteText"/>
      </w:pPr>
      <w:r>
        <w:rPr>
          <w:rStyle w:val="FootnoteReference"/>
        </w:rPr>
        <w:footnoteRef/>
      </w:r>
      <w:r w:rsidR="00CF2A5D">
        <w:t xml:space="preserve"> </w:t>
      </w:r>
      <w:proofErr w:type="spellStart"/>
      <w:r w:rsidR="00CF2A5D" w:rsidRPr="00CF2A5D">
        <w:t>Harikson</w:t>
      </w:r>
      <w:proofErr w:type="spellEnd"/>
      <w:r w:rsidRPr="00CF2A5D">
        <w:t xml:space="preserve"> </w:t>
      </w:r>
      <w:r w:rsidR="00CF2A5D" w:rsidRPr="00CF2A5D">
        <w:rPr>
          <w:rFonts w:cstheme="minorHAnsi"/>
        </w:rPr>
        <w:t>Paul, ‘David Lloyd George as the “hammer” of dissent: the war premiership, 1916-1918’ (unpublished PhD thesis, McMaster University, 1994)</w:t>
      </w:r>
      <w:r w:rsidR="00CF2A5D">
        <w:rPr>
          <w:rFonts w:cstheme="minorHAnsi"/>
        </w:rPr>
        <w:t xml:space="preserve"> p5.</w:t>
      </w:r>
    </w:p>
  </w:footnote>
  <w:footnote w:id="13">
    <w:p w:rsidR="002C4752" w:rsidRDefault="002C4752">
      <w:pPr>
        <w:pStyle w:val="FootnoteText"/>
      </w:pPr>
      <w:r>
        <w:rPr>
          <w:rStyle w:val="FootnoteReference"/>
        </w:rPr>
        <w:footnoteRef/>
      </w:r>
      <w:r>
        <w:t xml:space="preserve"> </w:t>
      </w:r>
      <w:proofErr w:type="spellStart"/>
      <w:r w:rsidR="00CF2A5D" w:rsidRPr="00CF2A5D">
        <w:t>Harikson</w:t>
      </w:r>
      <w:proofErr w:type="spellEnd"/>
      <w:r w:rsidR="00CF2A5D" w:rsidRPr="00CF2A5D">
        <w:t xml:space="preserve"> </w:t>
      </w:r>
      <w:r w:rsidR="00CF2A5D" w:rsidRPr="00CF2A5D">
        <w:rPr>
          <w:rFonts w:cstheme="minorHAnsi"/>
        </w:rPr>
        <w:t>Paul, ‘David Lloyd George as the “hammer” of dissent: the war premiership, 1916-1918</w:t>
      </w:r>
      <w:r w:rsidR="00CF2A5D">
        <w:rPr>
          <w:rFonts w:cstheme="minorHAnsi"/>
        </w:rPr>
        <w:t>’ p5.</w:t>
      </w:r>
    </w:p>
  </w:footnote>
  <w:footnote w:id="14">
    <w:p w:rsidR="00AA1052" w:rsidRDefault="00AA1052" w:rsidP="00AA1052">
      <w:pPr>
        <w:pStyle w:val="FootnoteText"/>
      </w:pPr>
      <w:r>
        <w:rPr>
          <w:rStyle w:val="FootnoteReference"/>
        </w:rPr>
        <w:footnoteRef/>
      </w:r>
      <w:r>
        <w:t xml:space="preserve"> </w:t>
      </w:r>
      <w:r w:rsidRPr="00EB3816">
        <w:t xml:space="preserve">A Davey, </w:t>
      </w:r>
      <w:r w:rsidRPr="00EB3816">
        <w:rPr>
          <w:i/>
        </w:rPr>
        <w:t xml:space="preserve">The British Pro Boers 1877-1902 </w:t>
      </w:r>
      <w:r w:rsidRPr="00EB3816">
        <w:t xml:space="preserve">(Cape Town: </w:t>
      </w:r>
      <w:proofErr w:type="spellStart"/>
      <w:r w:rsidRPr="00EB3816">
        <w:t>Tafelberg</w:t>
      </w:r>
      <w:proofErr w:type="spellEnd"/>
      <w:r w:rsidRPr="00EB3816">
        <w:t xml:space="preserve"> Publishers Ltd, 1978) p185.</w:t>
      </w:r>
    </w:p>
  </w:footnote>
  <w:footnote w:id="15">
    <w:p w:rsidR="00275F22" w:rsidRPr="00EB3816" w:rsidRDefault="00275F22">
      <w:pPr>
        <w:pStyle w:val="FootnoteText"/>
      </w:pPr>
      <w:r w:rsidRPr="00EB3816">
        <w:rPr>
          <w:rStyle w:val="FootnoteReference"/>
        </w:rPr>
        <w:footnoteRef/>
      </w:r>
      <w:r w:rsidRPr="00EB3816">
        <w:t xml:space="preserve"> </w:t>
      </w:r>
      <w:r w:rsidR="00B56607" w:rsidRPr="00EB3816">
        <w:t xml:space="preserve">A Davey, </w:t>
      </w:r>
      <w:r w:rsidR="00AA1052">
        <w:rPr>
          <w:i/>
        </w:rPr>
        <w:t>The British Pro Boers 1877-1902</w:t>
      </w:r>
      <w:r w:rsidR="00B56607" w:rsidRPr="00EB3816">
        <w:t xml:space="preserve"> p185. </w:t>
      </w:r>
    </w:p>
  </w:footnote>
  <w:footnote w:id="16">
    <w:p w:rsidR="00CB6A69" w:rsidRPr="00EB3816" w:rsidRDefault="00CB6A69">
      <w:pPr>
        <w:pStyle w:val="FootnoteText"/>
      </w:pPr>
      <w:r w:rsidRPr="00EB3816">
        <w:rPr>
          <w:rStyle w:val="FootnoteReference"/>
        </w:rPr>
        <w:footnoteRef/>
      </w:r>
      <w:r w:rsidRPr="00EB3816">
        <w:t xml:space="preserve"> </w:t>
      </w:r>
      <w:r w:rsidR="00697166" w:rsidRPr="00EB3816">
        <w:t xml:space="preserve">A Davey, </w:t>
      </w:r>
      <w:r w:rsidR="00B56607">
        <w:rPr>
          <w:i/>
        </w:rPr>
        <w:t>The British Pro Boers 1877-1902</w:t>
      </w:r>
      <w:r w:rsidR="00697166" w:rsidRPr="00EB3816">
        <w:t xml:space="preserve"> p185. </w:t>
      </w:r>
    </w:p>
  </w:footnote>
  <w:footnote w:id="17">
    <w:p w:rsidR="00EB3816" w:rsidRPr="001A6F30" w:rsidRDefault="00EB3816">
      <w:pPr>
        <w:pStyle w:val="FootnoteText"/>
      </w:pPr>
      <w:r w:rsidRPr="00EB3816">
        <w:rPr>
          <w:rStyle w:val="FootnoteReference"/>
        </w:rPr>
        <w:footnoteRef/>
      </w:r>
      <w:r w:rsidRPr="00EB3816">
        <w:t xml:space="preserve"> J </w:t>
      </w:r>
      <w:r w:rsidRPr="001A6F30">
        <w:t xml:space="preserve">Davies, </w:t>
      </w:r>
      <w:r w:rsidRPr="001A6F30">
        <w:rPr>
          <w:i/>
        </w:rPr>
        <w:t xml:space="preserve">The History of Wales </w:t>
      </w:r>
      <w:r w:rsidRPr="001A6F30">
        <w:t>(London: Penguin Books, 2007) p453.</w:t>
      </w:r>
    </w:p>
  </w:footnote>
  <w:footnote w:id="18">
    <w:p w:rsidR="00FA0F9D" w:rsidRPr="001A6F30" w:rsidRDefault="00FA0F9D">
      <w:pPr>
        <w:pStyle w:val="FootnoteText"/>
      </w:pPr>
      <w:r w:rsidRPr="001A6F30">
        <w:rPr>
          <w:rStyle w:val="FootnoteReference"/>
        </w:rPr>
        <w:footnoteRef/>
      </w:r>
      <w:r w:rsidRPr="001A6F30">
        <w:t xml:space="preserve"> </w:t>
      </w:r>
      <w:r w:rsidR="001A6F30" w:rsidRPr="001A6F30">
        <w:t>K Morgan, Peace Movements in Wales 1899-1945 p400.</w:t>
      </w:r>
    </w:p>
  </w:footnote>
  <w:footnote w:id="19">
    <w:p w:rsidR="001A6F30" w:rsidRDefault="001A6F30">
      <w:pPr>
        <w:pStyle w:val="FootnoteText"/>
      </w:pPr>
      <w:r w:rsidRPr="001A6F30">
        <w:rPr>
          <w:rStyle w:val="FootnoteReference"/>
        </w:rPr>
        <w:footnoteRef/>
      </w:r>
      <w:r w:rsidRPr="001A6F30">
        <w:t xml:space="preserve"> G Jones, </w:t>
      </w:r>
      <w:r w:rsidRPr="001A6F30">
        <w:rPr>
          <w:i/>
        </w:rPr>
        <w:t>Wales and the Quest for Peace</w:t>
      </w:r>
      <w:r w:rsidRPr="001A6F30">
        <w:t xml:space="preserve"> (Cardiff: University of Wales Press, 1969) p83.</w:t>
      </w:r>
      <w:r>
        <w:rPr>
          <w:sz w:val="22"/>
          <w:szCs w:val="22"/>
        </w:rPr>
        <w:t xml:space="preserve"> </w:t>
      </w:r>
    </w:p>
  </w:footnote>
  <w:footnote w:id="20">
    <w:p w:rsidR="000D2FE3" w:rsidRDefault="000D2FE3">
      <w:pPr>
        <w:pStyle w:val="FootnoteText"/>
      </w:pPr>
      <w:r>
        <w:rPr>
          <w:rStyle w:val="FootnoteReference"/>
        </w:rPr>
        <w:footnoteRef/>
      </w:r>
      <w:r>
        <w:t xml:space="preserve"> </w:t>
      </w:r>
      <w:r w:rsidRPr="00EB3816">
        <w:t xml:space="preserve">A Davey, </w:t>
      </w:r>
      <w:r>
        <w:rPr>
          <w:i/>
        </w:rPr>
        <w:t>The British Pro Boers 1877-1902</w:t>
      </w:r>
      <w:r w:rsidRPr="00EB3816">
        <w:t xml:space="preserve"> p185</w:t>
      </w:r>
      <w:r>
        <w:t>.</w:t>
      </w:r>
    </w:p>
  </w:footnote>
  <w:footnote w:id="21">
    <w:p w:rsidR="00F56106" w:rsidRDefault="00F56106">
      <w:pPr>
        <w:pStyle w:val="FootnoteText"/>
      </w:pPr>
      <w:r>
        <w:rPr>
          <w:rStyle w:val="FootnoteReference"/>
        </w:rPr>
        <w:footnoteRef/>
      </w:r>
      <w:r>
        <w:t xml:space="preserve"> </w:t>
      </w:r>
      <w:r w:rsidR="00DA15B6" w:rsidRPr="00DB520A">
        <w:t xml:space="preserve">K Morgan, </w:t>
      </w:r>
      <w:r w:rsidR="00DA15B6" w:rsidRPr="00DB520A">
        <w:rPr>
          <w:i/>
        </w:rPr>
        <w:t xml:space="preserve">Modern Wales: </w:t>
      </w:r>
      <w:r w:rsidR="00DA15B6">
        <w:rPr>
          <w:i/>
        </w:rPr>
        <w:t>Politics, Places and People</w:t>
      </w:r>
      <w:r w:rsidR="00DA15B6">
        <w:t xml:space="preserve"> p55.</w:t>
      </w:r>
    </w:p>
  </w:footnote>
  <w:footnote w:id="22">
    <w:p w:rsidR="00F56106" w:rsidRDefault="00F56106">
      <w:pPr>
        <w:pStyle w:val="FootnoteText"/>
      </w:pPr>
      <w:r>
        <w:rPr>
          <w:rStyle w:val="FootnoteReference"/>
        </w:rPr>
        <w:footnoteRef/>
      </w:r>
      <w:r>
        <w:t xml:space="preserve"> </w:t>
      </w:r>
      <w:r w:rsidR="00DA15B6" w:rsidRPr="00DB520A">
        <w:t xml:space="preserve">K Morgan, </w:t>
      </w:r>
      <w:r w:rsidR="00DA15B6" w:rsidRPr="00DB520A">
        <w:rPr>
          <w:i/>
        </w:rPr>
        <w:t xml:space="preserve">Modern Wales: Politics, Places and People </w:t>
      </w:r>
      <w:r w:rsidR="00DA15B6">
        <w:t>p55.</w:t>
      </w:r>
    </w:p>
  </w:footnote>
  <w:footnote w:id="23">
    <w:p w:rsidR="00F56106" w:rsidRDefault="00F56106" w:rsidP="00F56106">
      <w:pPr>
        <w:pStyle w:val="FootnoteText"/>
      </w:pPr>
      <w:r>
        <w:rPr>
          <w:rStyle w:val="FootnoteReference"/>
        </w:rPr>
        <w:footnoteRef/>
      </w:r>
      <w:r>
        <w:t xml:space="preserve"> </w:t>
      </w:r>
      <w:r w:rsidRPr="00EB3816">
        <w:t xml:space="preserve">A Davey, </w:t>
      </w:r>
      <w:r>
        <w:rPr>
          <w:i/>
        </w:rPr>
        <w:t>The British Pro Boers 1877-1902</w:t>
      </w:r>
      <w:r w:rsidRPr="00EB3816">
        <w:t xml:space="preserve"> p185</w:t>
      </w:r>
      <w:r>
        <w:t>.</w:t>
      </w:r>
    </w:p>
  </w:footnote>
  <w:footnote w:id="24">
    <w:p w:rsidR="00E81AF3" w:rsidRDefault="00E81AF3">
      <w:pPr>
        <w:pStyle w:val="FootnoteText"/>
      </w:pPr>
      <w:r>
        <w:rPr>
          <w:rStyle w:val="FootnoteReference"/>
        </w:rPr>
        <w:footnoteRef/>
      </w:r>
      <w:r>
        <w:t xml:space="preserve"> </w:t>
      </w:r>
      <w:r w:rsidR="00EE4F60" w:rsidRPr="00EE4F60">
        <w:t xml:space="preserve">K Morgan, </w:t>
      </w:r>
      <w:r w:rsidR="00EE4F60" w:rsidRPr="00EE4F60">
        <w:rPr>
          <w:i/>
        </w:rPr>
        <w:t xml:space="preserve">Rebirth of a Nation: Wales 1880-1980 </w:t>
      </w:r>
      <w:r w:rsidR="00EE4F60" w:rsidRPr="00EE4F60">
        <w:t>(Oxford: Oxford University Press, 1982) p159.</w:t>
      </w:r>
    </w:p>
  </w:footnote>
  <w:footnote w:id="25">
    <w:p w:rsidR="007B50D4" w:rsidRDefault="007B50D4">
      <w:pPr>
        <w:pStyle w:val="FootnoteText"/>
      </w:pPr>
      <w:r>
        <w:rPr>
          <w:rStyle w:val="FootnoteReference"/>
        </w:rPr>
        <w:footnoteRef/>
      </w:r>
      <w:r>
        <w:t xml:space="preserve"> </w:t>
      </w:r>
      <w:r w:rsidRPr="00EE4F60">
        <w:t xml:space="preserve">A Gregory, </w:t>
      </w:r>
      <w:r w:rsidRPr="00EE4F60">
        <w:rPr>
          <w:i/>
        </w:rPr>
        <w:t xml:space="preserve">The Last Great War: British Society and the First World War </w:t>
      </w:r>
      <w:r w:rsidRPr="00EE4F60">
        <w:t>(Cambridge, Cambri</w:t>
      </w:r>
      <w:r>
        <w:t>dge University Press, 2009) p10.</w:t>
      </w:r>
    </w:p>
  </w:footnote>
  <w:footnote w:id="26">
    <w:p w:rsidR="007B50D4" w:rsidRDefault="007B50D4">
      <w:pPr>
        <w:pStyle w:val="FootnoteText"/>
      </w:pPr>
      <w:r>
        <w:rPr>
          <w:rStyle w:val="FootnoteReference"/>
        </w:rPr>
        <w:footnoteRef/>
      </w:r>
      <w:r>
        <w:t xml:space="preserve"> </w:t>
      </w:r>
      <w:r w:rsidRPr="00EE4F60">
        <w:t xml:space="preserve">A Gregory, </w:t>
      </w:r>
      <w:r w:rsidRPr="00EE4F60">
        <w:rPr>
          <w:i/>
        </w:rPr>
        <w:t xml:space="preserve">The Last Great War: British Society and the First World War </w:t>
      </w:r>
      <w:r>
        <w:t xml:space="preserve">p10. </w:t>
      </w:r>
    </w:p>
  </w:footnote>
  <w:footnote w:id="27">
    <w:p w:rsidR="001E0F4D" w:rsidRDefault="001E0F4D">
      <w:pPr>
        <w:pStyle w:val="FootnoteText"/>
      </w:pPr>
      <w:r>
        <w:rPr>
          <w:rStyle w:val="FootnoteReference"/>
        </w:rPr>
        <w:footnoteRef/>
      </w:r>
      <w:r>
        <w:t xml:space="preserve"> </w:t>
      </w:r>
      <w:r w:rsidR="00214967" w:rsidRPr="001A6F30">
        <w:t>K Morgan, Peace M</w:t>
      </w:r>
      <w:r w:rsidR="00214967">
        <w:t>ovements in Wales 1899-1945 p408.</w:t>
      </w:r>
    </w:p>
  </w:footnote>
  <w:footnote w:id="28">
    <w:p w:rsidR="00214967" w:rsidRDefault="00214967">
      <w:pPr>
        <w:pStyle w:val="FootnoteText"/>
      </w:pPr>
      <w:r>
        <w:rPr>
          <w:rStyle w:val="FootnoteReference"/>
        </w:rPr>
        <w:footnoteRef/>
      </w:r>
      <w:r>
        <w:t xml:space="preserve"> </w:t>
      </w:r>
      <w:proofErr w:type="gramStart"/>
      <w:r w:rsidR="007E1D30" w:rsidRPr="00B41DB9">
        <w:t>A</w:t>
      </w:r>
      <w:proofErr w:type="gramEnd"/>
      <w:r w:rsidR="007E1D30" w:rsidRPr="00B41DB9">
        <w:t xml:space="preserve"> O’Brien, ‘Conchie’ </w:t>
      </w:r>
      <w:proofErr w:type="spellStart"/>
      <w:r w:rsidR="007E1D30" w:rsidRPr="00B41DB9">
        <w:t>Emrys</w:t>
      </w:r>
      <w:proofErr w:type="spellEnd"/>
      <w:r w:rsidR="007E1D30" w:rsidRPr="00B41DB9">
        <w:t xml:space="preserve"> Hughes and the First World War. </w:t>
      </w:r>
      <w:r w:rsidR="007E1D30" w:rsidRPr="00B41DB9">
        <w:rPr>
          <w:i/>
        </w:rPr>
        <w:t>Welsh Historical Review</w:t>
      </w:r>
      <w:r w:rsidR="007E1D30" w:rsidRPr="00B41DB9">
        <w:t>, Vol 10, no 3: (1981</w:t>
      </w:r>
      <w:r w:rsidR="007E1D30">
        <w:t xml:space="preserve">) p330. </w:t>
      </w:r>
    </w:p>
  </w:footnote>
  <w:footnote w:id="29">
    <w:p w:rsidR="00913551" w:rsidRDefault="00913551">
      <w:pPr>
        <w:pStyle w:val="FootnoteText"/>
      </w:pPr>
      <w:r>
        <w:rPr>
          <w:rStyle w:val="FootnoteReference"/>
        </w:rPr>
        <w:footnoteRef/>
      </w:r>
      <w:r>
        <w:t xml:space="preserve"> </w:t>
      </w:r>
      <w:r w:rsidRPr="001A6F30">
        <w:t>K Morgan, Peace M</w:t>
      </w:r>
      <w:r>
        <w:t xml:space="preserve">ovements in Wales 1899-1945 p409. </w:t>
      </w:r>
    </w:p>
  </w:footnote>
  <w:footnote w:id="30">
    <w:p w:rsidR="00913551" w:rsidRDefault="00913551">
      <w:pPr>
        <w:pStyle w:val="FootnoteText"/>
      </w:pPr>
      <w:r>
        <w:rPr>
          <w:rStyle w:val="FootnoteReference"/>
        </w:rPr>
        <w:footnoteRef/>
      </w:r>
      <w:r>
        <w:t xml:space="preserve"> </w:t>
      </w:r>
      <w:r w:rsidR="00EE4F60" w:rsidRPr="00EE4F60">
        <w:t xml:space="preserve">K Morgan, </w:t>
      </w:r>
      <w:r w:rsidR="00EE4F60" w:rsidRPr="00EE4F60">
        <w:rPr>
          <w:i/>
        </w:rPr>
        <w:t>Rebir</w:t>
      </w:r>
      <w:r w:rsidR="00EE4F60">
        <w:rPr>
          <w:i/>
        </w:rPr>
        <w:t>th of a Nation: Wales 1880-1980</w:t>
      </w:r>
      <w:r w:rsidR="00EE4F60" w:rsidRPr="00EE4F60">
        <w:t xml:space="preserve"> p159.</w:t>
      </w:r>
    </w:p>
  </w:footnote>
  <w:footnote w:id="31">
    <w:p w:rsidR="000E2C2D" w:rsidRDefault="000E2C2D">
      <w:pPr>
        <w:pStyle w:val="FootnoteText"/>
      </w:pPr>
      <w:r>
        <w:rPr>
          <w:rStyle w:val="FootnoteReference"/>
        </w:rPr>
        <w:footnoteRef/>
      </w:r>
      <w:r>
        <w:t xml:space="preserve"> </w:t>
      </w:r>
      <w:r w:rsidR="00EE4F60" w:rsidRPr="00EE4F60">
        <w:t xml:space="preserve">A Gregory, </w:t>
      </w:r>
      <w:r w:rsidR="00EE4F60" w:rsidRPr="00EE4F60">
        <w:rPr>
          <w:i/>
        </w:rPr>
        <w:t xml:space="preserve">The Last Great War: British Society and the First World War </w:t>
      </w:r>
      <w:r w:rsidR="00EE4F60" w:rsidRPr="00EE4F60">
        <w:t>p11.</w:t>
      </w:r>
    </w:p>
  </w:footnote>
  <w:footnote w:id="32">
    <w:p w:rsidR="000E2C2D" w:rsidRDefault="000E2C2D">
      <w:pPr>
        <w:pStyle w:val="FootnoteText"/>
      </w:pPr>
      <w:r>
        <w:rPr>
          <w:rStyle w:val="FootnoteReference"/>
        </w:rPr>
        <w:footnoteRef/>
      </w:r>
      <w:r>
        <w:t xml:space="preserve"> </w:t>
      </w:r>
      <w:r w:rsidR="00EE4F60" w:rsidRPr="00EE4F60">
        <w:t xml:space="preserve">A Gregory, </w:t>
      </w:r>
      <w:r w:rsidR="00EE4F60" w:rsidRPr="00EE4F60">
        <w:rPr>
          <w:i/>
        </w:rPr>
        <w:t xml:space="preserve">The Last Great War: British Society and the First World War </w:t>
      </w:r>
      <w:r w:rsidR="00EE4F60" w:rsidRPr="00EE4F60">
        <w:t>p11.</w:t>
      </w:r>
    </w:p>
  </w:footnote>
  <w:footnote w:id="33">
    <w:p w:rsidR="004D796A" w:rsidRDefault="004D796A">
      <w:pPr>
        <w:pStyle w:val="FootnoteText"/>
      </w:pPr>
      <w:r>
        <w:rPr>
          <w:rStyle w:val="FootnoteReference"/>
        </w:rPr>
        <w:footnoteRef/>
      </w:r>
      <w:r>
        <w:t xml:space="preserve"> </w:t>
      </w:r>
      <w:r w:rsidR="00EE4F60" w:rsidRPr="00EE4F60">
        <w:t xml:space="preserve">A Gregory, </w:t>
      </w:r>
      <w:r w:rsidR="00EE4F60" w:rsidRPr="00EE4F60">
        <w:rPr>
          <w:i/>
        </w:rPr>
        <w:t xml:space="preserve">The Last Great War: British Society and the First World War </w:t>
      </w:r>
      <w:r w:rsidR="00EE4F60">
        <w:t>p12.</w:t>
      </w:r>
    </w:p>
  </w:footnote>
  <w:footnote w:id="34">
    <w:p w:rsidR="009F4B83" w:rsidRDefault="009F4B83">
      <w:pPr>
        <w:pStyle w:val="FootnoteText"/>
      </w:pPr>
      <w:r>
        <w:rPr>
          <w:rStyle w:val="FootnoteReference"/>
        </w:rPr>
        <w:footnoteRef/>
      </w:r>
      <w:r w:rsidR="00076501">
        <w:t xml:space="preserve"> </w:t>
      </w:r>
      <w:r w:rsidR="00B41DB9" w:rsidRPr="00EE4F60">
        <w:t xml:space="preserve">K Morgan, </w:t>
      </w:r>
      <w:r w:rsidR="00B41DB9" w:rsidRPr="00EE4F60">
        <w:rPr>
          <w:i/>
        </w:rPr>
        <w:t>Rebir</w:t>
      </w:r>
      <w:r w:rsidR="00B41DB9">
        <w:rPr>
          <w:i/>
        </w:rPr>
        <w:t>th of a Nation: Wales 1880-1980</w:t>
      </w:r>
      <w:r w:rsidR="00B41DB9" w:rsidRPr="00EE4F60">
        <w:t xml:space="preserve"> p159.</w:t>
      </w:r>
    </w:p>
  </w:footnote>
  <w:footnote w:id="35">
    <w:p w:rsidR="009F4B83" w:rsidRDefault="009F4B83">
      <w:pPr>
        <w:pStyle w:val="FootnoteText"/>
      </w:pPr>
      <w:r>
        <w:rPr>
          <w:rStyle w:val="FootnoteReference"/>
        </w:rPr>
        <w:footnoteRef/>
      </w:r>
      <w:r>
        <w:t xml:space="preserve"> </w:t>
      </w:r>
      <w:r w:rsidR="00B41DB9" w:rsidRPr="00EE4F60">
        <w:t xml:space="preserve">K Morgan, </w:t>
      </w:r>
      <w:r w:rsidR="00B41DB9" w:rsidRPr="00EE4F60">
        <w:rPr>
          <w:i/>
        </w:rPr>
        <w:t>Rebir</w:t>
      </w:r>
      <w:r w:rsidR="00B41DB9">
        <w:rPr>
          <w:i/>
        </w:rPr>
        <w:t>th of a Nation: Wales 1880-1980</w:t>
      </w:r>
      <w:r w:rsidR="00B41DB9" w:rsidRPr="00EE4F60">
        <w:t xml:space="preserve"> p159.</w:t>
      </w:r>
    </w:p>
  </w:footnote>
  <w:footnote w:id="36">
    <w:p w:rsidR="004F68D0" w:rsidRDefault="004F68D0">
      <w:pPr>
        <w:pStyle w:val="FootnoteText"/>
      </w:pPr>
      <w:r>
        <w:rPr>
          <w:rStyle w:val="FootnoteReference"/>
        </w:rPr>
        <w:footnoteRef/>
      </w:r>
      <w:r w:rsidR="00076501">
        <w:rPr>
          <w:sz w:val="22"/>
          <w:szCs w:val="22"/>
        </w:rPr>
        <w:t xml:space="preserve"> </w:t>
      </w:r>
      <w:proofErr w:type="gramStart"/>
      <w:r w:rsidR="00076501" w:rsidRPr="00076501">
        <w:t>A</w:t>
      </w:r>
      <w:proofErr w:type="gramEnd"/>
      <w:r w:rsidR="00076501" w:rsidRPr="00076501">
        <w:t xml:space="preserve"> O’Brien, Patriotism on Trial. </w:t>
      </w:r>
      <w:r w:rsidR="00076501" w:rsidRPr="00076501">
        <w:rPr>
          <w:i/>
        </w:rPr>
        <w:t>Welsh Historical Review</w:t>
      </w:r>
      <w:r w:rsidR="00076501" w:rsidRPr="00076501">
        <w:t xml:space="preserve">, Vol 12, no 1: (1984-85) </w:t>
      </w:r>
      <w:r w:rsidR="00B41DB9" w:rsidRPr="00076501">
        <w:t>p86.</w:t>
      </w:r>
    </w:p>
  </w:footnote>
  <w:footnote w:id="37">
    <w:p w:rsidR="004F68D0" w:rsidRDefault="004F68D0">
      <w:pPr>
        <w:pStyle w:val="FootnoteText"/>
      </w:pPr>
      <w:r>
        <w:rPr>
          <w:rStyle w:val="FootnoteReference"/>
        </w:rPr>
        <w:footnoteRef/>
      </w:r>
      <w:r>
        <w:t xml:space="preserve"> </w:t>
      </w:r>
      <w:proofErr w:type="gramStart"/>
      <w:r w:rsidR="00A05CDF">
        <w:t>A</w:t>
      </w:r>
      <w:proofErr w:type="gramEnd"/>
      <w:r w:rsidR="00A05CDF">
        <w:t xml:space="preserve"> O’Brien, Patriotism on Trial </w:t>
      </w:r>
      <w:r w:rsidR="00076501">
        <w:t xml:space="preserve">p87. </w:t>
      </w:r>
    </w:p>
  </w:footnote>
  <w:footnote w:id="38">
    <w:p w:rsidR="00A05CDF" w:rsidRDefault="00A05CDF" w:rsidP="00A05CDF">
      <w:pPr>
        <w:pStyle w:val="FootnoteText"/>
      </w:pPr>
      <w:r>
        <w:rPr>
          <w:rStyle w:val="FootnoteReference"/>
        </w:rPr>
        <w:footnoteRef/>
      </w:r>
      <w:r>
        <w:t xml:space="preserve"> </w:t>
      </w:r>
      <w:proofErr w:type="gramStart"/>
      <w:r>
        <w:t>A</w:t>
      </w:r>
      <w:proofErr w:type="gramEnd"/>
      <w:r>
        <w:t xml:space="preserve"> O’Brien, Patriotism on Trial p76. </w:t>
      </w:r>
    </w:p>
  </w:footnote>
  <w:footnote w:id="39">
    <w:p w:rsidR="00B70312" w:rsidRDefault="00B70312">
      <w:pPr>
        <w:pStyle w:val="FootnoteText"/>
      </w:pPr>
      <w:r>
        <w:rPr>
          <w:rStyle w:val="FootnoteReference"/>
        </w:rPr>
        <w:footnoteRef/>
      </w:r>
      <w:r>
        <w:t xml:space="preserve"> </w:t>
      </w:r>
      <w:r w:rsidR="00B201EA" w:rsidRPr="00EE4F60">
        <w:t xml:space="preserve">A Gregory, </w:t>
      </w:r>
      <w:r w:rsidR="00B201EA" w:rsidRPr="00EE4F60">
        <w:rPr>
          <w:i/>
        </w:rPr>
        <w:t xml:space="preserve">The Last Great War: British Society and the First World War </w:t>
      </w:r>
      <w:r w:rsidR="00B201EA">
        <w:t xml:space="preserve">p11. </w:t>
      </w:r>
    </w:p>
  </w:footnote>
  <w:footnote w:id="40">
    <w:p w:rsidR="007B50D4" w:rsidRDefault="007B50D4">
      <w:pPr>
        <w:pStyle w:val="FootnoteText"/>
      </w:pPr>
      <w:r>
        <w:rPr>
          <w:rStyle w:val="FootnoteReference"/>
        </w:rPr>
        <w:footnoteRef/>
      </w:r>
      <w:r>
        <w:t xml:space="preserve"> </w:t>
      </w:r>
      <w:r w:rsidR="00460C2A" w:rsidRPr="001A6F30">
        <w:t>K Morgan, Peace Mo</w:t>
      </w:r>
      <w:r w:rsidR="00460C2A">
        <w:t xml:space="preserve">vements in Wales 1899-1945 p430. </w:t>
      </w:r>
    </w:p>
  </w:footnote>
  <w:footnote w:id="41">
    <w:p w:rsidR="002849B6" w:rsidRDefault="002849B6">
      <w:pPr>
        <w:pStyle w:val="FootnoteText"/>
      </w:pPr>
      <w:r>
        <w:rPr>
          <w:rStyle w:val="FootnoteReference"/>
        </w:rPr>
        <w:footnoteRef/>
      </w:r>
      <w:r>
        <w:t xml:space="preserve"> </w:t>
      </w:r>
      <w:r w:rsidR="007C1A27" w:rsidRPr="001A6F30">
        <w:t>K Morgan, Peace Movements in Wales 1899-1945 p400.</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2308" w:rsidRDefault="00E323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2308" w:rsidRDefault="00E323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2308" w:rsidRDefault="00E323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79A"/>
    <w:rsid w:val="0002321B"/>
    <w:rsid w:val="00057BB5"/>
    <w:rsid w:val="00076501"/>
    <w:rsid w:val="000D2FE3"/>
    <w:rsid w:val="000E2C2D"/>
    <w:rsid w:val="000E3754"/>
    <w:rsid w:val="000E3D50"/>
    <w:rsid w:val="000F7026"/>
    <w:rsid w:val="0011616E"/>
    <w:rsid w:val="001320C4"/>
    <w:rsid w:val="001730B8"/>
    <w:rsid w:val="00180456"/>
    <w:rsid w:val="001A6CA7"/>
    <w:rsid w:val="001A6F30"/>
    <w:rsid w:val="001E0F4D"/>
    <w:rsid w:val="001F3314"/>
    <w:rsid w:val="00214967"/>
    <w:rsid w:val="00275F22"/>
    <w:rsid w:val="002849B6"/>
    <w:rsid w:val="002A2B8C"/>
    <w:rsid w:val="002A7CD3"/>
    <w:rsid w:val="002C4752"/>
    <w:rsid w:val="002E605F"/>
    <w:rsid w:val="00353DAE"/>
    <w:rsid w:val="00360358"/>
    <w:rsid w:val="003641B9"/>
    <w:rsid w:val="0038237A"/>
    <w:rsid w:val="003B0D47"/>
    <w:rsid w:val="003C18A6"/>
    <w:rsid w:val="0042779A"/>
    <w:rsid w:val="00460C2A"/>
    <w:rsid w:val="004727A1"/>
    <w:rsid w:val="004D796A"/>
    <w:rsid w:val="004F1077"/>
    <w:rsid w:val="004F68D0"/>
    <w:rsid w:val="00535112"/>
    <w:rsid w:val="00573B7D"/>
    <w:rsid w:val="005E6B89"/>
    <w:rsid w:val="005E7D2B"/>
    <w:rsid w:val="005F5F3B"/>
    <w:rsid w:val="00630828"/>
    <w:rsid w:val="006417F8"/>
    <w:rsid w:val="00697166"/>
    <w:rsid w:val="00750443"/>
    <w:rsid w:val="007846A7"/>
    <w:rsid w:val="007B50D4"/>
    <w:rsid w:val="007B5973"/>
    <w:rsid w:val="007C1A27"/>
    <w:rsid w:val="007E1D30"/>
    <w:rsid w:val="00913551"/>
    <w:rsid w:val="00967E0C"/>
    <w:rsid w:val="009778B5"/>
    <w:rsid w:val="00993A90"/>
    <w:rsid w:val="009F4B83"/>
    <w:rsid w:val="00A05CDF"/>
    <w:rsid w:val="00A6596D"/>
    <w:rsid w:val="00AA1052"/>
    <w:rsid w:val="00B201EA"/>
    <w:rsid w:val="00B41DB9"/>
    <w:rsid w:val="00B56607"/>
    <w:rsid w:val="00B64C3F"/>
    <w:rsid w:val="00B70312"/>
    <w:rsid w:val="00B85A3B"/>
    <w:rsid w:val="00BB7703"/>
    <w:rsid w:val="00BD105E"/>
    <w:rsid w:val="00CA507C"/>
    <w:rsid w:val="00CB6A69"/>
    <w:rsid w:val="00CF2A5D"/>
    <w:rsid w:val="00DA15B6"/>
    <w:rsid w:val="00DB520A"/>
    <w:rsid w:val="00E32308"/>
    <w:rsid w:val="00E32CC2"/>
    <w:rsid w:val="00E60848"/>
    <w:rsid w:val="00E81AF3"/>
    <w:rsid w:val="00EB3816"/>
    <w:rsid w:val="00EB7638"/>
    <w:rsid w:val="00EE4F60"/>
    <w:rsid w:val="00F56106"/>
    <w:rsid w:val="00F56E52"/>
    <w:rsid w:val="00F76DC7"/>
    <w:rsid w:val="00FA0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519FDE"/>
  <w15:chartTrackingRefBased/>
  <w15:docId w15:val="{91AA16F8-ED49-4EE7-871E-911A6473E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1616E"/>
    <w:pPr>
      <w:spacing w:after="0" w:line="240" w:lineRule="auto"/>
    </w:pPr>
    <w:rPr>
      <w:sz w:val="20"/>
      <w:szCs w:val="20"/>
    </w:rPr>
  </w:style>
  <w:style w:type="character" w:customStyle="1" w:styleId="FootnoteTextChar">
    <w:name w:val="Footnote Text Char"/>
    <w:basedOn w:val="DefaultParagraphFont"/>
    <w:link w:val="FootnoteText"/>
    <w:uiPriority w:val="99"/>
    <w:rsid w:val="0011616E"/>
    <w:rPr>
      <w:sz w:val="20"/>
      <w:szCs w:val="20"/>
    </w:rPr>
  </w:style>
  <w:style w:type="character" w:styleId="FootnoteReference">
    <w:name w:val="footnote reference"/>
    <w:basedOn w:val="DefaultParagraphFont"/>
    <w:uiPriority w:val="99"/>
    <w:semiHidden/>
    <w:unhideWhenUsed/>
    <w:rsid w:val="0011616E"/>
    <w:rPr>
      <w:vertAlign w:val="superscript"/>
    </w:rPr>
  </w:style>
  <w:style w:type="character" w:styleId="Hyperlink">
    <w:name w:val="Hyperlink"/>
    <w:basedOn w:val="DefaultParagraphFont"/>
    <w:uiPriority w:val="99"/>
    <w:unhideWhenUsed/>
    <w:rsid w:val="00A6596D"/>
    <w:rPr>
      <w:color w:val="0563C1" w:themeColor="hyperlink"/>
      <w:u w:val="single"/>
    </w:rPr>
  </w:style>
  <w:style w:type="paragraph" w:styleId="Header">
    <w:name w:val="header"/>
    <w:basedOn w:val="Normal"/>
    <w:link w:val="HeaderChar"/>
    <w:uiPriority w:val="99"/>
    <w:unhideWhenUsed/>
    <w:rsid w:val="00E32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308"/>
  </w:style>
  <w:style w:type="paragraph" w:styleId="Footer">
    <w:name w:val="footer"/>
    <w:basedOn w:val="Normal"/>
    <w:link w:val="FooterChar"/>
    <w:uiPriority w:val="99"/>
    <w:unhideWhenUsed/>
    <w:rsid w:val="00E32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3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66802-E7E4-4E83-B884-3751964F5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12</Pages>
  <Words>3196</Words>
  <Characters>15733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Harries (1500258)</dc:creator>
  <cp:keywords/>
  <dc:description/>
  <cp:lastModifiedBy>Richard Harries (1500258)</cp:lastModifiedBy>
  <cp:revision>14</cp:revision>
  <dcterms:created xsi:type="dcterms:W3CDTF">2018-04-25T16:08:00Z</dcterms:created>
  <dcterms:modified xsi:type="dcterms:W3CDTF">2018-04-26T11:06:00Z</dcterms:modified>
</cp:coreProperties>
</file>