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b w:val="1"/>
          <w:sz w:val="48"/>
          <w:szCs w:val="48"/>
        </w:rPr>
      </w:pPr>
      <w:r w:rsidDel="00000000" w:rsidR="00000000" w:rsidRPr="00000000">
        <w:rPr>
          <w:b w:val="1"/>
          <w:sz w:val="96"/>
          <w:szCs w:val="96"/>
          <w:rtl w:val="0"/>
        </w:rPr>
        <w:t xml:space="preserve">LIVING WITH CARE</w:t>
      </w:r>
      <w:r w:rsidDel="00000000" w:rsidR="00000000" w:rsidRPr="00000000">
        <w:rPr>
          <w:b w:val="1"/>
          <w:sz w:val="48"/>
          <w:szCs w:val="48"/>
          <w:rtl w:val="0"/>
        </w:rPr>
        <w:t xml:space="preserve"> THE OLDER PERSON</w:t>
      </w:r>
    </w:p>
    <w:p w:rsidR="00000000" w:rsidDel="00000000" w:rsidP="00000000" w:rsidRDefault="00000000" w:rsidRPr="00000000" w14:paraId="00000002">
      <w:pPr>
        <w:jc w:val="both"/>
        <w:rPr>
          <w:b w:val="1"/>
          <w:sz w:val="48"/>
          <w:szCs w:val="48"/>
        </w:rPr>
      </w:pPr>
      <w:r w:rsidDel="00000000" w:rsidR="00000000" w:rsidRPr="00000000">
        <w:rPr>
          <w:b w:val="1"/>
          <w:sz w:val="48"/>
          <w:szCs w:val="48"/>
          <w:rtl w:val="0"/>
        </w:rPr>
        <w:t xml:space="preserve">Student : Olibia Chaffatt</w:t>
      </w:r>
    </w:p>
    <w:p w:rsidR="00000000" w:rsidDel="00000000" w:rsidP="00000000" w:rsidRDefault="00000000" w:rsidRPr="00000000" w14:paraId="00000003">
      <w:pPr>
        <w:jc w:val="both"/>
        <w:rPr>
          <w:b w:val="1"/>
          <w:sz w:val="48"/>
          <w:szCs w:val="48"/>
        </w:rPr>
      </w:pPr>
      <w:r w:rsidDel="00000000" w:rsidR="00000000" w:rsidRPr="00000000">
        <w:rPr>
          <w:b w:val="1"/>
          <w:sz w:val="48"/>
          <w:szCs w:val="48"/>
          <w:rtl w:val="0"/>
        </w:rPr>
        <w:t xml:space="preserve">Student ID : 1908130</w:t>
      </w:r>
    </w:p>
    <w:p w:rsidR="00000000" w:rsidDel="00000000" w:rsidP="00000000" w:rsidRDefault="00000000" w:rsidRPr="00000000" w14:paraId="00000004">
      <w:pPr>
        <w:jc w:val="both"/>
        <w:rPr>
          <w:b w:val="1"/>
          <w:sz w:val="48"/>
          <w:szCs w:val="48"/>
        </w:rPr>
      </w:pPr>
      <w:r w:rsidDel="00000000" w:rsidR="00000000" w:rsidRPr="00000000">
        <w:rPr>
          <w:b w:val="1"/>
          <w:sz w:val="48"/>
          <w:szCs w:val="48"/>
          <w:rtl w:val="0"/>
        </w:rPr>
        <w:t xml:space="preserve">Assignment section : Essay</w:t>
      </w:r>
    </w:p>
    <w:p w:rsidR="00000000" w:rsidDel="00000000" w:rsidP="00000000" w:rsidRDefault="00000000" w:rsidRPr="00000000" w14:paraId="00000005">
      <w:pPr>
        <w:jc w:val="both"/>
        <w:rPr>
          <w:b w:val="1"/>
          <w:sz w:val="48"/>
          <w:szCs w:val="48"/>
        </w:rPr>
      </w:pPr>
      <w:r w:rsidDel="00000000" w:rsidR="00000000" w:rsidRPr="00000000">
        <w:rPr>
          <w:b w:val="1"/>
          <w:sz w:val="48"/>
          <w:szCs w:val="48"/>
          <w:rtl w:val="0"/>
        </w:rPr>
        <w:t xml:space="preserve">Tutor: Joanne Davis</w:t>
      </w:r>
    </w:p>
    <w:p w:rsidR="00000000" w:rsidDel="00000000" w:rsidP="00000000" w:rsidRDefault="00000000" w:rsidRPr="00000000" w14:paraId="00000006">
      <w:pPr>
        <w:jc w:val="both"/>
        <w:rPr>
          <w:b w:val="1"/>
          <w:sz w:val="48"/>
          <w:szCs w:val="48"/>
        </w:rPr>
      </w:pPr>
      <w:r w:rsidDel="00000000" w:rsidR="00000000" w:rsidRPr="00000000">
        <w:rPr>
          <w:b w:val="1"/>
          <w:sz w:val="48"/>
          <w:szCs w:val="48"/>
          <w:rtl w:val="0"/>
        </w:rPr>
        <w:t xml:space="preserve">Module code : BMHP6009 </w:t>
      </w:r>
    </w:p>
    <w:p w:rsidR="00000000" w:rsidDel="00000000" w:rsidP="00000000" w:rsidRDefault="00000000" w:rsidRPr="00000000" w14:paraId="00000007">
      <w:pPr>
        <w:jc w:val="both"/>
        <w:rPr>
          <w:b w:val="1"/>
          <w:sz w:val="48"/>
          <w:szCs w:val="48"/>
        </w:rPr>
      </w:pPr>
      <w:r w:rsidDel="00000000" w:rsidR="00000000" w:rsidRPr="00000000">
        <w:rPr>
          <w:rtl w:val="0"/>
        </w:rPr>
      </w:r>
    </w:p>
    <w:p w:rsidR="00000000" w:rsidDel="00000000" w:rsidP="00000000" w:rsidRDefault="00000000" w:rsidRPr="00000000" w14:paraId="00000008">
      <w:pPr>
        <w:jc w:val="both"/>
        <w:rPr>
          <w:b w:val="1"/>
          <w:sz w:val="48"/>
          <w:szCs w:val="48"/>
        </w:rPr>
      </w:pPr>
      <w:r w:rsidDel="00000000" w:rsidR="00000000" w:rsidRPr="00000000">
        <w:rPr>
          <w:rtl w:val="0"/>
        </w:rPr>
      </w:r>
    </w:p>
    <w:p w:rsidR="00000000" w:rsidDel="00000000" w:rsidP="00000000" w:rsidRDefault="00000000" w:rsidRPr="00000000" w14:paraId="00000009">
      <w:pPr>
        <w:jc w:val="both"/>
        <w:rPr>
          <w:b w:val="1"/>
          <w:sz w:val="48"/>
          <w:szCs w:val="48"/>
        </w:rPr>
      </w:pPr>
      <w:r w:rsidDel="00000000" w:rsidR="00000000" w:rsidRPr="00000000">
        <w:rPr>
          <w:rtl w:val="0"/>
        </w:rPr>
      </w:r>
    </w:p>
    <w:p w:rsidR="00000000" w:rsidDel="00000000" w:rsidP="00000000" w:rsidRDefault="00000000" w:rsidRPr="00000000" w14:paraId="0000000A">
      <w:pPr>
        <w:jc w:val="both"/>
        <w:rPr>
          <w:b w:val="1"/>
          <w:sz w:val="48"/>
          <w:szCs w:val="48"/>
        </w:rPr>
      </w:pPr>
      <w:r w:rsidDel="00000000" w:rsidR="00000000" w:rsidRPr="00000000">
        <w:rPr>
          <w:rtl w:val="0"/>
        </w:rPr>
      </w:r>
    </w:p>
    <w:p w:rsidR="00000000" w:rsidDel="00000000" w:rsidP="00000000" w:rsidRDefault="00000000" w:rsidRPr="00000000" w14:paraId="0000000B">
      <w:pPr>
        <w:jc w:val="both"/>
        <w:rPr>
          <w:b w:val="1"/>
          <w:sz w:val="48"/>
          <w:szCs w:val="48"/>
        </w:rPr>
      </w:pPr>
      <w:r w:rsidDel="00000000" w:rsidR="00000000" w:rsidRPr="00000000">
        <w:rPr>
          <w:rtl w:val="0"/>
        </w:rPr>
      </w:r>
    </w:p>
    <w:p w:rsidR="00000000" w:rsidDel="00000000" w:rsidP="00000000" w:rsidRDefault="00000000" w:rsidRPr="00000000" w14:paraId="0000000C">
      <w:pPr>
        <w:jc w:val="both"/>
        <w:rPr>
          <w:b w:val="1"/>
          <w:sz w:val="48"/>
          <w:szCs w:val="48"/>
        </w:rPr>
      </w:pPr>
      <w:r w:rsidDel="00000000" w:rsidR="00000000" w:rsidRPr="00000000">
        <w:rPr>
          <w:rtl w:val="0"/>
        </w:rPr>
      </w:r>
    </w:p>
    <w:p w:rsidR="00000000" w:rsidDel="00000000" w:rsidP="00000000" w:rsidRDefault="00000000" w:rsidRPr="00000000" w14:paraId="0000000D">
      <w:pPr>
        <w:jc w:val="both"/>
        <w:rPr>
          <w:b w:val="1"/>
          <w:sz w:val="48"/>
          <w:szCs w:val="48"/>
        </w:rPr>
      </w:pPr>
      <w:r w:rsidDel="00000000" w:rsidR="00000000" w:rsidRPr="00000000">
        <w:rPr>
          <w:rtl w:val="0"/>
        </w:rPr>
      </w:r>
    </w:p>
    <w:p w:rsidR="00000000" w:rsidDel="00000000" w:rsidP="00000000" w:rsidRDefault="00000000" w:rsidRPr="00000000" w14:paraId="0000000E">
      <w:pPr>
        <w:jc w:val="both"/>
        <w:rPr>
          <w:b w:val="1"/>
          <w:sz w:val="48"/>
          <w:szCs w:val="48"/>
        </w:rPr>
      </w:pPr>
      <w:r w:rsidDel="00000000" w:rsidR="00000000" w:rsidRPr="00000000">
        <w:rPr>
          <w:rtl w:val="0"/>
        </w:rPr>
      </w:r>
    </w:p>
    <w:p w:rsidR="00000000" w:rsidDel="00000000" w:rsidP="00000000" w:rsidRDefault="00000000" w:rsidRPr="00000000" w14:paraId="0000000F">
      <w:pPr>
        <w:jc w:val="both"/>
        <w:rPr>
          <w:b w:val="1"/>
          <w:sz w:val="48"/>
          <w:szCs w:val="48"/>
        </w:rPr>
      </w:pPr>
      <w:r w:rsidDel="00000000" w:rsidR="00000000" w:rsidRPr="00000000">
        <w:rPr>
          <w:rtl w:val="0"/>
        </w:rPr>
      </w:r>
    </w:p>
    <w:p w:rsidR="00000000" w:rsidDel="00000000" w:rsidP="00000000" w:rsidRDefault="00000000" w:rsidRPr="00000000" w14:paraId="00000010">
      <w:pPr>
        <w:jc w:val="both"/>
        <w:rPr>
          <w:b w:val="1"/>
          <w:sz w:val="48"/>
          <w:szCs w:val="48"/>
        </w:rPr>
      </w:pPr>
      <w:r w:rsidDel="00000000" w:rsidR="00000000" w:rsidRPr="00000000">
        <w:rPr>
          <w:rtl w:val="0"/>
        </w:rPr>
      </w:r>
    </w:p>
    <w:p w:rsidR="00000000" w:rsidDel="00000000" w:rsidP="00000000" w:rsidRDefault="00000000" w:rsidRPr="00000000" w14:paraId="00000011">
      <w:pPr>
        <w:jc w:val="both"/>
        <w:rPr>
          <w:b w:val="1"/>
          <w:sz w:val="48"/>
          <w:szCs w:val="48"/>
        </w:rPr>
      </w:pPr>
      <w:r w:rsidDel="00000000" w:rsidR="00000000" w:rsidRPr="00000000">
        <w:rPr>
          <w:rtl w:val="0"/>
        </w:rPr>
      </w:r>
    </w:p>
    <w:p w:rsidR="00000000" w:rsidDel="00000000" w:rsidP="00000000" w:rsidRDefault="00000000" w:rsidRPr="00000000" w14:paraId="00000012">
      <w:pPr>
        <w:jc w:val="both"/>
        <w:rPr>
          <w:b w:val="1"/>
          <w:sz w:val="48"/>
          <w:szCs w:val="48"/>
        </w:rPr>
      </w:pPr>
      <w:r w:rsidDel="00000000" w:rsidR="00000000" w:rsidRPr="00000000">
        <w:rPr>
          <w:rtl w:val="0"/>
        </w:rPr>
      </w:r>
    </w:p>
    <w:p w:rsidR="00000000" w:rsidDel="00000000" w:rsidP="00000000" w:rsidRDefault="00000000" w:rsidRPr="00000000" w14:paraId="00000013">
      <w:pPr>
        <w:jc w:val="both"/>
        <w:rPr>
          <w:b w:val="1"/>
          <w:sz w:val="48"/>
          <w:szCs w:val="48"/>
        </w:rPr>
      </w:pPr>
      <w:r w:rsidDel="00000000" w:rsidR="00000000" w:rsidRPr="00000000">
        <w:rPr>
          <w:rtl w:val="0"/>
        </w:rPr>
      </w:r>
    </w:p>
    <w:p w:rsidR="00000000" w:rsidDel="00000000" w:rsidP="00000000" w:rsidRDefault="00000000" w:rsidRPr="00000000" w14:paraId="00000014">
      <w:pPr>
        <w:jc w:val="both"/>
        <w:rPr>
          <w:b w:val="1"/>
          <w:sz w:val="48"/>
          <w:szCs w:val="48"/>
        </w:rPr>
      </w:pPr>
      <w:r w:rsidDel="00000000" w:rsidR="00000000" w:rsidRPr="00000000">
        <w:rPr>
          <w:rtl w:val="0"/>
        </w:rPr>
      </w:r>
    </w:p>
    <w:p w:rsidR="00000000" w:rsidDel="00000000" w:rsidP="00000000" w:rsidRDefault="00000000" w:rsidRPr="00000000" w14:paraId="00000015">
      <w:pPr>
        <w:jc w:val="both"/>
        <w:rPr>
          <w:b w:val="1"/>
          <w:sz w:val="48"/>
          <w:szCs w:val="48"/>
        </w:rPr>
      </w:pPr>
      <w:r w:rsidDel="00000000" w:rsidR="00000000" w:rsidRPr="00000000">
        <w:rPr>
          <w:b w:val="1"/>
          <w:sz w:val="48"/>
          <w:szCs w:val="48"/>
          <w:rtl w:val="0"/>
        </w:rPr>
        <w:t xml:space="preserve">Introduction</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rPr>
      </w:pP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pPr>
      <w:r w:rsidDel="00000000" w:rsidR="00000000" w:rsidRPr="00000000">
        <w:rPr>
          <w:rtl w:val="0"/>
        </w:rPr>
        <w:t xml:space="preserve">In this essay there will be a critical evaluation and comparison of local, global and national provision of services for the elderly in line with the present policies and initiatives. There will be an examination of the future perspective of care of the elderly individuals. There will also be inclusion of technology application and information, the use of AI within  the healthcare provision. This essay will be looking into what it means to be an elderly individual in the UK and connected issues. There will be a discussion of statistics on the aging population and how they have changed in recent years. The reason for growth in the UK for example medical and social. Critical examination of current Health and Social Care provision of it, is it sufficient. While considering government and health service and response to it. Finally there will be referencing throughout the relevant theories including theories specific to aging.</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ind w:left="1080" w:firstLine="0"/>
        <w:jc w:val="both"/>
        <w:rPr>
          <w:b w:val="1"/>
          <w:sz w:val="28"/>
          <w:szCs w:val="28"/>
        </w:rPr>
      </w:pPr>
      <w:r w:rsidDel="00000000" w:rsidR="00000000" w:rsidRPr="00000000">
        <w:rPr>
          <w:rtl w:val="0"/>
        </w:rPr>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ind w:left="1080" w:firstLine="0"/>
        <w:jc w:val="both"/>
        <w:rPr>
          <w:b w:val="1"/>
          <w:sz w:val="28"/>
          <w:szCs w:val="28"/>
          <w:highlight w:val="green"/>
        </w:rPr>
      </w:pPr>
      <w:r w:rsidDel="00000000" w:rsidR="00000000" w:rsidRPr="00000000">
        <w:rPr>
          <w:rtl w:val="0"/>
        </w:rPr>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b w:val="1"/>
          <w:sz w:val="24"/>
          <w:szCs w:val="24"/>
        </w:rPr>
      </w:pPr>
      <w:r w:rsidDel="00000000" w:rsidR="00000000" w:rsidRPr="00000000">
        <w:rPr>
          <w:rtl w:val="0"/>
        </w:rPr>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The elderly has traditionally been described as someone who is 65 years old or older, with those 65 to 74 years old being referred to as “early elderly” and those above 75 years old being “late elderly”. However, there is no evidence to support this definition  (Orimo et al. 2006).</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20th century society basically has accepted the government “retirement age” or “pension age “ as an appropriate separating line between old age and mature hood. For example Rowntree one of the investigators who worked in this field after World War 11, has decided to incorporate in his research women over 60 and men over 65 during the time these ages have been recognized by Old Age Contributory Pension and Widow’s Orphan’s Act of 1925 and 1940 as the original age for state pension compensated. The result of this was that most statistics published regarding old age took the pension age of 60 and 65 as being identical to old age and the beginning of it (Roebuck, 1979).</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We're seeing obvious indicators that loneliness can be because of the disengagement theory : gradually older individuals will withdraw from society when they are slowing down because they are getting older (Larkin, 2009). loneliness is on the rise during this time, along with the negative repercussions for people's mental and physical health. People are increasingly reporting emotions of loneliness, worry, and sadness, as well as discussing the negative effects on their physical health. Malnutrition, fragility, and falls are all on the rise, which is concerning. There's a substantial threat that social distancing measures will further isolate older people who are victims of domestic violence, particularly older women. Victims of such abuse are likely to be financially or emotionally dependent on the individual who is abusing them, and will face barriers to reporting the abuse, such as a lack of physical or mental capacity and access to digital or other services, in addition to fear. The government's pandemic approach must take into account the needs of older people  at risk of domestic violence. </w:t>
      </w:r>
      <w:r w:rsidDel="00000000" w:rsidR="00000000" w:rsidRPr="00000000">
        <w:rPr>
          <w:rtl w:val="0"/>
        </w:rPr>
        <w:t xml:space="preserve">(</w:t>
      </w:r>
      <w:r w:rsidDel="00000000" w:rsidR="00000000" w:rsidRPr="00000000">
        <w:rPr>
          <w:i w:val="1"/>
          <w:rtl w:val="0"/>
        </w:rPr>
        <w:t xml:space="preserve">COVID-19, 2020</w:t>
      </w:r>
      <w:r w:rsidDel="00000000" w:rsidR="00000000" w:rsidRPr="00000000">
        <w:rPr>
          <w:rtl w:val="0"/>
        </w:rPr>
        <w:t xml:space="preserve">).</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"Panic of the infection, loss of physical and mental capability, isolation and loneliness, and an incapability to mourn as they should for those who have passed away add up to a possible public health disaster impacting a great deal of elderly individuals. Senior individuals with early health concerns have so far, been the hardest hit by the epidemic who were shielding, were approximately half as likely to be nervous since the lockdown as those who were not (Age UK, 2020).</w:t>
      </w:r>
      <w:r w:rsidDel="00000000" w:rsidR="00000000" w:rsidRPr="00000000">
        <w:rPr>
          <w:rtl w:val="0"/>
        </w:rPr>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The number of people 65 and older is expected to double between 2019 and 2050, and the number under 25 is expected to peak and then decline slightly.</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sz w:val="24"/>
          <w:szCs w:val="24"/>
        </w:rPr>
      </w:pPr>
      <w:r w:rsidDel="00000000" w:rsidR="00000000" w:rsidRPr="00000000">
        <w:rPr>
          <w:rtl w:val="0"/>
        </w:rPr>
        <w:t xml:space="preserve">Within a few decades, there will be more people over 65 than those under 25 in Southern and Estern Asia, Caribbean and Latin America , and North America and Europe. By 2066, the UK is expected to have an additional 8.6 million residents aged 65 and up. This group could number up to 20.4 million individuals, accounting for up to 26% of the total population. The group of people aged 85 and up will see the greatest increase. The older population in the UK is not evenly distributed across local areas, with rural and coastal areas having higher proportions of older people than urban areas. The South West of England has five of the ten local authorities with the highest percentage of residents aged 65 and up (GOV.UK, 2021b).</w:t>
      </w: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sz w:val="24"/>
          <w:szCs w:val="24"/>
        </w:rPr>
      </w:pPr>
      <w:r w:rsidDel="00000000" w:rsidR="00000000" w:rsidRPr="00000000">
        <w:rPr>
          <w:rtl w:val="0"/>
        </w:rPr>
        <w:t xml:space="preserve">The population of the United Kingdom is ageing. Improvements in life expectancy and declining fertility are the primary drivers of this trend (Lewis, et al., 2021).</w:t>
      </w:r>
      <w:r w:rsidDel="00000000" w:rsidR="00000000" w:rsidRPr="00000000">
        <w:rPr>
          <w:rtl w:val="0"/>
        </w:rPr>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sz w:val="24"/>
          <w:szCs w:val="24"/>
        </w:rPr>
      </w:pPr>
      <w:r w:rsidDel="00000000" w:rsidR="00000000" w:rsidRPr="00000000">
        <w:rPr>
          <w:rtl w:val="0"/>
        </w:rPr>
        <w:t xml:space="preserve">The aging population can be seen as a triumph because of the success of medical advancement, public health and financial advancement over injuries and diseases that had insufficient human life expectancy for millennia (</w:t>
      </w:r>
      <w:r w:rsidDel="00000000" w:rsidR="00000000" w:rsidRPr="00000000">
        <w:rPr>
          <w:color w:val="222222"/>
          <w:highlight w:val="white"/>
          <w:rtl w:val="0"/>
        </w:rPr>
        <w:t xml:space="preserve">Kinsella and Phillips, 2005)</w:t>
      </w:r>
      <w:r w:rsidDel="00000000" w:rsidR="00000000" w:rsidRPr="00000000">
        <w:rPr>
          <w:sz w:val="24"/>
          <w:szCs w:val="24"/>
          <w:rtl w:val="0"/>
        </w:rPr>
        <w:t xml:space="preserve">. </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For the first time mankind has experienced the largest change in the aging population in the median age of the world's population. Where half of the population is older and the other half is younger. This process of aging is the outcome of two mega-trends. First there is a low or dropping in fertility rate and secondly there is the rising of long life thanks to advancement of better preventive care, medicine and diet (Magnus, 2012). </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Performance improvements in the NHS have gained significant traction over the past decade. However, despite these improvements, aging populations, an increasing burden of diseases, and growing public expectations have left the current health care delivery system unprepared(Ham et al., 2012).</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Social care includes the local government being responsible for providing care in the society. There is a wide range of organisations and experts within communities and families. To access publicly funded social care one would have to meet the criteria, this means the criteria has to be high enough and their means low enough to qualify. If the individual has any savings they might have to pay for some or all of their social care. Social Care is funded by the local government or people who fund their own care or even a mixture of both. Adult Social Care including the NHS are both part of a complicated system of services providing integrated care (The King’s Fund, 2017).</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b w:val="1"/>
          <w:sz w:val="24"/>
          <w:szCs w:val="24"/>
        </w:rPr>
      </w:pPr>
      <w:r w:rsidDel="00000000" w:rsidR="00000000" w:rsidRPr="00000000">
        <w:rPr>
          <w:rtl w:val="0"/>
        </w:rPr>
        <w:t xml:space="preserve">A health and care system is defined by the World Health Organization as "all organisations, people, and actions whose primary intent is to promote, restore, or maintain health." This includes both efforts to influence broader health determinants and more direct health-improving activities. As a result, a health system is more than a pyramid of publicly owned facilities that provide personal health care (The King’s Fund, n.d.).</w:t>
      </w:r>
      <w:r w:rsidDel="00000000" w:rsidR="00000000" w:rsidRPr="00000000">
        <w:rPr>
          <w:rtl w:val="0"/>
        </w:rPr>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Considering the population growth of the elderly in the United Kingdom, the impact of provisions of the health and social care sectors will result in a significant shift in resource allocation and service design. One of the primary areas where expected lifespan and population ageing intersect is in health and care. Changing dependence ratios mean that, as the need for care and assistance grows, the UK will have substantially fewer individuals to meet it (Government Office for Science, 2016). </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The care of elderly persons with long-term ailments accounts for a considerable share of government health and social care spending (70 percent) and the expenses per individual rise as the number of conditions the person has increases (NICE, 2015).</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Adult social care is funded by local governments from their general budget, and there is growing pressure from other local agencies. The market for adult social care providers is fragmented, and workers rely on employers to pass on any additional funding in the form of increased salaries.</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b w:val="1"/>
          <w:sz w:val="24"/>
          <w:szCs w:val="24"/>
        </w:rPr>
      </w:pPr>
      <w:r w:rsidDel="00000000" w:rsidR="00000000" w:rsidRPr="00000000">
        <w:rPr>
          <w:rtl w:val="0"/>
        </w:rPr>
        <w:t xml:space="preserve">As a result, policy interventions would be necessary to guarantee that any increased financing meets its objectives. For example, initiatives to explore in order to raise the wages of social care employees include: Enhanced reporting by social care providers, due to a particular social care minimum pay set by sectoral wage boards and included into contracts between social care providers and local governments (Idriss et al., 2021)</w:t>
      </w:r>
      <w:r w:rsidDel="00000000" w:rsidR="00000000" w:rsidRPr="00000000">
        <w:rPr>
          <w:rtl w:val="0"/>
        </w:rPr>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pPr>
      <w:r w:rsidDel="00000000" w:rsidR="00000000" w:rsidRPr="00000000">
        <w:rPr>
          <w:rtl w:val="0"/>
        </w:rPr>
        <w:t xml:space="preserve">The future of an ageing population is a project that is based on a variety of independent evidence studies compiled by academics from all around the world. These studies examine the prospects of an ageing population in the United Kingdom.</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pPr>
      <w:r w:rsidDel="00000000" w:rsidR="00000000" w:rsidRPr="00000000">
        <w:rPr>
          <w:rtl w:val="0"/>
        </w:rPr>
        <w:t xml:space="preserve">The 'Future of an Aging Population' initiative presented the government with cutting-edge scientific information. This data was supposed to provide the foundation for a variety of policies and activities to: increase the quality of life for older people and enable them to engage more fully in society and guarantee that everyone has access to the skills and facilities that will help them live a long and healthy life (Office, 2013).</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pPr>
      <w:r w:rsidDel="00000000" w:rsidR="00000000" w:rsidRPr="00000000">
        <w:rPr>
          <w:rtl w:val="0"/>
        </w:rPr>
        <w:t xml:space="preserve">This is where the activity theory can be efficient : An elderly person's life is likely to be more fulfilling if they are active and involved. In order to keep them engaged after retirement, it is essential to find substitute activities (Mauk, 2010).</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pPr>
      <w:r w:rsidDel="00000000" w:rsidR="00000000" w:rsidRPr="00000000">
        <w:rPr>
          <w:rtl w:val="0"/>
        </w:rPr>
        <w:t xml:space="preserve">Communities, churches, and volunteer groups are attempting to fill the void, but everyone who has had firsthand contact with the system knows that social services are on the verge of collapsing. Furthermore, there are also staggering disparities: one individual will pay £35,000 per year on health care, while another will receive it for free (“Care gaps and funding gaps,” 2012).</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pPr>
      <w:r w:rsidDel="00000000" w:rsidR="00000000" w:rsidRPr="00000000">
        <w:rPr>
          <w:rtl w:val="0"/>
        </w:rPr>
        <w:t xml:space="preserve">The Prime Minister announced long-overdue reforms to how individuals in England will pay for their social care on September 7, 2021. No individual will be forced to pay unlimitedness and uncertain costs for their care after October 2023, giving them the assurance and peace of mind that this government will step in and help those who are most in need. The white paper contains many more details on the government's plans for the next three years. These measures are supported by the new Health and Social Care Levy, which was announced in September and would spend £5.4 billion in adult social care over the following three years. Over the following three years, a growing portion of the levy's revenue will be spent on social care in England. A temporary increase in National Insurance contributions will not apply to individuals above State Pension age during the 2022-2023 tax year, but they will be required to pay the levy starting in April 2023 (GOV.UK, 2021a).</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24"/>
          <w:szCs w:val="24"/>
        </w:rPr>
      </w:pPr>
      <w:r w:rsidDel="00000000" w:rsidR="00000000" w:rsidRPr="00000000">
        <w:rPr>
          <w:rtl w:val="0"/>
        </w:rPr>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24"/>
          <w:szCs w:val="24"/>
        </w:rPr>
      </w:pPr>
      <w:r w:rsidDel="00000000" w:rsidR="00000000" w:rsidRPr="00000000">
        <w:rPr>
          <w:rtl w:val="0"/>
        </w:rPr>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24"/>
          <w:szCs w:val="24"/>
        </w:rPr>
      </w:pPr>
      <w:r w:rsidDel="00000000" w:rsidR="00000000" w:rsidRPr="00000000">
        <w:rPr>
          <w:rtl w:val="0"/>
        </w:rPr>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48"/>
          <w:szCs w:val="48"/>
        </w:rPr>
      </w:pPr>
      <w:r w:rsidDel="00000000" w:rsidR="00000000" w:rsidRPr="00000000">
        <w:rPr>
          <w:rtl w:val="0"/>
        </w:rPr>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48"/>
          <w:szCs w:val="48"/>
        </w:rPr>
      </w:pPr>
      <w:r w:rsidDel="00000000" w:rsidR="00000000" w:rsidRPr="00000000">
        <w:rPr>
          <w:rtl w:val="0"/>
        </w:rPr>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48"/>
          <w:szCs w:val="48"/>
        </w:rPr>
      </w:pPr>
      <w:r w:rsidDel="00000000" w:rsidR="00000000" w:rsidRPr="00000000">
        <w:rPr>
          <w:rtl w:val="0"/>
        </w:rPr>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48"/>
          <w:szCs w:val="48"/>
        </w:rPr>
      </w:pPr>
      <w:r w:rsidDel="00000000" w:rsidR="00000000" w:rsidRPr="00000000">
        <w:rPr>
          <w:rtl w:val="0"/>
        </w:rPr>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48"/>
          <w:szCs w:val="48"/>
        </w:rPr>
      </w:pPr>
      <w:r w:rsidDel="00000000" w:rsidR="00000000" w:rsidRPr="00000000">
        <w:rPr>
          <w:rtl w:val="0"/>
        </w:rPr>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48"/>
          <w:szCs w:val="48"/>
        </w:rPr>
      </w:pPr>
      <w:r w:rsidDel="00000000" w:rsidR="00000000" w:rsidRPr="00000000">
        <w:rPr>
          <w:b w:val="1"/>
          <w:sz w:val="48"/>
          <w:szCs w:val="48"/>
          <w:rtl w:val="0"/>
        </w:rPr>
        <w:t xml:space="preserve">Conclusion</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pPr>
      <w:r w:rsidDel="00000000" w:rsidR="00000000" w:rsidRPr="00000000">
        <w:rPr>
          <w:rtl w:val="0"/>
        </w:rPr>
        <w:t xml:space="preserve">The aging of the  population can be seen as a victory over the success of medical advances, public health and financial advances against injuries and illnesses that have had an inadequate life expectancy for thousands of years (Kinsella and Phillips, 2005).   Despite this improvement, the current healthcare  system has been unable to keep up with the demands of aging, increased disease burden, and rising expectations from patients and the general public  (Ham et al., 2012).  Adult welfare, including the  NHS, are both part of a complex service system that provides integrated care (The King's Fund, 2017). </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pPr>
      <w:r w:rsidDel="00000000" w:rsidR="00000000" w:rsidRPr="00000000">
        <w:rPr>
          <w:rtl w:val="0"/>
        </w:rPr>
        <w:t xml:space="preserve">Therefore, the healthcare system is more than a pyramid of public institutions that provide personal  care (The King's Fund, n. d.). It is necessary to consider the continued growth of the UK`s elderly population and its impact on the  provision of health and social care services. </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pPr>
      <w:r w:rsidDel="00000000" w:rsidR="00000000" w:rsidRPr="00000000">
        <w:rPr>
          <w:rtl w:val="0"/>
        </w:rPr>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pPr>
      <w:r w:rsidDel="00000000" w:rsidR="00000000" w:rsidRPr="00000000">
        <w:rPr>
          <w:rtl w:val="0"/>
        </w:rPr>
        <w:t xml:space="preserve">One of the main areas of conflict between life expectancy and the aging population  is healthcare and long-term care.   Dependency ratio changes mean that as the need for care increases, significantly fewer people in the UK  meet them (Government Office for Science, 2016).   Caring for the elderly  with long-term illness accounts for a significant proportion (70%) of government health and social spending, and per capita spending increases with the number of illnesses a person has (NICE, 2015).   Adult welfare is funded by the general budget of local governments, and there is increasing pressure from other local agencies. </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pPr>
      <w:r w:rsidDel="00000000" w:rsidR="00000000" w:rsidRPr="00000000">
        <w:rPr>
          <w:rtl w:val="0"/>
        </w:rPr>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pPr>
      <w:r w:rsidDel="00000000" w:rsidR="00000000" w:rsidRPr="00000000">
        <w:rPr>
          <w:rtl w:val="0"/>
        </w:rPr>
        <w:t xml:space="preserve">The market for adult social care providers is fragmented and workers rely on their employers to pass  additional funding in the form of higher salaries.   Over the next three years, the increasing rate of tax revenue will be used for social care in the UK.   People above the statutory retirement age will not be affected by the temporary increase in social security contributions for the  tax year 2022-2023, but will be required to pay taxes from April 2023 (GOV. UK, 2021a)</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rPr>
      </w:pPr>
      <w:r w:rsidDel="00000000" w:rsidR="00000000" w:rsidRPr="00000000">
        <w:rPr>
          <w:b w:val="1"/>
          <w:rtl w:val="0"/>
        </w:rPr>
        <w:t xml:space="preserve">. </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rPr>
      </w:pPr>
      <w:r w:rsidDel="00000000" w:rsidR="00000000" w:rsidRPr="00000000">
        <w:rPr>
          <w:rtl w:val="0"/>
        </w:rPr>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44"/>
          <w:szCs w:val="44"/>
        </w:rPr>
      </w:pPr>
      <w:r w:rsidDel="00000000" w:rsidR="00000000" w:rsidRPr="00000000">
        <w:rPr>
          <w:rtl w:val="0"/>
        </w:rPr>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44"/>
          <w:szCs w:val="44"/>
        </w:rPr>
      </w:pPr>
      <w:r w:rsidDel="00000000" w:rsidR="00000000" w:rsidRPr="00000000">
        <w:rPr>
          <w:rtl w:val="0"/>
        </w:rPr>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44"/>
          <w:szCs w:val="44"/>
        </w:rPr>
      </w:pPr>
      <w:r w:rsidDel="00000000" w:rsidR="00000000" w:rsidRPr="00000000">
        <w:rPr>
          <w:rtl w:val="0"/>
        </w:rPr>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44"/>
          <w:szCs w:val="44"/>
        </w:rPr>
      </w:pPr>
      <w:r w:rsidDel="00000000" w:rsidR="00000000" w:rsidRPr="00000000">
        <w:rPr>
          <w:rtl w:val="0"/>
        </w:rPr>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44"/>
          <w:szCs w:val="44"/>
        </w:rPr>
      </w:pPr>
      <w:r w:rsidDel="00000000" w:rsidR="00000000" w:rsidRPr="00000000">
        <w:rPr>
          <w:rtl w:val="0"/>
        </w:rPr>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44"/>
          <w:szCs w:val="44"/>
        </w:rPr>
      </w:pPr>
      <w:r w:rsidDel="00000000" w:rsidR="00000000" w:rsidRPr="00000000">
        <w:rPr>
          <w:rtl w:val="0"/>
        </w:rPr>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44"/>
          <w:szCs w:val="44"/>
        </w:rPr>
      </w:pPr>
      <w:r w:rsidDel="00000000" w:rsidR="00000000" w:rsidRPr="00000000">
        <w:rPr>
          <w:rtl w:val="0"/>
        </w:rPr>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44"/>
          <w:szCs w:val="44"/>
        </w:rPr>
      </w:pPr>
      <w:r w:rsidDel="00000000" w:rsidR="00000000" w:rsidRPr="00000000">
        <w:rPr>
          <w:rtl w:val="0"/>
        </w:rPr>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44"/>
          <w:szCs w:val="44"/>
        </w:rPr>
      </w:pPr>
      <w:r w:rsidDel="00000000" w:rsidR="00000000" w:rsidRPr="00000000">
        <w:rPr>
          <w:rtl w:val="0"/>
        </w:rPr>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44"/>
          <w:szCs w:val="44"/>
        </w:rPr>
      </w:pPr>
      <w:r w:rsidDel="00000000" w:rsidR="00000000" w:rsidRPr="00000000">
        <w:rPr>
          <w:b w:val="1"/>
          <w:sz w:val="44"/>
          <w:szCs w:val="44"/>
          <w:rtl w:val="0"/>
        </w:rPr>
        <w:t xml:space="preserve">RECOMMENDATION</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While spending on long-term care is guaranteed to rise as the population ages, the consequences on health-care spending are debatable. It is obvious that, if suitable measures are put in place in a timely manner, population ageing does not imply a major increase in health-care spending. Policy choices include: Assuring that health-care systems respond appropriately. Better care coordination between health and social services, as well as between different levels of health care, is considered as critical. Because many elderly individuals spend too much time in hospitals, a variety of steps can be implemented to allow for more out-of-hospital care (Rechel et al., 2009).</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More focus needs  on introducing new technologies and changing approaches As "both medical expenses and technology" in relation to elderly care services Progress is a potential source of better welfare outcomes in terms of longevity. Population Aging leads to higher medical costs  due to increased use associated with aging Procedures and treatments to boost long-term care costs that may increase Faster than other health needs (Cristea et al., 2020).</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b w:val="1"/>
          <w:sz w:val="44"/>
          <w:szCs w:val="44"/>
        </w:rPr>
      </w:pPr>
      <w:r w:rsidDel="00000000" w:rsidR="00000000" w:rsidRPr="00000000">
        <w:rPr>
          <w:rtl w:val="0"/>
        </w:rPr>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b w:val="1"/>
          <w:sz w:val="44"/>
          <w:szCs w:val="44"/>
        </w:rPr>
      </w:pPr>
      <w:r w:rsidDel="00000000" w:rsidR="00000000" w:rsidRPr="00000000">
        <w:rPr>
          <w:rtl w:val="0"/>
        </w:rPr>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b w:val="1"/>
          <w:sz w:val="44"/>
          <w:szCs w:val="44"/>
        </w:rPr>
      </w:pPr>
      <w:r w:rsidDel="00000000" w:rsidR="00000000" w:rsidRPr="00000000">
        <w:rPr>
          <w:rtl w:val="0"/>
        </w:rPr>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b w:val="1"/>
          <w:sz w:val="44"/>
          <w:szCs w:val="44"/>
        </w:rPr>
      </w:pPr>
      <w:r w:rsidDel="00000000" w:rsidR="00000000" w:rsidRPr="00000000">
        <w:rPr>
          <w:rtl w:val="0"/>
        </w:rPr>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b w:val="1"/>
          <w:sz w:val="44"/>
          <w:szCs w:val="44"/>
        </w:rPr>
      </w:pPr>
      <w:r w:rsidDel="00000000" w:rsidR="00000000" w:rsidRPr="00000000">
        <w:rPr>
          <w:rtl w:val="0"/>
        </w:rPr>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b w:val="1"/>
          <w:sz w:val="44"/>
          <w:szCs w:val="44"/>
        </w:rPr>
      </w:pPr>
      <w:r w:rsidDel="00000000" w:rsidR="00000000" w:rsidRPr="00000000">
        <w:rPr>
          <w:rtl w:val="0"/>
        </w:rPr>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b w:val="1"/>
          <w:sz w:val="44"/>
          <w:szCs w:val="44"/>
        </w:rPr>
      </w:pPr>
      <w:r w:rsidDel="00000000" w:rsidR="00000000" w:rsidRPr="00000000">
        <w:rPr>
          <w:rtl w:val="0"/>
        </w:rPr>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b w:val="1"/>
          <w:sz w:val="44"/>
          <w:szCs w:val="44"/>
        </w:rPr>
      </w:pPr>
      <w:r w:rsidDel="00000000" w:rsidR="00000000" w:rsidRPr="00000000">
        <w:rPr>
          <w:rtl w:val="0"/>
        </w:rPr>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b w:val="1"/>
          <w:sz w:val="44"/>
          <w:szCs w:val="44"/>
        </w:rPr>
      </w:pPr>
      <w:r w:rsidDel="00000000" w:rsidR="00000000" w:rsidRPr="00000000">
        <w:rPr>
          <w:b w:val="1"/>
          <w:sz w:val="44"/>
          <w:szCs w:val="44"/>
          <w:rtl w:val="0"/>
        </w:rPr>
        <w:t xml:space="preserve">REFERENCES</w:t>
      </w:r>
    </w:p>
    <w:p w:rsidR="00000000" w:rsidDel="00000000" w:rsidP="00000000" w:rsidRDefault="00000000" w:rsidRPr="00000000" w14:paraId="00000072">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pPr>
      <w:r w:rsidDel="00000000" w:rsidR="00000000" w:rsidRPr="00000000">
        <w:rPr>
          <w:rtl w:val="0"/>
        </w:rPr>
        <w:t xml:space="preserve">Age UK (2020). </w:t>
      </w:r>
      <w:r w:rsidDel="00000000" w:rsidR="00000000" w:rsidRPr="00000000">
        <w:rPr>
          <w:i w:val="1"/>
          <w:rtl w:val="0"/>
        </w:rPr>
        <w:t xml:space="preserve">Age UK Research on Impact of the Pandemic on Our Older population’s Health</w:t>
      </w:r>
      <w:r w:rsidDel="00000000" w:rsidR="00000000" w:rsidRPr="00000000">
        <w:rPr>
          <w:rtl w:val="0"/>
        </w:rPr>
        <w:t xml:space="preserve">. [online] Age UK. Available at: </w:t>
      </w:r>
      <w:hyperlink r:id="rId6">
        <w:r w:rsidDel="00000000" w:rsidR="00000000" w:rsidRPr="00000000">
          <w:rPr>
            <w:color w:val="1155cc"/>
            <w:u w:val="single"/>
            <w:rtl w:val="0"/>
          </w:rPr>
          <w:t xml:space="preserve">https://www.ageuk.org.uk/latest-press/articles/2020/10/age-uk--research-into-the-effects-of-the-pandemic-on-the-older-populations-health/</w:t>
        </w:r>
      </w:hyperlink>
      <w:r w:rsidDel="00000000" w:rsidR="00000000" w:rsidRPr="00000000">
        <w:rPr>
          <w:rtl w:val="0"/>
        </w:rPr>
        <w:t xml:space="preserve"> Accessed 29 Nov. 2021.</w:t>
      </w:r>
    </w:p>
    <w:p w:rsidR="00000000" w:rsidDel="00000000" w:rsidP="00000000" w:rsidRDefault="00000000" w:rsidRPr="00000000" w14:paraId="00000073">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pPr>
      <w:r w:rsidDel="00000000" w:rsidR="00000000" w:rsidRPr="00000000">
        <w:rPr>
          <w:rtl w:val="0"/>
        </w:rPr>
        <w:t xml:space="preserve">“Care gaps and funding gaps.” (2012). </w:t>
      </w:r>
      <w:r w:rsidDel="00000000" w:rsidR="00000000" w:rsidRPr="00000000">
        <w:rPr>
          <w:i w:val="1"/>
          <w:rtl w:val="0"/>
        </w:rPr>
        <w:t xml:space="preserve">BBC News</w:t>
      </w:r>
      <w:r w:rsidDel="00000000" w:rsidR="00000000" w:rsidRPr="00000000">
        <w:rPr>
          <w:rtl w:val="0"/>
        </w:rPr>
        <w:t xml:space="preserve">. [online] 15 Apr. Available at: https://www.bbc.com/news/health-17705290  Accessed 1 Dec. 2021. </w:t>
      </w:r>
    </w:p>
    <w:p w:rsidR="00000000" w:rsidDel="00000000" w:rsidP="00000000" w:rsidRDefault="00000000" w:rsidRPr="00000000" w14:paraId="00000074">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pPr>
      <w:r w:rsidDel="00000000" w:rsidR="00000000" w:rsidRPr="00000000">
        <w:rPr>
          <w:i w:val="1"/>
          <w:rtl w:val="0"/>
        </w:rPr>
        <w:t xml:space="preserve">COVID-19: The Impact on the Human Rights of Older People</w:t>
      </w:r>
      <w:r w:rsidDel="00000000" w:rsidR="00000000" w:rsidRPr="00000000">
        <w:rPr>
          <w:rtl w:val="0"/>
        </w:rPr>
        <w:t xml:space="preserve">.(2020). </w:t>
      </w:r>
      <w:hyperlink r:id="rId7">
        <w:r w:rsidDel="00000000" w:rsidR="00000000" w:rsidRPr="00000000">
          <w:rPr>
            <w:color w:val="1155cc"/>
            <w:u w:val="single"/>
            <w:rtl w:val="0"/>
          </w:rPr>
          <w:t xml:space="preserve">https://www.ageuk.org.uk/globalassets/age-uk/documents/reports-and-publications/reports-and-briefings/equality-and-human-rights/older-people-and-human-rights-during-the-covid-19-pandemic.pdf</w:t>
        </w:r>
      </w:hyperlink>
      <w:r w:rsidDel="00000000" w:rsidR="00000000" w:rsidRPr="00000000">
        <w:rPr>
          <w:rtl w:val="0"/>
        </w:rPr>
        <w:t xml:space="preserve"> Accessed Nov 28 2021. </w:t>
      </w:r>
    </w:p>
    <w:p w:rsidR="00000000" w:rsidDel="00000000" w:rsidP="00000000" w:rsidRDefault="00000000" w:rsidRPr="00000000" w14:paraId="00000075">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pPr>
      <w:r w:rsidDel="00000000" w:rsidR="00000000" w:rsidRPr="00000000">
        <w:rPr>
          <w:rtl w:val="0"/>
        </w:rPr>
        <w:t xml:space="preserve">Cristea, M., Noja, G.G., Stefea, P. and Sala, A.L. (2020). </w:t>
      </w:r>
      <w:r w:rsidDel="00000000" w:rsidR="00000000" w:rsidRPr="00000000">
        <w:rPr>
          <w:i w:val="1"/>
          <w:rtl w:val="0"/>
        </w:rPr>
        <w:t xml:space="preserve">MDPI - Publisher of Open Access Journals</w:t>
      </w:r>
      <w:r w:rsidDel="00000000" w:rsidR="00000000" w:rsidRPr="00000000">
        <w:rPr>
          <w:rtl w:val="0"/>
        </w:rPr>
        <w:t xml:space="preserve">. [online] Mdpi.com. Available at: </w:t>
      </w:r>
      <w:hyperlink r:id="rId8">
        <w:r w:rsidDel="00000000" w:rsidR="00000000" w:rsidRPr="00000000">
          <w:rPr>
            <w:color w:val="1155cc"/>
            <w:u w:val="single"/>
            <w:rtl w:val="0"/>
          </w:rPr>
          <w:t xml:space="preserve">https://www.mdpi.com</w:t>
        </w:r>
      </w:hyperlink>
      <w:r w:rsidDel="00000000" w:rsidR="00000000" w:rsidRPr="00000000">
        <w:rPr>
          <w:rtl w:val="0"/>
        </w:rPr>
        <w:t xml:space="preserve"> Accessed 1 Dec. 2021.</w:t>
      </w:r>
    </w:p>
    <w:p w:rsidR="00000000" w:rsidDel="00000000" w:rsidP="00000000" w:rsidRDefault="00000000" w:rsidRPr="00000000" w14:paraId="00000076">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pPr>
      <w:r w:rsidDel="00000000" w:rsidR="00000000" w:rsidRPr="00000000">
        <w:rPr>
          <w:rtl w:val="0"/>
        </w:rPr>
        <w:t xml:space="preserve">GOV.UK. (2021a). </w:t>
      </w:r>
      <w:r w:rsidDel="00000000" w:rsidR="00000000" w:rsidRPr="00000000">
        <w:rPr>
          <w:i w:val="1"/>
          <w:rtl w:val="0"/>
        </w:rPr>
        <w:t xml:space="preserve">People at the Heart of Care: adult social care reform</w:t>
      </w:r>
      <w:r w:rsidDel="00000000" w:rsidR="00000000" w:rsidRPr="00000000">
        <w:rPr>
          <w:rtl w:val="0"/>
        </w:rPr>
        <w:t xml:space="preserve">. [online] Available at: </w:t>
      </w:r>
      <w:hyperlink r:id="rId9">
        <w:r w:rsidDel="00000000" w:rsidR="00000000" w:rsidRPr="00000000">
          <w:rPr>
            <w:color w:val="1155cc"/>
            <w:u w:val="single"/>
            <w:rtl w:val="0"/>
          </w:rPr>
          <w:t xml:space="preserve">https://www.gov.uk/government/publications/people-at-the-heart-of-care-adult-social-care-reform-white-paper/people-at-the-heart-of-care-adult-social-care-reform</w:t>
        </w:r>
      </w:hyperlink>
      <w:r w:rsidDel="00000000" w:rsidR="00000000" w:rsidRPr="00000000">
        <w:rPr>
          <w:rtl w:val="0"/>
        </w:rPr>
        <w:t xml:space="preserve"> Accessed 1 Dec. 2021.</w:t>
      </w:r>
    </w:p>
    <w:p w:rsidR="00000000" w:rsidDel="00000000" w:rsidP="00000000" w:rsidRDefault="00000000" w:rsidRPr="00000000" w14:paraId="00000077">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pPr>
      <w:r w:rsidDel="00000000" w:rsidR="00000000" w:rsidRPr="00000000">
        <w:rPr>
          <w:rtl w:val="0"/>
        </w:rPr>
        <w:t xml:space="preserve">Government Office for Science (2016). </w:t>
      </w:r>
      <w:r w:rsidDel="00000000" w:rsidR="00000000" w:rsidRPr="00000000">
        <w:rPr>
          <w:i w:val="1"/>
          <w:rtl w:val="0"/>
        </w:rPr>
        <w:t xml:space="preserve">Future of an Ageing Population</w:t>
      </w:r>
      <w:r w:rsidDel="00000000" w:rsidR="00000000" w:rsidRPr="00000000">
        <w:rPr>
          <w:rtl w:val="0"/>
        </w:rPr>
        <w:t xml:space="preserve">. [online] Available at: </w:t>
      </w:r>
      <w:hyperlink r:id="rId10">
        <w:r w:rsidDel="00000000" w:rsidR="00000000" w:rsidRPr="00000000">
          <w:rPr>
            <w:color w:val="1155cc"/>
            <w:u w:val="single"/>
            <w:rtl w:val="0"/>
          </w:rPr>
          <w:t xml:space="preserve">https://assets.publishing.service.gov.uk/government/uploads/system/uploads/attachment_data/file/816458/future-of-an-ageing-population.pdf</w:t>
        </w:r>
      </w:hyperlink>
      <w:r w:rsidDel="00000000" w:rsidR="00000000" w:rsidRPr="00000000">
        <w:rPr>
          <w:rtl w:val="0"/>
        </w:rPr>
        <w:t xml:space="preserve"> Accessed 30 Nov. 2021.</w:t>
      </w:r>
    </w:p>
    <w:p w:rsidR="00000000" w:rsidDel="00000000" w:rsidP="00000000" w:rsidRDefault="00000000" w:rsidRPr="00000000" w14:paraId="00000078">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pPr>
      <w:r w:rsidDel="00000000" w:rsidR="00000000" w:rsidRPr="00000000">
        <w:rPr>
          <w:rtl w:val="0"/>
        </w:rPr>
        <w:t xml:space="preserve">Ham, C., Dixon, A. and Brooke, B. (2012). </w:t>
      </w:r>
      <w:r w:rsidDel="00000000" w:rsidR="00000000" w:rsidRPr="00000000">
        <w:rPr>
          <w:i w:val="1"/>
          <w:rtl w:val="0"/>
        </w:rPr>
        <w:t xml:space="preserve">TRANSFORMING THE DELIVERY OF HEALTH AND SOCIAL CARE The case for fundamental change</w:t>
      </w:r>
      <w:r w:rsidDel="00000000" w:rsidR="00000000" w:rsidRPr="00000000">
        <w:rPr>
          <w:rtl w:val="0"/>
        </w:rPr>
        <w:t xml:space="preserve">. [online] Available at: </w:t>
      </w:r>
      <w:hyperlink r:id="rId11">
        <w:r w:rsidDel="00000000" w:rsidR="00000000" w:rsidRPr="00000000">
          <w:rPr>
            <w:color w:val="1155cc"/>
            <w:u w:val="single"/>
            <w:rtl w:val="0"/>
          </w:rPr>
          <w:t xml:space="preserve">https://www.kingsfund.org.uk/sites/default/files/field/field_publication_file/transforming-the-delivery-of-health-and-social-care-the-kings-fund-sep-2012.pdf</w:t>
        </w:r>
      </w:hyperlink>
      <w:r w:rsidDel="00000000" w:rsidR="00000000" w:rsidRPr="00000000">
        <w:rPr>
          <w:rtl w:val="0"/>
        </w:rPr>
        <w:t xml:space="preserve">  Accessed 30 Nov. 2021.</w:t>
      </w:r>
    </w:p>
    <w:p w:rsidR="00000000" w:rsidDel="00000000" w:rsidP="00000000" w:rsidRDefault="00000000" w:rsidRPr="00000000" w14:paraId="00000079">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pPr>
      <w:r w:rsidDel="00000000" w:rsidR="00000000" w:rsidRPr="00000000">
        <w:rPr>
          <w:rtl w:val="0"/>
        </w:rPr>
        <w:t xml:space="preserve">Idriss, O., Tallack, C., Shembavnekar, N. and Carter, M. (2021). </w:t>
      </w:r>
      <w:r w:rsidDel="00000000" w:rsidR="00000000" w:rsidRPr="00000000">
        <w:rPr>
          <w:i w:val="1"/>
          <w:rtl w:val="0"/>
        </w:rPr>
        <w:t xml:space="preserve">Social care funding gap | The Health Foundation</w:t>
      </w:r>
      <w:r w:rsidDel="00000000" w:rsidR="00000000" w:rsidRPr="00000000">
        <w:rPr>
          <w:rtl w:val="0"/>
        </w:rPr>
        <w:t xml:space="preserve">. [online] www.health.org.uk. Available at: </w:t>
      </w:r>
      <w:hyperlink r:id="rId12">
        <w:r w:rsidDel="00000000" w:rsidR="00000000" w:rsidRPr="00000000">
          <w:rPr>
            <w:color w:val="1155cc"/>
            <w:u w:val="single"/>
            <w:rtl w:val="0"/>
          </w:rPr>
          <w:t xml:space="preserve">https://www.health.org.uk/news-and-comment/charts-and-infographics/REAL-social-care-funding-gap</w:t>
        </w:r>
      </w:hyperlink>
      <w:r w:rsidDel="00000000" w:rsidR="00000000" w:rsidRPr="00000000">
        <w:rPr>
          <w:rtl w:val="0"/>
        </w:rPr>
        <w:t xml:space="preserve">. Accessed Nov 29 2021.</w:t>
      </w:r>
    </w:p>
    <w:p w:rsidR="00000000" w:rsidDel="00000000" w:rsidP="00000000" w:rsidRDefault="00000000" w:rsidRPr="00000000" w14:paraId="0000007A">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1440" w:hanging="360"/>
        <w:jc w:val="both"/>
        <w:rPr>
          <w:color w:val="222222"/>
          <w:highlight w:val="white"/>
        </w:rPr>
      </w:pPr>
      <w:r w:rsidDel="00000000" w:rsidR="00000000" w:rsidRPr="00000000">
        <w:rPr>
          <w:color w:val="222222"/>
          <w:highlight w:val="white"/>
          <w:rtl w:val="0"/>
        </w:rPr>
        <w:t xml:space="preserve">Kinsella, K.G. and Phillips, D.R., (2005). Global aging: The challenge of success. Access Nov 29 2021.</w:t>
      </w:r>
    </w:p>
    <w:p w:rsidR="00000000" w:rsidDel="00000000" w:rsidP="00000000" w:rsidRDefault="00000000" w:rsidRPr="00000000" w14:paraId="0000007B">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1440" w:hanging="360"/>
        <w:jc w:val="both"/>
        <w:rPr>
          <w:color w:val="222222"/>
          <w:sz w:val="24"/>
          <w:szCs w:val="24"/>
          <w:highlight w:val="white"/>
        </w:rPr>
      </w:pPr>
      <w:r w:rsidDel="00000000" w:rsidR="00000000" w:rsidRPr="00000000">
        <w:rPr>
          <w:color w:val="222222"/>
          <w:highlight w:val="white"/>
          <w:rtl w:val="0"/>
        </w:rPr>
        <w:t xml:space="preserve">Larkin, M., 2009. </w:t>
      </w:r>
      <w:r w:rsidDel="00000000" w:rsidR="00000000" w:rsidRPr="00000000">
        <w:rPr>
          <w:i w:val="1"/>
          <w:color w:val="222222"/>
          <w:highlight w:val="white"/>
          <w:rtl w:val="0"/>
        </w:rPr>
        <w:t xml:space="preserve">Vulnerable groups in health and social care</w:t>
      </w:r>
      <w:r w:rsidDel="00000000" w:rsidR="00000000" w:rsidRPr="00000000">
        <w:rPr>
          <w:color w:val="222222"/>
          <w:highlight w:val="white"/>
          <w:rtl w:val="0"/>
        </w:rPr>
        <w:t xml:space="preserve">. sage. Accessed Nov 29 2021.</w:t>
      </w:r>
      <w:r w:rsidDel="00000000" w:rsidR="00000000" w:rsidRPr="00000000">
        <w:rPr>
          <w:rtl w:val="0"/>
        </w:rPr>
      </w:r>
    </w:p>
    <w:p w:rsidR="00000000" w:rsidDel="00000000" w:rsidP="00000000" w:rsidRDefault="00000000" w:rsidRPr="00000000" w14:paraId="0000007C">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1440" w:hanging="360"/>
        <w:jc w:val="both"/>
        <w:rPr/>
      </w:pPr>
      <w:r w:rsidDel="00000000" w:rsidR="00000000" w:rsidRPr="00000000">
        <w:rPr>
          <w:rtl w:val="0"/>
        </w:rPr>
        <w:t xml:space="preserve">Lewis, A., Barton, C. and Cromarty, H. (2021). Housing an ageing population: a reading list. </w:t>
      </w:r>
      <w:r w:rsidDel="00000000" w:rsidR="00000000" w:rsidRPr="00000000">
        <w:rPr>
          <w:i w:val="1"/>
          <w:rtl w:val="0"/>
        </w:rPr>
        <w:t xml:space="preserve">commonslibrary.parliament.uk</w:t>
      </w:r>
      <w:r w:rsidDel="00000000" w:rsidR="00000000" w:rsidRPr="00000000">
        <w:rPr>
          <w:rtl w:val="0"/>
        </w:rPr>
        <w:t xml:space="preserve">. [online] Available at: </w:t>
      </w:r>
      <w:hyperlink r:id="rId13">
        <w:r w:rsidDel="00000000" w:rsidR="00000000" w:rsidRPr="00000000">
          <w:rPr>
            <w:color w:val="1155cc"/>
            <w:u w:val="single"/>
            <w:rtl w:val="0"/>
          </w:rPr>
          <w:t xml:space="preserve">https://commonslibrary.parliament.uk/research-briefings/cbp-9239/</w:t>
        </w:r>
      </w:hyperlink>
      <w:r w:rsidDel="00000000" w:rsidR="00000000" w:rsidRPr="00000000">
        <w:rPr>
          <w:rtl w:val="0"/>
        </w:rPr>
        <w:t xml:space="preserve">  Accessed 29 Nov. 2021.</w:t>
      </w:r>
    </w:p>
    <w:p w:rsidR="00000000" w:rsidDel="00000000" w:rsidP="00000000" w:rsidRDefault="00000000" w:rsidRPr="00000000" w14:paraId="0000007D">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1440" w:hanging="360"/>
        <w:jc w:val="both"/>
        <w:rPr>
          <w:color w:val="222222"/>
          <w:highlight w:val="white"/>
        </w:rPr>
      </w:pPr>
      <w:r w:rsidDel="00000000" w:rsidR="00000000" w:rsidRPr="00000000">
        <w:rPr>
          <w:color w:val="222222"/>
          <w:highlight w:val="white"/>
          <w:rtl w:val="0"/>
        </w:rPr>
        <w:t xml:space="preserve">Magnus, G., 2012. </w:t>
      </w:r>
      <w:r w:rsidDel="00000000" w:rsidR="00000000" w:rsidRPr="00000000">
        <w:rPr>
          <w:i w:val="1"/>
          <w:color w:val="222222"/>
          <w:highlight w:val="white"/>
          <w:rtl w:val="0"/>
        </w:rPr>
        <w:t xml:space="preserve">The age of aging: How demographics are changing the global economy and our world</w:t>
      </w:r>
      <w:r w:rsidDel="00000000" w:rsidR="00000000" w:rsidRPr="00000000">
        <w:rPr>
          <w:color w:val="222222"/>
          <w:highlight w:val="white"/>
          <w:rtl w:val="0"/>
        </w:rPr>
        <w:t xml:space="preserve">. John Wiley &amp; Sons. Accessed Nov 28 2021.</w:t>
      </w:r>
    </w:p>
    <w:p w:rsidR="00000000" w:rsidDel="00000000" w:rsidP="00000000" w:rsidRDefault="00000000" w:rsidRPr="00000000" w14:paraId="0000007E">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1440" w:hanging="360"/>
        <w:jc w:val="both"/>
        <w:rPr>
          <w:color w:val="222222"/>
          <w:sz w:val="24"/>
          <w:szCs w:val="24"/>
          <w:highlight w:val="white"/>
        </w:rPr>
      </w:pPr>
      <w:r w:rsidDel="00000000" w:rsidR="00000000" w:rsidRPr="00000000">
        <w:rPr>
          <w:color w:val="222222"/>
          <w:highlight w:val="white"/>
          <w:rtl w:val="0"/>
        </w:rPr>
        <w:t xml:space="preserve">Mauk, K.L., 2010. </w:t>
      </w:r>
      <w:r w:rsidDel="00000000" w:rsidR="00000000" w:rsidRPr="00000000">
        <w:rPr>
          <w:i w:val="1"/>
          <w:color w:val="222222"/>
          <w:highlight w:val="white"/>
          <w:rtl w:val="0"/>
        </w:rPr>
        <w:t xml:space="preserve">Gerontological nursing: competencies for care</w:t>
      </w:r>
      <w:r w:rsidDel="00000000" w:rsidR="00000000" w:rsidRPr="00000000">
        <w:rPr>
          <w:color w:val="222222"/>
          <w:highlight w:val="white"/>
          <w:rtl w:val="0"/>
        </w:rPr>
        <w:t xml:space="preserve">. Jones &amp; Bartlett Publishers. Accessed Nov 28 2021.</w:t>
      </w:r>
      <w:r w:rsidDel="00000000" w:rsidR="00000000" w:rsidRPr="00000000">
        <w:rPr>
          <w:rtl w:val="0"/>
        </w:rPr>
      </w:r>
    </w:p>
    <w:p w:rsidR="00000000" w:rsidDel="00000000" w:rsidP="00000000" w:rsidRDefault="00000000" w:rsidRPr="00000000" w14:paraId="0000007F">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color w:val="222222"/>
          <w:highlight w:val="white"/>
        </w:rPr>
      </w:pPr>
      <w:r w:rsidDel="00000000" w:rsidR="00000000" w:rsidRPr="00000000">
        <w:rPr>
          <w:color w:val="222222"/>
          <w:highlight w:val="white"/>
          <w:rtl w:val="0"/>
        </w:rPr>
        <w:t xml:space="preserve">NICE, (2015) Older people with social care needs and multiple long-term conditions. NATIONAL INSTITUTE FOR HEALTH AND CARE EXCELLENCE GUIDELINE. (2015). [online] Available at: </w:t>
      </w:r>
      <w:hyperlink r:id="rId14">
        <w:r w:rsidDel="00000000" w:rsidR="00000000" w:rsidRPr="00000000">
          <w:rPr>
            <w:color w:val="1155cc"/>
            <w:highlight w:val="white"/>
            <w:u w:val="single"/>
            <w:rtl w:val="0"/>
          </w:rPr>
          <w:t xml:space="preserve">https://www.nice.org.uk/guidance/ng22/evidence/full-guideline-552742669</w:t>
        </w:r>
      </w:hyperlink>
      <w:r w:rsidDel="00000000" w:rsidR="00000000" w:rsidRPr="00000000">
        <w:rPr>
          <w:color w:val="222222"/>
          <w:highlight w:val="white"/>
          <w:rtl w:val="0"/>
        </w:rPr>
        <w:t xml:space="preserve"> Accessed 30 Nov. 2021.</w:t>
      </w:r>
    </w:p>
    <w:p w:rsidR="00000000" w:rsidDel="00000000" w:rsidP="00000000" w:rsidRDefault="00000000" w:rsidRPr="00000000" w14:paraId="00000080">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color w:val="222222"/>
          <w:highlight w:val="white"/>
        </w:rPr>
      </w:pPr>
      <w:r w:rsidDel="00000000" w:rsidR="00000000" w:rsidRPr="00000000">
        <w:rPr>
          <w:color w:val="222222"/>
          <w:highlight w:val="white"/>
          <w:rtl w:val="0"/>
        </w:rPr>
        <w:t xml:space="preserve">Office, G. (2013). </w:t>
      </w:r>
      <w:r w:rsidDel="00000000" w:rsidR="00000000" w:rsidRPr="00000000">
        <w:rPr>
          <w:i w:val="1"/>
          <w:color w:val="222222"/>
          <w:highlight w:val="white"/>
          <w:rtl w:val="0"/>
        </w:rPr>
        <w:t xml:space="preserve">Future of ageing</w:t>
      </w:r>
      <w:r w:rsidDel="00000000" w:rsidR="00000000" w:rsidRPr="00000000">
        <w:rPr>
          <w:color w:val="222222"/>
          <w:highlight w:val="white"/>
          <w:rtl w:val="0"/>
        </w:rPr>
        <w:t xml:space="preserve">. [online] GOV.UK. Available at: </w:t>
      </w:r>
      <w:hyperlink r:id="rId15">
        <w:r w:rsidDel="00000000" w:rsidR="00000000" w:rsidRPr="00000000">
          <w:rPr>
            <w:color w:val="1155cc"/>
            <w:highlight w:val="white"/>
            <w:u w:val="single"/>
            <w:rtl w:val="0"/>
          </w:rPr>
          <w:t xml:space="preserve">https://www.gov.uk/government/collections/future-of-ageing</w:t>
        </w:r>
      </w:hyperlink>
      <w:r w:rsidDel="00000000" w:rsidR="00000000" w:rsidRPr="00000000">
        <w:rPr>
          <w:color w:val="222222"/>
          <w:highlight w:val="white"/>
          <w:rtl w:val="0"/>
        </w:rPr>
        <w:t xml:space="preserve"> Accessed 1 Dec. 2021.</w:t>
      </w:r>
      <w:r w:rsidDel="00000000" w:rsidR="00000000" w:rsidRPr="00000000">
        <w:rPr>
          <w:rtl w:val="0"/>
        </w:rPr>
      </w:r>
    </w:p>
    <w:p w:rsidR="00000000" w:rsidDel="00000000" w:rsidP="00000000" w:rsidRDefault="00000000" w:rsidRPr="00000000" w14:paraId="00000081">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1440" w:hanging="360"/>
        <w:jc w:val="both"/>
        <w:rPr>
          <w:color w:val="222222"/>
          <w:highlight w:val="white"/>
        </w:rPr>
      </w:pPr>
      <w:r w:rsidDel="00000000" w:rsidR="00000000" w:rsidRPr="00000000">
        <w:rPr>
          <w:color w:val="222222"/>
          <w:highlight w:val="white"/>
          <w:rtl w:val="0"/>
        </w:rPr>
        <w:t xml:space="preserve">Orimo, H., Ito, H., Suzuki, T., Araki, A., Hosoi, T. and Sawabe, M., (2006). Reviewing the definition of “elderly”. </w:t>
      </w:r>
      <w:r w:rsidDel="00000000" w:rsidR="00000000" w:rsidRPr="00000000">
        <w:rPr>
          <w:i w:val="1"/>
          <w:color w:val="222222"/>
          <w:highlight w:val="white"/>
          <w:rtl w:val="0"/>
        </w:rPr>
        <w:t xml:space="preserve">Geriatrics &amp; gerontology international</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w:t>
      </w:r>
      <w:r w:rsidDel="00000000" w:rsidR="00000000" w:rsidRPr="00000000">
        <w:rPr>
          <w:color w:val="222222"/>
          <w:highlight w:val="white"/>
          <w:rtl w:val="0"/>
        </w:rPr>
        <w:t xml:space="preserve">(3), pp.149-158. Accessed 26 Nov 2021.</w:t>
      </w:r>
    </w:p>
    <w:p w:rsidR="00000000" w:rsidDel="00000000" w:rsidP="00000000" w:rsidRDefault="00000000" w:rsidRPr="00000000" w14:paraId="00000082">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1440" w:hanging="360"/>
        <w:jc w:val="both"/>
        <w:rPr>
          <w:color w:val="222222"/>
          <w:sz w:val="24"/>
          <w:szCs w:val="24"/>
          <w:highlight w:val="white"/>
        </w:rPr>
      </w:pPr>
      <w:r w:rsidDel="00000000" w:rsidR="00000000" w:rsidRPr="00000000">
        <w:rPr>
          <w:color w:val="222222"/>
          <w:highlight w:val="white"/>
          <w:rtl w:val="0"/>
        </w:rPr>
        <w:t xml:space="preserve">Rechel, B., Doyle, Y., Grundy, E. and McKee, M., (2009). How can health systems respond to population ageing?. Accessed Nov 29 2021.</w:t>
      </w:r>
      <w:r w:rsidDel="00000000" w:rsidR="00000000" w:rsidRPr="00000000">
        <w:rPr>
          <w:rtl w:val="0"/>
        </w:rPr>
      </w:r>
    </w:p>
    <w:p w:rsidR="00000000" w:rsidDel="00000000" w:rsidP="00000000" w:rsidRDefault="00000000" w:rsidRPr="00000000" w14:paraId="00000083">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1440" w:hanging="360"/>
        <w:jc w:val="both"/>
        <w:rPr>
          <w:color w:val="222222"/>
          <w:highlight w:val="white"/>
        </w:rPr>
      </w:pPr>
      <w:r w:rsidDel="00000000" w:rsidR="00000000" w:rsidRPr="00000000">
        <w:rPr>
          <w:color w:val="222222"/>
          <w:highlight w:val="white"/>
          <w:rtl w:val="0"/>
        </w:rPr>
        <w:t xml:space="preserve">Roebuck, J., (1979). When does" old age begin?: The evolution of the English definition. </w:t>
      </w:r>
      <w:r w:rsidDel="00000000" w:rsidR="00000000" w:rsidRPr="00000000">
        <w:rPr>
          <w:i w:val="1"/>
          <w:color w:val="222222"/>
          <w:highlight w:val="white"/>
          <w:rtl w:val="0"/>
        </w:rPr>
        <w:t xml:space="preserve">Journal of Social History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12</w:t>
      </w:r>
      <w:r w:rsidDel="00000000" w:rsidR="00000000" w:rsidRPr="00000000">
        <w:rPr>
          <w:color w:val="222222"/>
          <w:highlight w:val="white"/>
          <w:rtl w:val="0"/>
        </w:rPr>
        <w:t xml:space="preserve">(3), pp.416-428. Accessed Nov 20 2021. </w:t>
      </w:r>
    </w:p>
    <w:p w:rsidR="00000000" w:rsidDel="00000000" w:rsidP="00000000" w:rsidRDefault="00000000" w:rsidRPr="00000000" w14:paraId="00000084">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color w:val="222222"/>
          <w:highlight w:val="white"/>
        </w:rPr>
      </w:pPr>
      <w:r w:rsidDel="00000000" w:rsidR="00000000" w:rsidRPr="00000000">
        <w:rPr>
          <w:color w:val="222222"/>
          <w:highlight w:val="white"/>
          <w:rtl w:val="0"/>
        </w:rPr>
        <w:t xml:space="preserve">Storey, A. (2018). </w:t>
      </w:r>
      <w:r w:rsidDel="00000000" w:rsidR="00000000" w:rsidRPr="00000000">
        <w:rPr>
          <w:i w:val="1"/>
          <w:color w:val="222222"/>
          <w:highlight w:val="white"/>
          <w:rtl w:val="0"/>
        </w:rPr>
        <w:t xml:space="preserve">Living longer - Office for National Statistics</w:t>
      </w:r>
      <w:r w:rsidDel="00000000" w:rsidR="00000000" w:rsidRPr="00000000">
        <w:rPr>
          <w:color w:val="222222"/>
          <w:highlight w:val="white"/>
          <w:rtl w:val="0"/>
        </w:rPr>
        <w:t xml:space="preserve">. [online] Ons.gov.uk. Available at: </w:t>
      </w:r>
      <w:hyperlink r:id="rId16">
        <w:r w:rsidDel="00000000" w:rsidR="00000000" w:rsidRPr="00000000">
          <w:rPr>
            <w:color w:val="1155cc"/>
            <w:highlight w:val="white"/>
            <w:u w:val="single"/>
            <w:rtl w:val="0"/>
          </w:rPr>
          <w:t xml:space="preserve">https://www.ons.gov.uk/peoplepopulationandcommunity/birthsdeathsandmarriages/ageing/articles/livinglongerhowourpopulationischangingandwhyitmatters/2018-08-13</w:t>
        </w:r>
      </w:hyperlink>
      <w:r w:rsidDel="00000000" w:rsidR="00000000" w:rsidRPr="00000000">
        <w:rPr>
          <w:color w:val="222222"/>
          <w:highlight w:val="white"/>
          <w:rtl w:val="0"/>
        </w:rPr>
        <w:t xml:space="preserve"> Accessed 30 Nov. 2021.</w:t>
      </w:r>
      <w:r w:rsidDel="00000000" w:rsidR="00000000" w:rsidRPr="00000000">
        <w:rPr>
          <w:rtl w:val="0"/>
        </w:rPr>
      </w:r>
    </w:p>
    <w:p w:rsidR="00000000" w:rsidDel="00000000" w:rsidP="00000000" w:rsidRDefault="00000000" w:rsidRPr="00000000" w14:paraId="00000085">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highlight w:val="white"/>
        </w:rPr>
      </w:pPr>
      <w:r w:rsidDel="00000000" w:rsidR="00000000" w:rsidRPr="00000000">
        <w:rPr>
          <w:color w:val="222222"/>
          <w:highlight w:val="white"/>
          <w:rtl w:val="0"/>
        </w:rPr>
        <w:t xml:space="preserve">The King’s Fund. (2017). </w:t>
      </w:r>
      <w:r w:rsidDel="00000000" w:rsidR="00000000" w:rsidRPr="00000000">
        <w:rPr>
          <w:i w:val="1"/>
          <w:color w:val="222222"/>
          <w:highlight w:val="white"/>
          <w:rtl w:val="0"/>
        </w:rPr>
        <w:t xml:space="preserve">The King’s Fund</w:t>
      </w:r>
      <w:r w:rsidDel="00000000" w:rsidR="00000000" w:rsidRPr="00000000">
        <w:rPr>
          <w:color w:val="222222"/>
          <w:highlight w:val="white"/>
          <w:rtl w:val="0"/>
        </w:rPr>
        <w:t xml:space="preserve">. [online] Available at: </w:t>
      </w:r>
      <w:hyperlink r:id="rId17">
        <w:r w:rsidDel="00000000" w:rsidR="00000000" w:rsidRPr="00000000">
          <w:rPr>
            <w:color w:val="1155cc"/>
            <w:highlight w:val="white"/>
            <w:u w:val="single"/>
            <w:rtl w:val="0"/>
          </w:rPr>
          <w:t xml:space="preserve">https://www.kingsfund.org.uk/projects/what-is-social-care</w:t>
        </w:r>
      </w:hyperlink>
      <w:r w:rsidDel="00000000" w:rsidR="00000000" w:rsidRPr="00000000">
        <w:rPr>
          <w:color w:val="222222"/>
          <w:highlight w:val="white"/>
          <w:rtl w:val="0"/>
        </w:rPr>
        <w:t xml:space="preserve">. Accessed 29 Nov. 2021.</w:t>
      </w:r>
    </w:p>
    <w:p w:rsidR="00000000" w:rsidDel="00000000" w:rsidP="00000000" w:rsidRDefault="00000000" w:rsidRPr="00000000" w14:paraId="00000086">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color w:val="222222"/>
          <w:highlight w:val="white"/>
        </w:rPr>
      </w:pPr>
      <w:r w:rsidDel="00000000" w:rsidR="00000000" w:rsidRPr="00000000">
        <w:rPr>
          <w:color w:val="222222"/>
          <w:highlight w:val="white"/>
          <w:rtl w:val="0"/>
        </w:rPr>
        <w:t xml:space="preserve">The King’s Fund. (n.d.). </w:t>
      </w:r>
      <w:r w:rsidDel="00000000" w:rsidR="00000000" w:rsidRPr="00000000">
        <w:rPr>
          <w:i w:val="1"/>
          <w:color w:val="222222"/>
          <w:highlight w:val="white"/>
          <w:rtl w:val="0"/>
        </w:rPr>
        <w:t xml:space="preserve">Health and care defined</w:t>
      </w:r>
      <w:r w:rsidDel="00000000" w:rsidR="00000000" w:rsidRPr="00000000">
        <w:rPr>
          <w:color w:val="222222"/>
          <w:highlight w:val="white"/>
          <w:rtl w:val="0"/>
        </w:rPr>
        <w:t xml:space="preserve">. [online] Available at: https://www.kingsfund.org.uk/health-care-explained/jargon-buster Accessed 29 Nov. 2021.</w:t>
      </w:r>
    </w:p>
    <w:p w:rsidR="00000000" w:rsidDel="00000000" w:rsidP="00000000" w:rsidRDefault="00000000" w:rsidRPr="00000000" w14:paraId="00000087">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220" w:line="360" w:lineRule="auto"/>
        <w:ind w:left="1440" w:hanging="360"/>
        <w:jc w:val="both"/>
        <w:rPr>
          <w:color w:val="222222"/>
          <w:highlight w:val="white"/>
        </w:rPr>
      </w:pPr>
      <w:r w:rsidDel="00000000" w:rsidR="00000000" w:rsidRPr="00000000">
        <w:rPr>
          <w:color w:val="222222"/>
          <w:highlight w:val="white"/>
          <w:rtl w:val="0"/>
        </w:rPr>
        <w:t xml:space="preserve">GOV.UK. (2021b). </w:t>
      </w:r>
      <w:r w:rsidDel="00000000" w:rsidR="00000000" w:rsidRPr="00000000">
        <w:rPr>
          <w:i w:val="1"/>
          <w:color w:val="222222"/>
          <w:highlight w:val="white"/>
          <w:rtl w:val="0"/>
        </w:rPr>
        <w:t xml:space="preserve">Trend Deck 2021: Demographics</w:t>
      </w:r>
      <w:r w:rsidDel="00000000" w:rsidR="00000000" w:rsidRPr="00000000">
        <w:rPr>
          <w:color w:val="222222"/>
          <w:highlight w:val="white"/>
          <w:rtl w:val="0"/>
        </w:rPr>
        <w:t xml:space="preserve">. [online] Available at: https://www.gov.uk/government/publications/trend-deck-2021-demographics/trend-deck-2021-demographics  Accessed 28 Nov. 2021.</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1440" w:firstLine="0"/>
        <w:jc w:val="both"/>
        <w:rPr>
          <w:color w:val="222222"/>
          <w:highlight w:val="white"/>
        </w:rPr>
      </w:pPr>
      <w:r w:rsidDel="00000000" w:rsidR="00000000" w:rsidRPr="00000000">
        <w:rPr>
          <w:rtl w:val="0"/>
        </w:rPr>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hd w:fill="ffffff" w:val="clear"/>
        <w:ind w:left="0" w:firstLine="0"/>
        <w:jc w:val="left"/>
        <w:rPr>
          <w:color w:val="222222"/>
          <w:highlight w:val="white"/>
        </w:rPr>
      </w:pPr>
      <w:r w:rsidDel="00000000" w:rsidR="00000000" w:rsidRPr="00000000">
        <w:rPr>
          <w:rtl w:val="0"/>
        </w:rPr>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hd w:fill="ffffff" w:val="clear"/>
        <w:ind w:left="0" w:firstLine="0"/>
        <w:jc w:val="left"/>
        <w:rPr>
          <w:color w:val="222222"/>
          <w:highlight w:val="white"/>
        </w:rPr>
      </w:pPr>
      <w:r w:rsidDel="00000000" w:rsidR="00000000" w:rsidRPr="00000000">
        <w:rPr>
          <w:rtl w:val="0"/>
        </w:rPr>
      </w:r>
    </w:p>
    <w:p w:rsidR="00000000" w:rsidDel="00000000" w:rsidP="00000000" w:rsidRDefault="00000000" w:rsidRPr="00000000" w14:paraId="0000008B">
      <w:pPr>
        <w:spacing w:after="22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kingsfund.org.uk/sites/default/files/field/field_publication_file/transforming-the-delivery-of-health-and-social-care-the-kings-fund-sep-2012.pdf" TargetMode="External"/><Relationship Id="rId10" Type="http://schemas.openxmlformats.org/officeDocument/2006/relationships/hyperlink" Target="https://assets.publishing.service.gov.uk/government/uploads/system/uploads/attachment_data/file/816458/future-of-an-ageing-population.pdf" TargetMode="External"/><Relationship Id="rId13" Type="http://schemas.openxmlformats.org/officeDocument/2006/relationships/hyperlink" Target="https://commonslibrary.parliament.uk/research-briefings/cbp-9239/" TargetMode="External"/><Relationship Id="rId12" Type="http://schemas.openxmlformats.org/officeDocument/2006/relationships/hyperlink" Target="https://www.health.org.uk/news-and-comment/charts-and-infographics/REAL-social-care-funding-gap"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people-at-the-heart-of-care-adult-social-care-reform-white-paper/people-at-the-heart-of-care-adult-social-care-reform" TargetMode="External"/><Relationship Id="rId15" Type="http://schemas.openxmlformats.org/officeDocument/2006/relationships/hyperlink" Target="https://www.gov.uk/government/collections/future-of-ageing" TargetMode="External"/><Relationship Id="rId14" Type="http://schemas.openxmlformats.org/officeDocument/2006/relationships/hyperlink" Target="https://www.nice.org.uk/guidance/ng22/evidence/full-guideline-552742669" TargetMode="External"/><Relationship Id="rId17" Type="http://schemas.openxmlformats.org/officeDocument/2006/relationships/hyperlink" Target="https://www.kingsfund.org.uk/projects/what-is-social-care" TargetMode="External"/><Relationship Id="rId16" Type="http://schemas.openxmlformats.org/officeDocument/2006/relationships/hyperlink" Target="https://www.ons.gov.uk/peoplepopulationandcommunity/birthsdeathsandmarriages/ageing/articles/livinglongerhowourpopulationischangingandwhyitmatters/2018-08-13" TargetMode="External"/><Relationship Id="rId5" Type="http://schemas.openxmlformats.org/officeDocument/2006/relationships/styles" Target="styles.xml"/><Relationship Id="rId6" Type="http://schemas.openxmlformats.org/officeDocument/2006/relationships/hyperlink" Target="https://www.ageuk.org.uk/latest-press/articles/2020/10/age-uk--research-into-the-effects-of-the-pandemic-on-the-older-populations-health/" TargetMode="External"/><Relationship Id="rId7" Type="http://schemas.openxmlformats.org/officeDocument/2006/relationships/hyperlink" Target="https://www.ageuk.org.uk/globalassets/age-uk/documents/reports-and-publications/reports-and-briefings/equality-and-human-rights/older-people-and-human-rights-during-the-covid-19-pandemic.pdf" TargetMode="External"/><Relationship Id="rId8" Type="http://schemas.openxmlformats.org/officeDocument/2006/relationships/hyperlink" Target="https://www.mdp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