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5B06C7" w14:textId="77777777" w:rsidR="00C87236" w:rsidRPr="000A4ACB" w:rsidRDefault="00C87236" w:rsidP="00C87236">
      <w:pPr>
        <w:jc w:val="center"/>
        <w:rPr>
          <w:rFonts w:cs="Times New Roman"/>
          <w:b/>
          <w:bCs/>
          <w:caps/>
          <w:color w:val="000000" w:themeColor="text1"/>
          <w:shd w:val="clear" w:color="auto" w:fill="FFFFFF"/>
        </w:rPr>
      </w:pPr>
    </w:p>
    <w:p w14:paraId="6B532167" w14:textId="77777777" w:rsidR="00C87236" w:rsidRPr="000A4ACB" w:rsidRDefault="00C87236" w:rsidP="00C87236">
      <w:pPr>
        <w:jc w:val="center"/>
        <w:rPr>
          <w:rFonts w:cs="Times New Roman"/>
          <w:b/>
          <w:bCs/>
          <w:caps/>
          <w:color w:val="000000" w:themeColor="text1"/>
          <w:shd w:val="clear" w:color="auto" w:fill="FFFFFF"/>
        </w:rPr>
      </w:pPr>
    </w:p>
    <w:p w14:paraId="6A7EBC2A" w14:textId="77777777" w:rsidR="00C87236" w:rsidRPr="000A4ACB" w:rsidRDefault="00C87236" w:rsidP="00C87236">
      <w:pPr>
        <w:jc w:val="center"/>
        <w:rPr>
          <w:rFonts w:cs="Times New Roman"/>
          <w:b/>
          <w:bCs/>
          <w:caps/>
          <w:color w:val="000000" w:themeColor="text1"/>
          <w:shd w:val="clear" w:color="auto" w:fill="FFFFFF"/>
        </w:rPr>
      </w:pPr>
    </w:p>
    <w:p w14:paraId="40A75A81" w14:textId="77777777" w:rsidR="00C87236" w:rsidRPr="000A4ACB" w:rsidRDefault="00C87236" w:rsidP="00C87236">
      <w:pPr>
        <w:jc w:val="center"/>
        <w:rPr>
          <w:rFonts w:cs="Times New Roman"/>
          <w:b/>
          <w:bCs/>
          <w:caps/>
          <w:color w:val="000000" w:themeColor="text1"/>
          <w:shd w:val="clear" w:color="auto" w:fill="FFFFFF"/>
        </w:rPr>
      </w:pPr>
    </w:p>
    <w:p w14:paraId="3441E287" w14:textId="77777777" w:rsidR="00C87236" w:rsidRPr="000A4ACB" w:rsidRDefault="00C87236" w:rsidP="00C87236">
      <w:pPr>
        <w:jc w:val="center"/>
        <w:rPr>
          <w:rFonts w:cs="Times New Roman"/>
          <w:b/>
          <w:bCs/>
          <w:caps/>
          <w:color w:val="000000" w:themeColor="text1"/>
          <w:shd w:val="clear" w:color="auto" w:fill="FFFFFF"/>
        </w:rPr>
      </w:pPr>
    </w:p>
    <w:p w14:paraId="2829EC80" w14:textId="77777777" w:rsidR="00C87236" w:rsidRPr="000A4ACB" w:rsidRDefault="00C87236" w:rsidP="00C87236">
      <w:pPr>
        <w:jc w:val="center"/>
        <w:rPr>
          <w:rFonts w:cs="Times New Roman"/>
          <w:b/>
          <w:bCs/>
          <w:caps/>
          <w:color w:val="000000" w:themeColor="text1"/>
          <w:shd w:val="clear" w:color="auto" w:fill="FFFFFF"/>
        </w:rPr>
      </w:pPr>
    </w:p>
    <w:p w14:paraId="44A06B78" w14:textId="77777777" w:rsidR="00C87236" w:rsidRPr="000A4ACB" w:rsidRDefault="00C87236" w:rsidP="00C87236">
      <w:pPr>
        <w:jc w:val="center"/>
        <w:rPr>
          <w:rFonts w:cs="Times New Roman"/>
          <w:b/>
          <w:bCs/>
          <w:caps/>
          <w:color w:val="000000" w:themeColor="text1"/>
          <w:shd w:val="clear" w:color="auto" w:fill="FFFFFF"/>
        </w:rPr>
      </w:pPr>
    </w:p>
    <w:p w14:paraId="3137BD19" w14:textId="77777777" w:rsidR="00C87236" w:rsidRPr="000A4ACB" w:rsidRDefault="00C87236" w:rsidP="00C87236">
      <w:pPr>
        <w:jc w:val="center"/>
        <w:rPr>
          <w:rFonts w:cs="Times New Roman"/>
          <w:b/>
          <w:bCs/>
          <w:caps/>
          <w:color w:val="000000" w:themeColor="text1"/>
          <w:shd w:val="clear" w:color="auto" w:fill="FFFFFF"/>
        </w:rPr>
      </w:pPr>
    </w:p>
    <w:p w14:paraId="11C159B8" w14:textId="77777777" w:rsidR="00745383" w:rsidRDefault="00745383" w:rsidP="00745383">
      <w:r>
        <w:rPr>
          <w:rFonts w:cs="Arial"/>
          <w:sz w:val="28"/>
          <w:szCs w:val="28"/>
        </w:rPr>
        <w:t xml:space="preserve">Student - </w:t>
      </w:r>
      <w:r>
        <w:rPr>
          <w:rFonts w:cs="Arial"/>
          <w:b/>
          <w:bCs/>
          <w:sz w:val="28"/>
          <w:szCs w:val="28"/>
        </w:rPr>
        <w:t>Slobozian Mariana</w:t>
      </w:r>
      <w:r>
        <w:rPr>
          <w:rFonts w:cs="Arial"/>
          <w:sz w:val="28"/>
          <w:szCs w:val="28"/>
        </w:rPr>
        <w:t xml:space="preserve"> </w:t>
      </w:r>
    </w:p>
    <w:p w14:paraId="419BA583" w14:textId="77777777" w:rsidR="00745383" w:rsidRDefault="00745383" w:rsidP="00745383">
      <w:r>
        <w:rPr>
          <w:rFonts w:cs="Arial"/>
          <w:sz w:val="28"/>
          <w:szCs w:val="28"/>
        </w:rPr>
        <w:t xml:space="preserve"> Student Number - </w:t>
      </w:r>
      <w:r>
        <w:rPr>
          <w:rFonts w:cs="Arial"/>
          <w:b/>
          <w:bCs/>
          <w:sz w:val="28"/>
          <w:szCs w:val="28"/>
        </w:rPr>
        <w:t>2128518</w:t>
      </w:r>
    </w:p>
    <w:p w14:paraId="0B2958E0" w14:textId="77777777" w:rsidR="00745383" w:rsidRDefault="00745383" w:rsidP="00745383">
      <w:pPr>
        <w:pStyle w:val="Heading1"/>
        <w:shd w:val="clear" w:color="auto" w:fill="FFFFFF"/>
        <w:spacing w:before="0"/>
      </w:pPr>
      <w:r>
        <w:rPr>
          <w:rFonts w:cs="Arial"/>
          <w:sz w:val="28"/>
          <w:szCs w:val="28"/>
        </w:rPr>
        <w:t xml:space="preserve"> </w:t>
      </w:r>
      <w:r>
        <w:rPr>
          <w:rFonts w:cs="Arial"/>
          <w:b w:val="0"/>
          <w:sz w:val="28"/>
          <w:szCs w:val="28"/>
        </w:rPr>
        <w:t xml:space="preserve">Modul – </w:t>
      </w:r>
      <w:r>
        <w:rPr>
          <w:rFonts w:cs="Arial"/>
          <w:sz w:val="28"/>
          <w:szCs w:val="28"/>
        </w:rPr>
        <w:t>Sustainable Hospitality &amp; Tourism Management (BMIH5006)</w:t>
      </w:r>
    </w:p>
    <w:p w14:paraId="4C434B63" w14:textId="77777777" w:rsidR="00745383" w:rsidRDefault="00745383" w:rsidP="00745383">
      <w:r>
        <w:rPr>
          <w:rFonts w:cs="Arial"/>
          <w:sz w:val="28"/>
          <w:szCs w:val="28"/>
        </w:rPr>
        <w:t>Assignment (Essay) -</w:t>
      </w:r>
      <w:r>
        <w:rPr>
          <w:rFonts w:cs="Arial"/>
          <w:color w:val="222222"/>
          <w:sz w:val="28"/>
          <w:szCs w:val="28"/>
          <w:shd w:val="clear" w:color="auto" w:fill="FFFFFF"/>
        </w:rPr>
        <w:t xml:space="preserve"> </w:t>
      </w:r>
      <w:r>
        <w:rPr>
          <w:rFonts w:cs="Arial"/>
          <w:b/>
          <w:bCs/>
          <w:sz w:val="28"/>
          <w:szCs w:val="28"/>
        </w:rPr>
        <w:t>Premier Inn, how they implement circular economy within their Corporate Social Responsibility Policy.</w:t>
      </w:r>
    </w:p>
    <w:p w14:paraId="4CAFEFC7" w14:textId="77777777" w:rsidR="00745383" w:rsidRDefault="00745383" w:rsidP="00745383">
      <w:r>
        <w:rPr>
          <w:rFonts w:cs="Arial"/>
          <w:sz w:val="28"/>
          <w:szCs w:val="28"/>
        </w:rPr>
        <w:t xml:space="preserve">Lecturer – </w:t>
      </w:r>
      <w:r>
        <w:rPr>
          <w:rFonts w:cs="Arial"/>
          <w:b/>
          <w:bCs/>
          <w:sz w:val="28"/>
          <w:szCs w:val="28"/>
        </w:rPr>
        <w:t>Kathryn Roberts BA(Hons)</w:t>
      </w:r>
    </w:p>
    <w:p w14:paraId="148E84D4" w14:textId="40450B21" w:rsidR="00745383" w:rsidRDefault="00745383" w:rsidP="00745383"/>
    <w:p w14:paraId="43976528" w14:textId="77777777" w:rsidR="00745383" w:rsidRDefault="00745383" w:rsidP="00C87236">
      <w:pPr>
        <w:pStyle w:val="TOCHeading"/>
        <w:jc w:val="center"/>
        <w:rPr>
          <w:rFonts w:ascii="Arial" w:eastAsiaTheme="minorHAnsi" w:hAnsi="Arial" w:cstheme="minorBidi"/>
          <w:color w:val="auto"/>
          <w:kern w:val="2"/>
          <w:sz w:val="24"/>
          <w:szCs w:val="22"/>
          <w:lang w:val="en-GB"/>
          <w14:ligatures w14:val="standardContextual"/>
        </w:rPr>
      </w:pPr>
    </w:p>
    <w:p w14:paraId="6DACA79D" w14:textId="77777777" w:rsidR="00745383" w:rsidRDefault="00745383" w:rsidP="00C87236">
      <w:pPr>
        <w:pStyle w:val="TOCHeading"/>
        <w:jc w:val="center"/>
        <w:rPr>
          <w:rFonts w:ascii="Arial" w:eastAsiaTheme="minorHAnsi" w:hAnsi="Arial" w:cstheme="minorBidi"/>
          <w:color w:val="auto"/>
          <w:kern w:val="2"/>
          <w:sz w:val="24"/>
          <w:szCs w:val="22"/>
          <w:lang w:val="en-GB"/>
          <w14:ligatures w14:val="standardContextual"/>
        </w:rPr>
      </w:pPr>
    </w:p>
    <w:p w14:paraId="1005A27F" w14:textId="77777777" w:rsidR="00745383" w:rsidRDefault="00745383" w:rsidP="00C87236">
      <w:pPr>
        <w:pStyle w:val="TOCHeading"/>
        <w:jc w:val="center"/>
        <w:rPr>
          <w:rFonts w:ascii="Arial" w:eastAsiaTheme="minorHAnsi" w:hAnsi="Arial" w:cstheme="minorBidi"/>
          <w:color w:val="auto"/>
          <w:kern w:val="2"/>
          <w:sz w:val="24"/>
          <w:szCs w:val="22"/>
          <w:lang w:val="en-GB"/>
          <w14:ligatures w14:val="standardContextual"/>
        </w:rPr>
      </w:pPr>
    </w:p>
    <w:p w14:paraId="484804A0" w14:textId="77777777" w:rsidR="00745383" w:rsidRDefault="00745383" w:rsidP="00C87236">
      <w:pPr>
        <w:pStyle w:val="TOCHeading"/>
        <w:jc w:val="center"/>
        <w:rPr>
          <w:rFonts w:ascii="Arial" w:eastAsiaTheme="minorHAnsi" w:hAnsi="Arial" w:cstheme="minorBidi"/>
          <w:color w:val="auto"/>
          <w:kern w:val="2"/>
          <w:sz w:val="24"/>
          <w:szCs w:val="22"/>
          <w:lang w:val="en-GB"/>
          <w14:ligatures w14:val="standardContextual"/>
        </w:rPr>
      </w:pPr>
    </w:p>
    <w:p w14:paraId="5923E0B7" w14:textId="77777777" w:rsidR="00745383" w:rsidRDefault="00745383" w:rsidP="00C87236">
      <w:pPr>
        <w:pStyle w:val="TOCHeading"/>
        <w:jc w:val="center"/>
        <w:rPr>
          <w:rFonts w:ascii="Arial" w:eastAsiaTheme="minorHAnsi" w:hAnsi="Arial" w:cstheme="minorBidi"/>
          <w:color w:val="auto"/>
          <w:kern w:val="2"/>
          <w:sz w:val="24"/>
          <w:szCs w:val="22"/>
          <w:lang w:val="en-GB"/>
          <w14:ligatures w14:val="standardContextual"/>
        </w:rPr>
      </w:pPr>
    </w:p>
    <w:p w14:paraId="10835D1B" w14:textId="77777777" w:rsidR="00745383" w:rsidRDefault="00745383" w:rsidP="00C87236">
      <w:pPr>
        <w:pStyle w:val="TOCHeading"/>
        <w:jc w:val="center"/>
        <w:rPr>
          <w:rFonts w:ascii="Arial" w:eastAsiaTheme="minorHAnsi" w:hAnsi="Arial" w:cstheme="minorBidi"/>
          <w:color w:val="auto"/>
          <w:kern w:val="2"/>
          <w:sz w:val="24"/>
          <w:szCs w:val="22"/>
          <w:lang w:val="en-GB"/>
          <w14:ligatures w14:val="standardContextual"/>
        </w:rPr>
      </w:pPr>
    </w:p>
    <w:p w14:paraId="6E89CBD3" w14:textId="77777777" w:rsidR="00745383" w:rsidRDefault="00745383" w:rsidP="00745383"/>
    <w:p w14:paraId="1381D0C3" w14:textId="77777777" w:rsidR="00745383" w:rsidRDefault="00745383" w:rsidP="00745383"/>
    <w:p w14:paraId="086531C9" w14:textId="77777777" w:rsidR="00745383" w:rsidRPr="00745383" w:rsidRDefault="00745383" w:rsidP="00745383"/>
    <w:p w14:paraId="113D506C" w14:textId="124FE879" w:rsidR="006D3BBD" w:rsidRPr="006D3BBD" w:rsidRDefault="006D3BBD" w:rsidP="006D3BBD">
      <w:pPr>
        <w:rPr>
          <w:i/>
          <w:iCs/>
          <w:sz w:val="32"/>
          <w:szCs w:val="32"/>
        </w:rPr>
      </w:pPr>
      <w:r w:rsidRPr="006D3BBD">
        <w:rPr>
          <w:rFonts w:cs="Arial"/>
          <w:b/>
          <w:bCs/>
          <w:i/>
          <w:iCs/>
          <w:sz w:val="32"/>
          <w:szCs w:val="32"/>
        </w:rPr>
        <w:lastRenderedPageBreak/>
        <w:t xml:space="preserve">        </w:t>
      </w:r>
      <w:r w:rsidRPr="006D3BBD">
        <w:rPr>
          <w:rFonts w:cs="Arial"/>
          <w:b/>
          <w:bCs/>
          <w:i/>
          <w:iCs/>
          <w:sz w:val="32"/>
          <w:szCs w:val="32"/>
        </w:rPr>
        <w:t>Premier Inn, how they implement circular economy</w:t>
      </w:r>
      <w:r>
        <w:rPr>
          <w:rFonts w:cs="Arial"/>
          <w:b/>
          <w:bCs/>
          <w:i/>
          <w:iCs/>
          <w:sz w:val="32"/>
          <w:szCs w:val="32"/>
        </w:rPr>
        <w:t xml:space="preserve"> </w:t>
      </w:r>
      <w:r w:rsidRPr="006D3BBD">
        <w:rPr>
          <w:rFonts w:cs="Arial"/>
          <w:b/>
          <w:bCs/>
          <w:i/>
          <w:iCs/>
          <w:sz w:val="32"/>
          <w:szCs w:val="32"/>
        </w:rPr>
        <w:t>within their Corporate Social Responsibility Policy.</w:t>
      </w:r>
    </w:p>
    <w:p w14:paraId="176DA2BD" w14:textId="7930D7B2" w:rsidR="008F6C2A" w:rsidRPr="006D3BBD" w:rsidRDefault="008F6C2A" w:rsidP="008F6C2A">
      <w:pPr>
        <w:pStyle w:val="Heading1"/>
        <w:rPr>
          <w:b w:val="0"/>
          <w:bCs/>
          <w:i/>
          <w:iCs/>
          <w:sz w:val="32"/>
        </w:rPr>
      </w:pPr>
    </w:p>
    <w:p w14:paraId="4D168D3B" w14:textId="59269041" w:rsidR="00DB2F91" w:rsidRPr="000A4ACB" w:rsidRDefault="005177D1" w:rsidP="00DB2F91">
      <w:r>
        <w:t xml:space="preserve">    </w:t>
      </w:r>
      <w:r w:rsidR="00E63F44" w:rsidRPr="000A4ACB">
        <w:t>The supervision and management of tourism-related activities is known as tourism management</w:t>
      </w:r>
      <w:r w:rsidR="00C805A4" w:rsidRPr="000A4ACB">
        <w:t xml:space="preserve"> (</w:t>
      </w:r>
      <w:proofErr w:type="spellStart"/>
      <w:r w:rsidR="00C805A4" w:rsidRPr="000A4ACB">
        <w:t>Inkson</w:t>
      </w:r>
      <w:proofErr w:type="spellEnd"/>
      <w:r w:rsidR="00C805A4" w:rsidRPr="000A4ACB">
        <w:t xml:space="preserve"> and Minnaert, 2022).</w:t>
      </w:r>
      <w:r w:rsidR="00E63F44" w:rsidRPr="000A4ACB">
        <w:t xml:space="preserve"> </w:t>
      </w:r>
      <w:r w:rsidR="00C805A4" w:rsidRPr="000A4ACB">
        <w:t>I</w:t>
      </w:r>
      <w:r w:rsidR="00E63F44" w:rsidRPr="000A4ACB">
        <w:t>t primarily focuses on giving workers in the industry the knowledge and training they need to become qualified for management positions in the travel and lodging industries (</w:t>
      </w:r>
      <w:proofErr w:type="spellStart"/>
      <w:r w:rsidR="00E63F44" w:rsidRPr="000A4ACB">
        <w:t>Inkson</w:t>
      </w:r>
      <w:proofErr w:type="spellEnd"/>
      <w:r w:rsidR="00E63F44" w:rsidRPr="000A4ACB">
        <w:t xml:space="preserve"> and Minnaert, 2022). Because it aims to guarantee that the essential components of the travel experience are running smoothly and offer customers a high degree of pleasure, tourism management is important. This approach seeks to examine and assess a company's corporate social responsibility plans within this sector. The circular economy and its connection to corporate social responsibility will also be covered</w:t>
      </w:r>
      <w:r w:rsidR="00C805A4" w:rsidRPr="000A4ACB">
        <w:t xml:space="preserve"> in this study</w:t>
      </w:r>
      <w:r w:rsidR="00E63F44" w:rsidRPr="000A4ACB">
        <w:t>. The companies in this sector that exemplify the circular economy nine will be covered.</w:t>
      </w:r>
    </w:p>
    <w:p w14:paraId="7216848D" w14:textId="0738267C" w:rsidR="008F6C2A" w:rsidRPr="005177D1" w:rsidRDefault="006D3BBD" w:rsidP="005177D1">
      <w:r>
        <w:t xml:space="preserve">   </w:t>
      </w:r>
      <w:r w:rsidR="00E63F44" w:rsidRPr="000A4ACB">
        <w:t xml:space="preserve">The chosen company on which this study will focus is Premier Inn. This is a service hotel chain business operating in the UK which is also considered to be the largest hotel brand in the country. The company has more than 800 hotels operating under its belt offering the benefit of more than 72,000 rooms to accommodate visitors (Premier Inn, 2024). </w:t>
      </w:r>
    </w:p>
    <w:p w14:paraId="0E9D74F3" w14:textId="2AE160F6" w:rsidR="00A170CD" w:rsidRPr="000A4ACB" w:rsidRDefault="006D3BBD" w:rsidP="00A170CD">
      <w:pPr>
        <w:rPr>
          <w:lang w:eastAsia="en-IN"/>
        </w:rPr>
      </w:pPr>
      <w:r>
        <w:rPr>
          <w:lang w:eastAsia="en-IN"/>
        </w:rPr>
        <w:t xml:space="preserve">    </w:t>
      </w:r>
      <w:r w:rsidR="00E63F44" w:rsidRPr="000A4ACB">
        <w:rPr>
          <w:lang w:eastAsia="en-IN"/>
        </w:rPr>
        <w:t xml:space="preserve">The waste of material is </w:t>
      </w:r>
      <w:proofErr w:type="gramStart"/>
      <w:r w:rsidR="00E63F44" w:rsidRPr="000A4ACB">
        <w:rPr>
          <w:lang w:eastAsia="en-IN"/>
        </w:rPr>
        <w:t>saved</w:t>
      </w:r>
      <w:proofErr w:type="gramEnd"/>
      <w:r w:rsidR="00E63F44" w:rsidRPr="000A4ACB">
        <w:rPr>
          <w:lang w:eastAsia="en-IN"/>
        </w:rPr>
        <w:t xml:space="preserve"> and the nature of regeneration is integrated with the adoption of a system of circular economy. Circular economy </w:t>
      </w:r>
      <w:r w:rsidR="000E31DF" w:rsidRPr="000A4ACB">
        <w:rPr>
          <w:lang w:eastAsia="en-IN"/>
        </w:rPr>
        <w:t>utilises</w:t>
      </w:r>
      <w:r w:rsidR="00E63F44" w:rsidRPr="000A4ACB">
        <w:rPr>
          <w:lang w:eastAsia="en-IN"/>
        </w:rPr>
        <w:t xml:space="preserve"> techniques like reuse, recycling, refurbishing, upkeeping, </w:t>
      </w:r>
      <w:r w:rsidR="004B11C2" w:rsidRPr="000A4ACB">
        <w:rPr>
          <w:lang w:eastAsia="en-IN"/>
        </w:rPr>
        <w:t>remanufacturing,</w:t>
      </w:r>
      <w:r w:rsidR="00E63F44" w:rsidRPr="000A4ACB">
        <w:rPr>
          <w:lang w:eastAsia="en-IN"/>
        </w:rPr>
        <w:t xml:space="preserve"> and composting to keep products and resources in continuous circulation</w:t>
      </w:r>
      <w:r w:rsidR="008F6C2A" w:rsidRPr="000A4ACB">
        <w:rPr>
          <w:lang w:eastAsia="en-IN"/>
        </w:rPr>
        <w:t xml:space="preserve"> (</w:t>
      </w:r>
      <w:proofErr w:type="spellStart"/>
      <w:r w:rsidR="008F6C2A" w:rsidRPr="000A4ACB">
        <w:t>Corvellec</w:t>
      </w:r>
      <w:proofErr w:type="spellEnd"/>
      <w:r w:rsidR="008F6C2A" w:rsidRPr="000A4ACB">
        <w:t>, Stowell and Johansson, 2022)</w:t>
      </w:r>
      <w:r w:rsidR="00E63F44" w:rsidRPr="000A4ACB">
        <w:rPr>
          <w:lang w:eastAsia="en-IN"/>
        </w:rPr>
        <w:t xml:space="preserve">. </w:t>
      </w:r>
      <w:r w:rsidR="00DB2F91" w:rsidRPr="000A4ACB">
        <w:rPr>
          <w:lang w:eastAsia="en-IN"/>
        </w:rPr>
        <w:t>Additionally, the circular economy promotes a more sustainable form of production and consumption in which resources are designed to be reused again over extended periods of time, hence lowering the rate of waste generation. The implementation of the circular economy has the following advantages.</w:t>
      </w:r>
    </w:p>
    <w:p w14:paraId="31244170" w14:textId="16D5EF80" w:rsidR="00DB2F91" w:rsidRPr="000A4ACB" w:rsidRDefault="006D3BBD" w:rsidP="00A170CD">
      <w:pPr>
        <w:rPr>
          <w:lang w:eastAsia="en-IN"/>
        </w:rPr>
      </w:pPr>
      <w:r>
        <w:rPr>
          <w:lang w:eastAsia="en-IN"/>
        </w:rPr>
        <w:t xml:space="preserve">    </w:t>
      </w:r>
      <w:r w:rsidR="00E63F44" w:rsidRPr="000A4ACB">
        <w:rPr>
          <w:lang w:eastAsia="en-IN"/>
        </w:rPr>
        <w:t xml:space="preserve">It also has the potential to help the local economy because it supports business models that rely on recycling local waste into new natural resources. </w:t>
      </w:r>
      <w:r w:rsidR="00C805A4" w:rsidRPr="000A4ACB">
        <w:rPr>
          <w:lang w:eastAsia="en-IN"/>
        </w:rPr>
        <w:t xml:space="preserve">Reduces </w:t>
      </w:r>
      <w:r w:rsidR="00E63F44" w:rsidRPr="000A4ACB">
        <w:rPr>
          <w:lang w:eastAsia="en-IN"/>
        </w:rPr>
        <w:t xml:space="preserve">emission levels, minimises waste product generation, and reduces the overall consumption of natural raw materials. It </w:t>
      </w:r>
      <w:r w:rsidR="00C805A4" w:rsidRPr="000A4ACB">
        <w:rPr>
          <w:lang w:eastAsia="en-IN"/>
        </w:rPr>
        <w:t>even</w:t>
      </w:r>
      <w:r w:rsidR="00E63F44" w:rsidRPr="000A4ACB">
        <w:rPr>
          <w:lang w:eastAsia="en-IN"/>
        </w:rPr>
        <w:t xml:space="preserve"> encourages the growth of innovative, </w:t>
      </w:r>
      <w:r w:rsidR="00E63F44" w:rsidRPr="000A4ACB">
        <w:rPr>
          <w:lang w:eastAsia="en-IN"/>
        </w:rPr>
        <w:lastRenderedPageBreak/>
        <w:t>competitive, and new industrial models, which in turn leads to more jobs and stronger economic growth.</w:t>
      </w:r>
      <w:r w:rsidR="00BF027B" w:rsidRPr="000A4ACB">
        <w:rPr>
          <w:lang w:eastAsia="en-IN"/>
        </w:rPr>
        <w:t xml:space="preserve"> </w:t>
      </w:r>
      <w:r w:rsidR="00E63F44" w:rsidRPr="000A4ACB">
        <w:rPr>
          <w:lang w:eastAsia="en-IN"/>
        </w:rPr>
        <w:t xml:space="preserve">Because it encourages the recycling of regional natural resources, it also reduces reliance on imported foreign raw materials. </w:t>
      </w:r>
    </w:p>
    <w:p w14:paraId="711F1E9C" w14:textId="77777777" w:rsidR="006D3BBD" w:rsidRDefault="00E63F44" w:rsidP="005177D1">
      <w:pPr>
        <w:rPr>
          <w:lang w:eastAsia="en-IN"/>
        </w:rPr>
      </w:pPr>
      <w:r w:rsidRPr="000A4ACB">
        <w:rPr>
          <w:lang w:eastAsia="en-IN"/>
        </w:rPr>
        <w:t xml:space="preserve">Three design-driven principles form the foundation of the circular economy: </w:t>
      </w:r>
      <w:r w:rsidR="006D3BBD">
        <w:rPr>
          <w:lang w:eastAsia="en-IN"/>
        </w:rPr>
        <w:t xml:space="preserve"> </w:t>
      </w:r>
    </w:p>
    <w:p w14:paraId="5686911A" w14:textId="4FD7F2BE" w:rsidR="00A170CD" w:rsidRPr="005177D1" w:rsidRDefault="00E63F44" w:rsidP="005177D1">
      <w:pPr>
        <w:rPr>
          <w:lang w:eastAsia="en-IN"/>
        </w:rPr>
      </w:pPr>
      <w:r w:rsidRPr="000A4ACB">
        <w:rPr>
          <w:lang w:eastAsia="en-IN"/>
        </w:rPr>
        <w:t xml:space="preserve">Getting rid of pollutants and garbage. Moving goods and commodities around (at their highest worth) and invigorating the natural world. The circular economy is a </w:t>
      </w:r>
      <w:r w:rsidR="000E31DF" w:rsidRPr="000A4ACB">
        <w:rPr>
          <w:lang w:eastAsia="en-IN"/>
        </w:rPr>
        <w:t xml:space="preserve">solid </w:t>
      </w:r>
      <w:r w:rsidRPr="000A4ACB">
        <w:rPr>
          <w:lang w:eastAsia="en-IN"/>
        </w:rPr>
        <w:t xml:space="preserve">system that </w:t>
      </w:r>
      <w:r w:rsidR="000E31DF" w:rsidRPr="000A4ACB">
        <w:rPr>
          <w:lang w:eastAsia="en-IN"/>
        </w:rPr>
        <w:t xml:space="preserve">offers multiple advantages to people, the environment, and </w:t>
      </w:r>
      <w:r w:rsidRPr="000A4ACB">
        <w:rPr>
          <w:lang w:eastAsia="en-IN"/>
        </w:rPr>
        <w:t>companies It is supported by a shift to renewable energy and materials.</w:t>
      </w:r>
    </w:p>
    <w:p w14:paraId="1C21FD52" w14:textId="45D07043" w:rsidR="005E2074" w:rsidRPr="000A4ACB" w:rsidRDefault="006D3BBD" w:rsidP="005E2074">
      <w:pPr>
        <w:rPr>
          <w:lang w:eastAsia="en-IN"/>
        </w:rPr>
      </w:pPr>
      <w:r>
        <w:rPr>
          <w:lang w:eastAsia="en-IN"/>
        </w:rPr>
        <w:t xml:space="preserve"> </w:t>
      </w:r>
      <w:r w:rsidR="005E2074" w:rsidRPr="000A4ACB">
        <w:rPr>
          <w:lang w:eastAsia="en-IN"/>
        </w:rPr>
        <w:t>Businesses can improve society and increase their brand equity by engaging in CSR volunteerism, projects, and charity. A socially conscious business is answerable to its investors as well as to itself. Circular economy is frequently used by large organisations as CSR. A well-known and prosperous business bears greater responsibility for establishing the bar for moral behaviour among its associates, rivals, and sector.</w:t>
      </w:r>
    </w:p>
    <w:p w14:paraId="703E323D" w14:textId="5EAD914A" w:rsidR="00A170CD" w:rsidRPr="000A4ACB" w:rsidRDefault="006D3BBD" w:rsidP="00A170CD">
      <w:r>
        <w:t xml:space="preserve"> </w:t>
      </w:r>
      <w:r w:rsidR="00E63F44" w:rsidRPr="000A4ACB">
        <w:t>In recent times, corporate management philosophy has included sustainability as a significant component. Reports that outline specific goals and provide best practices for achieving the Sustainable Development Goals (SDGs) are used to communicate them, both required and voluntary. Although the Circular Economy (CE) and Corporate Social Responsibility (CSR) have different theoretical orientations, they might be combined in this context</w:t>
      </w:r>
      <w:r w:rsidR="008F6C2A" w:rsidRPr="000A4ACB">
        <w:t xml:space="preserve"> (Morea, Fortunati, and Martiniello, 2021)</w:t>
      </w:r>
      <w:r w:rsidR="00E63F44" w:rsidRPr="000A4ACB">
        <w:t>.</w:t>
      </w:r>
    </w:p>
    <w:p w14:paraId="79221FD7" w14:textId="2E09C10E" w:rsidR="00A170CD" w:rsidRPr="000A4ACB" w:rsidRDefault="00E63F44" w:rsidP="00A170CD">
      <w:r w:rsidRPr="000A4ACB">
        <w:t xml:space="preserve">Adopting the motto of "reduce, reuse, recycle" allows small and medium-sized businesses to contribute significantly to the environment. They have a significantly bigger impact than a single person or home since they are by nature larger-scale and more comprehensive. Moreover, companies have command over their supply chains and </w:t>
      </w:r>
      <w:proofErr w:type="gramStart"/>
      <w:r w:rsidRPr="000A4ACB">
        <w:t>have the ability to</w:t>
      </w:r>
      <w:proofErr w:type="gramEnd"/>
      <w:r w:rsidRPr="000A4ACB">
        <w:t xml:space="preserve"> make tiny decisions with significant environmental consequences.</w:t>
      </w:r>
    </w:p>
    <w:p w14:paraId="2A5FDA90" w14:textId="1721933E" w:rsidR="008F6C2A" w:rsidRPr="000A4ACB" w:rsidRDefault="00E63F44" w:rsidP="008F6C2A">
      <w:r w:rsidRPr="000A4ACB">
        <w:t xml:space="preserve">It is inevitable that firms will generate trash during their operations, even if they make efforts to decrease and reuse materials. Restaurants, for instance, generate a lot of food waste. The kind of garbage will vary depending on the business. Producers' waste streams are probably dominated by cardboard, wood, and metals. Finding the right disposal method after determining the materials and trash </w:t>
      </w:r>
      <w:proofErr w:type="gramStart"/>
      <w:r w:rsidR="00C4034A" w:rsidRPr="000A4ACB">
        <w:t>types</w:t>
      </w:r>
      <w:proofErr w:type="gramEnd"/>
      <w:r w:rsidR="00C4034A" w:rsidRPr="000A4ACB">
        <w:t xml:space="preserve"> </w:t>
      </w:r>
      <w:r w:rsidRPr="000A4ACB">
        <w:t xml:space="preserve">your company </w:t>
      </w:r>
      <w:r w:rsidRPr="000A4ACB">
        <w:lastRenderedPageBreak/>
        <w:t>produces is crucial (Morea, Fortunati, and Martiniello, 2021). Not all garbage can be thrown in the recycling bin, though. Businesses need to segregate and recycle a lot of the products they create based on the waste stream.</w:t>
      </w:r>
    </w:p>
    <w:p w14:paraId="430DB6AA" w14:textId="31D6CAA8" w:rsidR="008F6C2A" w:rsidRPr="000A4ACB" w:rsidRDefault="00E63F44" w:rsidP="008F6C2A">
      <w:r w:rsidRPr="000A4ACB">
        <w:t xml:space="preserve">Eliminating waste from the operations is the first step towards turning a company into one that cares about the environment. Usually, </w:t>
      </w:r>
      <w:proofErr w:type="gramStart"/>
      <w:r w:rsidRPr="000A4ACB">
        <w:t>in order to</w:t>
      </w:r>
      <w:proofErr w:type="gramEnd"/>
      <w:r w:rsidRPr="000A4ACB">
        <w:t xml:space="preserve"> identify any inefficiencies in your company's processes that result in the production of more trash than necessary, this calls for performing a waste audit. To reduce the quantity of excess, this can also show you whether you need to change any production or purchase quantities. This might entail digitali</w:t>
      </w:r>
      <w:r w:rsidR="00C805A4" w:rsidRPr="000A4ACB">
        <w:t>si</w:t>
      </w:r>
      <w:r w:rsidRPr="000A4ACB">
        <w:t>ng procedures that would otherwise be paper-based</w:t>
      </w:r>
      <w:r w:rsidR="00C805A4" w:rsidRPr="000A4ACB">
        <w:t xml:space="preserve"> or</w:t>
      </w:r>
      <w:r w:rsidRPr="000A4ACB">
        <w:t xml:space="preserve"> switching to reusable products by ceasing to purchase single-use things like plates, cups, and certain packaging. Reducing waste in the company could involve buying specific products in bulk or revamping procedures to use fewer materials.</w:t>
      </w:r>
    </w:p>
    <w:p w14:paraId="743BCF09" w14:textId="74A98B6E" w:rsidR="008B12AB" w:rsidRPr="000A4ACB" w:rsidRDefault="00E63F44" w:rsidP="008B12AB">
      <w:pPr>
        <w:rPr>
          <w:lang w:eastAsia="en-IN"/>
        </w:rPr>
      </w:pPr>
      <w:r w:rsidRPr="000A4ACB">
        <w:rPr>
          <w:lang w:eastAsia="en-IN"/>
        </w:rPr>
        <w:t>A company that operates at maximum efficiency and contributes to pertinent causes can ensure that it leaves natural resources in a better state than when it arrived. One way for an organisation to practise environmental stewardship is by:</w:t>
      </w:r>
    </w:p>
    <w:p w14:paraId="30D16CDB" w14:textId="58AEFF43" w:rsidR="005E2074" w:rsidRPr="005177D1" w:rsidRDefault="00E63F44" w:rsidP="005177D1">
      <w:r w:rsidRPr="000A4ACB">
        <w:t>Reducing the number of natural resources used in the manufacturing process, as well as emissions,</w:t>
      </w:r>
      <w:r w:rsidR="00BF17A7" w:rsidRPr="000A4ACB">
        <w:t xml:space="preserve"> waste creation, and pollution. The negative </w:t>
      </w:r>
      <w:r w:rsidRPr="000A4ACB">
        <w:t>consequences can be mitigated by restoring natural resources or supporting initiatives that can reduce the company's bad effects.</w:t>
      </w:r>
      <w:r w:rsidR="00C805A4" w:rsidRPr="000A4ACB">
        <w:t xml:space="preserve"> Hotels implementing technologies that lead to the conservation of water and energy sources </w:t>
      </w:r>
      <w:proofErr w:type="gramStart"/>
      <w:r w:rsidR="00C805A4" w:rsidRPr="000A4ACB">
        <w:t>and also</w:t>
      </w:r>
      <w:proofErr w:type="gramEnd"/>
      <w:r w:rsidR="00C805A4" w:rsidRPr="000A4ACB">
        <w:t xml:space="preserve"> making use of sustainable packaging materials are good examples of the implementation of the circular economy.</w:t>
      </w:r>
      <w:r w:rsidRPr="000A4ACB">
        <w:t xml:space="preserve"> </w:t>
      </w:r>
      <w:r w:rsidR="00C805A4" w:rsidRPr="000A4ACB">
        <w:t>Even making strategic alliances with other companies who are equally committed towards sustainability is also a decent example.</w:t>
      </w:r>
    </w:p>
    <w:p w14:paraId="73D375E9" w14:textId="7F2930E4" w:rsidR="007E5AE5" w:rsidRPr="000A4ACB" w:rsidRDefault="00E63F44" w:rsidP="007E5AE5">
      <w:r w:rsidRPr="000A4ACB">
        <w:t xml:space="preserve">This mission's primary goal is to achieve excellence in all areas. </w:t>
      </w:r>
      <w:proofErr w:type="gramStart"/>
      <w:r w:rsidRPr="000A4ACB">
        <w:t>At the moment</w:t>
      </w:r>
      <w:proofErr w:type="gramEnd"/>
      <w:r w:rsidRPr="000A4ACB">
        <w:t>, the hotel chain is aiming towards four different goals. The company's goal is not limited to providing clients with superior options and sources. The company's recognition of the importance of local communities is its best CSR practice. Communities have a better grasp of how to create better locations for business and life based on their needs and skill sets by being involved. Along with raising awareness of disasters and how people can regain their way of living after a pandemic, the brand also supports a disaster assistance programme (Moret, 2020).</w:t>
      </w:r>
    </w:p>
    <w:p w14:paraId="618C387E" w14:textId="465F3D39" w:rsidR="005E2074" w:rsidRPr="000A4ACB" w:rsidRDefault="005E2074" w:rsidP="007E5AE5">
      <w:r w:rsidRPr="000A4ACB">
        <w:lastRenderedPageBreak/>
        <w:t xml:space="preserve">There is undeniably a growing need in the modern day for the interaction between CSR concepts and the hotel industry. Effective implementation of CSR initiatives can provide a hotel industry business with a competitive advantage over its competitors. Businesses in this industry that put an emphasis on environmental preservation and cultivate an eco-friendly image are more likely to demonstrate social responsibility within the corporate sphere, according to </w:t>
      </w:r>
      <w:proofErr w:type="spellStart"/>
      <w:r w:rsidRPr="000A4ACB">
        <w:t>Tulcanaza</w:t>
      </w:r>
      <w:proofErr w:type="spellEnd"/>
      <w:r w:rsidRPr="000A4ACB">
        <w:t xml:space="preserve">-Prieto </w:t>
      </w:r>
      <w:r w:rsidRPr="000A4ACB">
        <w:rPr>
          <w:i/>
        </w:rPr>
        <w:t>et al.</w:t>
      </w:r>
      <w:r w:rsidRPr="000A4ACB">
        <w:t xml:space="preserve"> (2020). Procedures for Corporate Social Responsibility (CSR) make it easier to make decisions that are effective in solving problems across </w:t>
      </w:r>
      <w:proofErr w:type="gramStart"/>
      <w:r w:rsidRPr="000A4ACB">
        <w:t>a number of</w:t>
      </w:r>
      <w:proofErr w:type="gramEnd"/>
      <w:r w:rsidRPr="000A4ACB">
        <w:t xml:space="preserve"> economic sectors. As part of its corporate social responsibility activities, Premier Inn has made considerable financial and resource allocations to advance sustainability. One such endeavour is the establishment of net zero emissions to combat climate change (Moret, 2020). </w:t>
      </w:r>
    </w:p>
    <w:p w14:paraId="73E1B458" w14:textId="6EF63C41" w:rsidR="007E5AE5" w:rsidRPr="000A4ACB" w:rsidRDefault="00E63F44" w:rsidP="007E5AE5">
      <w:r w:rsidRPr="000A4ACB">
        <w:t xml:space="preserve">The next step for the chosen endeavour is to carry on with moral operations meant to improve and broaden the environment. Premier Inn’s primary goal is to lessen its influence on the environment by employing innovative technology and analytical thinking. </w:t>
      </w:r>
      <w:proofErr w:type="gramStart"/>
      <w:r w:rsidR="00C805A4" w:rsidRPr="000A4ACB">
        <w:t>On the occasion of</w:t>
      </w:r>
      <w:proofErr w:type="gramEnd"/>
      <w:r w:rsidR="00C805A4" w:rsidRPr="000A4ACB">
        <w:t xml:space="preserve"> Earth Day, the hotel business had also taken an oath to reduce carbon emissions by 50% by 2025 (Premier Inn, 2024). They plan to do so by making use of renewable energy sources and green gases for running their business operations. </w:t>
      </w:r>
      <w:r w:rsidRPr="000A4ACB">
        <w:t xml:space="preserve">Employees are equipped with the knowledge and skills needed to manage energy, including training on renewable energy sources and water conservation. </w:t>
      </w:r>
      <w:proofErr w:type="gramStart"/>
      <w:r w:rsidRPr="000A4ACB">
        <w:t>In order to</w:t>
      </w:r>
      <w:proofErr w:type="gramEnd"/>
      <w:r w:rsidRPr="000A4ACB">
        <w:t xml:space="preserve"> track water usage in individual hotels, sustainable hotel buildings might make use of water sub-metering for cooling towers. Posters encouraging single-use toiletry, recycling in guest rooms, and reducing food waste inform people about their power to save the environment. </w:t>
      </w:r>
      <w:proofErr w:type="gramStart"/>
      <w:r w:rsidRPr="000A4ACB">
        <w:t>Last but not least</w:t>
      </w:r>
      <w:proofErr w:type="gramEnd"/>
      <w:r w:rsidRPr="000A4ACB">
        <w:t xml:space="preserve">, collaborating with suppliers of seafood, cleaning products, and coffee enhances the idea of responsible sourcing. </w:t>
      </w:r>
    </w:p>
    <w:p w14:paraId="19A73CF3" w14:textId="5D0726BB" w:rsidR="007E5AE5" w:rsidRPr="000A4ACB" w:rsidRDefault="00E63F44" w:rsidP="007E5AE5">
      <w:r w:rsidRPr="000A4ACB">
        <w:t>The company has also implemented effective policies that safeguard the rights of individuals in the workplace. This initiative shows their responsibility towards promoting diversity and inclusion at their workplace. These policies are crafte</w:t>
      </w:r>
      <w:r w:rsidR="00C805A4" w:rsidRPr="000A4ACB">
        <w:t>d</w:t>
      </w:r>
      <w:r w:rsidRPr="000A4ACB">
        <w:t xml:space="preserve"> to ensure the prevention of kind of discrimination based on caste, religion, sex, and so on, and aim to offer equal opportunities for working and growth at the organisation</w:t>
      </w:r>
      <w:r w:rsidR="00C805A4" w:rsidRPr="000A4ACB">
        <w:t xml:space="preserve"> (Premier Inn, 2024)</w:t>
      </w:r>
      <w:r w:rsidRPr="000A4ACB">
        <w:t xml:space="preserve">. In conclusion, human rights and cultural sensitivity are essential components of Premier Inn’s CSR programme. Hotels encourage education in various forms, such as direct communication, lectures, and posters, to raise awareness of human trafficking, forced labour, exploitation, and forced labour. This phase attempts </w:t>
      </w:r>
      <w:r w:rsidRPr="000A4ACB">
        <w:lastRenderedPageBreak/>
        <w:t>to identify conflicts and management errors and promptly address them. Understanding other cultures is essential to removing unwarranted prejudices from interpersonal interactions, highlighting the value of international travel, and acknowledging the cultural differences between each client and employee. More individuals are willing to spend money and travel to such locations when hotels show that they respect local customs.</w:t>
      </w:r>
    </w:p>
    <w:p w14:paraId="62FA0CAD" w14:textId="70CFB23F" w:rsidR="00A170CD" w:rsidRPr="005177D1" w:rsidRDefault="00E63F44" w:rsidP="005177D1">
      <w:r w:rsidRPr="000A4ACB">
        <w:t>In general, corporate social responsibility (CSR) is a need for every hotel that wants to improve the quality of its services and the lives of its employees. Prioritising multinational brands and organisations via their daily operations</w:t>
      </w:r>
      <w:r w:rsidR="00C87236" w:rsidRPr="000A4ACB">
        <w:t>.  Premier Inn</w:t>
      </w:r>
      <w:r w:rsidRPr="000A4ACB">
        <w:t xml:space="preserve"> have demonstrated how to effectively integrate such an attempt. Serving the community, protecting the environment, and enhancing management practices are all goals of </w:t>
      </w:r>
      <w:r w:rsidR="00C87236" w:rsidRPr="000A4ACB">
        <w:t xml:space="preserve">their Earth Day initiative (Premier Inn, 2024). It has touched </w:t>
      </w:r>
      <w:r w:rsidRPr="000A4ACB">
        <w:t xml:space="preserve">on many significant facets of human </w:t>
      </w:r>
      <w:r w:rsidR="00C87236" w:rsidRPr="000A4ACB">
        <w:t>existence;</w:t>
      </w:r>
      <w:r w:rsidRPr="000A4ACB">
        <w:t xml:space="preserve"> a single hotel </w:t>
      </w:r>
      <w:proofErr w:type="gramStart"/>
      <w:r w:rsidRPr="000A4ACB">
        <w:t>has the ability to</w:t>
      </w:r>
      <w:proofErr w:type="gramEnd"/>
      <w:r w:rsidRPr="000A4ACB">
        <w:t xml:space="preserve"> set a high standard in terms of the environment and society. The importance of employees, natural resources, and communities is highlighted in this study's review of </w:t>
      </w:r>
      <w:r w:rsidR="00C87236" w:rsidRPr="000A4ACB">
        <w:t>the hotel chain business Premier Inn</w:t>
      </w:r>
      <w:r w:rsidRPr="000A4ACB">
        <w:t xml:space="preserve"> and its CSR programme. An example of how one organisation can unite people from all around the world is this choice</w:t>
      </w:r>
      <w:r w:rsidR="00C87236" w:rsidRPr="000A4ACB">
        <w:t xml:space="preserve"> has been set (Premier Inn, 2024)</w:t>
      </w:r>
      <w:r w:rsidR="005177D1">
        <w:t>.</w:t>
      </w:r>
    </w:p>
    <w:p w14:paraId="24C15EEE" w14:textId="29AA177C" w:rsidR="00DB2F91" w:rsidRPr="000A4ACB" w:rsidRDefault="006D3BBD" w:rsidP="00DB2F91">
      <w:pPr>
        <w:jc w:val="left"/>
      </w:pPr>
      <w:r>
        <w:t xml:space="preserve">    </w:t>
      </w:r>
      <w:r w:rsidR="00E63F44" w:rsidRPr="000A4ACB">
        <w:t>The circular economy's "9r Model" (Refuse, Rethink, Refurbish, Reuse, Recover, Rot, Recycle, and Redesigning) allows an organisation to turn obstacles into chances to change how they conduct business (</w:t>
      </w:r>
      <w:proofErr w:type="spellStart"/>
      <w:r w:rsidR="00D37417">
        <w:t>Lambovteva</w:t>
      </w:r>
      <w:proofErr w:type="spellEnd"/>
      <w:r w:rsidR="00E63F44" w:rsidRPr="000A4ACB">
        <w:t xml:space="preserve"> </w:t>
      </w:r>
      <w:r w:rsidR="00E63F44" w:rsidRPr="000A4ACB">
        <w:rPr>
          <w:i/>
        </w:rPr>
        <w:t>et al.,</w:t>
      </w:r>
      <w:r w:rsidR="00E63F44" w:rsidRPr="000A4ACB">
        <w:t xml:space="preserve"> 2021). Reusing and recycling utilised resources is its primary goal in reducing waste products. Stow-Away Waterloo is among the best illustrations of a circular economy that effectively integrates the nine Rs.</w:t>
      </w:r>
    </w:p>
    <w:p w14:paraId="5C636E59" w14:textId="2CC8519C" w:rsidR="00DB2F91" w:rsidRPr="000A4ACB" w:rsidRDefault="006D3BBD" w:rsidP="00DB2F91">
      <w:pPr>
        <w:jc w:val="left"/>
      </w:pPr>
      <w:r>
        <w:t xml:space="preserve">  </w:t>
      </w:r>
      <w:r w:rsidR="00E63F44" w:rsidRPr="000A4ACB">
        <w:t>It was built by repurposing 26 shipping containers, each of which has solar panels installed on its roof to return excess energy not needed by the hotel to the national grid (Circular, 2023). The hotel produces actual forms of energy in an effective manner, minimising the production of any needless waste products, by using hydro units and air conditioning that recycle and recirculate energy between the hot water systems and the heating (Circular, 2023).</w:t>
      </w:r>
    </w:p>
    <w:p w14:paraId="009F2F52" w14:textId="406649E4" w:rsidR="00DB2F91" w:rsidRPr="000A4ACB" w:rsidRDefault="00E63F44" w:rsidP="00DB2F91">
      <w:pPr>
        <w:pStyle w:val="Heading1"/>
      </w:pPr>
      <w:bookmarkStart w:id="0" w:name="_Toc166928773"/>
      <w:r w:rsidRPr="000A4ACB">
        <w:t>Conclusion</w:t>
      </w:r>
      <w:bookmarkEnd w:id="0"/>
    </w:p>
    <w:p w14:paraId="5190590E" w14:textId="3E87EE46" w:rsidR="00DB2F91" w:rsidRPr="000A4ACB" w:rsidRDefault="006D3BBD" w:rsidP="00DB2F91">
      <w:r>
        <w:t xml:space="preserve">   </w:t>
      </w:r>
      <w:r w:rsidR="00E63F44" w:rsidRPr="000A4ACB">
        <w:t xml:space="preserve">An assessment detailing the company's current CSR initiatives' efficacy has been conducted. According to the evaluation's findings, </w:t>
      </w:r>
      <w:r w:rsidR="00321E50" w:rsidRPr="000A4ACB">
        <w:t>Premier Inn</w:t>
      </w:r>
      <w:r w:rsidR="00E63F44" w:rsidRPr="000A4ACB">
        <w:t xml:space="preserve"> Hotels has become a </w:t>
      </w:r>
      <w:r w:rsidR="00E63F44" w:rsidRPr="000A4ACB">
        <w:lastRenderedPageBreak/>
        <w:t xml:space="preserve">market leader in the hospitality sector by implementing successful CSR practices and operating as a socially conscious firm. A real-world example of a brand in the same industry that has applied these nine principles was provided, coupled with a deeper discussion of the significance of the nine circulars. </w:t>
      </w:r>
      <w:proofErr w:type="gramStart"/>
      <w:r w:rsidR="00E63F44" w:rsidRPr="000A4ACB">
        <w:t>With regard to</w:t>
      </w:r>
      <w:proofErr w:type="gramEnd"/>
      <w:r w:rsidR="00E63F44" w:rsidRPr="000A4ACB">
        <w:t xml:space="preserve"> Stow-Away Waterloo, for instance, the review determined that the hotel has implemented first-rate corporate social responsibility initiatives that are both environmentally friendly and highly effective, allowing the company to enhance its standing in the marketplace. The study's conclusion is that Premier Inn can strengthen its competitive advantage against an industry that is becoming more and more competitive by implementing CSR and circular economy programmes effectively. The text provides a comprehensive analysis of the circular economy's role and idea, highlighting the advantages of integrating it into hospitality industry operations. Additionally, it has covered the relationship and integration of the circular economy into CSR initiatives. It is advised that Premier integrate successful CSR initiatives into its business operations because the hotel sector has a dynamic business environment where new trends and difficult situations arise frequently. </w:t>
      </w:r>
    </w:p>
    <w:p w14:paraId="7DE53ADF" w14:textId="77777777" w:rsidR="00DB2F91" w:rsidRPr="000A4ACB" w:rsidRDefault="00DB2F91" w:rsidP="00DB2F91">
      <w:pPr>
        <w:jc w:val="left"/>
      </w:pPr>
    </w:p>
    <w:p w14:paraId="2DC52370" w14:textId="36C9868E" w:rsidR="008F6C2A" w:rsidRPr="000A4ACB" w:rsidRDefault="00E63F44" w:rsidP="00DB2F91">
      <w:pPr>
        <w:jc w:val="left"/>
        <w:rPr>
          <w:rFonts w:eastAsia="Arial" w:cs="Arial"/>
          <w:kern w:val="0"/>
        </w:rPr>
      </w:pPr>
      <w:r w:rsidRPr="000A4ACB">
        <w:br w:type="page"/>
      </w:r>
    </w:p>
    <w:p w14:paraId="6C3BC2AF" w14:textId="4159EC2F" w:rsidR="00A170CD" w:rsidRPr="000A4ACB" w:rsidRDefault="00E63F44" w:rsidP="008F6C2A">
      <w:pPr>
        <w:pStyle w:val="Heading1"/>
      </w:pPr>
      <w:bookmarkStart w:id="1" w:name="_Toc166928774"/>
      <w:r w:rsidRPr="000A4ACB">
        <w:lastRenderedPageBreak/>
        <w:t>References</w:t>
      </w:r>
      <w:bookmarkEnd w:id="1"/>
    </w:p>
    <w:p w14:paraId="6C5E8212" w14:textId="77777777" w:rsidR="00D37417" w:rsidRDefault="00D37417" w:rsidP="008F6C2A"/>
    <w:p w14:paraId="77D7F55E" w14:textId="77777777" w:rsidR="00D37417" w:rsidRDefault="00000000" w:rsidP="00D37417">
      <w:pPr>
        <w:shd w:val="clear" w:color="auto" w:fill="FFFFFF"/>
        <w:suppressAutoHyphens/>
        <w:autoSpaceDN w:val="0"/>
        <w:spacing w:before="100" w:after="100"/>
        <w:jc w:val="left"/>
        <w:rPr>
          <w:rFonts w:cs="Arial"/>
          <w:szCs w:val="24"/>
          <w:shd w:val="clear" w:color="auto" w:fill="FFFFFF"/>
        </w:rPr>
      </w:pPr>
      <w:hyperlink r:id="rId8" w:tooltip="Chaarani Bacari" w:history="1">
        <w:r w:rsidR="00D37417">
          <w:rPr>
            <w:rStyle w:val="Hyperlink"/>
            <w:rFonts w:cs="Arial"/>
            <w:color w:val="000000"/>
            <w:szCs w:val="24"/>
            <w:shd w:val="clear" w:color="auto" w:fill="FFFFFF"/>
          </w:rPr>
          <w:t>Bacari, C.</w:t>
        </w:r>
      </w:hyperlink>
      <w:r w:rsidR="00D37417">
        <w:rPr>
          <w:rFonts w:cs="Arial"/>
          <w:color w:val="000000"/>
          <w:szCs w:val="24"/>
          <w:shd w:val="clear" w:color="auto" w:fill="FFFFFF"/>
        </w:rPr>
        <w:t>, </w:t>
      </w:r>
      <w:hyperlink r:id="rId9" w:tooltip="Hugues Séraphin" w:history="1">
        <w:r w:rsidR="00D37417">
          <w:rPr>
            <w:rStyle w:val="Hyperlink"/>
            <w:rFonts w:cs="Arial"/>
            <w:color w:val="000000"/>
            <w:szCs w:val="24"/>
            <w:shd w:val="clear" w:color="auto" w:fill="FFFFFF"/>
          </w:rPr>
          <w:t>Séraphin, H.</w:t>
        </w:r>
      </w:hyperlink>
      <w:r w:rsidR="00D37417">
        <w:rPr>
          <w:rFonts w:cs="Arial"/>
          <w:szCs w:val="24"/>
          <w:shd w:val="clear" w:color="auto" w:fill="FFFFFF"/>
        </w:rPr>
        <w:t> and </w:t>
      </w:r>
      <w:proofErr w:type="spellStart"/>
      <w:r>
        <w:fldChar w:fldCharType="begin"/>
      </w:r>
      <w:r>
        <w:instrText>HYPERLINK "https://www.emerald.com/insight/search?q=Vanessa%20G.B.%20Gowreesunkar" \o "Vanessa G.B. Gowreesunkar"</w:instrText>
      </w:r>
      <w:r>
        <w:fldChar w:fldCharType="separate"/>
      </w:r>
      <w:r w:rsidR="00D37417">
        <w:rPr>
          <w:rStyle w:val="Hyperlink"/>
          <w:rFonts w:cs="Arial"/>
          <w:color w:val="000000"/>
          <w:szCs w:val="24"/>
          <w:shd w:val="clear" w:color="auto" w:fill="FFFFFF"/>
        </w:rPr>
        <w:t>Gowreesunkar</w:t>
      </w:r>
      <w:proofErr w:type="spellEnd"/>
      <w:r w:rsidR="00D37417">
        <w:rPr>
          <w:rStyle w:val="Hyperlink"/>
          <w:rFonts w:cs="Arial"/>
          <w:color w:val="000000"/>
          <w:szCs w:val="24"/>
          <w:shd w:val="clear" w:color="auto" w:fill="FFFFFF"/>
        </w:rPr>
        <w:t>, V.G.B.</w:t>
      </w:r>
      <w:r>
        <w:rPr>
          <w:rStyle w:val="Hyperlink"/>
          <w:rFonts w:cs="Arial"/>
          <w:color w:val="000000"/>
          <w:szCs w:val="24"/>
          <w:shd w:val="clear" w:color="auto" w:fill="FFFFFF"/>
        </w:rPr>
        <w:fldChar w:fldCharType="end"/>
      </w:r>
      <w:r w:rsidR="00D37417">
        <w:rPr>
          <w:rFonts w:cs="Arial"/>
          <w:szCs w:val="24"/>
          <w:shd w:val="clear" w:color="auto" w:fill="FFFFFF"/>
        </w:rPr>
        <w:t> (2021), "Sustainable development goals and the hotel sector: case examples and implications", </w:t>
      </w:r>
      <w:hyperlink r:id="rId10" w:history="1">
        <w:r w:rsidR="00D37417">
          <w:rPr>
            <w:rStyle w:val="Hyperlink"/>
            <w:rFonts w:cs="Arial"/>
            <w:color w:val="000000"/>
            <w:szCs w:val="24"/>
          </w:rPr>
          <w:t>Worldwide Hospitality and Tourism Themes</w:t>
        </w:r>
      </w:hyperlink>
      <w:r w:rsidR="00D37417">
        <w:rPr>
          <w:rFonts w:cs="Arial"/>
          <w:szCs w:val="24"/>
          <w:shd w:val="clear" w:color="auto" w:fill="FFFFFF"/>
        </w:rPr>
        <w:t>, Vol. 13 No. 1, pp. 9-21.</w:t>
      </w:r>
    </w:p>
    <w:p w14:paraId="330F9FE2" w14:textId="288D5D29" w:rsidR="00D37417" w:rsidRDefault="00D37417" w:rsidP="00D37417">
      <w:pPr>
        <w:shd w:val="clear" w:color="auto" w:fill="FFFFFF"/>
        <w:suppressAutoHyphens/>
        <w:autoSpaceDN w:val="0"/>
        <w:spacing w:before="100" w:after="100"/>
        <w:jc w:val="left"/>
      </w:pPr>
      <w:r>
        <w:rPr>
          <w:rFonts w:cs="Arial"/>
          <w:szCs w:val="24"/>
          <w:shd w:val="clear" w:color="auto" w:fill="FFFFFF"/>
        </w:rPr>
        <w:t> </w:t>
      </w:r>
      <w:proofErr w:type="spellStart"/>
      <w:r w:rsidR="00E63F44" w:rsidRPr="000A4ACB">
        <w:t>Corvellec</w:t>
      </w:r>
      <w:proofErr w:type="spellEnd"/>
      <w:r w:rsidR="00E63F44" w:rsidRPr="000A4ACB">
        <w:t>, H., Stowell, A.F. and Johansson, N. (2022) Critiques of the circular economy. </w:t>
      </w:r>
      <w:r w:rsidR="00E63F44" w:rsidRPr="000A4ACB">
        <w:rPr>
          <w:i/>
          <w:iCs/>
        </w:rPr>
        <w:t xml:space="preserve">Journal of </w:t>
      </w:r>
      <w:r w:rsidR="00745383">
        <w:rPr>
          <w:i/>
          <w:iCs/>
        </w:rPr>
        <w:t>Industrial Ecology</w:t>
      </w:r>
      <w:r w:rsidR="00E63F44" w:rsidRPr="000A4ACB">
        <w:t>, </w:t>
      </w:r>
      <w:r w:rsidR="00E63F44" w:rsidRPr="000A4ACB">
        <w:rPr>
          <w:i/>
          <w:iCs/>
        </w:rPr>
        <w:t>26</w:t>
      </w:r>
      <w:r w:rsidR="00E63F44" w:rsidRPr="000A4ACB">
        <w:t>(2), pp.421-432.</w:t>
      </w:r>
    </w:p>
    <w:p w14:paraId="46A3FA02" w14:textId="4DC253A4" w:rsidR="009101CE" w:rsidRPr="000A4ACB" w:rsidRDefault="00E63F44">
      <w:r w:rsidRPr="000A4ACB">
        <w:t>Morea, D., Fortunati, S. and Martiniello, L. (2021) Circular economy and corporate social responsibility: Towards an integrated strategic approach in the multinational cosmetics industry. </w:t>
      </w:r>
      <w:r w:rsidRPr="000A4ACB">
        <w:rPr>
          <w:i/>
          <w:iCs/>
        </w:rPr>
        <w:t>Journal of Cleaner Production</w:t>
      </w:r>
      <w:r w:rsidRPr="000A4ACB">
        <w:t>, </w:t>
      </w:r>
      <w:r w:rsidRPr="000A4ACB">
        <w:rPr>
          <w:i/>
          <w:iCs/>
        </w:rPr>
        <w:t>315</w:t>
      </w:r>
      <w:r w:rsidRPr="000A4ACB">
        <w:t>, p.128232.</w:t>
      </w:r>
    </w:p>
    <w:p w14:paraId="1E4E73EB" w14:textId="0D22F3F5" w:rsidR="008B12AB" w:rsidRPr="000A4ACB" w:rsidRDefault="00E63F44" w:rsidP="008B12AB">
      <w:r w:rsidRPr="000A4ACB">
        <w:t xml:space="preserve">Premier Inn (2024) </w:t>
      </w:r>
      <w:r w:rsidRPr="000A4ACB">
        <w:rPr>
          <w:i/>
          <w:iCs/>
        </w:rPr>
        <w:t>About us</w:t>
      </w:r>
      <w:r w:rsidRPr="000A4ACB">
        <w:t>. Available at: https://www.premierinn.com/gb/en/why.html (Accessed: 16 May 2024).</w:t>
      </w:r>
    </w:p>
    <w:p w14:paraId="406D10A6" w14:textId="77777777" w:rsidR="008B12AB" w:rsidRPr="000A4ACB" w:rsidRDefault="00E63F44" w:rsidP="008B12AB">
      <w:pPr>
        <w:rPr>
          <w:rFonts w:cs="Times New Roman"/>
          <w:color w:val="000000" w:themeColor="text1"/>
        </w:rPr>
      </w:pPr>
      <w:r w:rsidRPr="000A4ACB">
        <w:rPr>
          <w:rFonts w:cs="Times New Roman"/>
          <w:color w:val="000000" w:themeColor="text1"/>
        </w:rPr>
        <w:t>Barnett, M.L., Henriques, I. and Husted, B.W. (2020) Beyond good intentions: Designing CSR initiatives for greater social impact. </w:t>
      </w:r>
      <w:r w:rsidRPr="000A4ACB">
        <w:rPr>
          <w:rFonts w:cs="Times New Roman"/>
          <w:i/>
          <w:iCs/>
          <w:color w:val="000000" w:themeColor="text1"/>
        </w:rPr>
        <w:t>Journal of Management</w:t>
      </w:r>
      <w:r w:rsidRPr="000A4ACB">
        <w:rPr>
          <w:rFonts w:cs="Times New Roman"/>
          <w:color w:val="000000" w:themeColor="text1"/>
        </w:rPr>
        <w:t>, </w:t>
      </w:r>
      <w:r w:rsidRPr="000A4ACB">
        <w:rPr>
          <w:rFonts w:cs="Times New Roman"/>
          <w:i/>
          <w:iCs/>
          <w:color w:val="000000" w:themeColor="text1"/>
        </w:rPr>
        <w:t>46</w:t>
      </w:r>
      <w:r w:rsidRPr="000A4ACB">
        <w:rPr>
          <w:rFonts w:cs="Times New Roman"/>
          <w:color w:val="000000" w:themeColor="text1"/>
        </w:rPr>
        <w:t>(6), pp.937-964.</w:t>
      </w:r>
    </w:p>
    <w:p w14:paraId="33247F94" w14:textId="77777777" w:rsidR="008B12AB" w:rsidRPr="000A4ACB" w:rsidRDefault="00E63F44" w:rsidP="008B12AB">
      <w:pPr>
        <w:rPr>
          <w:rFonts w:cs="Times New Roman"/>
          <w:color w:val="000000" w:themeColor="text1"/>
        </w:rPr>
      </w:pPr>
      <w:r w:rsidRPr="000A4ACB">
        <w:rPr>
          <w:rFonts w:cs="Times New Roman"/>
          <w:color w:val="000000" w:themeColor="text1"/>
        </w:rPr>
        <w:t>Carroll, A.B. (2021) Corporate social responsibility: Perspectives on the CSR construct’s development and future. </w:t>
      </w:r>
      <w:r w:rsidRPr="000A4ACB">
        <w:rPr>
          <w:rFonts w:cs="Times New Roman"/>
          <w:i/>
          <w:iCs/>
          <w:color w:val="000000" w:themeColor="text1"/>
        </w:rPr>
        <w:t>Business &amp; Society</w:t>
      </w:r>
      <w:r w:rsidRPr="000A4ACB">
        <w:rPr>
          <w:rFonts w:cs="Times New Roman"/>
          <w:color w:val="000000" w:themeColor="text1"/>
        </w:rPr>
        <w:t>, </w:t>
      </w:r>
      <w:r w:rsidRPr="000A4ACB">
        <w:rPr>
          <w:rFonts w:cs="Times New Roman"/>
          <w:i/>
          <w:iCs/>
          <w:color w:val="000000" w:themeColor="text1"/>
        </w:rPr>
        <w:t>60</w:t>
      </w:r>
      <w:r w:rsidRPr="000A4ACB">
        <w:rPr>
          <w:rFonts w:cs="Times New Roman"/>
          <w:color w:val="000000" w:themeColor="text1"/>
        </w:rPr>
        <w:t>(6), pp.1258-1278.</w:t>
      </w:r>
    </w:p>
    <w:p w14:paraId="1A3F315A" w14:textId="4A918EE6" w:rsidR="008B12AB" w:rsidRDefault="00E63F44" w:rsidP="008B12AB">
      <w:pPr>
        <w:rPr>
          <w:rFonts w:cs="Times New Roman"/>
          <w:color w:val="000000" w:themeColor="text1"/>
        </w:rPr>
      </w:pPr>
      <w:r w:rsidRPr="000A4ACB">
        <w:rPr>
          <w:rFonts w:cs="Times New Roman"/>
          <w:color w:val="000000" w:themeColor="text1"/>
        </w:rPr>
        <w:t>Circular (2023)</w:t>
      </w:r>
      <w:r w:rsidRPr="000A4ACB">
        <w:rPr>
          <w:rFonts w:cs="Times New Roman"/>
          <w:i/>
          <w:iCs/>
          <w:color w:val="000000" w:themeColor="text1"/>
        </w:rPr>
        <w:t xml:space="preserve"> News</w:t>
      </w:r>
      <w:r w:rsidR="004B11C2">
        <w:rPr>
          <w:rFonts w:cs="Times New Roman"/>
          <w:i/>
          <w:iCs/>
          <w:color w:val="000000" w:themeColor="text1"/>
        </w:rPr>
        <w:t>, in brief,</w:t>
      </w:r>
      <w:r w:rsidRPr="000A4ACB">
        <w:rPr>
          <w:rFonts w:cs="Times New Roman"/>
          <w:i/>
          <w:iCs/>
          <w:color w:val="000000" w:themeColor="text1"/>
        </w:rPr>
        <w:t xml:space="preserve"> | London hotel made from recycled shipping containers nominated for sustainability award</w:t>
      </w:r>
      <w:r w:rsidRPr="000A4ACB">
        <w:rPr>
          <w:rFonts w:cs="Times New Roman"/>
          <w:color w:val="000000" w:themeColor="text1"/>
        </w:rPr>
        <w:t>. Available at: https://www.circularonline.co.uk/news/news-in-brief-london-hotel-made-from-recycled-shipping-containers-nominated-for-sustainability-award/ (Accessed: 22 January 2023)</w:t>
      </w:r>
    </w:p>
    <w:p w14:paraId="18D09332" w14:textId="3AD0A77F" w:rsidR="005177D1" w:rsidRDefault="005177D1" w:rsidP="005177D1">
      <w:pPr>
        <w:suppressAutoHyphens/>
        <w:contextualSpacing/>
        <w:rPr>
          <w:szCs w:val="24"/>
        </w:rPr>
      </w:pPr>
      <w:proofErr w:type="spellStart"/>
      <w:r w:rsidRPr="005177D1">
        <w:rPr>
          <w:szCs w:val="24"/>
        </w:rPr>
        <w:t>Dedahanov</w:t>
      </w:r>
      <w:proofErr w:type="spellEnd"/>
      <w:r w:rsidRPr="005177D1">
        <w:rPr>
          <w:szCs w:val="24"/>
        </w:rPr>
        <w:t>, A. T., Rhee, C., &amp; Yoon, J. (2017). Organi</w:t>
      </w:r>
      <w:r>
        <w:rPr>
          <w:szCs w:val="24"/>
        </w:rPr>
        <w:t>s</w:t>
      </w:r>
      <w:r w:rsidRPr="005177D1">
        <w:rPr>
          <w:szCs w:val="24"/>
        </w:rPr>
        <w:t>ational structure and innovation performance. Career Development International.</w:t>
      </w:r>
    </w:p>
    <w:p w14:paraId="05550258" w14:textId="77777777" w:rsidR="008B12AB" w:rsidRPr="000A4ACB" w:rsidRDefault="00E63F44" w:rsidP="008B12AB">
      <w:pPr>
        <w:rPr>
          <w:rFonts w:cs="Times New Roman"/>
          <w:color w:val="000000" w:themeColor="text1"/>
        </w:rPr>
      </w:pPr>
      <w:proofErr w:type="spellStart"/>
      <w:r w:rsidRPr="000A4ACB">
        <w:rPr>
          <w:rFonts w:cs="Times New Roman"/>
          <w:color w:val="000000" w:themeColor="text1"/>
        </w:rPr>
        <w:t>Inkson</w:t>
      </w:r>
      <w:proofErr w:type="spellEnd"/>
      <w:r w:rsidRPr="000A4ACB">
        <w:rPr>
          <w:rFonts w:cs="Times New Roman"/>
          <w:color w:val="000000" w:themeColor="text1"/>
        </w:rPr>
        <w:t>, C. and Minnaert, L. (2022) </w:t>
      </w:r>
      <w:r w:rsidRPr="000A4ACB">
        <w:rPr>
          <w:rFonts w:cs="Times New Roman"/>
          <w:i/>
          <w:iCs/>
          <w:color w:val="000000" w:themeColor="text1"/>
        </w:rPr>
        <w:t>Tourism management: an introduction</w:t>
      </w:r>
      <w:r w:rsidRPr="000A4ACB">
        <w:rPr>
          <w:rFonts w:cs="Times New Roman"/>
          <w:color w:val="000000" w:themeColor="text1"/>
        </w:rPr>
        <w:t>. Sage.</w:t>
      </w:r>
    </w:p>
    <w:p w14:paraId="2947A9BC" w14:textId="77777777" w:rsidR="008B12AB" w:rsidRPr="000A4ACB" w:rsidRDefault="00E63F44" w:rsidP="008B12AB">
      <w:pPr>
        <w:rPr>
          <w:rFonts w:cs="Times New Roman"/>
          <w:color w:val="000000" w:themeColor="text1"/>
        </w:rPr>
      </w:pPr>
      <w:r w:rsidRPr="000A4ACB">
        <w:rPr>
          <w:rFonts w:cs="Times New Roman"/>
          <w:color w:val="000000" w:themeColor="text1"/>
        </w:rPr>
        <w:t>Moret, N.J. (2020) The sustainable business model of a hotel–the case of the W Barcelona.</w:t>
      </w:r>
    </w:p>
    <w:p w14:paraId="3D475AE0" w14:textId="77777777" w:rsidR="008B12AB" w:rsidRPr="000A4ACB" w:rsidRDefault="00E63F44" w:rsidP="008B12AB">
      <w:pPr>
        <w:rPr>
          <w:rFonts w:cs="Times New Roman"/>
          <w:color w:val="000000" w:themeColor="text1"/>
        </w:rPr>
      </w:pPr>
      <w:r w:rsidRPr="000A4ACB">
        <w:rPr>
          <w:rFonts w:cs="Times New Roman"/>
          <w:color w:val="000000" w:themeColor="text1"/>
        </w:rPr>
        <w:t>Sherwood, J. (2020) The significance of biomass in a circular economy. </w:t>
      </w:r>
      <w:r w:rsidRPr="000A4ACB">
        <w:rPr>
          <w:rFonts w:cs="Times New Roman"/>
          <w:i/>
          <w:iCs/>
          <w:color w:val="000000" w:themeColor="text1"/>
        </w:rPr>
        <w:t>Bioresource Technology</w:t>
      </w:r>
      <w:r w:rsidRPr="000A4ACB">
        <w:rPr>
          <w:rFonts w:cs="Times New Roman"/>
          <w:color w:val="000000" w:themeColor="text1"/>
        </w:rPr>
        <w:t>, </w:t>
      </w:r>
      <w:r w:rsidRPr="000A4ACB">
        <w:rPr>
          <w:rFonts w:cs="Times New Roman"/>
          <w:i/>
          <w:iCs/>
          <w:color w:val="000000" w:themeColor="text1"/>
        </w:rPr>
        <w:t>300</w:t>
      </w:r>
      <w:r w:rsidRPr="000A4ACB">
        <w:rPr>
          <w:rFonts w:cs="Times New Roman"/>
          <w:color w:val="000000" w:themeColor="text1"/>
        </w:rPr>
        <w:t>, p.122755.</w:t>
      </w:r>
    </w:p>
    <w:p w14:paraId="75762B73" w14:textId="77777777" w:rsidR="008B12AB" w:rsidRPr="000A4ACB" w:rsidRDefault="00E63F44" w:rsidP="008B12AB">
      <w:pPr>
        <w:rPr>
          <w:rFonts w:cs="Times New Roman"/>
          <w:color w:val="000000" w:themeColor="text1"/>
        </w:rPr>
      </w:pPr>
      <w:proofErr w:type="spellStart"/>
      <w:r w:rsidRPr="000A4ACB">
        <w:rPr>
          <w:rFonts w:cs="Times New Roman"/>
          <w:color w:val="000000" w:themeColor="text1"/>
        </w:rPr>
        <w:lastRenderedPageBreak/>
        <w:t>Sverko</w:t>
      </w:r>
      <w:proofErr w:type="spellEnd"/>
      <w:r w:rsidRPr="000A4ACB">
        <w:rPr>
          <w:rFonts w:cs="Times New Roman"/>
          <w:color w:val="000000" w:themeColor="text1"/>
        </w:rPr>
        <w:t xml:space="preserve"> </w:t>
      </w:r>
      <w:proofErr w:type="spellStart"/>
      <w:r w:rsidRPr="000A4ACB">
        <w:rPr>
          <w:rFonts w:cs="Times New Roman"/>
          <w:color w:val="000000" w:themeColor="text1"/>
        </w:rPr>
        <w:t>Grdic</w:t>
      </w:r>
      <w:proofErr w:type="spellEnd"/>
      <w:r w:rsidRPr="000A4ACB">
        <w:rPr>
          <w:rFonts w:cs="Times New Roman"/>
          <w:color w:val="000000" w:themeColor="text1"/>
        </w:rPr>
        <w:t xml:space="preserve">, Z., </w:t>
      </w:r>
      <w:proofErr w:type="spellStart"/>
      <w:r w:rsidRPr="000A4ACB">
        <w:rPr>
          <w:rFonts w:cs="Times New Roman"/>
          <w:color w:val="000000" w:themeColor="text1"/>
        </w:rPr>
        <w:t>Krstinic</w:t>
      </w:r>
      <w:proofErr w:type="spellEnd"/>
      <w:r w:rsidRPr="000A4ACB">
        <w:rPr>
          <w:rFonts w:cs="Times New Roman"/>
          <w:color w:val="000000" w:themeColor="text1"/>
        </w:rPr>
        <w:t xml:space="preserve"> </w:t>
      </w:r>
      <w:proofErr w:type="spellStart"/>
      <w:r w:rsidRPr="000A4ACB">
        <w:rPr>
          <w:rFonts w:cs="Times New Roman"/>
          <w:color w:val="000000" w:themeColor="text1"/>
        </w:rPr>
        <w:t>Nizic</w:t>
      </w:r>
      <w:proofErr w:type="spellEnd"/>
      <w:r w:rsidRPr="000A4ACB">
        <w:rPr>
          <w:rFonts w:cs="Times New Roman"/>
          <w:color w:val="000000" w:themeColor="text1"/>
        </w:rPr>
        <w:t>, M. and Rudan, E. (2020) Circular economy concept in the context of economic development in EU countries. </w:t>
      </w:r>
      <w:r w:rsidRPr="000A4ACB">
        <w:rPr>
          <w:rFonts w:cs="Times New Roman"/>
          <w:i/>
          <w:iCs/>
          <w:color w:val="000000" w:themeColor="text1"/>
        </w:rPr>
        <w:t>Sustainability</w:t>
      </w:r>
      <w:r w:rsidRPr="000A4ACB">
        <w:rPr>
          <w:rFonts w:cs="Times New Roman"/>
          <w:color w:val="000000" w:themeColor="text1"/>
        </w:rPr>
        <w:t>, </w:t>
      </w:r>
      <w:r w:rsidRPr="000A4ACB">
        <w:rPr>
          <w:rFonts w:cs="Times New Roman"/>
          <w:i/>
          <w:iCs/>
          <w:color w:val="000000" w:themeColor="text1"/>
        </w:rPr>
        <w:t>12</w:t>
      </w:r>
      <w:r w:rsidRPr="000A4ACB">
        <w:rPr>
          <w:rFonts w:cs="Times New Roman"/>
          <w:color w:val="000000" w:themeColor="text1"/>
        </w:rPr>
        <w:t>(7), p.3060.</w:t>
      </w:r>
    </w:p>
    <w:p w14:paraId="516DC014" w14:textId="77777777" w:rsidR="008B12AB" w:rsidRPr="000A4ACB" w:rsidRDefault="00E63F44" w:rsidP="008B12AB">
      <w:pPr>
        <w:rPr>
          <w:rFonts w:cs="Times New Roman"/>
          <w:color w:val="000000" w:themeColor="text1"/>
        </w:rPr>
      </w:pPr>
      <w:proofErr w:type="spellStart"/>
      <w:r w:rsidRPr="000A4ACB">
        <w:rPr>
          <w:rFonts w:cs="Times New Roman"/>
          <w:color w:val="000000" w:themeColor="text1"/>
        </w:rPr>
        <w:t>Tulcanaza</w:t>
      </w:r>
      <w:proofErr w:type="spellEnd"/>
      <w:r w:rsidRPr="000A4ACB">
        <w:rPr>
          <w:rFonts w:cs="Times New Roman"/>
          <w:color w:val="000000" w:themeColor="text1"/>
        </w:rPr>
        <w:t xml:space="preserve">-Prieto, A.B., Shin, H., Lee, </w:t>
      </w:r>
      <w:proofErr w:type="gramStart"/>
      <w:r w:rsidRPr="000A4ACB">
        <w:rPr>
          <w:rFonts w:cs="Times New Roman"/>
          <w:color w:val="000000" w:themeColor="text1"/>
        </w:rPr>
        <w:t>Y.</w:t>
      </w:r>
      <w:proofErr w:type="gramEnd"/>
      <w:r w:rsidRPr="000A4ACB">
        <w:rPr>
          <w:rFonts w:cs="Times New Roman"/>
          <w:color w:val="000000" w:themeColor="text1"/>
        </w:rPr>
        <w:t xml:space="preserve"> and Lee, C.W. (2020) Relationship among CSR initiatives and financial and non-financial corporate performance in the </w:t>
      </w:r>
      <w:proofErr w:type="spellStart"/>
      <w:r w:rsidRPr="000A4ACB">
        <w:rPr>
          <w:rFonts w:cs="Times New Roman"/>
          <w:color w:val="000000" w:themeColor="text1"/>
        </w:rPr>
        <w:t>ecuadorian</w:t>
      </w:r>
      <w:proofErr w:type="spellEnd"/>
      <w:r w:rsidRPr="000A4ACB">
        <w:rPr>
          <w:rFonts w:cs="Times New Roman"/>
          <w:color w:val="000000" w:themeColor="text1"/>
        </w:rPr>
        <w:t xml:space="preserve"> banking environment. </w:t>
      </w:r>
      <w:r w:rsidRPr="000A4ACB">
        <w:rPr>
          <w:rFonts w:cs="Times New Roman"/>
          <w:i/>
          <w:iCs/>
          <w:color w:val="000000" w:themeColor="text1"/>
        </w:rPr>
        <w:t>Sustainability</w:t>
      </w:r>
      <w:r w:rsidRPr="000A4ACB">
        <w:rPr>
          <w:rFonts w:cs="Times New Roman"/>
          <w:color w:val="000000" w:themeColor="text1"/>
        </w:rPr>
        <w:t>, </w:t>
      </w:r>
      <w:r w:rsidRPr="000A4ACB">
        <w:rPr>
          <w:rFonts w:cs="Times New Roman"/>
          <w:i/>
          <w:iCs/>
          <w:color w:val="000000" w:themeColor="text1"/>
        </w:rPr>
        <w:t>12</w:t>
      </w:r>
      <w:r w:rsidRPr="000A4ACB">
        <w:rPr>
          <w:rFonts w:cs="Times New Roman"/>
          <w:color w:val="000000" w:themeColor="text1"/>
        </w:rPr>
        <w:t>(4), p.1621.</w:t>
      </w:r>
    </w:p>
    <w:p w14:paraId="7A6EAF48" w14:textId="77777777" w:rsidR="008B12AB" w:rsidRPr="000A4ACB" w:rsidRDefault="00E63F44" w:rsidP="008B12AB">
      <w:pPr>
        <w:rPr>
          <w:rFonts w:cs="Times New Roman"/>
          <w:color w:val="000000" w:themeColor="text1"/>
        </w:rPr>
      </w:pPr>
      <w:proofErr w:type="spellStart"/>
      <w:r w:rsidRPr="000A4ACB">
        <w:rPr>
          <w:rFonts w:cs="Times New Roman"/>
          <w:color w:val="000000" w:themeColor="text1"/>
        </w:rPr>
        <w:t>Velenturf</w:t>
      </w:r>
      <w:proofErr w:type="spellEnd"/>
      <w:r w:rsidRPr="000A4ACB">
        <w:rPr>
          <w:rFonts w:cs="Times New Roman"/>
          <w:color w:val="000000" w:themeColor="text1"/>
        </w:rPr>
        <w:t>, A.P. and Purnell, P., (2021) Principles for a sustainable circular economy. </w:t>
      </w:r>
      <w:r w:rsidRPr="000A4ACB">
        <w:rPr>
          <w:rFonts w:cs="Times New Roman"/>
          <w:i/>
          <w:iCs/>
          <w:color w:val="000000" w:themeColor="text1"/>
        </w:rPr>
        <w:t>Sustainable Production and Consumption</w:t>
      </w:r>
      <w:r w:rsidRPr="000A4ACB">
        <w:rPr>
          <w:rFonts w:cs="Times New Roman"/>
          <w:color w:val="000000" w:themeColor="text1"/>
        </w:rPr>
        <w:t>, </w:t>
      </w:r>
      <w:r w:rsidRPr="000A4ACB">
        <w:rPr>
          <w:rFonts w:cs="Times New Roman"/>
          <w:i/>
          <w:iCs/>
          <w:color w:val="000000" w:themeColor="text1"/>
        </w:rPr>
        <w:t>27</w:t>
      </w:r>
      <w:r w:rsidRPr="000A4ACB">
        <w:rPr>
          <w:rFonts w:cs="Times New Roman"/>
          <w:color w:val="000000" w:themeColor="text1"/>
        </w:rPr>
        <w:t>, pp.1437-1457.</w:t>
      </w:r>
    </w:p>
    <w:p w14:paraId="03474C34" w14:textId="70C6AB22" w:rsidR="008B12AB" w:rsidRDefault="005177D1" w:rsidP="008B12AB">
      <w:pPr>
        <w:rPr>
          <w:rFonts w:cs="Times New Roman"/>
          <w:color w:val="000000" w:themeColor="text1"/>
        </w:rPr>
      </w:pPr>
      <w:proofErr w:type="spellStart"/>
      <w:r>
        <w:rPr>
          <w:rFonts w:cs="Times New Roman"/>
          <w:color w:val="000000" w:themeColor="text1"/>
        </w:rPr>
        <w:t>Tam</w:t>
      </w:r>
      <w:r w:rsidR="00D37417">
        <w:rPr>
          <w:rFonts w:cs="Times New Roman"/>
          <w:color w:val="000000" w:themeColor="text1"/>
        </w:rPr>
        <w:t>bovteva</w:t>
      </w:r>
      <w:proofErr w:type="spellEnd"/>
      <w:r w:rsidR="00E63F44" w:rsidRPr="000A4ACB">
        <w:rPr>
          <w:rFonts w:cs="Times New Roman"/>
          <w:color w:val="000000" w:themeColor="text1"/>
        </w:rPr>
        <w:t xml:space="preserve">, Т., </w:t>
      </w:r>
      <w:proofErr w:type="spellStart"/>
      <w:r w:rsidR="00E63F44" w:rsidRPr="000A4ACB">
        <w:rPr>
          <w:rFonts w:cs="Times New Roman"/>
          <w:color w:val="000000" w:themeColor="text1"/>
        </w:rPr>
        <w:t>М</w:t>
      </w:r>
      <w:r w:rsidR="00D37417">
        <w:rPr>
          <w:rFonts w:cs="Times New Roman"/>
          <w:color w:val="000000" w:themeColor="text1"/>
        </w:rPr>
        <w:t>elnik</w:t>
      </w:r>
      <w:proofErr w:type="spellEnd"/>
      <w:r w:rsidR="00E63F44" w:rsidRPr="000A4ACB">
        <w:rPr>
          <w:rFonts w:cs="Times New Roman"/>
          <w:color w:val="000000" w:themeColor="text1"/>
        </w:rPr>
        <w:t xml:space="preserve">, </w:t>
      </w:r>
      <w:r w:rsidR="00D37417">
        <w:rPr>
          <w:rFonts w:cs="Times New Roman"/>
          <w:color w:val="000000" w:themeColor="text1"/>
        </w:rPr>
        <w:t>L</w:t>
      </w:r>
      <w:r w:rsidR="00E63F44" w:rsidRPr="000A4ACB">
        <w:rPr>
          <w:rFonts w:cs="Times New Roman"/>
          <w:color w:val="000000" w:themeColor="text1"/>
        </w:rPr>
        <w:t xml:space="preserve">., </w:t>
      </w:r>
      <w:proofErr w:type="spellStart"/>
      <w:r w:rsidR="00D37417">
        <w:rPr>
          <w:rFonts w:cs="Times New Roman"/>
          <w:color w:val="000000" w:themeColor="text1"/>
        </w:rPr>
        <w:t>Deakteariova</w:t>
      </w:r>
      <w:proofErr w:type="spellEnd"/>
      <w:r w:rsidR="00E63F44" w:rsidRPr="000A4ACB">
        <w:rPr>
          <w:rFonts w:cs="Times New Roman"/>
          <w:color w:val="000000" w:themeColor="text1"/>
        </w:rPr>
        <w:t xml:space="preserve">, І. and </w:t>
      </w:r>
      <w:r w:rsidR="00D37417">
        <w:rPr>
          <w:rFonts w:cs="Times New Roman"/>
          <w:color w:val="000000" w:themeColor="text1"/>
        </w:rPr>
        <w:t>Nicolaev</w:t>
      </w:r>
      <w:r w:rsidR="00E63F44" w:rsidRPr="000A4ACB">
        <w:rPr>
          <w:rFonts w:cs="Times New Roman"/>
          <w:color w:val="000000" w:themeColor="text1"/>
        </w:rPr>
        <w:t>, С. (2021) Circular economy: Tendencies and development perspectives. </w:t>
      </w:r>
      <w:r w:rsidR="00E63F44" w:rsidRPr="000A4ACB">
        <w:rPr>
          <w:rFonts w:cs="Times New Roman"/>
          <w:i/>
          <w:iCs/>
          <w:color w:val="000000" w:themeColor="text1"/>
        </w:rPr>
        <w:t>Mechanism of economic regulation</w:t>
      </w:r>
      <w:r w:rsidR="00E63F44" w:rsidRPr="000A4ACB">
        <w:rPr>
          <w:rFonts w:cs="Times New Roman"/>
          <w:color w:val="000000" w:themeColor="text1"/>
        </w:rPr>
        <w:t>, (2 (92)), pp.33-42.</w:t>
      </w:r>
    </w:p>
    <w:p w14:paraId="3E42F85F" w14:textId="77777777" w:rsidR="005177D1" w:rsidRDefault="005177D1" w:rsidP="005177D1">
      <w:pPr>
        <w:shd w:val="clear" w:color="auto" w:fill="FFFFFF"/>
        <w:suppressAutoHyphens/>
        <w:autoSpaceDN w:val="0"/>
        <w:spacing w:before="100" w:after="100"/>
        <w:jc w:val="left"/>
        <w:rPr>
          <w:rFonts w:eastAsia="Times New Roman" w:cs="Arial"/>
          <w:color w:val="16192B"/>
          <w:kern w:val="0"/>
          <w:szCs w:val="24"/>
          <w:lang w:eastAsia="en-GB"/>
        </w:rPr>
      </w:pPr>
      <w:r>
        <w:rPr>
          <w:rFonts w:eastAsia="Times New Roman" w:cs="Arial"/>
          <w:color w:val="16192B"/>
          <w:kern w:val="0"/>
          <w:szCs w:val="24"/>
          <w:lang w:eastAsia="en-GB"/>
        </w:rPr>
        <w:t>Porter, M. E., &amp; Kramer, M. R. (2011). Creating shared value. Harvard Business Review, 89(1/2), 62-77.</w:t>
      </w:r>
    </w:p>
    <w:p w14:paraId="70849F03" w14:textId="320A4646" w:rsidR="00C805A4" w:rsidRPr="000A4ACB" w:rsidRDefault="00E63F44" w:rsidP="00C805A4">
      <w:pPr>
        <w:rPr>
          <w:rFonts w:cs="Times New Roman"/>
          <w:color w:val="000000" w:themeColor="text1"/>
        </w:rPr>
      </w:pPr>
      <w:r w:rsidRPr="000A4ACB">
        <w:rPr>
          <w:rFonts w:cs="Times New Roman"/>
          <w:color w:val="000000" w:themeColor="text1"/>
        </w:rPr>
        <w:t xml:space="preserve">Premier Inn (2024) </w:t>
      </w:r>
      <w:r w:rsidRPr="000A4ACB">
        <w:rPr>
          <w:rFonts w:cs="Times New Roman"/>
          <w:i/>
          <w:iCs/>
          <w:color w:val="000000" w:themeColor="text1"/>
        </w:rPr>
        <w:t>22/04/2018 | Our Earth Day commitment to cut our carbon emissions intensity by 50%</w:t>
      </w:r>
      <w:r w:rsidRPr="000A4ACB">
        <w:rPr>
          <w:rFonts w:cs="Times New Roman"/>
          <w:color w:val="000000" w:themeColor="text1"/>
        </w:rPr>
        <w:t>. Available at: https://www.premierinn.com/gb/en/news/2018/world-earth-day.html (Accessed: 17 May 2024).</w:t>
      </w:r>
    </w:p>
    <w:p w14:paraId="6DE5DF41" w14:textId="7414B7D9" w:rsidR="00C805A4" w:rsidRDefault="00E63F44" w:rsidP="00C805A4">
      <w:pPr>
        <w:rPr>
          <w:rFonts w:cs="Times New Roman"/>
          <w:color w:val="000000" w:themeColor="text1"/>
        </w:rPr>
      </w:pPr>
      <w:r w:rsidRPr="000A4ACB">
        <w:rPr>
          <w:rFonts w:cs="Times New Roman"/>
          <w:color w:val="000000" w:themeColor="text1"/>
        </w:rPr>
        <w:t xml:space="preserve">Premier Inn (2024) </w:t>
      </w:r>
      <w:r w:rsidRPr="000A4ACB">
        <w:rPr>
          <w:rFonts w:cs="Times New Roman"/>
          <w:i/>
          <w:iCs/>
          <w:color w:val="000000" w:themeColor="text1"/>
        </w:rPr>
        <w:t xml:space="preserve">We value </w:t>
      </w:r>
      <w:r w:rsidR="00745383">
        <w:rPr>
          <w:rFonts w:cs="Times New Roman"/>
          <w:i/>
          <w:iCs/>
          <w:color w:val="000000" w:themeColor="text1"/>
        </w:rPr>
        <w:t xml:space="preserve">the </w:t>
      </w:r>
      <w:r w:rsidRPr="000A4ACB">
        <w:rPr>
          <w:rFonts w:cs="Times New Roman"/>
          <w:i/>
          <w:iCs/>
          <w:color w:val="000000" w:themeColor="text1"/>
        </w:rPr>
        <w:t>difference at Premier Inn</w:t>
      </w:r>
      <w:r w:rsidRPr="000A4ACB">
        <w:rPr>
          <w:rFonts w:cs="Times New Roman"/>
          <w:color w:val="000000" w:themeColor="text1"/>
        </w:rPr>
        <w:t>. Available at: https://www.premierinn.com/gb/en/terms/diversity-and-inclusion.html (Accessed: 17 May 2024).</w:t>
      </w:r>
    </w:p>
    <w:p w14:paraId="1C30FE7A" w14:textId="77777777" w:rsidR="005177D1" w:rsidRDefault="005177D1" w:rsidP="005177D1">
      <w:pPr>
        <w:shd w:val="clear" w:color="auto" w:fill="FFFFFF"/>
        <w:suppressAutoHyphens/>
        <w:autoSpaceDN w:val="0"/>
        <w:spacing w:before="100" w:after="100"/>
        <w:jc w:val="left"/>
        <w:rPr>
          <w:rStyle w:val="Hyperlink"/>
          <w:rFonts w:eastAsia="Times New Roman" w:cs="Arial"/>
          <w:kern w:val="0"/>
          <w:szCs w:val="24"/>
          <w:lang w:eastAsia="en-GB"/>
        </w:rPr>
      </w:pPr>
      <w:r>
        <w:rPr>
          <w:rFonts w:eastAsia="Times New Roman" w:cs="Arial"/>
          <w:color w:val="16192B"/>
          <w:kern w:val="0"/>
          <w:szCs w:val="24"/>
          <w:lang w:eastAsia="en-GB"/>
        </w:rPr>
        <w:t xml:space="preserve">Premier Inn. (n.d.). Premier Inn and Corporate Responsibility. </w:t>
      </w:r>
      <w:hyperlink r:id="rId11" w:history="1">
        <w:r>
          <w:rPr>
            <w:rStyle w:val="Hyperlink"/>
            <w:rFonts w:eastAsia="Times New Roman" w:cs="Arial"/>
            <w:kern w:val="0"/>
            <w:szCs w:val="24"/>
            <w:lang w:eastAsia="en-GB"/>
          </w:rPr>
          <w:t>https://www.premierinn.com/gb/en/why/corporate-responsibility.html</w:t>
        </w:r>
      </w:hyperlink>
    </w:p>
    <w:p w14:paraId="26CB1464" w14:textId="77777777" w:rsidR="005177D1" w:rsidRDefault="005177D1" w:rsidP="005177D1">
      <w:pPr>
        <w:shd w:val="clear" w:color="auto" w:fill="FFFFFF"/>
        <w:suppressAutoHyphens/>
        <w:spacing w:before="100" w:after="100"/>
        <w:contextualSpacing/>
        <w:rPr>
          <w:rFonts w:eastAsia="Times New Roman"/>
          <w:color w:val="16192B"/>
          <w:szCs w:val="24"/>
          <w:lang w:eastAsia="en-GB"/>
        </w:rPr>
      </w:pPr>
      <w:r w:rsidRPr="005177D1">
        <w:rPr>
          <w:rFonts w:eastAsia="Times New Roman"/>
          <w:color w:val="16192B"/>
          <w:szCs w:val="24"/>
          <w:lang w:eastAsia="en-GB"/>
        </w:rPr>
        <w:t>Stahel, W. R. (2016). The circular economy. Nature News, 531(7595), 435-438.</w:t>
      </w:r>
    </w:p>
    <w:p w14:paraId="21B86A9D" w14:textId="77777777" w:rsidR="005177D1" w:rsidRDefault="005177D1" w:rsidP="005177D1">
      <w:pPr>
        <w:shd w:val="clear" w:color="auto" w:fill="FFFFFF"/>
        <w:suppressAutoHyphens/>
        <w:spacing w:before="100" w:after="100"/>
        <w:contextualSpacing/>
        <w:rPr>
          <w:rFonts w:eastAsia="Times New Roman"/>
          <w:color w:val="16192B"/>
          <w:szCs w:val="24"/>
          <w:lang w:eastAsia="en-GB"/>
        </w:rPr>
      </w:pPr>
    </w:p>
    <w:p w14:paraId="1CCF4FC6" w14:textId="77777777" w:rsidR="005177D1" w:rsidRDefault="005177D1" w:rsidP="005177D1">
      <w:pPr>
        <w:shd w:val="clear" w:color="auto" w:fill="FFFFFF"/>
        <w:suppressAutoHyphens/>
        <w:autoSpaceDN w:val="0"/>
        <w:spacing w:before="100" w:after="100"/>
        <w:jc w:val="left"/>
      </w:pPr>
      <w:r>
        <w:rPr>
          <w:rFonts w:eastAsia="Times New Roman" w:cs="Arial"/>
          <w:color w:val="212529"/>
          <w:kern w:val="0"/>
          <w:szCs w:val="24"/>
          <w:lang w:eastAsia="en-GB"/>
        </w:rPr>
        <w:t>Williams, P.W. &amp; Ponsford, I. F. (2009). Confronting tourism’s environmental paradox: Transitioning for sustainable tourism., </w:t>
      </w:r>
      <w:r>
        <w:rPr>
          <w:rFonts w:eastAsia="Times New Roman" w:cs="Arial"/>
          <w:i/>
          <w:iCs/>
          <w:color w:val="212529"/>
          <w:kern w:val="0"/>
          <w:szCs w:val="24"/>
          <w:lang w:eastAsia="en-GB"/>
        </w:rPr>
        <w:t>Futures</w:t>
      </w:r>
      <w:r>
        <w:rPr>
          <w:rFonts w:eastAsia="Times New Roman" w:cs="Arial"/>
          <w:color w:val="212529"/>
          <w:kern w:val="0"/>
          <w:szCs w:val="24"/>
          <w:lang w:eastAsia="en-GB"/>
        </w:rPr>
        <w:t>, Vol. 41, pp. 396-404</w:t>
      </w:r>
    </w:p>
    <w:p w14:paraId="20AB6D64" w14:textId="77777777" w:rsidR="005177D1" w:rsidRPr="005177D1" w:rsidRDefault="005177D1" w:rsidP="005177D1">
      <w:pPr>
        <w:shd w:val="clear" w:color="auto" w:fill="FFFFFF"/>
        <w:suppressAutoHyphens/>
        <w:spacing w:before="100" w:after="100"/>
        <w:contextualSpacing/>
        <w:rPr>
          <w:rFonts w:eastAsia="Times New Roman"/>
          <w:color w:val="16192B"/>
          <w:szCs w:val="24"/>
          <w:lang w:eastAsia="en-GB"/>
        </w:rPr>
      </w:pPr>
    </w:p>
    <w:p w14:paraId="06528528" w14:textId="77777777" w:rsidR="005177D1" w:rsidRDefault="005177D1" w:rsidP="005177D1">
      <w:pPr>
        <w:shd w:val="clear" w:color="auto" w:fill="FFFFFF"/>
        <w:suppressAutoHyphens/>
        <w:autoSpaceDN w:val="0"/>
        <w:spacing w:before="100" w:after="100"/>
        <w:jc w:val="left"/>
        <w:rPr>
          <w:rStyle w:val="Hyperlink"/>
          <w:rFonts w:eastAsia="Times New Roman" w:cs="Arial"/>
          <w:kern w:val="0"/>
          <w:szCs w:val="24"/>
          <w:lang w:eastAsia="en-GB"/>
        </w:rPr>
      </w:pPr>
    </w:p>
    <w:p w14:paraId="3FD0266C" w14:textId="77777777" w:rsidR="005177D1" w:rsidRDefault="005177D1" w:rsidP="005177D1">
      <w:pPr>
        <w:shd w:val="clear" w:color="auto" w:fill="FFFFFF"/>
        <w:suppressAutoHyphens/>
        <w:autoSpaceDN w:val="0"/>
        <w:spacing w:before="100" w:after="100"/>
        <w:jc w:val="left"/>
      </w:pPr>
    </w:p>
    <w:p w14:paraId="7BED9062" w14:textId="77777777" w:rsidR="005177D1" w:rsidRPr="000A4ACB" w:rsidRDefault="005177D1" w:rsidP="00C805A4">
      <w:pPr>
        <w:rPr>
          <w:rFonts w:cs="Times New Roman"/>
          <w:b/>
          <w:bCs/>
          <w:color w:val="000000" w:themeColor="text1"/>
        </w:rPr>
      </w:pPr>
    </w:p>
    <w:p w14:paraId="7F323346" w14:textId="26B2C1B7" w:rsidR="00C805A4" w:rsidRPr="000A4ACB" w:rsidRDefault="00C805A4" w:rsidP="008B12AB">
      <w:pPr>
        <w:rPr>
          <w:rFonts w:cs="Times New Roman"/>
          <w:color w:val="000000" w:themeColor="text1"/>
        </w:rPr>
      </w:pPr>
    </w:p>
    <w:p w14:paraId="547514C8" w14:textId="42C1BE49" w:rsidR="008B12AB" w:rsidRPr="000A4ACB" w:rsidRDefault="008B12AB"/>
    <w:sectPr w:rsidR="008B12AB" w:rsidRPr="000A4AC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B2BCBB" w14:textId="77777777" w:rsidR="001D5DBC" w:rsidRDefault="001D5DBC">
      <w:pPr>
        <w:spacing w:after="0" w:line="240" w:lineRule="auto"/>
      </w:pPr>
      <w:r>
        <w:separator/>
      </w:r>
    </w:p>
  </w:endnote>
  <w:endnote w:type="continuationSeparator" w:id="0">
    <w:p w14:paraId="1D64240D" w14:textId="77777777" w:rsidR="001D5DBC" w:rsidRDefault="001D5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9606665"/>
      <w:docPartObj>
        <w:docPartGallery w:val="Page Numbers (Bottom of Page)"/>
        <w:docPartUnique/>
      </w:docPartObj>
    </w:sdtPr>
    <w:sdtEndPr>
      <w:rPr>
        <w:noProof/>
      </w:rPr>
    </w:sdtEndPr>
    <w:sdtContent>
      <w:p w14:paraId="6F66BE40" w14:textId="6ACE2894" w:rsidR="00C87236" w:rsidRDefault="00E63F44">
        <w:pPr>
          <w:pStyle w:val="Footer"/>
          <w:jc w:val="right"/>
        </w:pPr>
        <w:r>
          <w:fldChar w:fldCharType="begin"/>
        </w:r>
        <w:r>
          <w:instrText xml:space="preserve"> PAGE   \* MERGEFORMAT </w:instrText>
        </w:r>
        <w:r>
          <w:fldChar w:fldCharType="separate"/>
        </w:r>
        <w:r w:rsidR="000A4ACB">
          <w:rPr>
            <w:noProof/>
          </w:rPr>
          <w:t>3</w:t>
        </w:r>
        <w:r>
          <w:rPr>
            <w:noProof/>
          </w:rPr>
          <w:fldChar w:fldCharType="end"/>
        </w:r>
      </w:p>
    </w:sdtContent>
  </w:sdt>
  <w:p w14:paraId="6A5DB838" w14:textId="77777777" w:rsidR="00C87236" w:rsidRDefault="00C872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A0728" w14:textId="77777777" w:rsidR="001D5DBC" w:rsidRDefault="001D5DBC">
      <w:pPr>
        <w:spacing w:after="0" w:line="240" w:lineRule="auto"/>
      </w:pPr>
      <w:r>
        <w:separator/>
      </w:r>
    </w:p>
  </w:footnote>
  <w:footnote w:type="continuationSeparator" w:id="0">
    <w:p w14:paraId="32EDB451" w14:textId="77777777" w:rsidR="001D5DBC" w:rsidRDefault="001D5D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6193E"/>
    <w:multiLevelType w:val="hybridMultilevel"/>
    <w:tmpl w:val="05B0A50C"/>
    <w:lvl w:ilvl="0" w:tplc="E10069C6">
      <w:numFmt w:val="bullet"/>
      <w:lvlText w:val=""/>
      <w:lvlJc w:val="left"/>
      <w:pPr>
        <w:ind w:left="820" w:hanging="361"/>
      </w:pPr>
      <w:rPr>
        <w:rFonts w:ascii="Symbol" w:eastAsia="Symbol" w:hAnsi="Symbol" w:cs="Symbol" w:hint="default"/>
        <w:spacing w:val="0"/>
        <w:w w:val="100"/>
        <w:lang w:val="en-US" w:eastAsia="en-US" w:bidi="ar-SA"/>
      </w:rPr>
    </w:lvl>
    <w:lvl w:ilvl="1" w:tplc="29D8A68E">
      <w:numFmt w:val="bullet"/>
      <w:lvlText w:val="•"/>
      <w:lvlJc w:val="left"/>
      <w:pPr>
        <w:ind w:left="1807" w:hanging="361"/>
      </w:pPr>
      <w:rPr>
        <w:lang w:val="en-US" w:eastAsia="en-US" w:bidi="ar-SA"/>
      </w:rPr>
    </w:lvl>
    <w:lvl w:ilvl="2" w:tplc="1D7203E6">
      <w:numFmt w:val="bullet"/>
      <w:lvlText w:val="•"/>
      <w:lvlJc w:val="left"/>
      <w:pPr>
        <w:ind w:left="2794" w:hanging="361"/>
      </w:pPr>
      <w:rPr>
        <w:lang w:val="en-US" w:eastAsia="en-US" w:bidi="ar-SA"/>
      </w:rPr>
    </w:lvl>
    <w:lvl w:ilvl="3" w:tplc="D84A08D8">
      <w:numFmt w:val="bullet"/>
      <w:lvlText w:val="•"/>
      <w:lvlJc w:val="left"/>
      <w:pPr>
        <w:ind w:left="3782" w:hanging="361"/>
      </w:pPr>
      <w:rPr>
        <w:lang w:val="en-US" w:eastAsia="en-US" w:bidi="ar-SA"/>
      </w:rPr>
    </w:lvl>
    <w:lvl w:ilvl="4" w:tplc="AF34EF8E">
      <w:numFmt w:val="bullet"/>
      <w:lvlText w:val="•"/>
      <w:lvlJc w:val="left"/>
      <w:pPr>
        <w:ind w:left="4769" w:hanging="361"/>
      </w:pPr>
      <w:rPr>
        <w:lang w:val="en-US" w:eastAsia="en-US" w:bidi="ar-SA"/>
      </w:rPr>
    </w:lvl>
    <w:lvl w:ilvl="5" w:tplc="CD885E52">
      <w:numFmt w:val="bullet"/>
      <w:lvlText w:val="•"/>
      <w:lvlJc w:val="left"/>
      <w:pPr>
        <w:ind w:left="5757" w:hanging="361"/>
      </w:pPr>
      <w:rPr>
        <w:lang w:val="en-US" w:eastAsia="en-US" w:bidi="ar-SA"/>
      </w:rPr>
    </w:lvl>
    <w:lvl w:ilvl="6" w:tplc="C8FC0DD2">
      <w:numFmt w:val="bullet"/>
      <w:lvlText w:val="•"/>
      <w:lvlJc w:val="left"/>
      <w:pPr>
        <w:ind w:left="6744" w:hanging="361"/>
      </w:pPr>
      <w:rPr>
        <w:lang w:val="en-US" w:eastAsia="en-US" w:bidi="ar-SA"/>
      </w:rPr>
    </w:lvl>
    <w:lvl w:ilvl="7" w:tplc="71A2B068">
      <w:numFmt w:val="bullet"/>
      <w:lvlText w:val="•"/>
      <w:lvlJc w:val="left"/>
      <w:pPr>
        <w:ind w:left="7732" w:hanging="361"/>
      </w:pPr>
      <w:rPr>
        <w:lang w:val="en-US" w:eastAsia="en-US" w:bidi="ar-SA"/>
      </w:rPr>
    </w:lvl>
    <w:lvl w:ilvl="8" w:tplc="FC8AFB08">
      <w:numFmt w:val="bullet"/>
      <w:lvlText w:val="•"/>
      <w:lvlJc w:val="left"/>
      <w:pPr>
        <w:ind w:left="8719" w:hanging="361"/>
      </w:pPr>
      <w:rPr>
        <w:lang w:val="en-US" w:eastAsia="en-US" w:bidi="ar-SA"/>
      </w:rPr>
    </w:lvl>
  </w:abstractNum>
  <w:abstractNum w:abstractNumId="1" w15:restartNumberingAfterBreak="0">
    <w:nsid w:val="713F5F62"/>
    <w:multiLevelType w:val="multilevel"/>
    <w:tmpl w:val="EAD0E5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41285671">
    <w:abstractNumId w:val="0"/>
  </w:num>
  <w:num w:numId="2" w16cid:durableId="352461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0CD"/>
    <w:rsid w:val="0004083B"/>
    <w:rsid w:val="00045C3C"/>
    <w:rsid w:val="000606F6"/>
    <w:rsid w:val="000A4ACB"/>
    <w:rsid w:val="000D4F57"/>
    <w:rsid w:val="000E31DF"/>
    <w:rsid w:val="000F7F98"/>
    <w:rsid w:val="00112FA4"/>
    <w:rsid w:val="00133E81"/>
    <w:rsid w:val="0017432F"/>
    <w:rsid w:val="001D5DBC"/>
    <w:rsid w:val="002E269A"/>
    <w:rsid w:val="002E7010"/>
    <w:rsid w:val="00317297"/>
    <w:rsid w:val="00321E50"/>
    <w:rsid w:val="00323EEC"/>
    <w:rsid w:val="0037660A"/>
    <w:rsid w:val="003A472C"/>
    <w:rsid w:val="0048144C"/>
    <w:rsid w:val="004B11C2"/>
    <w:rsid w:val="005177D1"/>
    <w:rsid w:val="005431DC"/>
    <w:rsid w:val="005B3485"/>
    <w:rsid w:val="005E2074"/>
    <w:rsid w:val="006D3BBD"/>
    <w:rsid w:val="007106AD"/>
    <w:rsid w:val="00745383"/>
    <w:rsid w:val="007D5062"/>
    <w:rsid w:val="007E5AE5"/>
    <w:rsid w:val="00832044"/>
    <w:rsid w:val="008B12AB"/>
    <w:rsid w:val="008F6C2A"/>
    <w:rsid w:val="009005D9"/>
    <w:rsid w:val="009101CE"/>
    <w:rsid w:val="009226E3"/>
    <w:rsid w:val="00A170CD"/>
    <w:rsid w:val="00A62097"/>
    <w:rsid w:val="00AC4D56"/>
    <w:rsid w:val="00BF027B"/>
    <w:rsid w:val="00BF17A7"/>
    <w:rsid w:val="00C4034A"/>
    <w:rsid w:val="00C805A4"/>
    <w:rsid w:val="00C87236"/>
    <w:rsid w:val="00CD6913"/>
    <w:rsid w:val="00D103C9"/>
    <w:rsid w:val="00D225FA"/>
    <w:rsid w:val="00D37417"/>
    <w:rsid w:val="00D6056B"/>
    <w:rsid w:val="00DA0623"/>
    <w:rsid w:val="00DB2F91"/>
    <w:rsid w:val="00E34A30"/>
    <w:rsid w:val="00E41C9D"/>
    <w:rsid w:val="00E634A1"/>
    <w:rsid w:val="00E63F44"/>
    <w:rsid w:val="00EA5664"/>
    <w:rsid w:val="00EB6353"/>
    <w:rsid w:val="00F47C57"/>
    <w:rsid w:val="00FA2F7B"/>
    <w:rsid w:val="00FC3F40"/>
    <w:rsid w:val="00FD20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856FF8"/>
  <w15:docId w15:val="{D93F0505-866C-4769-BD88-69EF0D94A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0CD"/>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A170CD"/>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317297"/>
    <w:pPr>
      <w:keepNext/>
      <w:keepLines/>
      <w:widowControl w:val="0"/>
      <w:autoSpaceDE w:val="0"/>
      <w:autoSpaceDN w:val="0"/>
      <w:spacing w:before="40" w:after="0"/>
      <w:outlineLvl w:val="1"/>
    </w:pPr>
    <w:rPr>
      <w:rFonts w:eastAsiaTheme="majorEastAsia" w:cstheme="majorBidi"/>
      <w:b/>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0CD"/>
    <w:rPr>
      <w:rFonts w:ascii="Arial" w:eastAsiaTheme="majorEastAsia" w:hAnsi="Arial" w:cstheme="majorBidi"/>
      <w:b/>
      <w:sz w:val="24"/>
      <w:szCs w:val="32"/>
      <w:lang w:val="en-GB"/>
    </w:rPr>
  </w:style>
  <w:style w:type="character" w:customStyle="1" w:styleId="Heading2Char">
    <w:name w:val="Heading 2 Char"/>
    <w:basedOn w:val="DefaultParagraphFont"/>
    <w:link w:val="Heading2"/>
    <w:uiPriority w:val="9"/>
    <w:rsid w:val="00317297"/>
    <w:rPr>
      <w:rFonts w:ascii="Times New Roman" w:eastAsiaTheme="majorEastAsia" w:hAnsi="Times New Roman" w:cstheme="majorBidi"/>
      <w:b/>
      <w:sz w:val="24"/>
      <w:szCs w:val="26"/>
    </w:rPr>
  </w:style>
  <w:style w:type="paragraph" w:styleId="BodyText">
    <w:name w:val="Body Text"/>
    <w:basedOn w:val="Normal"/>
    <w:link w:val="BodyTextChar"/>
    <w:uiPriority w:val="1"/>
    <w:semiHidden/>
    <w:unhideWhenUsed/>
    <w:qFormat/>
    <w:rsid w:val="00A170CD"/>
    <w:pPr>
      <w:widowControl w:val="0"/>
      <w:autoSpaceDE w:val="0"/>
      <w:autoSpaceDN w:val="0"/>
      <w:spacing w:after="0" w:line="240" w:lineRule="auto"/>
      <w:jc w:val="left"/>
    </w:pPr>
    <w:rPr>
      <w:rFonts w:eastAsia="Arial" w:cs="Arial"/>
      <w:kern w:val="0"/>
      <w:sz w:val="22"/>
      <w:lang w:val="en-US"/>
    </w:rPr>
  </w:style>
  <w:style w:type="character" w:customStyle="1" w:styleId="BodyTextChar">
    <w:name w:val="Body Text Char"/>
    <w:basedOn w:val="DefaultParagraphFont"/>
    <w:link w:val="BodyText"/>
    <w:uiPriority w:val="1"/>
    <w:semiHidden/>
    <w:rsid w:val="00A170CD"/>
    <w:rPr>
      <w:rFonts w:ascii="Arial" w:eastAsia="Arial" w:hAnsi="Arial" w:cs="Arial"/>
      <w:kern w:val="0"/>
      <w:lang w:val="en-US"/>
    </w:rPr>
  </w:style>
  <w:style w:type="paragraph" w:styleId="ListParagraph">
    <w:name w:val="List Paragraph"/>
    <w:basedOn w:val="Normal"/>
    <w:qFormat/>
    <w:rsid w:val="00A170CD"/>
    <w:pPr>
      <w:widowControl w:val="0"/>
      <w:autoSpaceDE w:val="0"/>
      <w:autoSpaceDN w:val="0"/>
      <w:spacing w:after="0" w:line="240" w:lineRule="auto"/>
      <w:ind w:left="820" w:hanging="360"/>
      <w:jc w:val="left"/>
    </w:pPr>
    <w:rPr>
      <w:rFonts w:eastAsia="Arial" w:cs="Arial"/>
      <w:kern w:val="0"/>
      <w:sz w:val="22"/>
      <w:lang w:val="en-US"/>
    </w:rPr>
  </w:style>
  <w:style w:type="character" w:styleId="Hyperlink">
    <w:name w:val="Hyperlink"/>
    <w:basedOn w:val="DefaultParagraphFont"/>
    <w:uiPriority w:val="99"/>
    <w:unhideWhenUsed/>
    <w:rsid w:val="008B12AB"/>
    <w:rPr>
      <w:color w:val="0563C1" w:themeColor="hyperlink"/>
      <w:u w:val="single"/>
    </w:rPr>
  </w:style>
  <w:style w:type="character" w:customStyle="1" w:styleId="UnresolvedMention1">
    <w:name w:val="Unresolved Mention1"/>
    <w:basedOn w:val="DefaultParagraphFont"/>
    <w:uiPriority w:val="99"/>
    <w:semiHidden/>
    <w:unhideWhenUsed/>
    <w:rsid w:val="008B12AB"/>
    <w:rPr>
      <w:color w:val="605E5C"/>
      <w:shd w:val="clear" w:color="auto" w:fill="E1DFDD"/>
    </w:rPr>
  </w:style>
  <w:style w:type="character" w:styleId="CommentReference">
    <w:name w:val="annotation reference"/>
    <w:basedOn w:val="DefaultParagraphFont"/>
    <w:uiPriority w:val="99"/>
    <w:semiHidden/>
    <w:unhideWhenUsed/>
    <w:rsid w:val="00BF027B"/>
    <w:rPr>
      <w:sz w:val="16"/>
      <w:szCs w:val="16"/>
    </w:rPr>
  </w:style>
  <w:style w:type="paragraph" w:styleId="CommentText">
    <w:name w:val="annotation text"/>
    <w:basedOn w:val="Normal"/>
    <w:link w:val="CommentTextChar"/>
    <w:uiPriority w:val="99"/>
    <w:semiHidden/>
    <w:unhideWhenUsed/>
    <w:rsid w:val="00BF027B"/>
    <w:pPr>
      <w:spacing w:line="240" w:lineRule="auto"/>
    </w:pPr>
    <w:rPr>
      <w:sz w:val="20"/>
      <w:szCs w:val="20"/>
    </w:rPr>
  </w:style>
  <w:style w:type="character" w:customStyle="1" w:styleId="CommentTextChar">
    <w:name w:val="Comment Text Char"/>
    <w:basedOn w:val="DefaultParagraphFont"/>
    <w:link w:val="CommentText"/>
    <w:uiPriority w:val="99"/>
    <w:semiHidden/>
    <w:rsid w:val="00BF027B"/>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BF027B"/>
    <w:rPr>
      <w:b/>
      <w:bCs/>
    </w:rPr>
  </w:style>
  <w:style w:type="character" w:customStyle="1" w:styleId="CommentSubjectChar">
    <w:name w:val="Comment Subject Char"/>
    <w:basedOn w:val="CommentTextChar"/>
    <w:link w:val="CommentSubject"/>
    <w:uiPriority w:val="99"/>
    <w:semiHidden/>
    <w:rsid w:val="00BF027B"/>
    <w:rPr>
      <w:rFonts w:ascii="Arial" w:hAnsi="Arial"/>
      <w:b/>
      <w:bCs/>
      <w:sz w:val="20"/>
      <w:szCs w:val="20"/>
      <w:lang w:val="en-GB"/>
    </w:rPr>
  </w:style>
  <w:style w:type="paragraph" w:styleId="BalloonText">
    <w:name w:val="Balloon Text"/>
    <w:basedOn w:val="Normal"/>
    <w:link w:val="BalloonTextChar"/>
    <w:uiPriority w:val="99"/>
    <w:semiHidden/>
    <w:unhideWhenUsed/>
    <w:rsid w:val="00BF02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27B"/>
    <w:rPr>
      <w:rFonts w:ascii="Segoe UI" w:hAnsi="Segoe UI" w:cs="Segoe UI"/>
      <w:sz w:val="18"/>
      <w:szCs w:val="18"/>
      <w:lang w:val="en-GB"/>
    </w:rPr>
  </w:style>
  <w:style w:type="character" w:customStyle="1" w:styleId="UnresolvedMention2">
    <w:name w:val="Unresolved Mention2"/>
    <w:basedOn w:val="DefaultParagraphFont"/>
    <w:uiPriority w:val="99"/>
    <w:semiHidden/>
    <w:unhideWhenUsed/>
    <w:rsid w:val="00C805A4"/>
    <w:rPr>
      <w:color w:val="605E5C"/>
      <w:shd w:val="clear" w:color="auto" w:fill="E1DFDD"/>
    </w:rPr>
  </w:style>
  <w:style w:type="paragraph" w:styleId="Header">
    <w:name w:val="header"/>
    <w:basedOn w:val="Normal"/>
    <w:link w:val="HeaderChar"/>
    <w:uiPriority w:val="99"/>
    <w:unhideWhenUsed/>
    <w:rsid w:val="00C87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236"/>
    <w:rPr>
      <w:rFonts w:ascii="Arial" w:hAnsi="Arial"/>
      <w:sz w:val="24"/>
      <w:lang w:val="en-GB"/>
    </w:rPr>
  </w:style>
  <w:style w:type="paragraph" w:styleId="Footer">
    <w:name w:val="footer"/>
    <w:basedOn w:val="Normal"/>
    <w:link w:val="FooterChar"/>
    <w:uiPriority w:val="99"/>
    <w:unhideWhenUsed/>
    <w:rsid w:val="00C87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236"/>
    <w:rPr>
      <w:rFonts w:ascii="Arial" w:hAnsi="Arial"/>
      <w:sz w:val="24"/>
      <w:lang w:val="en-GB"/>
    </w:rPr>
  </w:style>
  <w:style w:type="paragraph" w:styleId="TOCHeading">
    <w:name w:val="TOC Heading"/>
    <w:basedOn w:val="Heading1"/>
    <w:next w:val="Normal"/>
    <w:uiPriority w:val="39"/>
    <w:unhideWhenUsed/>
    <w:qFormat/>
    <w:rsid w:val="00C87236"/>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87236"/>
    <w:pPr>
      <w:spacing w:after="100"/>
    </w:pPr>
  </w:style>
  <w:style w:type="paragraph" w:styleId="TOC2">
    <w:name w:val="toc 2"/>
    <w:basedOn w:val="Normal"/>
    <w:next w:val="Normal"/>
    <w:autoRedefine/>
    <w:uiPriority w:val="39"/>
    <w:unhideWhenUsed/>
    <w:rsid w:val="00C8723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584601">
      <w:bodyDiv w:val="1"/>
      <w:marLeft w:val="0"/>
      <w:marRight w:val="0"/>
      <w:marTop w:val="0"/>
      <w:marBottom w:val="0"/>
      <w:divBdr>
        <w:top w:val="none" w:sz="0" w:space="0" w:color="auto"/>
        <w:left w:val="none" w:sz="0" w:space="0" w:color="auto"/>
        <w:bottom w:val="none" w:sz="0" w:space="0" w:color="auto"/>
        <w:right w:val="none" w:sz="0" w:space="0" w:color="auto"/>
      </w:divBdr>
    </w:div>
    <w:div w:id="1029065015">
      <w:bodyDiv w:val="1"/>
      <w:marLeft w:val="0"/>
      <w:marRight w:val="0"/>
      <w:marTop w:val="0"/>
      <w:marBottom w:val="0"/>
      <w:divBdr>
        <w:top w:val="none" w:sz="0" w:space="0" w:color="auto"/>
        <w:left w:val="none" w:sz="0" w:space="0" w:color="auto"/>
        <w:bottom w:val="none" w:sz="0" w:space="0" w:color="auto"/>
        <w:right w:val="none" w:sz="0" w:space="0" w:color="auto"/>
      </w:divBdr>
    </w:div>
    <w:div w:id="1462698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Chaarani%20Bacar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gb/en/why/corporate-responsibility.html" TargetMode="External"/><Relationship Id="rId5" Type="http://schemas.openxmlformats.org/officeDocument/2006/relationships/webSettings" Target="webSettings.xml"/><Relationship Id="rId10" Type="http://schemas.openxmlformats.org/officeDocument/2006/relationships/hyperlink" Target="https://www.emerald.com/insight/publication/issn/1755-4217" TargetMode="External"/><Relationship Id="rId4" Type="http://schemas.openxmlformats.org/officeDocument/2006/relationships/settings" Target="settings.xml"/><Relationship Id="rId9" Type="http://schemas.openxmlformats.org/officeDocument/2006/relationships/hyperlink" Target="https://www.emerald.com/insight/search?q=Hugues%20S&#233;raph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878EA-3184-43A0-86E7-EF97B2FF6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10</Pages>
  <Words>2454</Words>
  <Characters>14610</Characters>
  <Application>Microsoft Office Word</Application>
  <DocSecurity>0</DocSecurity>
  <Lines>259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mariana slobozian</cp:lastModifiedBy>
  <cp:revision>28</cp:revision>
  <dcterms:created xsi:type="dcterms:W3CDTF">2024-05-16T06:41:00Z</dcterms:created>
  <dcterms:modified xsi:type="dcterms:W3CDTF">2024-05-24T22:56:00Z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2ae7bbf9-2529-4bb6-92a1-df3b6598eeea</vt:lpwstr>
  </property>
</Properties>
</file>