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b/>
          <w:bCs/>
          <w:sz w:val="28"/>
          <w:szCs w:val="28"/>
        </w:rPr>
      </w:pPr>
    </w:p>
    <w:p>
      <w:pPr>
        <w:jc w:val="both"/>
        <w:rPr>
          <w:b/>
          <w:bCs/>
          <w:sz w:val="28"/>
          <w:szCs w:val="28"/>
        </w:rPr>
      </w:pPr>
    </w:p>
    <w:p>
      <w:pPr>
        <w:jc w:val="both"/>
        <w:rPr>
          <w:b/>
          <w:bCs/>
          <w:sz w:val="28"/>
          <w:szCs w:val="28"/>
        </w:rPr>
      </w:pPr>
    </w:p>
    <w:p>
      <w:pPr>
        <w:spacing w:after="200"/>
        <w:ind w:firstLine="1201" w:firstLineChars="300"/>
        <w:jc w:val="both"/>
        <w:rPr>
          <w:rFonts w:eastAsia="Calibri" w:cs="Times New Roman"/>
          <w:b/>
          <w:sz w:val="40"/>
          <w:szCs w:val="40"/>
        </w:rPr>
      </w:pPr>
      <w:r>
        <w:rPr>
          <w:rFonts w:eastAsia="Calibri" w:cs="Times New Roman"/>
          <w:b/>
          <w:sz w:val="40"/>
          <w:szCs w:val="40"/>
        </w:rPr>
        <w:t>Academic and Employability Skills</w:t>
      </w:r>
    </w:p>
    <w:p>
      <w:pPr>
        <w:spacing w:after="200"/>
        <w:ind w:left="1440"/>
        <w:jc w:val="both"/>
        <w:rPr>
          <w:rFonts w:hint="default" w:eastAsia="Calibri" w:cs="Times New Roman"/>
          <w:b/>
          <w:sz w:val="40"/>
          <w:szCs w:val="40"/>
          <w:lang w:val="en-GB"/>
        </w:rPr>
      </w:pPr>
      <w:r>
        <w:rPr>
          <w:rFonts w:hint="default" w:eastAsia="Calibri" w:cs="Times New Roman"/>
          <w:b/>
          <w:sz w:val="40"/>
          <w:szCs w:val="40"/>
          <w:lang w:val="en-GB"/>
        </w:rPr>
        <w:t xml:space="preserve">       </w:t>
      </w:r>
      <w:bookmarkStart w:id="20" w:name="_GoBack"/>
      <w:bookmarkEnd w:id="20"/>
      <w:r>
        <w:rPr>
          <w:rFonts w:hint="default" w:eastAsia="Calibri" w:cs="Times New Roman"/>
          <w:b/>
          <w:sz w:val="40"/>
          <w:szCs w:val="40"/>
          <w:lang w:val="en-GB"/>
        </w:rPr>
        <w:t xml:space="preserve"> Assingment    Term 2</w:t>
      </w:r>
    </w:p>
    <w:p>
      <w:pPr>
        <w:spacing w:after="200"/>
        <w:ind w:left="1440"/>
        <w:jc w:val="both"/>
        <w:rPr>
          <w:rFonts w:eastAsia="Calibri" w:cs="Times New Roman"/>
          <w:b/>
          <w:sz w:val="40"/>
          <w:szCs w:val="40"/>
        </w:rPr>
      </w:pPr>
    </w:p>
    <w:p>
      <w:pPr>
        <w:spacing w:after="200"/>
        <w:ind w:firstLine="2080" w:firstLineChars="650"/>
        <w:jc w:val="both"/>
        <w:rPr>
          <w:rFonts w:hint="default" w:eastAsia="Calibri" w:cs="Times New Roman"/>
          <w:sz w:val="32"/>
          <w:szCs w:val="32"/>
          <w:lang w:val="en-GB"/>
        </w:rPr>
      </w:pPr>
      <w:r>
        <w:rPr>
          <w:rFonts w:eastAsia="Calibri" w:cs="Times New Roman"/>
          <w:sz w:val="32"/>
          <w:szCs w:val="32"/>
        </w:rPr>
        <w:t xml:space="preserve">Student </w:t>
      </w:r>
      <w:r>
        <w:rPr>
          <w:rFonts w:hint="default" w:eastAsia="Calibri" w:cs="Times New Roman"/>
          <w:sz w:val="32"/>
          <w:szCs w:val="32"/>
          <w:lang w:val="en-GB"/>
        </w:rPr>
        <w:t>: Corneliu Ionut Baba</w:t>
      </w:r>
    </w:p>
    <w:p>
      <w:pPr>
        <w:spacing w:after="200"/>
        <w:ind w:firstLine="1760" w:firstLineChars="550"/>
        <w:jc w:val="both"/>
        <w:rPr>
          <w:rFonts w:hint="default" w:eastAsia="Calibri" w:cs="Times New Roman"/>
          <w:sz w:val="32"/>
          <w:szCs w:val="32"/>
          <w:lang w:val="en-GB"/>
        </w:rPr>
      </w:pPr>
      <w:r>
        <w:rPr>
          <w:rFonts w:hint="default" w:eastAsia="Calibri" w:cs="Times New Roman"/>
          <w:sz w:val="32"/>
          <w:szCs w:val="32"/>
          <w:lang w:val="en-GB"/>
        </w:rPr>
        <w:t xml:space="preserve">          Student ID : 1906079</w:t>
      </w:r>
    </w:p>
    <w:p>
      <w:pPr>
        <w:spacing w:after="200"/>
        <w:ind w:firstLine="1760" w:firstLineChars="550"/>
        <w:jc w:val="both"/>
        <w:rPr>
          <w:rFonts w:hint="default" w:eastAsia="Calibri" w:cs="Times New Roman"/>
          <w:sz w:val="32"/>
          <w:szCs w:val="32"/>
          <w:lang w:val="en-GB"/>
        </w:rPr>
      </w:pPr>
      <w:r>
        <w:rPr>
          <w:rFonts w:hint="default" w:eastAsia="Calibri" w:cs="Times New Roman"/>
          <w:sz w:val="32"/>
          <w:szCs w:val="32"/>
          <w:lang w:val="en-GB"/>
        </w:rPr>
        <w:t xml:space="preserve">       Lecturer : Alfred Mensah</w:t>
      </w:r>
    </w:p>
    <w:p>
      <w:pPr>
        <w:spacing w:after="200"/>
        <w:jc w:val="both"/>
        <w:rPr>
          <w:rFonts w:hint="default" w:eastAsia="Calibri" w:cs="Times New Roman"/>
          <w:sz w:val="32"/>
          <w:szCs w:val="32"/>
          <w:lang w:val="en-GB"/>
        </w:rPr>
      </w:pPr>
    </w:p>
    <w:p>
      <w:pPr>
        <w:jc w:val="both"/>
        <w:rPr>
          <w:b/>
          <w:bCs/>
          <w:sz w:val="28"/>
          <w:szCs w:val="28"/>
        </w:rPr>
      </w:pPr>
    </w:p>
    <w:p>
      <w:pPr>
        <w:jc w:val="both"/>
        <w:rPr>
          <w:b/>
          <w:bCs/>
          <w:sz w:val="28"/>
          <w:szCs w:val="28"/>
        </w:rPr>
      </w:pPr>
      <w:r>
        <w:rPr>
          <w:b/>
          <w:bCs/>
          <w:sz w:val="28"/>
          <w:szCs w:val="28"/>
        </w:rPr>
        <w:br w:type="page"/>
      </w:r>
    </w:p>
    <w:p>
      <w:pPr>
        <w:jc w:val="both"/>
        <w:rPr>
          <w:b/>
          <w:bCs/>
          <w:sz w:val="28"/>
          <w:szCs w:val="28"/>
        </w:rPr>
      </w:pPr>
      <w:r>
        <w:rPr>
          <w:b/>
          <w:bCs/>
          <w:sz w:val="28"/>
          <w:szCs w:val="28"/>
        </w:rPr>
        <w:t>Executive summary</w:t>
      </w:r>
    </w:p>
    <w:p>
      <w:pPr>
        <w:jc w:val="both"/>
        <w:rPr>
          <w:bCs/>
          <w:szCs w:val="24"/>
        </w:rPr>
      </w:pPr>
      <w:r>
        <w:rPr>
          <w:bCs/>
          <w:szCs w:val="24"/>
        </w:rPr>
        <w:t>Reflective study requires conscious thinking about past or done activities and develop inner skills and qualities from mistakes. It is a way of learning from own experience and taking plan for future. Here lies the distinguishing difference between thinking and reflective study. It also helps us to prioritize taken plan accordingly. These enables us to retain our success ways and shows the ways to improve our approach further for the future similar situation. It encourages us of maintaining a clear description of a situation. Gibbs reflective cycle model helps to visualize our thoughts and taken decisions then we can go for critically analyzing the situations, evaluate our performance. Thus at a time we reach a conclusions and make action plan for future (Minott, 2015).</w:t>
      </w:r>
    </w:p>
    <w:p>
      <w:pPr>
        <w:jc w:val="both"/>
        <w:rPr>
          <w:b/>
          <w:bCs/>
          <w:sz w:val="28"/>
          <w:szCs w:val="28"/>
        </w:rPr>
      </w:pPr>
    </w:p>
    <w:p>
      <w:pPr>
        <w:jc w:val="both"/>
        <w:rPr>
          <w:b/>
          <w:bCs/>
          <w:sz w:val="28"/>
          <w:szCs w:val="28"/>
        </w:rPr>
      </w:pPr>
    </w:p>
    <w:p>
      <w:pPr>
        <w:jc w:val="both"/>
        <w:rPr>
          <w:b/>
          <w:bCs/>
          <w:sz w:val="28"/>
          <w:szCs w:val="28"/>
        </w:rPr>
      </w:pPr>
    </w:p>
    <w:p>
      <w:pPr>
        <w:jc w:val="both"/>
        <w:rPr>
          <w:b/>
          <w:bCs/>
          <w:sz w:val="28"/>
          <w:szCs w:val="28"/>
        </w:rPr>
      </w:pPr>
    </w:p>
    <w:p>
      <w:pPr>
        <w:jc w:val="both"/>
        <w:rPr>
          <w:b/>
          <w:bCs/>
          <w:sz w:val="28"/>
          <w:szCs w:val="28"/>
        </w:rPr>
      </w:pPr>
    </w:p>
    <w:p>
      <w:pPr>
        <w:jc w:val="both"/>
        <w:rPr>
          <w:b/>
          <w:bCs/>
          <w:sz w:val="28"/>
          <w:szCs w:val="28"/>
        </w:rPr>
      </w:pPr>
    </w:p>
    <w:p>
      <w:pPr>
        <w:jc w:val="both"/>
        <w:rPr>
          <w:b/>
          <w:bCs/>
          <w:sz w:val="28"/>
          <w:szCs w:val="28"/>
        </w:rPr>
      </w:pPr>
    </w:p>
    <w:p>
      <w:pPr>
        <w:jc w:val="both"/>
        <w:rPr>
          <w:b/>
          <w:bCs/>
          <w:sz w:val="28"/>
          <w:szCs w:val="28"/>
        </w:rPr>
      </w:pPr>
    </w:p>
    <w:p>
      <w:pPr>
        <w:jc w:val="both"/>
        <w:rPr>
          <w:b/>
          <w:bCs/>
          <w:sz w:val="28"/>
          <w:szCs w:val="28"/>
        </w:rPr>
      </w:pPr>
    </w:p>
    <w:p>
      <w:pPr>
        <w:jc w:val="both"/>
        <w:rPr>
          <w:b/>
          <w:bCs/>
          <w:sz w:val="28"/>
          <w:szCs w:val="28"/>
        </w:rPr>
      </w:pPr>
    </w:p>
    <w:p>
      <w:pPr>
        <w:jc w:val="both"/>
        <w:rPr>
          <w:b/>
          <w:bCs/>
          <w:sz w:val="28"/>
          <w:szCs w:val="28"/>
        </w:rPr>
      </w:pPr>
    </w:p>
    <w:p>
      <w:pPr>
        <w:jc w:val="both"/>
        <w:rPr>
          <w:b/>
          <w:bCs/>
          <w:sz w:val="28"/>
          <w:szCs w:val="28"/>
        </w:rPr>
      </w:pPr>
    </w:p>
    <w:p>
      <w:pPr>
        <w:jc w:val="both"/>
        <w:rPr>
          <w:b/>
          <w:bCs/>
          <w:sz w:val="28"/>
          <w:szCs w:val="28"/>
        </w:rPr>
      </w:pPr>
    </w:p>
    <w:p>
      <w:pPr>
        <w:jc w:val="both"/>
        <w:rPr>
          <w:b/>
          <w:bCs/>
          <w:lang w:val="en-GB"/>
        </w:rPr>
      </w:pPr>
    </w:p>
    <w:sdt>
      <w:sdtPr>
        <w:id w:val="-204177534"/>
        <w:docPartObj>
          <w:docPartGallery w:val="Table of Contents"/>
          <w:docPartUnique/>
        </w:docPartObj>
      </w:sdtPr>
      <w:sdtEndPr>
        <w:rPr>
          <w:rFonts w:ascii="Times New Roman" w:hAnsi="Times New Roman" w:eastAsiaTheme="minorHAnsi" w:cstheme="minorBidi"/>
          <w:b/>
          <w:bCs/>
          <w:color w:val="auto"/>
          <w:sz w:val="24"/>
          <w:szCs w:val="22"/>
        </w:rPr>
      </w:sdtEndPr>
      <w:sdtContent>
        <w:p>
          <w:pPr>
            <w:pStyle w:val="13"/>
          </w:pPr>
          <w:r>
            <w:t>Contents</w:t>
          </w:r>
        </w:p>
        <w:p>
          <w:pPr>
            <w:pStyle w:val="6"/>
            <w:tabs>
              <w:tab w:val="right" w:leader="dot" w:pos="9350"/>
            </w:tabs>
            <w:rPr>
              <w:rFonts w:asciiTheme="minorHAnsi" w:hAnsiTheme="minorHAnsi" w:eastAsiaTheme="minorEastAsia"/>
              <w:sz w:val="22"/>
            </w:rPr>
          </w:pPr>
          <w:r>
            <w:fldChar w:fldCharType="begin"/>
          </w:r>
          <w:r>
            <w:instrText xml:space="preserve"> TOC \o "1-3" \h \z \u </w:instrText>
          </w:r>
          <w:r>
            <w:fldChar w:fldCharType="separate"/>
          </w:r>
          <w:r>
            <w:fldChar w:fldCharType="begin"/>
          </w:r>
          <w:r>
            <w:instrText xml:space="preserve"> HYPERLINK \l "_Toc39178307" </w:instrText>
          </w:r>
          <w:r>
            <w:fldChar w:fldCharType="separate"/>
          </w:r>
          <w:r>
            <w:rPr>
              <w:rStyle w:val="9"/>
              <w:lang w:val="en-GB"/>
            </w:rPr>
            <w:t>Introduction: -</w:t>
          </w:r>
          <w:r>
            <w:tab/>
          </w:r>
          <w:r>
            <w:fldChar w:fldCharType="begin"/>
          </w:r>
          <w:r>
            <w:instrText xml:space="preserve"> PAGEREF _Toc39178307 \h </w:instrText>
          </w:r>
          <w:r>
            <w:fldChar w:fldCharType="separate"/>
          </w:r>
          <w:r>
            <w:t>4</w:t>
          </w:r>
          <w:r>
            <w:fldChar w:fldCharType="end"/>
          </w:r>
          <w:r>
            <w:fldChar w:fldCharType="end"/>
          </w:r>
        </w:p>
        <w:p>
          <w:pPr>
            <w:pStyle w:val="6"/>
            <w:tabs>
              <w:tab w:val="right" w:leader="dot" w:pos="9350"/>
            </w:tabs>
            <w:rPr>
              <w:rFonts w:asciiTheme="minorHAnsi" w:hAnsiTheme="minorHAnsi" w:eastAsiaTheme="minorEastAsia"/>
              <w:sz w:val="22"/>
            </w:rPr>
          </w:pPr>
          <w:r>
            <w:fldChar w:fldCharType="begin"/>
          </w:r>
          <w:r>
            <w:instrText xml:space="preserve"> HYPERLINK \l "_Toc39178308" </w:instrText>
          </w:r>
          <w:r>
            <w:fldChar w:fldCharType="separate"/>
          </w:r>
          <w:r>
            <w:rPr>
              <w:rStyle w:val="9"/>
              <w:lang w:val="en-GB"/>
            </w:rPr>
            <w:t>My reflection using Gibbs reflective model</w:t>
          </w:r>
          <w:r>
            <w:tab/>
          </w:r>
          <w:r>
            <w:fldChar w:fldCharType="begin"/>
          </w:r>
          <w:r>
            <w:instrText xml:space="preserve"> PAGEREF _Toc39178308 \h </w:instrText>
          </w:r>
          <w:r>
            <w:fldChar w:fldCharType="separate"/>
          </w:r>
          <w:r>
            <w:t>4</w:t>
          </w:r>
          <w:r>
            <w:fldChar w:fldCharType="end"/>
          </w:r>
          <w:r>
            <w:fldChar w:fldCharType="end"/>
          </w:r>
        </w:p>
        <w:p>
          <w:pPr>
            <w:pStyle w:val="7"/>
            <w:tabs>
              <w:tab w:val="left" w:pos="660"/>
              <w:tab w:val="right" w:leader="dot" w:pos="9350"/>
            </w:tabs>
            <w:rPr>
              <w:rFonts w:asciiTheme="minorHAnsi" w:hAnsiTheme="minorHAnsi" w:eastAsiaTheme="minorEastAsia"/>
              <w:sz w:val="22"/>
            </w:rPr>
          </w:pPr>
          <w:r>
            <w:fldChar w:fldCharType="begin"/>
          </w:r>
          <w:r>
            <w:instrText xml:space="preserve"> HYPERLINK \l "_Toc39178309" </w:instrText>
          </w:r>
          <w:r>
            <w:fldChar w:fldCharType="separate"/>
          </w:r>
          <w:r>
            <w:rPr>
              <w:rStyle w:val="9"/>
              <w:lang w:val="en-GB"/>
            </w:rPr>
            <w:t>1.</w:t>
          </w:r>
          <w:r>
            <w:rPr>
              <w:rFonts w:asciiTheme="minorHAnsi" w:hAnsiTheme="minorHAnsi" w:eastAsiaTheme="minorEastAsia"/>
              <w:sz w:val="22"/>
            </w:rPr>
            <w:tab/>
          </w:r>
          <w:r>
            <w:rPr>
              <w:rStyle w:val="9"/>
            </w:rPr>
            <w:t>Descriptions: -</w:t>
          </w:r>
          <w:r>
            <w:tab/>
          </w:r>
          <w:r>
            <w:fldChar w:fldCharType="begin"/>
          </w:r>
          <w:r>
            <w:instrText xml:space="preserve"> PAGEREF _Toc39178309 \h </w:instrText>
          </w:r>
          <w:r>
            <w:fldChar w:fldCharType="separate"/>
          </w:r>
          <w:r>
            <w:t>5</w:t>
          </w:r>
          <w:r>
            <w:fldChar w:fldCharType="end"/>
          </w:r>
          <w:r>
            <w:fldChar w:fldCharType="end"/>
          </w:r>
        </w:p>
        <w:p>
          <w:pPr>
            <w:pStyle w:val="7"/>
            <w:tabs>
              <w:tab w:val="left" w:pos="660"/>
              <w:tab w:val="right" w:leader="dot" w:pos="9350"/>
            </w:tabs>
            <w:rPr>
              <w:rFonts w:asciiTheme="minorHAnsi" w:hAnsiTheme="minorHAnsi" w:eastAsiaTheme="minorEastAsia"/>
              <w:sz w:val="22"/>
            </w:rPr>
          </w:pPr>
          <w:r>
            <w:fldChar w:fldCharType="begin"/>
          </w:r>
          <w:r>
            <w:instrText xml:space="preserve"> HYPERLINK \l "_Toc39178310" </w:instrText>
          </w:r>
          <w:r>
            <w:fldChar w:fldCharType="separate"/>
          </w:r>
          <w:r>
            <w:rPr>
              <w:rStyle w:val="9"/>
              <w:lang w:val="en-GB"/>
            </w:rPr>
            <w:t>2.</w:t>
          </w:r>
          <w:r>
            <w:rPr>
              <w:rFonts w:asciiTheme="minorHAnsi" w:hAnsiTheme="minorHAnsi" w:eastAsiaTheme="minorEastAsia"/>
              <w:sz w:val="22"/>
            </w:rPr>
            <w:tab/>
          </w:r>
          <w:r>
            <w:rPr>
              <w:rStyle w:val="9"/>
            </w:rPr>
            <w:t>Feelings: -</w:t>
          </w:r>
          <w:r>
            <w:tab/>
          </w:r>
          <w:r>
            <w:fldChar w:fldCharType="begin"/>
          </w:r>
          <w:r>
            <w:instrText xml:space="preserve"> PAGEREF _Toc39178310 \h </w:instrText>
          </w:r>
          <w:r>
            <w:fldChar w:fldCharType="separate"/>
          </w:r>
          <w:r>
            <w:t>5</w:t>
          </w:r>
          <w:r>
            <w:fldChar w:fldCharType="end"/>
          </w:r>
          <w:r>
            <w:fldChar w:fldCharType="end"/>
          </w:r>
        </w:p>
        <w:p>
          <w:pPr>
            <w:pStyle w:val="7"/>
            <w:tabs>
              <w:tab w:val="left" w:pos="660"/>
              <w:tab w:val="right" w:leader="dot" w:pos="9350"/>
            </w:tabs>
            <w:rPr>
              <w:rFonts w:asciiTheme="minorHAnsi" w:hAnsiTheme="minorHAnsi" w:eastAsiaTheme="minorEastAsia"/>
              <w:sz w:val="22"/>
            </w:rPr>
          </w:pPr>
          <w:r>
            <w:fldChar w:fldCharType="begin"/>
          </w:r>
          <w:r>
            <w:instrText xml:space="preserve"> HYPERLINK \l "_Toc39178311" </w:instrText>
          </w:r>
          <w:r>
            <w:fldChar w:fldCharType="separate"/>
          </w:r>
          <w:r>
            <w:rPr>
              <w:rStyle w:val="9"/>
              <w:lang w:val="en-GB"/>
            </w:rPr>
            <w:t>3.</w:t>
          </w:r>
          <w:r>
            <w:rPr>
              <w:rFonts w:asciiTheme="minorHAnsi" w:hAnsiTheme="minorHAnsi" w:eastAsiaTheme="minorEastAsia"/>
              <w:sz w:val="22"/>
            </w:rPr>
            <w:tab/>
          </w:r>
          <w:r>
            <w:rPr>
              <w:rStyle w:val="9"/>
            </w:rPr>
            <w:t>Evaluation: -</w:t>
          </w:r>
          <w:r>
            <w:tab/>
          </w:r>
          <w:r>
            <w:fldChar w:fldCharType="begin"/>
          </w:r>
          <w:r>
            <w:instrText xml:space="preserve"> PAGEREF _Toc39178311 \h </w:instrText>
          </w:r>
          <w:r>
            <w:fldChar w:fldCharType="separate"/>
          </w:r>
          <w:r>
            <w:t>6</w:t>
          </w:r>
          <w:r>
            <w:fldChar w:fldCharType="end"/>
          </w:r>
          <w:r>
            <w:fldChar w:fldCharType="end"/>
          </w:r>
        </w:p>
        <w:p>
          <w:pPr>
            <w:pStyle w:val="7"/>
            <w:tabs>
              <w:tab w:val="left" w:pos="660"/>
              <w:tab w:val="right" w:leader="dot" w:pos="9350"/>
            </w:tabs>
            <w:rPr>
              <w:rFonts w:asciiTheme="minorHAnsi" w:hAnsiTheme="minorHAnsi" w:eastAsiaTheme="minorEastAsia"/>
              <w:sz w:val="22"/>
            </w:rPr>
          </w:pPr>
          <w:r>
            <w:fldChar w:fldCharType="begin"/>
          </w:r>
          <w:r>
            <w:instrText xml:space="preserve"> HYPERLINK \l "_Toc39178312" </w:instrText>
          </w:r>
          <w:r>
            <w:fldChar w:fldCharType="separate"/>
          </w:r>
          <w:r>
            <w:rPr>
              <w:rStyle w:val="9"/>
              <w:lang w:val="en-GB"/>
            </w:rPr>
            <w:t>4.</w:t>
          </w:r>
          <w:r>
            <w:rPr>
              <w:rFonts w:asciiTheme="minorHAnsi" w:hAnsiTheme="minorHAnsi" w:eastAsiaTheme="minorEastAsia"/>
              <w:sz w:val="22"/>
            </w:rPr>
            <w:tab/>
          </w:r>
          <w:r>
            <w:rPr>
              <w:rStyle w:val="9"/>
            </w:rPr>
            <w:t>Analysis: -</w:t>
          </w:r>
          <w:r>
            <w:tab/>
          </w:r>
          <w:r>
            <w:fldChar w:fldCharType="begin"/>
          </w:r>
          <w:r>
            <w:instrText xml:space="preserve"> PAGEREF _Toc39178312 \h </w:instrText>
          </w:r>
          <w:r>
            <w:fldChar w:fldCharType="separate"/>
          </w:r>
          <w:r>
            <w:t>6</w:t>
          </w:r>
          <w:r>
            <w:fldChar w:fldCharType="end"/>
          </w:r>
          <w:r>
            <w:fldChar w:fldCharType="end"/>
          </w:r>
        </w:p>
        <w:p>
          <w:pPr>
            <w:pStyle w:val="7"/>
            <w:tabs>
              <w:tab w:val="left" w:pos="660"/>
              <w:tab w:val="right" w:leader="dot" w:pos="9350"/>
            </w:tabs>
            <w:rPr>
              <w:rFonts w:asciiTheme="minorHAnsi" w:hAnsiTheme="minorHAnsi" w:eastAsiaTheme="minorEastAsia"/>
              <w:sz w:val="22"/>
            </w:rPr>
          </w:pPr>
          <w:r>
            <w:fldChar w:fldCharType="begin"/>
          </w:r>
          <w:r>
            <w:instrText xml:space="preserve"> HYPERLINK \l "_Toc39178313" </w:instrText>
          </w:r>
          <w:r>
            <w:fldChar w:fldCharType="separate"/>
          </w:r>
          <w:r>
            <w:rPr>
              <w:rStyle w:val="9"/>
              <w:lang w:val="en-GB"/>
            </w:rPr>
            <w:t>5.</w:t>
          </w:r>
          <w:r>
            <w:rPr>
              <w:rFonts w:asciiTheme="minorHAnsi" w:hAnsiTheme="minorHAnsi" w:eastAsiaTheme="minorEastAsia"/>
              <w:sz w:val="22"/>
            </w:rPr>
            <w:tab/>
          </w:r>
          <w:r>
            <w:rPr>
              <w:rStyle w:val="9"/>
            </w:rPr>
            <w:t>Conclusions: -</w:t>
          </w:r>
          <w:r>
            <w:tab/>
          </w:r>
          <w:r>
            <w:fldChar w:fldCharType="begin"/>
          </w:r>
          <w:r>
            <w:instrText xml:space="preserve"> PAGEREF _Toc39178313 \h </w:instrText>
          </w:r>
          <w:r>
            <w:fldChar w:fldCharType="separate"/>
          </w:r>
          <w:r>
            <w:t>7</w:t>
          </w:r>
          <w:r>
            <w:fldChar w:fldCharType="end"/>
          </w:r>
          <w:r>
            <w:fldChar w:fldCharType="end"/>
          </w:r>
        </w:p>
        <w:p>
          <w:pPr>
            <w:pStyle w:val="7"/>
            <w:tabs>
              <w:tab w:val="left" w:pos="660"/>
              <w:tab w:val="right" w:leader="dot" w:pos="9350"/>
            </w:tabs>
            <w:rPr>
              <w:rFonts w:asciiTheme="minorHAnsi" w:hAnsiTheme="minorHAnsi" w:eastAsiaTheme="minorEastAsia"/>
              <w:sz w:val="22"/>
            </w:rPr>
          </w:pPr>
          <w:r>
            <w:fldChar w:fldCharType="begin"/>
          </w:r>
          <w:r>
            <w:instrText xml:space="preserve"> HYPERLINK \l "_Toc39178314" </w:instrText>
          </w:r>
          <w:r>
            <w:fldChar w:fldCharType="separate"/>
          </w:r>
          <w:r>
            <w:rPr>
              <w:rStyle w:val="9"/>
              <w:lang w:val="en-GB"/>
            </w:rPr>
            <w:t>6.</w:t>
          </w:r>
          <w:r>
            <w:rPr>
              <w:rFonts w:asciiTheme="minorHAnsi" w:hAnsiTheme="minorHAnsi" w:eastAsiaTheme="minorEastAsia"/>
              <w:sz w:val="22"/>
            </w:rPr>
            <w:tab/>
          </w:r>
          <w:r>
            <w:rPr>
              <w:rStyle w:val="9"/>
            </w:rPr>
            <w:t>Action Plan: -</w:t>
          </w:r>
          <w:r>
            <w:tab/>
          </w:r>
          <w:r>
            <w:fldChar w:fldCharType="begin"/>
          </w:r>
          <w:r>
            <w:instrText xml:space="preserve"> PAGEREF _Toc39178314 \h </w:instrText>
          </w:r>
          <w:r>
            <w:fldChar w:fldCharType="separate"/>
          </w:r>
          <w:r>
            <w:t>7</w:t>
          </w:r>
          <w:r>
            <w:fldChar w:fldCharType="end"/>
          </w:r>
          <w:r>
            <w:fldChar w:fldCharType="end"/>
          </w:r>
        </w:p>
        <w:p>
          <w:pPr>
            <w:pStyle w:val="6"/>
            <w:tabs>
              <w:tab w:val="right" w:leader="dot" w:pos="9350"/>
            </w:tabs>
            <w:rPr>
              <w:rFonts w:asciiTheme="minorHAnsi" w:hAnsiTheme="minorHAnsi" w:eastAsiaTheme="minorEastAsia"/>
              <w:sz w:val="22"/>
            </w:rPr>
          </w:pPr>
          <w:r>
            <w:fldChar w:fldCharType="begin"/>
          </w:r>
          <w:r>
            <w:instrText xml:space="preserve"> HYPERLINK \l "_Toc39178315" </w:instrText>
          </w:r>
          <w:r>
            <w:fldChar w:fldCharType="separate"/>
          </w:r>
          <w:r>
            <w:rPr>
              <w:rStyle w:val="9"/>
              <w:lang w:val="en-GB"/>
            </w:rPr>
            <w:t>Conclusion</w:t>
          </w:r>
          <w:r>
            <w:tab/>
          </w:r>
          <w:r>
            <w:fldChar w:fldCharType="begin"/>
          </w:r>
          <w:r>
            <w:instrText xml:space="preserve"> PAGEREF _Toc39178315 \h </w:instrText>
          </w:r>
          <w:r>
            <w:fldChar w:fldCharType="separate"/>
          </w:r>
          <w:r>
            <w:t>8</w:t>
          </w:r>
          <w:r>
            <w:fldChar w:fldCharType="end"/>
          </w:r>
          <w:r>
            <w:fldChar w:fldCharType="end"/>
          </w:r>
        </w:p>
        <w:p>
          <w:pPr>
            <w:pStyle w:val="6"/>
            <w:tabs>
              <w:tab w:val="right" w:leader="dot" w:pos="9350"/>
            </w:tabs>
            <w:rPr>
              <w:rFonts w:asciiTheme="minorHAnsi" w:hAnsiTheme="minorHAnsi" w:eastAsiaTheme="minorEastAsia"/>
              <w:sz w:val="22"/>
            </w:rPr>
          </w:pPr>
          <w:r>
            <w:fldChar w:fldCharType="begin"/>
          </w:r>
          <w:r>
            <w:instrText xml:space="preserve"> HYPERLINK \l "_Toc39178316" </w:instrText>
          </w:r>
          <w:r>
            <w:fldChar w:fldCharType="separate"/>
          </w:r>
          <w:r>
            <w:rPr>
              <w:rStyle w:val="9"/>
              <w:lang w:val="en-GB"/>
            </w:rPr>
            <w:t>References</w:t>
          </w:r>
          <w:r>
            <w:tab/>
          </w:r>
          <w:r>
            <w:fldChar w:fldCharType="begin"/>
          </w:r>
          <w:r>
            <w:instrText xml:space="preserve"> PAGEREF _Toc39178316 \h </w:instrText>
          </w:r>
          <w:r>
            <w:fldChar w:fldCharType="separate"/>
          </w:r>
          <w:r>
            <w:t>9</w:t>
          </w:r>
          <w:r>
            <w:fldChar w:fldCharType="end"/>
          </w:r>
          <w:r>
            <w:fldChar w:fldCharType="end"/>
          </w:r>
        </w:p>
        <w:p>
          <w:r>
            <w:rPr>
              <w:b/>
              <w:bCs/>
            </w:rPr>
            <w:fldChar w:fldCharType="end"/>
          </w:r>
        </w:p>
      </w:sdtContent>
    </w:sdt>
    <w:p>
      <w:pPr>
        <w:jc w:val="both"/>
        <w:rPr>
          <w:b/>
          <w:bCs/>
          <w:lang w:val="en-GB"/>
        </w:rPr>
      </w:pPr>
    </w:p>
    <w:p>
      <w:pPr>
        <w:jc w:val="both"/>
      </w:pPr>
    </w:p>
    <w:p>
      <w:pPr>
        <w:jc w:val="both"/>
        <w:rPr>
          <w:b/>
          <w:bCs/>
          <w:lang w:val="en-GB"/>
        </w:rPr>
      </w:pPr>
    </w:p>
    <w:p>
      <w:pPr>
        <w:jc w:val="both"/>
        <w:rPr>
          <w:b/>
          <w:bCs/>
          <w:lang w:val="en-GB"/>
        </w:rPr>
      </w:pPr>
      <w:r>
        <w:rPr>
          <w:b/>
          <w:bCs/>
          <w:lang w:val="en-GB"/>
        </w:rPr>
        <w:br w:type="page"/>
      </w:r>
    </w:p>
    <w:p>
      <w:pPr>
        <w:pStyle w:val="2"/>
        <w:jc w:val="both"/>
        <w:rPr>
          <w:lang w:val="en-GB"/>
        </w:rPr>
      </w:pPr>
      <w:bookmarkStart w:id="0" w:name="_Toc39178307"/>
      <w:bookmarkStart w:id="1" w:name="_Toc39156139"/>
      <w:r>
        <w:rPr>
          <w:lang w:val="en-GB"/>
        </w:rPr>
        <w:t>Introduction: -</w:t>
      </w:r>
      <w:bookmarkEnd w:id="0"/>
      <w:bookmarkEnd w:id="1"/>
      <w:r>
        <w:rPr>
          <w:lang w:val="en-GB"/>
        </w:rPr>
        <w:t xml:space="preserve"> </w:t>
      </w:r>
    </w:p>
    <w:p>
      <w:pPr>
        <w:jc w:val="both"/>
      </w:pPr>
      <w:r>
        <w:drawing>
          <wp:anchor distT="0" distB="0" distL="114300" distR="114300" simplePos="0" relativeHeight="251659264" behindDoc="0" locked="0" layoutInCell="1" allowOverlap="1">
            <wp:simplePos x="0" y="0"/>
            <wp:positionH relativeFrom="margin">
              <wp:align>right</wp:align>
            </wp:positionH>
            <wp:positionV relativeFrom="paragraph">
              <wp:posOffset>1390015</wp:posOffset>
            </wp:positionV>
            <wp:extent cx="2895600" cy="1847850"/>
            <wp:effectExtent l="0" t="0" r="0" b="0"/>
            <wp:wrapThrough wrapText="bothSides">
              <wp:wrapPolygon>
                <wp:start x="0" y="0"/>
                <wp:lineTo x="0" y="21377"/>
                <wp:lineTo x="21458" y="21377"/>
                <wp:lineTo x="2145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895600" cy="1847850"/>
                    </a:xfrm>
                    <a:prstGeom prst="rect">
                      <a:avLst/>
                    </a:prstGeom>
                  </pic:spPr>
                </pic:pic>
              </a:graphicData>
            </a:graphic>
          </wp:anchor>
        </w:drawing>
      </w:r>
      <w:r>
        <w:rPr>
          <w:lang w:val="en-GB"/>
        </w:rPr>
        <w:t xml:space="preserve">Employability is a combination of our knowledge, skills and our attitudes that defines ourselves how much we are competitive to take an employment. The purposes of the study are being able to learn from own experiences, being able to make sense of the situation we have to face </w:t>
      </w:r>
      <w:r>
        <w:t>(Bassot, 2015)</w:t>
      </w:r>
      <w:r>
        <w:rPr>
          <w:lang w:val="en-GB"/>
        </w:rPr>
        <w:t>. From time to time many reflective model has been developed by many prominent authors that help us to structure our experience in a coordinate way. From these models I have used Gibbs reflective cycle to explain my reflection. I have followed the cycle ones after one. From the first day of our study we learn something new. In similar way I have learned something new that is most valuable to my life from my university after completing last two term. A details discussion on my own reflection has been explain following the steps of Gibbs reflective cycle model.</w:t>
      </w:r>
    </w:p>
    <w:p>
      <w:pPr>
        <w:pStyle w:val="2"/>
        <w:jc w:val="both"/>
        <w:rPr>
          <w:lang w:val="en-GB"/>
        </w:rPr>
      </w:pPr>
      <w:bookmarkStart w:id="2" w:name="_Toc39178308"/>
      <w:bookmarkStart w:id="3" w:name="_Toc39156140"/>
      <w:r>
        <w:rPr>
          <w:lang w:val="en-GB"/>
        </w:rPr>
        <w:t>My reflection using Gibbs reflective model</w:t>
      </w:r>
      <w:bookmarkEnd w:id="2"/>
      <w:bookmarkEnd w:id="3"/>
    </w:p>
    <w:p>
      <w:pPr>
        <w:jc w:val="both"/>
      </w:pPr>
      <w:r>
        <w:drawing>
          <wp:anchor distT="0" distB="0" distL="114300" distR="114300" simplePos="0" relativeHeight="251658240" behindDoc="0" locked="0" layoutInCell="1" allowOverlap="1">
            <wp:simplePos x="0" y="0"/>
            <wp:positionH relativeFrom="margin">
              <wp:align>right</wp:align>
            </wp:positionH>
            <wp:positionV relativeFrom="paragraph">
              <wp:posOffset>862965</wp:posOffset>
            </wp:positionV>
            <wp:extent cx="3372485" cy="2447925"/>
            <wp:effectExtent l="0" t="0" r="0" b="9525"/>
            <wp:wrapThrough wrapText="bothSides">
              <wp:wrapPolygon>
                <wp:start x="0" y="0"/>
                <wp:lineTo x="0" y="21516"/>
                <wp:lineTo x="21474" y="21516"/>
                <wp:lineTo x="2147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372485" cy="2447925"/>
                    </a:xfrm>
                    <a:prstGeom prst="rect">
                      <a:avLst/>
                    </a:prstGeom>
                  </pic:spPr>
                </pic:pic>
              </a:graphicData>
            </a:graphic>
          </wp:anchor>
        </w:drawing>
      </w:r>
      <w:r>
        <w:rPr>
          <w:lang w:val="en-GB"/>
        </w:rPr>
        <w:t>Life is a journey combined with both success and errors. Sometimes we take good decision sometimes we fail. These are all our experience that teach us a new lesion. Thus we do well in our future same or similar events and this is reflective study. We need to remember what we have done and what happened so far with us and this is the reflective study</w:t>
      </w:r>
      <w:r>
        <w:t xml:space="preserve"> (Creswell, Mills and Dewitt, 2016)</w:t>
      </w:r>
      <w:r>
        <w:rPr>
          <w:lang w:val="en-GB"/>
        </w:rPr>
        <w:t xml:space="preserve">. In describing my reflection, I have used prominent reflective cycle model given by professor Graham Gibbs in 1988 in his book learning by Doing. This model helps us to learn from our everyday deeds and duties that we experience in our regular life. In this cycle he has given six steps that clearly shows our reflections. These six steps are </w:t>
      </w:r>
      <w:r>
        <w:t>descriptions, feelings, evaluation, analysis, conclusions and action plan (Reflective writing: About Gibbs reflective cycle - Oxford ..., n.d.). Detailed discussions are mentioned next.</w:t>
      </w:r>
    </w:p>
    <w:p>
      <w:pPr>
        <w:pStyle w:val="11"/>
        <w:numPr>
          <w:ilvl w:val="0"/>
          <w:numId w:val="1"/>
        </w:numPr>
        <w:jc w:val="both"/>
        <w:rPr>
          <w:lang w:val="en-GB"/>
        </w:rPr>
      </w:pPr>
      <w:bookmarkStart w:id="4" w:name="_Toc39178309"/>
      <w:bookmarkStart w:id="5" w:name="_Toc39156141"/>
      <w:r>
        <w:rPr>
          <w:rStyle w:val="14"/>
        </w:rPr>
        <w:t>Descriptions: -</w:t>
      </w:r>
      <w:bookmarkEnd w:id="4"/>
      <w:bookmarkEnd w:id="5"/>
      <w:r>
        <w:rPr>
          <w:lang w:val="en-GB"/>
        </w:rPr>
        <w:t xml:space="preserve">In the academic life in this university I have to perform a lot of duty, a lot of roles. Sometimes I am a student, Sometimes I am a leader, I am a coordinator, I am a follower and so on like us. I voluntarily participate in the class activities as a regular student of my class. When I have got any responsibilities then I have tried to perform all of duties accordingly as the situation demands and as per direction.  In doing these duties and performing my task I was asked to take decision sometimes it was the right decision sometimes it was a mistake. This is not only the matter of my life, but also for the others in the same way. Like many other people I am not able always to take the right decision in right time and in a right way. But through this journey I have tried to learn something new </w:t>
      </w:r>
      <w:r>
        <w:t>(Potter, 2015)</w:t>
      </w:r>
      <w:r>
        <w:rPr>
          <w:lang w:val="en-GB"/>
        </w:rPr>
        <w:t xml:space="preserve">. </w:t>
      </w:r>
    </w:p>
    <w:p>
      <w:pPr>
        <w:pStyle w:val="11"/>
        <w:ind w:left="450"/>
        <w:jc w:val="both"/>
      </w:pPr>
      <w:r>
        <w:rPr>
          <w:lang w:val="en-GB"/>
        </w:rPr>
        <w:t>Every phases of life come to us with a different story. Sometimes I have presented my findings as a presenter of our groups and have to submit an assignment as a report and so on. I am also involved with some volunteering organization to prepare myself by performing different career building activities. These organization opens a field for me for applying my achieved knowledge in a real sense</w:t>
      </w:r>
      <w:r>
        <w:t xml:space="preserve"> (Delante, 2017)</w:t>
      </w:r>
      <w:r>
        <w:rPr>
          <w:lang w:val="en-GB"/>
        </w:rPr>
        <w:t>.</w:t>
      </w:r>
    </w:p>
    <w:p>
      <w:pPr>
        <w:pStyle w:val="11"/>
        <w:ind w:left="450"/>
        <w:jc w:val="both"/>
        <w:rPr>
          <w:lang w:val="en-GB"/>
        </w:rPr>
      </w:pPr>
    </w:p>
    <w:p>
      <w:pPr>
        <w:pStyle w:val="11"/>
        <w:numPr>
          <w:ilvl w:val="0"/>
          <w:numId w:val="1"/>
        </w:numPr>
        <w:jc w:val="both"/>
        <w:rPr>
          <w:lang w:val="en-GB"/>
        </w:rPr>
      </w:pPr>
      <w:r>
        <w:rPr>
          <w:rStyle w:val="14"/>
        </w:rPr>
        <w:t xml:space="preserve"> </w:t>
      </w:r>
      <w:bookmarkStart w:id="6" w:name="_Toc39156142"/>
      <w:bookmarkStart w:id="7" w:name="_Toc39178310"/>
      <w:r>
        <w:rPr>
          <w:rStyle w:val="14"/>
        </w:rPr>
        <w:t>Feelings: -</w:t>
      </w:r>
      <w:bookmarkEnd w:id="6"/>
      <w:bookmarkEnd w:id="7"/>
      <w:r>
        <w:rPr>
          <w:lang w:val="en-GB"/>
        </w:rPr>
        <w:t xml:space="preserve"> I have enjoyed the class and the class lecture when I have to present something’s before the all students as partial condition of my grade then I have learnt to adopt myself to a new situation. I have prepared myself for public speaking. As I was from a remote place so as a newcomer to an unknown situation I had to learn different necessary things. In this university my friends, senior or junior are from different regions. They are different in their norms and values, culture as well as in religion. But this was not too much difficult to me to adopt with them. Having classes with these I have learnt this world without travelling. Now I can say in which region of these world people how react or take a good news or bad things. These make me feel good when I think adopting these matters. With these good things I have also some worst feeling with them when I have to work in a team with them I had to face a lot of problem. In our group some people were neglecting in nature and some were unable to take the situation in their control. Sometimes their attitudes become rude or violent that we have never expected.</w:t>
      </w:r>
    </w:p>
    <w:p>
      <w:pPr>
        <w:pStyle w:val="11"/>
        <w:ind w:left="450"/>
        <w:jc w:val="both"/>
        <w:rPr>
          <w:lang w:val="en-GB"/>
        </w:rPr>
      </w:pPr>
      <w:r>
        <w:rPr>
          <w:lang w:val="en-GB"/>
        </w:rPr>
        <w:t>Teachers of my university are very much cooperative that’s why I have enjoyed the class. All classes are ensured participatory where students can share their ideas and ask question if they need any clarification. After all I have enjoyed my university so far so good.</w:t>
      </w:r>
    </w:p>
    <w:p>
      <w:pPr>
        <w:pStyle w:val="11"/>
        <w:ind w:left="450"/>
        <w:jc w:val="both"/>
        <w:rPr>
          <w:lang w:val="en-GB"/>
        </w:rPr>
      </w:pPr>
    </w:p>
    <w:p>
      <w:pPr>
        <w:pStyle w:val="11"/>
        <w:numPr>
          <w:ilvl w:val="0"/>
          <w:numId w:val="1"/>
        </w:numPr>
        <w:jc w:val="both"/>
      </w:pPr>
      <w:bookmarkStart w:id="8" w:name="_Toc39156143"/>
      <w:bookmarkStart w:id="9" w:name="_Toc39178311"/>
      <w:r>
        <w:rPr>
          <w:rStyle w:val="14"/>
        </w:rPr>
        <w:t>Evaluation: -</w:t>
      </w:r>
      <w:bookmarkEnd w:id="8"/>
      <w:bookmarkEnd w:id="9"/>
      <w:r>
        <w:rPr>
          <w:lang w:val="en-GB"/>
        </w:rPr>
        <w:t xml:space="preserve"> My university is a wonderful place where I can gather all necessary experience that I will have to face in my job field in near future. Always I try to complete the deeds and duties in a way that can be exemplary for me to do in in the same way when I have to do it again in future. These intentions have helped to learn a lot of good things. I have gather my good employability quality such as team work, critical thinking, personal management technological skills, empathy and perspective, communication and collaboration, adaptability, resolving conflicts, taking criticisms, self-motivation and so on. These all happened simultaneously when I have to go for a group work like assignment or presentation then we need to sit together for several times. Through these process I have learned like many others how to deal with a team or team management. Some assignments were critical in nature that has built my critical thinking. Through the success or failures of life I have learned how to manage myself that is personal management </w:t>
      </w:r>
      <w:r>
        <w:t>(Finlayson, 2016)</w:t>
      </w:r>
      <w:r>
        <w:rPr>
          <w:lang w:val="en-GB"/>
        </w:rPr>
        <w:t>.</w:t>
      </w:r>
    </w:p>
    <w:p>
      <w:pPr>
        <w:pStyle w:val="11"/>
        <w:ind w:left="450"/>
        <w:jc w:val="both"/>
        <w:rPr>
          <w:lang w:val="en-GB"/>
        </w:rPr>
      </w:pPr>
      <w:r>
        <w:rPr>
          <w:lang w:val="en-GB"/>
        </w:rPr>
        <w:t>When I used work with different voluntary organization of my university then I have gathered many technical skills. I have to tolerated a lot criticism for my errors and mistakes but I never give it up. I tried and tried thus my quality of taking criticism and self-motivation gradually build up. With these I have also some weakness such as inability to learn quick, unable to make quick decisions, making friendship with unknown person and so on. Having cultural differences among our friend sometimes it seems difficult to go in a same for taking a decision.</w:t>
      </w:r>
    </w:p>
    <w:p>
      <w:pPr>
        <w:pStyle w:val="11"/>
        <w:ind w:left="450"/>
        <w:jc w:val="both"/>
        <w:rPr>
          <w:lang w:val="en-GB"/>
        </w:rPr>
      </w:pPr>
    </w:p>
    <w:p>
      <w:pPr>
        <w:pStyle w:val="11"/>
        <w:numPr>
          <w:ilvl w:val="0"/>
          <w:numId w:val="1"/>
        </w:numPr>
        <w:jc w:val="both"/>
      </w:pPr>
      <w:bookmarkStart w:id="10" w:name="_Toc39178312"/>
      <w:bookmarkStart w:id="11" w:name="_Toc39156144"/>
      <w:r>
        <w:rPr>
          <w:rStyle w:val="14"/>
        </w:rPr>
        <w:t>Analysis: -</w:t>
      </w:r>
      <w:bookmarkEnd w:id="10"/>
      <w:bookmarkEnd w:id="11"/>
      <w:r>
        <w:rPr>
          <w:lang w:val="en-GB"/>
        </w:rPr>
        <w:t xml:space="preserve"> As per the result from my own reflective evaluation I can now clearly distinguish between my positive and negative aspects of my life. Now I can understand what should I do more and what I should avoid. To achieve more employability skills in these competitive age I must need to work more in different organization in my free time to build my carrier with smooth opening. Time management is a great thing of life to deal. There is nothing so much precious as time. Time can produce money in every single moment through the uses of it in proper planning way </w:t>
      </w:r>
      <w:r>
        <w:t>(Fleming, 2013)</w:t>
      </w:r>
      <w:r>
        <w:rPr>
          <w:lang w:val="en-GB"/>
        </w:rPr>
        <w:t>. Having a clear aim or ambitions in life I need to work accordingly. I had weakness of working in a team because of we were from different cultures as our region was different. All of our outlook is not same of taking a problem in same way. This problem leads to the improper communication and unbalanced team work. Although we have managed ourselves gradually. Communication problem leads to ineffective decisions</w:t>
      </w:r>
      <w:r>
        <w:t xml:space="preserve"> (McNaughton, 2016)</w:t>
      </w:r>
      <w:r>
        <w:rPr>
          <w:lang w:val="en-GB"/>
        </w:rPr>
        <w:t>.</w:t>
      </w:r>
    </w:p>
    <w:p>
      <w:pPr>
        <w:pStyle w:val="11"/>
        <w:ind w:left="450"/>
        <w:jc w:val="both"/>
        <w:rPr>
          <w:lang w:val="en-GB"/>
        </w:rPr>
      </w:pPr>
    </w:p>
    <w:p>
      <w:pPr>
        <w:pStyle w:val="11"/>
        <w:numPr>
          <w:ilvl w:val="0"/>
          <w:numId w:val="1"/>
        </w:numPr>
        <w:jc w:val="both"/>
      </w:pPr>
      <w:bookmarkStart w:id="12" w:name="_Toc39178313"/>
      <w:bookmarkStart w:id="13" w:name="_Toc39156145"/>
      <w:r>
        <w:rPr>
          <w:rStyle w:val="14"/>
        </w:rPr>
        <w:t>Conclusions: -</w:t>
      </w:r>
      <w:bookmarkEnd w:id="12"/>
      <w:bookmarkEnd w:id="13"/>
      <w:r>
        <w:rPr>
          <w:lang w:val="en-GB"/>
        </w:rPr>
        <w:t xml:space="preserve"> If one fails to involve in different extra co-curricular activities then he/she cannot build up him/her as a competitive person. The university is not a place only for achieving academic skills or several degrees. Involvement of a man in these field is as important as seating for exams. Being proactive in nature help people to learn the things. When he/she goes foe several works ten he/she must be able to learn with errors or mistakes or successfulness. The continuous evaluation of own reflective cycle can make strong in sense where he need to focus more. Besides this it can also shows the past events repeatedly through remembering the past events and thus it has a possibility to limits their fault rate in zero. If they don’t do it then anyone actually learning nothing. Not only people only in their life can be successful as I can also share my experience in different media to the people that also help them to do so as taking experience from my life. As we have to do a lot of same or similar things throughout our life with something new tasks so sharing memories with others is also important</w:t>
      </w:r>
      <w:r>
        <w:t xml:space="preserve"> (Hendrawan and Daryanto, 2019).</w:t>
      </w:r>
    </w:p>
    <w:p>
      <w:pPr>
        <w:pStyle w:val="11"/>
        <w:ind w:left="450"/>
        <w:jc w:val="both"/>
        <w:rPr>
          <w:lang w:val="en-GB"/>
        </w:rPr>
      </w:pPr>
    </w:p>
    <w:p>
      <w:pPr>
        <w:pStyle w:val="11"/>
        <w:numPr>
          <w:ilvl w:val="0"/>
          <w:numId w:val="1"/>
        </w:numPr>
        <w:jc w:val="both"/>
      </w:pPr>
      <w:bookmarkStart w:id="14" w:name="_Toc39156146"/>
      <w:r>
        <w:drawing>
          <wp:anchor distT="0" distB="0" distL="114300" distR="114300" simplePos="0" relativeHeight="251660288" behindDoc="0" locked="0" layoutInCell="1" allowOverlap="1">
            <wp:simplePos x="0" y="0"/>
            <wp:positionH relativeFrom="margin">
              <wp:posOffset>4267200</wp:posOffset>
            </wp:positionH>
            <wp:positionV relativeFrom="paragraph">
              <wp:posOffset>194310</wp:posOffset>
            </wp:positionV>
            <wp:extent cx="2066925" cy="2209800"/>
            <wp:effectExtent l="0" t="0" r="9525" b="0"/>
            <wp:wrapThrough wrapText="bothSides">
              <wp:wrapPolygon>
                <wp:start x="0" y="0"/>
                <wp:lineTo x="0" y="21414"/>
                <wp:lineTo x="21500" y="21414"/>
                <wp:lineTo x="2150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066925" cy="2209800"/>
                    </a:xfrm>
                    <a:prstGeom prst="rect">
                      <a:avLst/>
                    </a:prstGeom>
                  </pic:spPr>
                </pic:pic>
              </a:graphicData>
            </a:graphic>
          </wp:anchor>
        </w:drawing>
      </w:r>
      <w:bookmarkStart w:id="15" w:name="_Toc39178314"/>
      <w:r>
        <w:rPr>
          <w:rStyle w:val="14"/>
        </w:rPr>
        <w:t>Action Plan: -</w:t>
      </w:r>
      <w:bookmarkEnd w:id="14"/>
      <w:bookmarkEnd w:id="15"/>
      <w:r>
        <w:rPr>
          <w:lang w:val="en-GB"/>
        </w:rPr>
        <w:t xml:space="preserve"> So far I have discussed about different aspects of my life in a reflective way. Now I have some plan that I will follow or adopt as per the situation demands. I will cultivate positive outlook or being positive to think about a situation, controlling one’s emotions is important for working in a team. Praising and acknowledging other expertise or special qualities makes positive outlook. This is also a good way of building mutual respectful relationship with co-workers or teammates. This situation creates working environment congenial and pleasing and limits unnecessary arguments </w:t>
      </w:r>
      <w:r>
        <w:t>(McIntosh and Warren, 2013)</w:t>
      </w:r>
      <w:r>
        <w:rPr>
          <w:lang w:val="en-GB"/>
        </w:rPr>
        <w:t>. Maintaining honesty and integrity is most important without these being success in life is not possible. I have also learned an important interesting that I will follow in my all next job that is being a good listener. When someone share or guide us something then we need to be respectful enough by carefully listening what he shares.</w:t>
      </w:r>
    </w:p>
    <w:p>
      <w:pPr>
        <w:pStyle w:val="11"/>
        <w:rPr>
          <w:lang w:val="en-GB"/>
        </w:rPr>
      </w:pPr>
    </w:p>
    <w:p>
      <w:pPr>
        <w:jc w:val="both"/>
        <w:rPr>
          <w:lang w:val="en-GB"/>
        </w:rPr>
      </w:pPr>
    </w:p>
    <w:p>
      <w:pPr>
        <w:jc w:val="both"/>
        <w:rPr>
          <w:lang w:val="en-GB"/>
        </w:rPr>
      </w:pPr>
    </w:p>
    <w:p>
      <w:pPr>
        <w:jc w:val="both"/>
        <w:rPr>
          <w:lang w:val="en-GB"/>
        </w:rPr>
      </w:pPr>
    </w:p>
    <w:p>
      <w:pPr>
        <w:jc w:val="both"/>
        <w:rPr>
          <w:lang w:val="en-GB"/>
        </w:rPr>
      </w:pPr>
    </w:p>
    <w:p>
      <w:pPr>
        <w:pStyle w:val="2"/>
        <w:jc w:val="both"/>
        <w:rPr>
          <w:lang w:val="en-GB"/>
        </w:rPr>
      </w:pPr>
      <w:bookmarkStart w:id="16" w:name="_Toc39178315"/>
      <w:bookmarkStart w:id="17" w:name="_Toc39156147"/>
      <w:r>
        <w:rPr>
          <w:lang w:val="en-GB"/>
        </w:rPr>
        <w:t>Conclusion</w:t>
      </w:r>
      <w:bookmarkEnd w:id="16"/>
      <w:bookmarkEnd w:id="17"/>
    </w:p>
    <w:p>
      <w:pPr>
        <w:jc w:val="both"/>
        <w:rPr>
          <w:lang w:val="en-GB"/>
        </w:rPr>
      </w:pPr>
      <w:r>
        <w:rPr>
          <w:lang w:val="en-GB"/>
        </w:rPr>
        <w:t>Through following the above mention steps of Gibbs reflective cycle we can judge ourselves one by one. If it becomes necessary, we can make questionnaire to find the proper answer for every steps. Each steps helps to scrutinize the single parts of our different events and works that we are going through every day in our normal life. The most glorious things of reflective is to help others to follow a good thing in similar way for a repeated work. If we don’t remember our success and our failure, then we cannot judge ourselves. We cannot see ourselves then we will be unknown to us. Then rather focusing on required skills to achieve we will be accustomed to what we can or like to do. This will make me none but previous. So achieving employability skills reflective is important.</w:t>
      </w:r>
    </w:p>
    <w:p>
      <w:pPr>
        <w:jc w:val="both"/>
        <w:rPr>
          <w:lang w:val="en-GB"/>
        </w:rPr>
      </w:pPr>
      <w:r>
        <w:rPr>
          <w:lang w:val="en-GB"/>
        </w:rPr>
        <w:t xml:space="preserve">                                          </w:t>
      </w: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pStyle w:val="2"/>
        <w:jc w:val="both"/>
        <w:rPr>
          <w:lang w:val="en-GB"/>
        </w:rPr>
      </w:pPr>
      <w:bookmarkStart w:id="18" w:name="_Toc39156148"/>
      <w:bookmarkStart w:id="19" w:name="_Toc39178316"/>
      <w:r>
        <w:rPr>
          <w:lang w:val="en-GB"/>
        </w:rPr>
        <w:t>References</w:t>
      </w:r>
      <w:bookmarkEnd w:id="18"/>
      <w:bookmarkEnd w:id="19"/>
    </w:p>
    <w:p>
      <w:pPr>
        <w:jc w:val="both"/>
      </w:pPr>
      <w:r>
        <w:t>Bassot, B., 2015. </w:t>
      </w:r>
      <w:r>
        <w:rPr>
          <w:i/>
          <w:iCs/>
        </w:rPr>
        <w:t>The Reflective Practice Guide</w:t>
      </w:r>
      <w:r>
        <w:t>. Florence: Taylor and Francis.</w:t>
      </w:r>
    </w:p>
    <w:p>
      <w:pPr>
        <w:jc w:val="both"/>
      </w:pPr>
      <w:r>
        <w:t>Creswell, J., Mills, A. and Dewitt, A., 2016. </w:t>
      </w:r>
      <w:r>
        <w:rPr>
          <w:i/>
          <w:iCs/>
        </w:rPr>
        <w:t>Reflection</w:t>
      </w:r>
      <w:r>
        <w:t>. Salisbury Cathedral.</w:t>
      </w:r>
    </w:p>
    <w:p>
      <w:pPr>
        <w:jc w:val="both"/>
      </w:pPr>
      <w:r>
        <w:t>Delante, N., 2017. Perceived impact of online written feedback on students’ writing and learning: a reflection. </w:t>
      </w:r>
      <w:r>
        <w:rPr>
          <w:i/>
          <w:iCs/>
        </w:rPr>
        <w:t>Reflective Practice</w:t>
      </w:r>
      <w:r>
        <w:t>, 18(6), pp.772-804.</w:t>
      </w:r>
    </w:p>
    <w:p>
      <w:pPr>
        <w:jc w:val="both"/>
      </w:pPr>
      <w:r>
        <w:t>Finlayson, A., 2016. Developing a reflective practice model for engineering leadership. </w:t>
      </w:r>
      <w:r>
        <w:rPr>
          <w:i/>
          <w:iCs/>
        </w:rPr>
        <w:t>Reflective Practice</w:t>
      </w:r>
      <w:r>
        <w:t>, 17(2), pp.87-99.</w:t>
      </w:r>
    </w:p>
    <w:p>
      <w:pPr>
        <w:jc w:val="both"/>
      </w:pPr>
      <w:r>
        <w:t>Fleming, S., 2013. Encouraging reflective learning and critical-thinking. </w:t>
      </w:r>
      <w:r>
        <w:rPr>
          <w:i/>
          <w:iCs/>
        </w:rPr>
        <w:t>SecEd</w:t>
      </w:r>
      <w:r>
        <w:t>, 2013(11).</w:t>
      </w:r>
    </w:p>
    <w:p>
      <w:pPr>
        <w:jc w:val="both"/>
      </w:pPr>
      <w:r>
        <w:t>Hendrawan, R. and Daryanto, D., 2019. Employability skills: Industry perspective and achievement of student of employability skills. </w:t>
      </w:r>
      <w:r>
        <w:rPr>
          <w:i/>
          <w:iCs/>
        </w:rPr>
        <w:t>Journal of Physics: Conference Series</w:t>
      </w:r>
      <w:r>
        <w:t>, 1402, p.022049.</w:t>
      </w:r>
    </w:p>
    <w:p>
      <w:pPr>
        <w:jc w:val="both"/>
      </w:pPr>
      <w:r>
        <w:t>McIntosh, P. and Warren, D., 2013. </w:t>
      </w:r>
      <w:r>
        <w:rPr>
          <w:i/>
          <w:iCs/>
        </w:rPr>
        <w:t>Creativity In The Classroom</w:t>
      </w:r>
      <w:r>
        <w:t>. Bristol: Intellect.</w:t>
      </w:r>
    </w:p>
    <w:p>
      <w:pPr>
        <w:jc w:val="both"/>
      </w:pPr>
      <w:r>
        <w:t>McNaughton, S., 2016. Critical reflection: scaffolding social responsiveness for first-year students. </w:t>
      </w:r>
      <w:r>
        <w:rPr>
          <w:i/>
          <w:iCs/>
        </w:rPr>
        <w:t>Reflective Practice</w:t>
      </w:r>
      <w:r>
        <w:t>, 17(3), pp.296-307.</w:t>
      </w:r>
    </w:p>
    <w:p>
      <w:pPr>
        <w:jc w:val="both"/>
      </w:pPr>
      <w:r>
        <w:t>Minott, M., 2015. Encouraging secondary students’ deep reflection-on-learning: a case for a reflective approach to evaluating students’ learning. </w:t>
      </w:r>
      <w:r>
        <w:rPr>
          <w:i/>
          <w:iCs/>
        </w:rPr>
        <w:t>Reflective Practice</w:t>
      </w:r>
      <w:r>
        <w:t>, 16(4), pp.487-496.</w:t>
      </w:r>
    </w:p>
    <w:p>
      <w:pPr>
        <w:jc w:val="both"/>
      </w:pPr>
      <w:r>
        <w:t>n.d. </w:t>
      </w:r>
      <w:r>
        <w:rPr>
          <w:i/>
          <w:iCs/>
        </w:rPr>
        <w:t>Reflective Writing: About Gibbs Reflective Cycle - Oxford ...</w:t>
      </w:r>
      <w:r>
        <w:t>. [online] Available at: &lt;https://www.brookes.ac.uk/students/upgrade/study-skills/reflective-writing-gibbs/&gt; [Accessed 2020].</w:t>
      </w:r>
    </w:p>
    <w:p>
      <w:pPr>
        <w:jc w:val="both"/>
      </w:pPr>
      <w:r>
        <w:t>Potter, C., 2015. Leadership development: an applied comparison of Gibbs’ Reflective Cycle and Scharmer’s Theory U. </w:t>
      </w:r>
      <w:r>
        <w:rPr>
          <w:i/>
          <w:iCs/>
        </w:rPr>
        <w:t>Industrial and Commercial Training</w:t>
      </w:r>
      <w:r>
        <w:t>, 47(6), pp.336-342.</w:t>
      </w:r>
    </w:p>
    <w:p>
      <w:pPr>
        <w:jc w:val="both"/>
      </w:pPr>
    </w:p>
    <w:sectPr>
      <w:footerReference r:id="rId3"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86"/>
    <w:family w:val="swiss"/>
    <w:pitch w:val="default"/>
    <w:sig w:usb0="E00002FF" w:usb1="4000ACFF" w:usb2="00000001" w:usb3="00000000" w:csb0="2000019F" w:csb1="00000000"/>
  </w:font>
  <w:font w:name="Calibri">
    <w:panose1 w:val="020F0502020204030204"/>
    <w:charset w:val="86"/>
    <w:family w:val="swiss"/>
    <w:pitch w:val="default"/>
    <w:sig w:usb0="E00002FF" w:usb1="4000ACFF" w:usb2="00000001" w:usb3="00000000" w:csb0="2000019F" w:csb1="00000000"/>
  </w:font>
  <w:font w:name="Calibri">
    <w:panose1 w:val="020F0502020204030204"/>
    <w:charset w:val="00"/>
    <w:family w:val="auto"/>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 w:name="等线 Light">
    <w:altName w:val="Euphorigenic"/>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64327971"/>
      <w:docPartObj>
        <w:docPartGallery w:val="autotext"/>
      </w:docPartObj>
    </w:sdtPr>
    <w:sdtContent>
      <w:p>
        <w:pPr>
          <w:pStyle w:val="4"/>
          <w:jc w:val="center"/>
        </w:pPr>
        <w:r>
          <w:fldChar w:fldCharType="begin"/>
        </w:r>
        <w:r>
          <w:instrText xml:space="preserve"> PAGE   \* MERGEFORMAT </w:instrText>
        </w:r>
        <w:r>
          <w:fldChar w:fldCharType="separate"/>
        </w:r>
        <w:r>
          <w:t>9</w:t>
        </w:r>
        <w:r>
          <w:fldChar w:fldCharType="end"/>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5A0D57"/>
    <w:multiLevelType w:val="multilevel"/>
    <w:tmpl w:val="0C5A0D57"/>
    <w:lvl w:ilvl="0" w:tentative="0">
      <w:start w:val="1"/>
      <w:numFmt w:val="decimal"/>
      <w:lvlText w:val="%1."/>
      <w:lvlJc w:val="left"/>
      <w:pPr>
        <w:ind w:left="450" w:hanging="360"/>
      </w:pPr>
    </w:lvl>
    <w:lvl w:ilvl="1" w:tentative="0">
      <w:start w:val="1"/>
      <w:numFmt w:val="lowerLetter"/>
      <w:lvlText w:val="%2."/>
      <w:lvlJc w:val="left"/>
      <w:pPr>
        <w:ind w:left="1170" w:hanging="360"/>
      </w:pPr>
    </w:lvl>
    <w:lvl w:ilvl="2" w:tentative="0">
      <w:start w:val="1"/>
      <w:numFmt w:val="lowerRoman"/>
      <w:lvlText w:val="%3."/>
      <w:lvlJc w:val="right"/>
      <w:pPr>
        <w:ind w:left="1890" w:hanging="180"/>
      </w:pPr>
    </w:lvl>
    <w:lvl w:ilvl="3" w:tentative="0">
      <w:start w:val="1"/>
      <w:numFmt w:val="decimal"/>
      <w:lvlText w:val="%4."/>
      <w:lvlJc w:val="left"/>
      <w:pPr>
        <w:ind w:left="2610" w:hanging="360"/>
      </w:pPr>
    </w:lvl>
    <w:lvl w:ilvl="4" w:tentative="0">
      <w:start w:val="1"/>
      <w:numFmt w:val="lowerLetter"/>
      <w:lvlText w:val="%5."/>
      <w:lvlJc w:val="left"/>
      <w:pPr>
        <w:ind w:left="3330" w:hanging="360"/>
      </w:pPr>
    </w:lvl>
    <w:lvl w:ilvl="5" w:tentative="0">
      <w:start w:val="1"/>
      <w:numFmt w:val="lowerRoman"/>
      <w:lvlText w:val="%6."/>
      <w:lvlJc w:val="right"/>
      <w:pPr>
        <w:ind w:left="4050" w:hanging="180"/>
      </w:pPr>
    </w:lvl>
    <w:lvl w:ilvl="6" w:tentative="0">
      <w:start w:val="1"/>
      <w:numFmt w:val="decimal"/>
      <w:lvlText w:val="%7."/>
      <w:lvlJc w:val="left"/>
      <w:pPr>
        <w:ind w:left="4770" w:hanging="360"/>
      </w:pPr>
    </w:lvl>
    <w:lvl w:ilvl="7" w:tentative="0">
      <w:start w:val="1"/>
      <w:numFmt w:val="lowerLetter"/>
      <w:lvlText w:val="%8."/>
      <w:lvlJc w:val="left"/>
      <w:pPr>
        <w:ind w:left="5490" w:hanging="360"/>
      </w:pPr>
    </w:lvl>
    <w:lvl w:ilvl="8" w:tentative="0">
      <w:start w:val="1"/>
      <w:numFmt w:val="lowerRoman"/>
      <w:lvlText w:val="%9."/>
      <w:lvlJc w:val="right"/>
      <w:pPr>
        <w:ind w:left="621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doNotDisplayPageBoundaries w:val="1"/>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5B77"/>
    <w:rsid w:val="00015CC6"/>
    <w:rsid w:val="0001638E"/>
    <w:rsid w:val="00043251"/>
    <w:rsid w:val="00050C11"/>
    <w:rsid w:val="0005149C"/>
    <w:rsid w:val="000C6EF0"/>
    <w:rsid w:val="00127D98"/>
    <w:rsid w:val="001842F6"/>
    <w:rsid w:val="001947A1"/>
    <w:rsid w:val="001C30A5"/>
    <w:rsid w:val="002356E5"/>
    <w:rsid w:val="002725EE"/>
    <w:rsid w:val="00295B77"/>
    <w:rsid w:val="002C05A3"/>
    <w:rsid w:val="003337CF"/>
    <w:rsid w:val="003434D9"/>
    <w:rsid w:val="00364868"/>
    <w:rsid w:val="00364A07"/>
    <w:rsid w:val="0038261A"/>
    <w:rsid w:val="00383B73"/>
    <w:rsid w:val="003E77D5"/>
    <w:rsid w:val="003F2537"/>
    <w:rsid w:val="004168FA"/>
    <w:rsid w:val="00426A13"/>
    <w:rsid w:val="004354D7"/>
    <w:rsid w:val="0044272F"/>
    <w:rsid w:val="00473485"/>
    <w:rsid w:val="00491175"/>
    <w:rsid w:val="004A114D"/>
    <w:rsid w:val="004D2141"/>
    <w:rsid w:val="004F16A1"/>
    <w:rsid w:val="004F50E5"/>
    <w:rsid w:val="004F567B"/>
    <w:rsid w:val="005131F6"/>
    <w:rsid w:val="00541425"/>
    <w:rsid w:val="00541B1A"/>
    <w:rsid w:val="0054311E"/>
    <w:rsid w:val="0057007E"/>
    <w:rsid w:val="00573489"/>
    <w:rsid w:val="005A01FD"/>
    <w:rsid w:val="005B6331"/>
    <w:rsid w:val="005F6535"/>
    <w:rsid w:val="006146CD"/>
    <w:rsid w:val="006A0817"/>
    <w:rsid w:val="006B72E4"/>
    <w:rsid w:val="006E5D67"/>
    <w:rsid w:val="007076D7"/>
    <w:rsid w:val="00792AC3"/>
    <w:rsid w:val="007F6EEC"/>
    <w:rsid w:val="008423CE"/>
    <w:rsid w:val="0084400A"/>
    <w:rsid w:val="00881FDC"/>
    <w:rsid w:val="00895654"/>
    <w:rsid w:val="008E20B4"/>
    <w:rsid w:val="00940CCE"/>
    <w:rsid w:val="0094420E"/>
    <w:rsid w:val="009539B2"/>
    <w:rsid w:val="009634E5"/>
    <w:rsid w:val="009A3BAC"/>
    <w:rsid w:val="009B1303"/>
    <w:rsid w:val="009D1B73"/>
    <w:rsid w:val="00A57B82"/>
    <w:rsid w:val="00A8249F"/>
    <w:rsid w:val="00AA2C26"/>
    <w:rsid w:val="00AE5D59"/>
    <w:rsid w:val="00AF7C10"/>
    <w:rsid w:val="00B1513F"/>
    <w:rsid w:val="00B2137A"/>
    <w:rsid w:val="00B238CE"/>
    <w:rsid w:val="00B24342"/>
    <w:rsid w:val="00B24814"/>
    <w:rsid w:val="00B35ED7"/>
    <w:rsid w:val="00B37D93"/>
    <w:rsid w:val="00B54CF7"/>
    <w:rsid w:val="00BB6625"/>
    <w:rsid w:val="00BC25CD"/>
    <w:rsid w:val="00C47FDC"/>
    <w:rsid w:val="00C54B2D"/>
    <w:rsid w:val="00CC6750"/>
    <w:rsid w:val="00CD6E5E"/>
    <w:rsid w:val="00D04B9A"/>
    <w:rsid w:val="00D1563C"/>
    <w:rsid w:val="00D47013"/>
    <w:rsid w:val="00D532C7"/>
    <w:rsid w:val="00D621FD"/>
    <w:rsid w:val="00D87276"/>
    <w:rsid w:val="00DE08C8"/>
    <w:rsid w:val="00EA631F"/>
    <w:rsid w:val="00EB23E9"/>
    <w:rsid w:val="00EB33EF"/>
    <w:rsid w:val="00ED2940"/>
    <w:rsid w:val="00EE50F3"/>
    <w:rsid w:val="00F03EB8"/>
    <w:rsid w:val="00F23D74"/>
    <w:rsid w:val="00F34F64"/>
    <w:rsid w:val="00F4686E"/>
    <w:rsid w:val="00F81298"/>
    <w:rsid w:val="00F86CAB"/>
    <w:rsid w:val="00F9175F"/>
    <w:rsid w:val="00FF2EBF"/>
    <w:rsid w:val="184B7850"/>
    <w:rsid w:val="257B0B01"/>
    <w:rsid w:val="7819058D"/>
    <w:rsid w:val="7B0F26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pPr>
    <w:rPr>
      <w:rFonts w:ascii="Times New Roman" w:hAnsi="Times New Roman" w:eastAsiaTheme="minorHAnsi" w:cstheme="minorBidi"/>
      <w:sz w:val="24"/>
      <w:szCs w:val="22"/>
      <w:lang w:val="en-US" w:eastAsia="en-US" w:bidi="ar-SA"/>
    </w:rPr>
  </w:style>
  <w:style w:type="paragraph" w:styleId="2">
    <w:name w:val="heading 1"/>
    <w:basedOn w:val="1"/>
    <w:next w:val="1"/>
    <w:link w:val="12"/>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4"/>
    <w:unhideWhenUsed/>
    <w:qFormat/>
    <w:uiPriority w:val="9"/>
    <w:pPr>
      <w:keepNext/>
      <w:keepLines/>
      <w:spacing w:before="40" w:after="0"/>
      <w:outlineLvl w:val="1"/>
    </w:pPr>
    <w:rPr>
      <w:rFonts w:asciiTheme="majorHAnsi" w:hAnsiTheme="majorHAnsi" w:eastAsiaTheme="majorEastAsia" w:cstheme="majorBidi"/>
      <w:b/>
      <w:color w:val="2E75B6" w:themeColor="accent1" w:themeShade="BF"/>
      <w:sz w:val="26"/>
      <w:szCs w:val="26"/>
    </w:rPr>
  </w:style>
  <w:style w:type="character" w:default="1" w:styleId="8">
    <w:name w:val="Default Paragraph Font"/>
    <w:unhideWhenUsed/>
    <w:qFormat/>
    <w:uiPriority w:val="1"/>
  </w:style>
  <w:style w:type="table" w:default="1" w:styleId="10">
    <w:name w:val="Normal Table"/>
    <w:semiHidden/>
    <w:unhideWhenUsed/>
    <w:uiPriority w:val="99"/>
    <w:tblPr>
      <w:tblLayout w:type="fixed"/>
      <w:tblCellMar>
        <w:top w:w="0" w:type="dxa"/>
        <w:left w:w="108" w:type="dxa"/>
        <w:bottom w:w="0" w:type="dxa"/>
        <w:right w:w="108" w:type="dxa"/>
      </w:tblCellMar>
    </w:tblPr>
  </w:style>
  <w:style w:type="paragraph" w:styleId="4">
    <w:name w:val="footer"/>
    <w:basedOn w:val="1"/>
    <w:link w:val="16"/>
    <w:unhideWhenUsed/>
    <w:qFormat/>
    <w:uiPriority w:val="99"/>
    <w:pPr>
      <w:tabs>
        <w:tab w:val="center" w:pos="4680"/>
        <w:tab w:val="right" w:pos="9360"/>
      </w:tabs>
      <w:spacing w:after="0" w:line="240" w:lineRule="auto"/>
    </w:pPr>
  </w:style>
  <w:style w:type="paragraph" w:styleId="5">
    <w:name w:val="header"/>
    <w:basedOn w:val="1"/>
    <w:link w:val="15"/>
    <w:unhideWhenUsed/>
    <w:uiPriority w:val="99"/>
    <w:pPr>
      <w:tabs>
        <w:tab w:val="center" w:pos="4680"/>
        <w:tab w:val="right" w:pos="9360"/>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40"/>
    </w:pPr>
  </w:style>
  <w:style w:type="character" w:styleId="9">
    <w:name w:val="Hyperlink"/>
    <w:basedOn w:val="8"/>
    <w:unhideWhenUsed/>
    <w:qFormat/>
    <w:uiPriority w:val="99"/>
    <w:rPr>
      <w:color w:val="0563C1" w:themeColor="hyperlink"/>
      <w:u w:val="single"/>
      <w14:textFill>
        <w14:solidFill>
          <w14:schemeClr w14:val="hlink"/>
        </w14:solidFill>
      </w14:textFill>
    </w:rPr>
  </w:style>
  <w:style w:type="paragraph" w:styleId="11">
    <w:name w:val="List Paragraph"/>
    <w:basedOn w:val="1"/>
    <w:qFormat/>
    <w:uiPriority w:val="34"/>
    <w:pPr>
      <w:ind w:left="720"/>
      <w:contextualSpacing/>
    </w:pPr>
  </w:style>
  <w:style w:type="character" w:customStyle="1" w:styleId="12">
    <w:name w:val="Heading 1 Char"/>
    <w:basedOn w:val="8"/>
    <w:link w:val="2"/>
    <w:qFormat/>
    <w:uiPriority w:val="9"/>
    <w:rPr>
      <w:rFonts w:asciiTheme="majorHAnsi" w:hAnsiTheme="majorHAnsi" w:eastAsiaTheme="majorEastAsia" w:cstheme="majorBidi"/>
      <w:color w:val="2E75B6" w:themeColor="accent1" w:themeShade="BF"/>
      <w:sz w:val="32"/>
      <w:szCs w:val="32"/>
    </w:rPr>
  </w:style>
  <w:style w:type="paragraph" w:customStyle="1" w:styleId="13">
    <w:name w:val="TOC Heading"/>
    <w:basedOn w:val="2"/>
    <w:next w:val="1"/>
    <w:unhideWhenUsed/>
    <w:qFormat/>
    <w:uiPriority w:val="39"/>
    <w:pPr>
      <w:spacing w:line="259" w:lineRule="auto"/>
      <w:outlineLvl w:val="9"/>
    </w:pPr>
  </w:style>
  <w:style w:type="character" w:customStyle="1" w:styleId="14">
    <w:name w:val="Heading 2 Char"/>
    <w:basedOn w:val="8"/>
    <w:link w:val="3"/>
    <w:uiPriority w:val="9"/>
    <w:rPr>
      <w:rFonts w:asciiTheme="majorHAnsi" w:hAnsiTheme="majorHAnsi" w:eastAsiaTheme="majorEastAsia" w:cstheme="majorBidi"/>
      <w:b/>
      <w:color w:val="2E75B6" w:themeColor="accent1" w:themeShade="BF"/>
      <w:sz w:val="26"/>
      <w:szCs w:val="26"/>
    </w:rPr>
  </w:style>
  <w:style w:type="character" w:customStyle="1" w:styleId="15">
    <w:name w:val="Header Char"/>
    <w:basedOn w:val="8"/>
    <w:link w:val="5"/>
    <w:qFormat/>
    <w:uiPriority w:val="99"/>
    <w:rPr>
      <w:rFonts w:ascii="Times New Roman" w:hAnsi="Times New Roman"/>
      <w:sz w:val="24"/>
    </w:rPr>
  </w:style>
  <w:style w:type="character" w:customStyle="1" w:styleId="16">
    <w:name w:val="Footer Char"/>
    <w:basedOn w:val="8"/>
    <w:link w:val="4"/>
    <w:uiPriority w:val="99"/>
    <w:rPr>
      <w:rFonts w:ascii="Times New Roman" w:hAnsi="Times New Roman"/>
      <w:sz w:val="24"/>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jpeg"/><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0881B17-2946-4F86-8DF2-6C4FB3426FE9}">
  <ds:schemaRefs/>
</ds:datastoreItem>
</file>

<file path=docProps/app.xml><?xml version="1.0" encoding="utf-8"?>
<Properties xmlns="http://schemas.openxmlformats.org/officeDocument/2006/extended-properties" xmlns:vt="http://schemas.openxmlformats.org/officeDocument/2006/docPropsVTypes">
  <Template>Normal</Template>
  <Pages>9</Pages>
  <Words>1994</Words>
  <Characters>11369</Characters>
  <Lines>94</Lines>
  <Paragraphs>26</Paragraphs>
  <TotalTime>476</TotalTime>
  <ScaleCrop>false</ScaleCrop>
  <LinksUpToDate>false</LinksUpToDate>
  <CharactersWithSpaces>13337</CharactersWithSpaces>
  <Application>WPS Office_11.2.0.8668_F1E327BC-269C-435d-A152-05C5408002CA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2020-04-29T05:25:00Z</dcterms:created>
  <dc:creator>Abusayed Shipon</dc:creator>
  <cp:lastModifiedBy>cornelius</cp:lastModifiedBy>
  <dcterms:modified xsi:type="dcterms:W3CDTF">2020-05-03T23:30:10Z</dcterms:modified>
  <cp:revision>83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2057-11.2.0.8668</vt:lpwstr>
  </property>
</Properties>
</file>