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13CF33" w14:textId="4358AA46" w:rsidR="00817AC0" w:rsidRDefault="00817AC0"/>
    <w:p w14:paraId="20F5C930" w14:textId="1C5727B2" w:rsidR="006E0919" w:rsidRPr="006E0919" w:rsidRDefault="00817AC0" w:rsidP="006E0919">
      <w:pPr>
        <w:spacing w:line="360" w:lineRule="auto"/>
        <w:jc w:val="center"/>
        <w:rPr>
          <w:rFonts w:ascii="Arial" w:hAnsi="Arial" w:cs="Arial"/>
          <w:sz w:val="36"/>
          <w:szCs w:val="36"/>
        </w:rPr>
      </w:pPr>
      <w:r w:rsidRPr="006E0919">
        <w:rPr>
          <w:rFonts w:ascii="Arial" w:hAnsi="Arial" w:cs="Arial"/>
          <w:sz w:val="36"/>
          <w:szCs w:val="36"/>
        </w:rPr>
        <w:t>ELIZABETH MCMAHON</w:t>
      </w:r>
    </w:p>
    <w:p w14:paraId="260393F3" w14:textId="77777777" w:rsidR="006E0919" w:rsidRPr="006E0919" w:rsidRDefault="006E0919" w:rsidP="006E0919">
      <w:pPr>
        <w:spacing w:line="360" w:lineRule="auto"/>
        <w:jc w:val="center"/>
        <w:rPr>
          <w:rFonts w:ascii="Arial" w:hAnsi="Arial" w:cs="Arial"/>
          <w:sz w:val="36"/>
          <w:szCs w:val="36"/>
        </w:rPr>
      </w:pPr>
      <w:r w:rsidRPr="006E0919">
        <w:rPr>
          <w:rFonts w:ascii="Arial" w:hAnsi="Arial" w:cs="Arial"/>
          <w:sz w:val="36"/>
          <w:szCs w:val="36"/>
        </w:rPr>
        <w:t>2322757</w:t>
      </w:r>
    </w:p>
    <w:p w14:paraId="39852566" w14:textId="0752F0F5" w:rsidR="006E0919" w:rsidRPr="006E0919" w:rsidRDefault="006E0919" w:rsidP="006E0919">
      <w:pPr>
        <w:spacing w:line="360" w:lineRule="auto"/>
        <w:jc w:val="center"/>
        <w:rPr>
          <w:rFonts w:ascii="Arial" w:hAnsi="Arial" w:cs="Arial"/>
          <w:sz w:val="36"/>
          <w:szCs w:val="36"/>
        </w:rPr>
      </w:pPr>
      <w:r w:rsidRPr="006E0919">
        <w:rPr>
          <w:rFonts w:ascii="Arial" w:hAnsi="Arial" w:cs="Arial"/>
          <w:sz w:val="36"/>
          <w:szCs w:val="36"/>
        </w:rPr>
        <w:t>BMHP5014</w:t>
      </w:r>
    </w:p>
    <w:p w14:paraId="5E9001AC" w14:textId="1D4ABE5D" w:rsidR="006E0919" w:rsidRPr="006E0919" w:rsidRDefault="006E0919" w:rsidP="006E0919">
      <w:pPr>
        <w:spacing w:line="360" w:lineRule="auto"/>
        <w:jc w:val="center"/>
        <w:rPr>
          <w:rFonts w:ascii="Arial" w:hAnsi="Arial" w:cs="Arial"/>
          <w:sz w:val="36"/>
          <w:szCs w:val="36"/>
        </w:rPr>
      </w:pPr>
      <w:r w:rsidRPr="006E0919">
        <w:rPr>
          <w:rFonts w:ascii="Arial" w:hAnsi="Arial" w:cs="Arial"/>
          <w:sz w:val="36"/>
          <w:szCs w:val="36"/>
        </w:rPr>
        <w:t>CHANGEMAKERS: CREATIVITY AND VALUE CREATION</w:t>
      </w:r>
    </w:p>
    <w:p w14:paraId="5C12D129" w14:textId="73F06445" w:rsidR="006E0919" w:rsidRPr="006E0919" w:rsidRDefault="006E0919" w:rsidP="006E0919">
      <w:pPr>
        <w:spacing w:line="360" w:lineRule="auto"/>
        <w:jc w:val="center"/>
        <w:rPr>
          <w:rFonts w:ascii="Arial" w:hAnsi="Arial" w:cs="Arial"/>
          <w:sz w:val="36"/>
          <w:szCs w:val="36"/>
        </w:rPr>
      </w:pPr>
      <w:r w:rsidRPr="006E0919">
        <w:rPr>
          <w:rFonts w:ascii="Arial" w:hAnsi="Arial" w:cs="Arial"/>
          <w:sz w:val="36"/>
          <w:szCs w:val="36"/>
        </w:rPr>
        <w:t>COMPONENT 2: WRITTEN ASSIGNMENT (REPORT)</w:t>
      </w:r>
    </w:p>
    <w:p w14:paraId="05215C3F" w14:textId="5F5C1F41" w:rsidR="006E0919" w:rsidRPr="006E0919" w:rsidRDefault="006E0919" w:rsidP="006E0919">
      <w:pPr>
        <w:spacing w:line="360" w:lineRule="auto"/>
        <w:jc w:val="center"/>
        <w:rPr>
          <w:rFonts w:ascii="Arial" w:hAnsi="Arial" w:cs="Arial"/>
          <w:sz w:val="36"/>
          <w:szCs w:val="36"/>
        </w:rPr>
      </w:pPr>
      <w:r w:rsidRPr="006E0919">
        <w:rPr>
          <w:rFonts w:ascii="Arial" w:hAnsi="Arial" w:cs="Arial"/>
          <w:color w:val="1D2125"/>
          <w:sz w:val="36"/>
          <w:szCs w:val="36"/>
          <w:shd w:val="clear" w:color="auto" w:fill="FFFFFF"/>
        </w:rPr>
        <w:t xml:space="preserve">Tomy </w:t>
      </w:r>
      <w:proofErr w:type="spellStart"/>
      <w:r w:rsidRPr="006E0919">
        <w:rPr>
          <w:rFonts w:ascii="Arial" w:hAnsi="Arial" w:cs="Arial"/>
          <w:color w:val="1D2125"/>
          <w:sz w:val="36"/>
          <w:szCs w:val="36"/>
          <w:shd w:val="clear" w:color="auto" w:fill="FFFFFF"/>
        </w:rPr>
        <w:t>Adattu</w:t>
      </w:r>
      <w:proofErr w:type="spellEnd"/>
      <w:r w:rsidRPr="006E0919">
        <w:rPr>
          <w:rFonts w:ascii="Arial" w:hAnsi="Arial" w:cs="Arial"/>
          <w:color w:val="1D2125"/>
          <w:sz w:val="36"/>
          <w:szCs w:val="36"/>
          <w:shd w:val="clear" w:color="auto" w:fill="FFFFFF"/>
        </w:rPr>
        <w:t xml:space="preserve"> Chacko</w:t>
      </w:r>
    </w:p>
    <w:sdt>
      <w:sdtPr>
        <w:rPr>
          <w:color w:val="FFFFFF" w:themeColor="background1"/>
          <w:sz w:val="24"/>
          <w:szCs w:val="24"/>
        </w:rPr>
        <w:alias w:val="Year"/>
        <w:tag w:val=""/>
        <w:id w:val="-785116381"/>
        <w:showingPlcHdr/>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6CA9940" w14:textId="77777777" w:rsidR="006E0919" w:rsidRDefault="006E0919" w:rsidP="006E0919">
          <w:pPr>
            <w:pStyle w:val="NoSpacing"/>
            <w:jc w:val="right"/>
            <w:rPr>
              <w:color w:val="FFFFFF" w:themeColor="background1"/>
              <w:sz w:val="24"/>
              <w:szCs w:val="24"/>
            </w:rPr>
          </w:pPr>
          <w:r>
            <w:rPr>
              <w:color w:val="FFFFFF" w:themeColor="background1"/>
              <w:sz w:val="24"/>
              <w:szCs w:val="24"/>
            </w:rPr>
            <w:t>[Year]</w:t>
          </w:r>
        </w:p>
      </w:sdtContent>
    </w:sdt>
    <w:p w14:paraId="044567E4" w14:textId="77777777" w:rsidR="006E0919" w:rsidRDefault="006E0919"/>
    <w:p w14:paraId="3B8920B0" w14:textId="6BBE35AE" w:rsidR="00817AC0" w:rsidRDefault="00817AC0" w:rsidP="007178AF">
      <w:pPr>
        <w:jc w:val="center"/>
      </w:pPr>
      <w:r>
        <w:br w:type="page"/>
      </w:r>
    </w:p>
    <w:p w14:paraId="44210F67" w14:textId="77777777" w:rsidR="005E0A83" w:rsidRDefault="005E0A83"/>
    <w:p w14:paraId="58B37659" w14:textId="77777777" w:rsidR="00C4404E" w:rsidRDefault="00C4404E"/>
    <w:p w14:paraId="1D2334D3" w14:textId="20808BE0" w:rsidR="000043A4" w:rsidRDefault="007178AF" w:rsidP="00C4404E">
      <w:pPr>
        <w:jc w:val="center"/>
      </w:pPr>
      <w:r w:rsidRPr="007178AF">
        <w:rPr>
          <w:noProof/>
        </w:rPr>
        <w:drawing>
          <wp:inline distT="0" distB="0" distL="0" distR="0" wp14:anchorId="7E82D3A8" wp14:editId="7BFED893">
            <wp:extent cx="8367485" cy="5273497"/>
            <wp:effectExtent l="0" t="0" r="0" b="3810"/>
            <wp:docPr id="7539487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3948734" name=""/>
                    <pic:cNvPicPr/>
                  </pic:nvPicPr>
                  <pic:blipFill>
                    <a:blip r:embed="rId6"/>
                    <a:stretch>
                      <a:fillRect/>
                    </a:stretch>
                  </pic:blipFill>
                  <pic:spPr>
                    <a:xfrm>
                      <a:off x="0" y="0"/>
                      <a:ext cx="8367485" cy="5273497"/>
                    </a:xfrm>
                    <a:prstGeom prst="rect">
                      <a:avLst/>
                    </a:prstGeom>
                  </pic:spPr>
                </pic:pic>
              </a:graphicData>
            </a:graphic>
          </wp:inline>
        </w:drawing>
      </w:r>
    </w:p>
    <w:p w14:paraId="6DC9E3B8" w14:textId="77777777" w:rsidR="00C4404E" w:rsidRDefault="00C4404E" w:rsidP="0036682F">
      <w:pPr>
        <w:spacing w:line="360" w:lineRule="auto"/>
        <w:jc w:val="center"/>
      </w:pPr>
    </w:p>
    <w:p w14:paraId="17FB0B40" w14:textId="77777777" w:rsidR="00C4404E" w:rsidRDefault="00C4404E" w:rsidP="0036682F">
      <w:pPr>
        <w:spacing w:line="360" w:lineRule="auto"/>
        <w:jc w:val="center"/>
      </w:pPr>
    </w:p>
    <w:p w14:paraId="2D603AEB" w14:textId="77777777" w:rsidR="00C4404E" w:rsidRPr="00AD1CE4" w:rsidRDefault="00C4404E" w:rsidP="00AD1CE4">
      <w:pPr>
        <w:spacing w:before="100" w:beforeAutospacing="1" w:after="100" w:afterAutospacing="1" w:line="360" w:lineRule="auto"/>
        <w:jc w:val="both"/>
        <w:outlineLvl w:val="0"/>
        <w:rPr>
          <w:rFonts w:ascii="Arial" w:eastAsia="Times New Roman" w:hAnsi="Arial" w:cs="Arial"/>
          <w:b/>
          <w:bCs/>
          <w:kern w:val="36"/>
          <w:lang w:eastAsia="en-GB"/>
          <w14:ligatures w14:val="none"/>
        </w:rPr>
      </w:pPr>
      <w:r w:rsidRPr="00AD1CE4">
        <w:rPr>
          <w:rFonts w:ascii="Arial" w:eastAsia="Times New Roman" w:hAnsi="Arial" w:cs="Arial"/>
          <w:b/>
          <w:bCs/>
          <w:kern w:val="36"/>
          <w:lang w:eastAsia="en-GB"/>
          <w14:ligatures w14:val="none"/>
        </w:rPr>
        <w:t>Improving Dental Health in Birmingham Primary Schools Through Education Workshops</w:t>
      </w:r>
    </w:p>
    <w:p w14:paraId="5FC10935" w14:textId="77777777" w:rsidR="00C4404E" w:rsidRPr="00AD1CE4" w:rsidRDefault="00C4404E" w:rsidP="00AD1CE4">
      <w:pPr>
        <w:spacing w:before="100" w:beforeAutospacing="1" w:after="100" w:afterAutospacing="1" w:line="360" w:lineRule="auto"/>
        <w:jc w:val="both"/>
        <w:outlineLvl w:val="1"/>
        <w:rPr>
          <w:rFonts w:ascii="Arial" w:eastAsia="Times New Roman" w:hAnsi="Arial" w:cs="Arial"/>
          <w:b/>
          <w:bCs/>
          <w:kern w:val="0"/>
          <w:lang w:eastAsia="en-GB"/>
          <w14:ligatures w14:val="none"/>
        </w:rPr>
      </w:pPr>
      <w:r w:rsidRPr="00AD1CE4">
        <w:rPr>
          <w:rFonts w:ascii="Arial" w:eastAsia="Times New Roman" w:hAnsi="Arial" w:cs="Arial"/>
          <w:b/>
          <w:bCs/>
          <w:kern w:val="0"/>
          <w:lang w:eastAsia="en-GB"/>
          <w14:ligatures w14:val="none"/>
        </w:rPr>
        <w:t>Campaign Pitch</w:t>
      </w:r>
    </w:p>
    <w:p w14:paraId="0B8B2D2B" w14:textId="5986674B"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My poster campaign aims to improve dental health among primary school children in Birmingham through engaging interactive education workshops. Oral health is </w:t>
      </w:r>
      <w:r w:rsidR="00C22E8A" w:rsidRPr="00AD1CE4">
        <w:rPr>
          <w:rFonts w:ascii="Arial" w:eastAsia="Times New Roman" w:hAnsi="Arial" w:cs="Arial"/>
          <w:kern w:val="0"/>
          <w:lang w:eastAsia="en-GB"/>
          <w14:ligatures w14:val="none"/>
        </w:rPr>
        <w:t>an important</w:t>
      </w:r>
      <w:r w:rsidRPr="00AD1CE4">
        <w:rPr>
          <w:rFonts w:ascii="Arial" w:eastAsia="Times New Roman" w:hAnsi="Arial" w:cs="Arial"/>
          <w:kern w:val="0"/>
          <w:lang w:eastAsia="en-GB"/>
          <w14:ligatures w14:val="none"/>
        </w:rPr>
        <w:t xml:space="preserve"> aspect of overall health and well-being; however, tooth decay remains one of the most common </w:t>
      </w:r>
      <w:r w:rsidR="0032033F">
        <w:rPr>
          <w:rFonts w:ascii="Arial" w:eastAsia="Times New Roman" w:hAnsi="Arial" w:cs="Arial"/>
          <w:kern w:val="0"/>
          <w:lang w:eastAsia="en-GB"/>
          <w14:ligatures w14:val="none"/>
        </w:rPr>
        <w:t>avoidable</w:t>
      </w:r>
      <w:r w:rsidRPr="00AD1CE4">
        <w:rPr>
          <w:rFonts w:ascii="Arial" w:eastAsia="Times New Roman" w:hAnsi="Arial" w:cs="Arial"/>
          <w:kern w:val="0"/>
          <w:lang w:eastAsia="en-GB"/>
          <w14:ligatures w14:val="none"/>
        </w:rPr>
        <w:t xml:space="preserve"> childhood diseases in England. Children living in deprived communities are particularly vulnerable to poor oral health outcomes, making targeted </w:t>
      </w:r>
      <w:r w:rsidR="0032033F">
        <w:rPr>
          <w:rFonts w:ascii="Arial" w:eastAsia="Times New Roman" w:hAnsi="Arial" w:cs="Arial"/>
          <w:kern w:val="0"/>
          <w:lang w:eastAsia="en-GB"/>
          <w14:ligatures w14:val="none"/>
        </w:rPr>
        <w:t xml:space="preserve">help </w:t>
      </w:r>
      <w:r w:rsidRPr="00AD1CE4">
        <w:rPr>
          <w:rFonts w:ascii="Arial" w:eastAsia="Times New Roman" w:hAnsi="Arial" w:cs="Arial"/>
          <w:kern w:val="0"/>
          <w:lang w:eastAsia="en-GB"/>
          <w14:ligatures w14:val="none"/>
        </w:rPr>
        <w:t>essential. The campaign focuses on educating children, parents, carers, schools, and the wider community about effective oral hygiene practices and healthy lifestyle choices that can prevent dental disease.</w:t>
      </w:r>
    </w:p>
    <w:p w14:paraId="75508836" w14:textId="48760604"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Birmingham is one of the largest and most diverse cities in the United Kingdom, with significant health </w:t>
      </w:r>
      <w:r w:rsidR="0032033F">
        <w:rPr>
          <w:rFonts w:ascii="Arial" w:eastAsia="Times New Roman" w:hAnsi="Arial" w:cs="Arial"/>
          <w:kern w:val="0"/>
          <w:lang w:eastAsia="en-GB"/>
          <w14:ligatures w14:val="none"/>
        </w:rPr>
        <w:t>fairness</w:t>
      </w:r>
      <w:r w:rsidRPr="00AD1CE4">
        <w:rPr>
          <w:rFonts w:ascii="Arial" w:eastAsia="Times New Roman" w:hAnsi="Arial" w:cs="Arial"/>
          <w:kern w:val="0"/>
          <w:lang w:eastAsia="en-GB"/>
          <w14:ligatures w14:val="none"/>
        </w:rPr>
        <w:t xml:space="preserve"> across its population. According to Public Health England (2021), children from deprived backgrounds experience higher rates of tooth decay compared with those from </w:t>
      </w:r>
      <w:r w:rsidR="00C22E8A" w:rsidRPr="00AD1CE4">
        <w:rPr>
          <w:rFonts w:ascii="Arial" w:eastAsia="Times New Roman" w:hAnsi="Arial" w:cs="Arial"/>
          <w:kern w:val="0"/>
          <w:lang w:eastAsia="en-GB"/>
          <w14:ligatures w14:val="none"/>
        </w:rPr>
        <w:t>richer</w:t>
      </w:r>
      <w:r w:rsidRPr="00AD1CE4">
        <w:rPr>
          <w:rFonts w:ascii="Arial" w:eastAsia="Times New Roman" w:hAnsi="Arial" w:cs="Arial"/>
          <w:kern w:val="0"/>
          <w:lang w:eastAsia="en-GB"/>
          <w14:ligatures w14:val="none"/>
        </w:rPr>
        <w:t xml:space="preserve"> areas. Dental decay can affect a child's quality of life, causing pain, infection, difficulties eating and speaking, disrupted sleep, and absence from school (NHS England, 2023). Therefore, improving oral health in primary school-aged children </w:t>
      </w:r>
      <w:proofErr w:type="gramStart"/>
      <w:r w:rsidRPr="00AD1CE4">
        <w:rPr>
          <w:rFonts w:ascii="Arial" w:eastAsia="Times New Roman" w:hAnsi="Arial" w:cs="Arial"/>
          <w:kern w:val="0"/>
          <w:lang w:eastAsia="en-GB"/>
          <w14:ligatures w14:val="none"/>
        </w:rPr>
        <w:t xml:space="preserve">has </w:t>
      </w:r>
      <w:r w:rsidR="0032033F">
        <w:rPr>
          <w:rFonts w:ascii="Arial" w:eastAsia="Times New Roman" w:hAnsi="Arial" w:cs="Arial"/>
          <w:kern w:val="0"/>
          <w:lang w:eastAsia="en-GB"/>
          <w14:ligatures w14:val="none"/>
        </w:rPr>
        <w:t>to</w:t>
      </w:r>
      <w:proofErr w:type="gramEnd"/>
      <w:r w:rsidRPr="00AD1CE4">
        <w:rPr>
          <w:rFonts w:ascii="Arial" w:eastAsia="Times New Roman" w:hAnsi="Arial" w:cs="Arial"/>
          <w:kern w:val="0"/>
          <w:lang w:eastAsia="en-GB"/>
          <w14:ligatures w14:val="none"/>
        </w:rPr>
        <w:t xml:space="preserve"> improve both educational </w:t>
      </w:r>
      <w:r w:rsidR="0032033F">
        <w:rPr>
          <w:rFonts w:ascii="Arial" w:eastAsia="Times New Roman" w:hAnsi="Arial" w:cs="Arial"/>
          <w:kern w:val="0"/>
          <w:lang w:eastAsia="en-GB"/>
          <w14:ligatures w14:val="none"/>
        </w:rPr>
        <w:t>outcomes</w:t>
      </w:r>
      <w:r w:rsidRPr="00AD1CE4">
        <w:rPr>
          <w:rFonts w:ascii="Arial" w:eastAsia="Times New Roman" w:hAnsi="Arial" w:cs="Arial"/>
          <w:kern w:val="0"/>
          <w:lang w:eastAsia="en-GB"/>
          <w14:ligatures w14:val="none"/>
        </w:rPr>
        <w:t xml:space="preserve"> and overall well-being.</w:t>
      </w:r>
    </w:p>
    <w:p w14:paraId="2D86654C" w14:textId="23395A15"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The target for this campaign is children aged 5–11 years attending primary schools in Birmingham, particularly those in areas of high levels of </w:t>
      </w:r>
      <w:r w:rsidR="00C22E8A" w:rsidRPr="00AD1CE4">
        <w:rPr>
          <w:rFonts w:ascii="Arial" w:eastAsia="Times New Roman" w:hAnsi="Arial" w:cs="Arial"/>
          <w:kern w:val="0"/>
          <w:lang w:eastAsia="en-GB"/>
          <w14:ligatures w14:val="none"/>
        </w:rPr>
        <w:t>poverty</w:t>
      </w:r>
      <w:r w:rsidRPr="00AD1CE4">
        <w:rPr>
          <w:rFonts w:ascii="Arial" w:eastAsia="Times New Roman" w:hAnsi="Arial" w:cs="Arial"/>
          <w:kern w:val="0"/>
          <w:lang w:eastAsia="en-GB"/>
          <w14:ligatures w14:val="none"/>
        </w:rPr>
        <w:t>. The campaign recognises that children are influenced by their parents, carers, teachers, and wider social environment. Therefore, education workshops will not only engage children but also provide information and resources to families and school staff. By adopting a whole-school approach, the campaign seeks to create long-term positive behaviours that can reduce oral health.</w:t>
      </w:r>
    </w:p>
    <w:p w14:paraId="17E8DAD2" w14:textId="709EEFAD"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The poster promotes interactive workshops as the primary intervention. </w:t>
      </w:r>
      <w:r w:rsidR="0032033F">
        <w:rPr>
          <w:rFonts w:ascii="Arial" w:eastAsia="Times New Roman" w:hAnsi="Arial" w:cs="Arial"/>
          <w:kern w:val="0"/>
          <w:lang w:eastAsia="en-GB"/>
          <w14:ligatures w14:val="none"/>
        </w:rPr>
        <w:t>D</w:t>
      </w:r>
      <w:r w:rsidRPr="00AD1CE4">
        <w:rPr>
          <w:rFonts w:ascii="Arial" w:eastAsia="Times New Roman" w:hAnsi="Arial" w:cs="Arial"/>
          <w:kern w:val="0"/>
          <w:lang w:eastAsia="en-GB"/>
          <w14:ligatures w14:val="none"/>
        </w:rPr>
        <w:t xml:space="preserve">emonstrates that children learn more </w:t>
      </w:r>
      <w:r w:rsidR="00AD1CE4">
        <w:rPr>
          <w:rFonts w:ascii="Arial" w:eastAsia="Times New Roman" w:hAnsi="Arial" w:cs="Arial"/>
          <w:kern w:val="0"/>
          <w:lang w:eastAsia="en-GB"/>
          <w14:ligatures w14:val="none"/>
        </w:rPr>
        <w:t>through</w:t>
      </w:r>
      <w:r w:rsidRPr="00AD1CE4">
        <w:rPr>
          <w:rFonts w:ascii="Arial" w:eastAsia="Times New Roman" w:hAnsi="Arial" w:cs="Arial"/>
          <w:kern w:val="0"/>
          <w:lang w:eastAsia="en-GB"/>
          <w14:ligatures w14:val="none"/>
        </w:rPr>
        <w:t xml:space="preserve"> active participation than through passive information deliver</w:t>
      </w:r>
      <w:r w:rsidR="00C22E8A" w:rsidRPr="00AD1CE4">
        <w:rPr>
          <w:rFonts w:ascii="Arial" w:eastAsia="Times New Roman" w:hAnsi="Arial" w:cs="Arial"/>
          <w:kern w:val="0"/>
          <w:lang w:eastAsia="en-GB"/>
          <w14:ligatures w14:val="none"/>
        </w:rPr>
        <w:t>y</w:t>
      </w:r>
      <w:r w:rsidRPr="00AD1CE4">
        <w:rPr>
          <w:rFonts w:ascii="Arial" w:eastAsia="Times New Roman" w:hAnsi="Arial" w:cs="Arial"/>
          <w:kern w:val="0"/>
          <w:lang w:eastAsia="en-GB"/>
          <w14:ligatures w14:val="none"/>
        </w:rPr>
        <w:t xml:space="preserve"> (World Health Organisation, 2022). The workshops will include </w:t>
      </w:r>
      <w:r w:rsidR="0032033F">
        <w:rPr>
          <w:rFonts w:ascii="Arial" w:eastAsia="Times New Roman" w:hAnsi="Arial" w:cs="Arial"/>
          <w:kern w:val="0"/>
          <w:lang w:eastAsia="en-GB"/>
          <w14:ligatures w14:val="none"/>
        </w:rPr>
        <w:t xml:space="preserve">demonstrating the correct toothbrushing techniques, games, quizzes, visual displays showing the sugar content of common foods and drinks and allowing children to </w:t>
      </w:r>
      <w:r w:rsidRPr="00AD1CE4">
        <w:rPr>
          <w:rFonts w:ascii="Arial" w:eastAsia="Times New Roman" w:hAnsi="Arial" w:cs="Arial"/>
          <w:kern w:val="0"/>
          <w:lang w:eastAsia="en-GB"/>
          <w14:ligatures w14:val="none"/>
        </w:rPr>
        <w:t>ask questions. Interactive learning encourages children to take ownership of their oral health</w:t>
      </w:r>
      <w:r w:rsidR="00C22E8A" w:rsidRPr="00AD1CE4">
        <w:rPr>
          <w:rFonts w:ascii="Arial" w:eastAsia="Times New Roman" w:hAnsi="Arial" w:cs="Arial"/>
          <w:kern w:val="0"/>
          <w:lang w:eastAsia="en-GB"/>
          <w14:ligatures w14:val="none"/>
        </w:rPr>
        <w:t>.</w:t>
      </w:r>
    </w:p>
    <w:p w14:paraId="5B1F6555" w14:textId="77777777"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A major focus of the campaign is promoting the importance of brushing teeth twice daily with fluoride toothpaste. Fluoride strengthens tooth enamel and helps prevent decay (Department of Health and Social Care, 2021). Workshops will also educate children about reducing sugar consumption, particularly sugary drinks and snacks, which are significant contributors to dental caries. Through age-appropriate activities, children will learn how dietary choices directly affect their oral health and overall well-being.</w:t>
      </w:r>
    </w:p>
    <w:p w14:paraId="5E7F4CD0" w14:textId="4FE60F33"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The campaign aligns with current national health policies and legislation. One key policy is the NHS Long Term Plan, which prioritises prevention and </w:t>
      </w:r>
      <w:r w:rsidR="0032033F">
        <w:rPr>
          <w:rFonts w:ascii="Arial" w:eastAsia="Times New Roman" w:hAnsi="Arial" w:cs="Arial"/>
          <w:kern w:val="0"/>
          <w:lang w:eastAsia="en-GB"/>
          <w14:ligatures w14:val="none"/>
        </w:rPr>
        <w:t>the reduction of</w:t>
      </w:r>
      <w:r w:rsidRPr="00AD1CE4">
        <w:rPr>
          <w:rFonts w:ascii="Arial" w:eastAsia="Times New Roman" w:hAnsi="Arial" w:cs="Arial"/>
          <w:kern w:val="0"/>
          <w:lang w:eastAsia="en-GB"/>
          <w14:ligatures w14:val="none"/>
        </w:rPr>
        <w:t xml:space="preserve"> health </w:t>
      </w:r>
      <w:r w:rsidR="00C22E8A" w:rsidRPr="00AD1CE4">
        <w:rPr>
          <w:rFonts w:ascii="Arial" w:eastAsia="Times New Roman" w:hAnsi="Arial" w:cs="Arial"/>
          <w:kern w:val="0"/>
          <w:lang w:eastAsia="en-GB"/>
          <w14:ligatures w14:val="none"/>
        </w:rPr>
        <w:t>problems</w:t>
      </w:r>
      <w:r w:rsidRPr="00AD1CE4">
        <w:rPr>
          <w:rFonts w:ascii="Arial" w:eastAsia="Times New Roman" w:hAnsi="Arial" w:cs="Arial"/>
          <w:kern w:val="0"/>
          <w:lang w:eastAsia="en-GB"/>
          <w14:ligatures w14:val="none"/>
        </w:rPr>
        <w:t xml:space="preserve"> through early intervention (NHS England, 2019). Improving children's oral health supports these objectives by </w:t>
      </w:r>
      <w:r w:rsidR="00C22E8A" w:rsidRPr="00AD1CE4">
        <w:rPr>
          <w:rFonts w:ascii="Arial" w:eastAsia="Times New Roman" w:hAnsi="Arial" w:cs="Arial"/>
          <w:kern w:val="0"/>
          <w:lang w:eastAsia="en-GB"/>
          <w14:ligatures w14:val="none"/>
        </w:rPr>
        <w:t>showing</w:t>
      </w:r>
      <w:r w:rsidRPr="00AD1CE4">
        <w:rPr>
          <w:rFonts w:ascii="Arial" w:eastAsia="Times New Roman" w:hAnsi="Arial" w:cs="Arial"/>
          <w:kern w:val="0"/>
          <w:lang w:eastAsia="en-GB"/>
          <w14:ligatures w14:val="none"/>
        </w:rPr>
        <w:t xml:space="preserve"> a preventable condition before it leads to more serious health problems. Additionally, the campaign supports the principles outlined within the Healthy Child Programme, which emphasises health promotion and disease prevention throughout childhood (Department of Health and Social Care, 2021).</w:t>
      </w:r>
    </w:p>
    <w:p w14:paraId="54B2A6B8" w14:textId="0AF82CE4"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The campaign is also consistent with the Health and Social Care Act 2012, which places responsibility on local authorities to improve public health outcomes. Birmingham City Council has a duty to promote health and wellbeing among local communities, making school-based oral health initiatives highly relevant. </w:t>
      </w:r>
      <w:r w:rsidR="0032033F">
        <w:rPr>
          <w:rFonts w:ascii="Arial" w:eastAsia="Times New Roman" w:hAnsi="Arial" w:cs="Arial"/>
          <w:kern w:val="0"/>
          <w:lang w:eastAsia="en-GB"/>
          <w14:ligatures w14:val="none"/>
        </w:rPr>
        <w:t>Also</w:t>
      </w:r>
      <w:r w:rsidRPr="00AD1CE4">
        <w:rPr>
          <w:rFonts w:ascii="Arial" w:eastAsia="Times New Roman" w:hAnsi="Arial" w:cs="Arial"/>
          <w:kern w:val="0"/>
          <w:lang w:eastAsia="en-GB"/>
          <w14:ligatures w14:val="none"/>
        </w:rPr>
        <w:t xml:space="preserve">, safeguarding legislation such as the Children Act 2004 highlights the importance of ensuring children achieve the best possible health outcomes. Poor oral health can </w:t>
      </w:r>
      <w:r w:rsidR="00AD1CE4">
        <w:rPr>
          <w:rFonts w:ascii="Arial" w:eastAsia="Times New Roman" w:hAnsi="Arial" w:cs="Arial"/>
          <w:kern w:val="0"/>
          <w:lang w:eastAsia="en-GB"/>
          <w14:ligatures w14:val="none"/>
        </w:rPr>
        <w:t>affect</w:t>
      </w:r>
      <w:r w:rsidRPr="00AD1CE4">
        <w:rPr>
          <w:rFonts w:ascii="Arial" w:eastAsia="Times New Roman" w:hAnsi="Arial" w:cs="Arial"/>
          <w:kern w:val="0"/>
          <w:lang w:eastAsia="en-GB"/>
          <w14:ligatures w14:val="none"/>
        </w:rPr>
        <w:t xml:space="preserve"> physical, emotional, and social well-being; therefore, preventative programmes contribute to wider child health objectives.</w:t>
      </w:r>
    </w:p>
    <w:p w14:paraId="64B2D4E8" w14:textId="30A81DEC"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Several professional services will be involved in delivering and supporting the campaign. Community dental services can provide expertise, educational resources, and referrals for children requiring treatment. School nurses are well-positioned to reinforce oral health messages and identify children who may benefit from additional support. Teachers and school staff play a critical role in </w:t>
      </w:r>
      <w:r w:rsidR="0032033F">
        <w:rPr>
          <w:rFonts w:ascii="Arial" w:eastAsia="Times New Roman" w:hAnsi="Arial" w:cs="Arial"/>
          <w:kern w:val="0"/>
          <w:lang w:eastAsia="en-GB"/>
          <w14:ligatures w14:val="none"/>
        </w:rPr>
        <w:t>teaching</w:t>
      </w:r>
      <w:r w:rsidRPr="00AD1CE4">
        <w:rPr>
          <w:rFonts w:ascii="Arial" w:eastAsia="Times New Roman" w:hAnsi="Arial" w:cs="Arial"/>
          <w:kern w:val="0"/>
          <w:lang w:eastAsia="en-GB"/>
          <w14:ligatures w14:val="none"/>
        </w:rPr>
        <w:t xml:space="preserve"> healthy habits within the school environment. Public health practitioners can assist in planning, evaluating, and monitoring the effectiveness of the campaign. </w:t>
      </w:r>
      <w:r w:rsidR="00B6539B">
        <w:rPr>
          <w:rFonts w:ascii="Arial" w:eastAsia="Times New Roman" w:hAnsi="Arial" w:cs="Arial"/>
          <w:kern w:val="0"/>
          <w:lang w:eastAsia="en-GB"/>
          <w14:ligatures w14:val="none"/>
        </w:rPr>
        <w:t>Working</w:t>
      </w:r>
      <w:r w:rsidRPr="00AD1CE4">
        <w:rPr>
          <w:rFonts w:ascii="Arial" w:eastAsia="Times New Roman" w:hAnsi="Arial" w:cs="Arial"/>
          <w:kern w:val="0"/>
          <w:lang w:eastAsia="en-GB"/>
          <w14:ligatures w14:val="none"/>
        </w:rPr>
        <w:t xml:space="preserve"> between these professionals ensures that oral health promotion is consistent, evidence-based, and accessible.</w:t>
      </w:r>
    </w:p>
    <w:p w14:paraId="3B9EAFFC" w14:textId="7E252F25"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An important element of the campaign is encouraging community participation. Improving children's oral health requires support beyond the school setting. Parents and carers influence children's daily habits, dietary choices, and attendance at dental appointments. The poster </w:t>
      </w:r>
      <w:r w:rsidR="00C22E8A" w:rsidRPr="00AD1CE4">
        <w:rPr>
          <w:rFonts w:ascii="Arial" w:eastAsia="Times New Roman" w:hAnsi="Arial" w:cs="Arial"/>
          <w:kern w:val="0"/>
          <w:lang w:eastAsia="en-GB"/>
          <w14:ligatures w14:val="none"/>
        </w:rPr>
        <w:t>will</w:t>
      </w:r>
      <w:r w:rsidRPr="00AD1CE4">
        <w:rPr>
          <w:rFonts w:ascii="Arial" w:eastAsia="Times New Roman" w:hAnsi="Arial" w:cs="Arial"/>
          <w:kern w:val="0"/>
          <w:lang w:eastAsia="en-GB"/>
          <w14:ligatures w14:val="none"/>
        </w:rPr>
        <w:t xml:space="preserve">, </w:t>
      </w:r>
      <w:r w:rsidR="00B6539B">
        <w:rPr>
          <w:rFonts w:ascii="Arial" w:eastAsia="Times New Roman" w:hAnsi="Arial" w:cs="Arial"/>
          <w:kern w:val="0"/>
          <w:lang w:eastAsia="en-GB"/>
          <w14:ligatures w14:val="none"/>
        </w:rPr>
        <w:t>invite</w:t>
      </w:r>
      <w:r w:rsidRPr="00AD1CE4">
        <w:rPr>
          <w:rFonts w:ascii="Arial" w:eastAsia="Times New Roman" w:hAnsi="Arial" w:cs="Arial"/>
          <w:kern w:val="0"/>
          <w:lang w:eastAsia="en-GB"/>
          <w14:ligatures w14:val="none"/>
        </w:rPr>
        <w:t xml:space="preserve"> families to participate in workshops, information sessions, and oral health challenges that can be completed at home. By involving parents, the campaign aims to strengthen health literacy and create supportive home environments that reinforce healthy behaviours.</w:t>
      </w:r>
    </w:p>
    <w:p w14:paraId="51D21902" w14:textId="740979DF"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The </w:t>
      </w:r>
      <w:r w:rsidR="00B6539B" w:rsidRPr="00AD1CE4">
        <w:rPr>
          <w:rFonts w:ascii="Arial" w:eastAsia="Times New Roman" w:hAnsi="Arial" w:cs="Arial"/>
          <w:kern w:val="0"/>
          <w:lang w:eastAsia="en-GB"/>
          <w14:ligatures w14:val="none"/>
        </w:rPr>
        <w:t>public</w:t>
      </w:r>
      <w:r w:rsidRPr="00AD1CE4">
        <w:rPr>
          <w:rFonts w:ascii="Arial" w:eastAsia="Times New Roman" w:hAnsi="Arial" w:cs="Arial"/>
          <w:kern w:val="0"/>
          <w:lang w:eastAsia="en-GB"/>
          <w14:ligatures w14:val="none"/>
        </w:rPr>
        <w:t xml:space="preserve"> should become involved in the campaign because oral health is a community-wide issue with long-term </w:t>
      </w:r>
      <w:r w:rsidR="00B6539B">
        <w:rPr>
          <w:rFonts w:ascii="Arial" w:eastAsia="Times New Roman" w:hAnsi="Arial" w:cs="Arial"/>
          <w:kern w:val="0"/>
          <w:lang w:eastAsia="en-GB"/>
          <w14:ligatures w14:val="none"/>
        </w:rPr>
        <w:t>effects</w:t>
      </w:r>
      <w:r w:rsidRPr="00AD1CE4">
        <w:rPr>
          <w:rFonts w:ascii="Arial" w:eastAsia="Times New Roman" w:hAnsi="Arial" w:cs="Arial"/>
          <w:kern w:val="0"/>
          <w:lang w:eastAsia="en-GB"/>
          <w14:ligatures w14:val="none"/>
        </w:rPr>
        <w:t>. Poor oral health places a significant burden on NHS services and can contribute to wider health inequalities. Community engagement can help raise awareness, reduce stigma, and encourage positive behavioural change. Local businesses, community groups, and voluntary organisations may also support the campaign through sponsorship, promotion, or distribution of educational materials. Collective action can increase the reach and sustainability of oral health initiatives.</w:t>
      </w:r>
    </w:p>
    <w:p w14:paraId="04163FFE" w14:textId="77777777"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The expected impact of the campaign includes increased knowledge of oral hygiene practices, improved tooth-brushing behaviours, reduced consumption of sugary foods and drinks, and greater attendance at routine dental check-ups. In the longer term, these outcomes may contribute to reduced rates of dental decay, fewer hospital admissions for tooth extractions, and improved quality of life for children in Birmingham. By addressing oral health at an early age, the campaign supports healthier futures and helps reduce inequalities within the local population.</w:t>
      </w:r>
    </w:p>
    <w:p w14:paraId="64A193B7" w14:textId="5E9EED74"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In conclusion, this poster campaign highlights the importance of improving dental health in Birmingham primary schools through interactive education workshops. By targeting children, families, schools, and the wider community, the initiative promotes prevention, health education, and behaviour change. The campaign aligns with national health policies, legislation, and professional practice standards while encouraging community participation. Through collaborative action and evidence-based education, the campaign has the potential to make </w:t>
      </w:r>
      <w:proofErr w:type="gramStart"/>
      <w:r w:rsidRPr="00AD1CE4">
        <w:rPr>
          <w:rFonts w:ascii="Arial" w:eastAsia="Times New Roman" w:hAnsi="Arial" w:cs="Arial"/>
          <w:kern w:val="0"/>
          <w:lang w:eastAsia="en-GB"/>
          <w14:ligatures w14:val="none"/>
        </w:rPr>
        <w:t>a</w:t>
      </w:r>
      <w:proofErr w:type="gramEnd"/>
      <w:r w:rsidRPr="00AD1CE4">
        <w:rPr>
          <w:rFonts w:ascii="Arial" w:eastAsia="Times New Roman" w:hAnsi="Arial" w:cs="Arial"/>
          <w:kern w:val="0"/>
          <w:lang w:eastAsia="en-GB"/>
          <w14:ligatures w14:val="none"/>
        </w:rPr>
        <w:t xml:space="preserve"> </w:t>
      </w:r>
      <w:r w:rsidR="00B6539B">
        <w:rPr>
          <w:rFonts w:ascii="Arial" w:eastAsia="Times New Roman" w:hAnsi="Arial" w:cs="Arial"/>
          <w:kern w:val="0"/>
          <w:lang w:eastAsia="en-GB"/>
          <w14:ligatures w14:val="none"/>
        </w:rPr>
        <w:t>impact</w:t>
      </w:r>
      <w:r w:rsidRPr="00AD1CE4">
        <w:rPr>
          <w:rFonts w:ascii="Arial" w:eastAsia="Times New Roman" w:hAnsi="Arial" w:cs="Arial"/>
          <w:kern w:val="0"/>
          <w:lang w:eastAsia="en-GB"/>
          <w14:ligatures w14:val="none"/>
        </w:rPr>
        <w:t xml:space="preserve"> contribution to the health and well-being of Birmingham's children.</w:t>
      </w:r>
    </w:p>
    <w:p w14:paraId="25ACC646" w14:textId="77777777" w:rsidR="00C4404E" w:rsidRPr="00B6539B" w:rsidRDefault="00C4404E" w:rsidP="00AD1CE4">
      <w:pPr>
        <w:spacing w:before="100" w:beforeAutospacing="1" w:after="100" w:afterAutospacing="1" w:line="360" w:lineRule="auto"/>
        <w:jc w:val="both"/>
        <w:outlineLvl w:val="1"/>
        <w:rPr>
          <w:rFonts w:ascii="Arial" w:eastAsia="Times New Roman" w:hAnsi="Arial" w:cs="Arial"/>
          <w:b/>
          <w:bCs/>
          <w:kern w:val="0"/>
          <w:u w:val="single"/>
          <w:lang w:eastAsia="en-GB"/>
          <w14:ligatures w14:val="none"/>
        </w:rPr>
      </w:pPr>
      <w:r w:rsidRPr="00B6539B">
        <w:rPr>
          <w:rFonts w:ascii="Arial" w:eastAsia="Times New Roman" w:hAnsi="Arial" w:cs="Arial"/>
          <w:b/>
          <w:bCs/>
          <w:kern w:val="0"/>
          <w:u w:val="single"/>
          <w:lang w:eastAsia="en-GB"/>
          <w14:ligatures w14:val="none"/>
        </w:rPr>
        <w:t>References</w:t>
      </w:r>
    </w:p>
    <w:p w14:paraId="703F2965" w14:textId="753BE577"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Department of Health and Social Care (2021) </w:t>
      </w:r>
      <w:r w:rsidRPr="00AD1CE4">
        <w:rPr>
          <w:rFonts w:ascii="Arial" w:eastAsia="Times New Roman" w:hAnsi="Arial" w:cs="Arial"/>
          <w:i/>
          <w:iCs/>
          <w:kern w:val="0"/>
          <w:lang w:eastAsia="en-GB"/>
          <w14:ligatures w14:val="none"/>
        </w:rPr>
        <w:t>Healthy Child Programme: Pregnancy and the First 5 Years of Life</w:t>
      </w:r>
      <w:r w:rsidRPr="00AD1CE4">
        <w:rPr>
          <w:rFonts w:ascii="Arial" w:eastAsia="Times New Roman" w:hAnsi="Arial" w:cs="Arial"/>
          <w:kern w:val="0"/>
          <w:lang w:eastAsia="en-GB"/>
          <w14:ligatures w14:val="none"/>
        </w:rPr>
        <w:t xml:space="preserve">. London: </w:t>
      </w:r>
      <w:proofErr w:type="spellStart"/>
      <w:r w:rsidRPr="00AD1CE4">
        <w:rPr>
          <w:rFonts w:ascii="Arial" w:eastAsia="Times New Roman" w:hAnsi="Arial" w:cs="Arial"/>
          <w:kern w:val="0"/>
          <w:lang w:eastAsia="en-GB"/>
          <w14:ligatures w14:val="none"/>
        </w:rPr>
        <w:t>DHSC.</w:t>
      </w:r>
      <w:r w:rsidR="000E5A2D" w:rsidRPr="00AD1CE4">
        <w:rPr>
          <w:rFonts w:ascii="Arial" w:hAnsi="Arial" w:cs="Arial"/>
          <w:color w:val="222222"/>
          <w:shd w:val="clear" w:color="auto" w:fill="FFFFFF"/>
        </w:rPr>
        <w:t>Clark</w:t>
      </w:r>
      <w:proofErr w:type="spellEnd"/>
      <w:r w:rsidR="000E5A2D" w:rsidRPr="00AD1CE4">
        <w:rPr>
          <w:rFonts w:ascii="Arial" w:hAnsi="Arial" w:cs="Arial"/>
          <w:color w:val="222222"/>
          <w:shd w:val="clear" w:color="auto" w:fill="FFFFFF"/>
        </w:rPr>
        <w:t xml:space="preserve">, H., Revel, E., Royal, P., Wright, P., </w:t>
      </w:r>
      <w:proofErr w:type="spellStart"/>
      <w:r w:rsidR="000E5A2D" w:rsidRPr="00AD1CE4">
        <w:rPr>
          <w:rFonts w:ascii="Arial" w:hAnsi="Arial" w:cs="Arial"/>
          <w:color w:val="222222"/>
          <w:shd w:val="clear" w:color="auto" w:fill="FFFFFF"/>
        </w:rPr>
        <w:t>Teakle</w:t>
      </w:r>
      <w:proofErr w:type="spellEnd"/>
      <w:r w:rsidR="000E5A2D" w:rsidRPr="00AD1CE4">
        <w:rPr>
          <w:rFonts w:ascii="Arial" w:hAnsi="Arial" w:cs="Arial"/>
          <w:color w:val="222222"/>
          <w:shd w:val="clear" w:color="auto" w:fill="FFFFFF"/>
        </w:rPr>
        <w:t xml:space="preserve">, A., </w:t>
      </w:r>
      <w:proofErr w:type="spellStart"/>
      <w:r w:rsidR="000E5A2D" w:rsidRPr="00AD1CE4">
        <w:rPr>
          <w:rFonts w:ascii="Arial" w:hAnsi="Arial" w:cs="Arial"/>
          <w:color w:val="222222"/>
          <w:shd w:val="clear" w:color="auto" w:fill="FFFFFF"/>
        </w:rPr>
        <w:t>McIlwrath</w:t>
      </w:r>
      <w:proofErr w:type="spellEnd"/>
      <w:r w:rsidR="000E5A2D" w:rsidRPr="00AD1CE4">
        <w:rPr>
          <w:rFonts w:ascii="Arial" w:hAnsi="Arial" w:cs="Arial"/>
          <w:color w:val="222222"/>
          <w:shd w:val="clear" w:color="auto" w:fill="FFFFFF"/>
        </w:rPr>
        <w:t>, B., Bradshaw, B., Purvey, C., McLeod, C., Williams, C. and Norman, A., 2022. </w:t>
      </w:r>
      <w:r w:rsidR="000E5A2D" w:rsidRPr="00AD1CE4">
        <w:rPr>
          <w:rFonts w:ascii="Arial" w:hAnsi="Arial" w:cs="Arial"/>
          <w:i/>
          <w:iCs/>
          <w:color w:val="222222"/>
          <w:shd w:val="clear" w:color="auto" w:fill="FFFFFF"/>
        </w:rPr>
        <w:t>The Health &amp; Wellbeing of Children in the Early Years</w:t>
      </w:r>
      <w:r w:rsidR="000E5A2D" w:rsidRPr="00AD1CE4">
        <w:rPr>
          <w:rFonts w:ascii="Arial" w:hAnsi="Arial" w:cs="Arial"/>
          <w:color w:val="222222"/>
          <w:shd w:val="clear" w:color="auto" w:fill="FFFFFF"/>
        </w:rPr>
        <w:t>. Children's Alliance.</w:t>
      </w:r>
    </w:p>
    <w:p w14:paraId="4223E9D9" w14:textId="77777777"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Health and Social Care Act 2012. London: The Stationery Office.</w:t>
      </w:r>
    </w:p>
    <w:p w14:paraId="76CF01DF" w14:textId="77777777"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NHS England (2019) </w:t>
      </w:r>
      <w:r w:rsidRPr="00AD1CE4">
        <w:rPr>
          <w:rFonts w:ascii="Arial" w:eastAsia="Times New Roman" w:hAnsi="Arial" w:cs="Arial"/>
          <w:i/>
          <w:iCs/>
          <w:kern w:val="0"/>
          <w:lang w:eastAsia="en-GB"/>
          <w14:ligatures w14:val="none"/>
        </w:rPr>
        <w:t>The NHS Long Term Plan</w:t>
      </w:r>
      <w:r w:rsidRPr="00AD1CE4">
        <w:rPr>
          <w:rFonts w:ascii="Arial" w:eastAsia="Times New Roman" w:hAnsi="Arial" w:cs="Arial"/>
          <w:kern w:val="0"/>
          <w:lang w:eastAsia="en-GB"/>
          <w14:ligatures w14:val="none"/>
        </w:rPr>
        <w:t>. London: NHS England.</w:t>
      </w:r>
    </w:p>
    <w:p w14:paraId="7E87B242" w14:textId="77777777"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NHS England (2023) </w:t>
      </w:r>
      <w:r w:rsidRPr="00AD1CE4">
        <w:rPr>
          <w:rFonts w:ascii="Arial" w:eastAsia="Times New Roman" w:hAnsi="Arial" w:cs="Arial"/>
          <w:i/>
          <w:iCs/>
          <w:kern w:val="0"/>
          <w:lang w:eastAsia="en-GB"/>
          <w14:ligatures w14:val="none"/>
        </w:rPr>
        <w:t>Improving Oral Health and Dental Outcomes for Children and Young People</w:t>
      </w:r>
      <w:r w:rsidRPr="00AD1CE4">
        <w:rPr>
          <w:rFonts w:ascii="Arial" w:eastAsia="Times New Roman" w:hAnsi="Arial" w:cs="Arial"/>
          <w:kern w:val="0"/>
          <w:lang w:eastAsia="en-GB"/>
          <w14:ligatures w14:val="none"/>
        </w:rPr>
        <w:t>. London: NHS England.</w:t>
      </w:r>
    </w:p>
    <w:p w14:paraId="36CE7DB2" w14:textId="77777777" w:rsidR="00C4404E" w:rsidRPr="00AD1CE4" w:rsidRDefault="00C4404E" w:rsidP="00AD1CE4">
      <w:pPr>
        <w:spacing w:before="100" w:beforeAutospacing="1" w:after="100" w:afterAutospacing="1" w:line="360" w:lineRule="auto"/>
        <w:jc w:val="both"/>
        <w:rPr>
          <w:rFonts w:ascii="Arial" w:eastAsia="Times New Roman" w:hAnsi="Arial" w:cs="Arial"/>
          <w:kern w:val="0"/>
          <w:lang w:eastAsia="en-GB"/>
          <w14:ligatures w14:val="none"/>
        </w:rPr>
      </w:pPr>
      <w:r w:rsidRPr="00AD1CE4">
        <w:rPr>
          <w:rFonts w:ascii="Arial" w:eastAsia="Times New Roman" w:hAnsi="Arial" w:cs="Arial"/>
          <w:kern w:val="0"/>
          <w:lang w:eastAsia="en-GB"/>
          <w14:ligatures w14:val="none"/>
        </w:rPr>
        <w:t xml:space="preserve">Public Health England (2021) </w:t>
      </w:r>
      <w:r w:rsidRPr="00AD1CE4">
        <w:rPr>
          <w:rFonts w:ascii="Arial" w:eastAsia="Times New Roman" w:hAnsi="Arial" w:cs="Arial"/>
          <w:i/>
          <w:iCs/>
          <w:kern w:val="0"/>
          <w:lang w:eastAsia="en-GB"/>
          <w14:ligatures w14:val="none"/>
        </w:rPr>
        <w:t>National Dental Epidemiology Programme for England: Oral Health Survey of 5-Year-Old Children</w:t>
      </w:r>
      <w:r w:rsidRPr="00AD1CE4">
        <w:rPr>
          <w:rFonts w:ascii="Arial" w:eastAsia="Times New Roman" w:hAnsi="Arial" w:cs="Arial"/>
          <w:kern w:val="0"/>
          <w:lang w:eastAsia="en-GB"/>
          <w14:ligatures w14:val="none"/>
        </w:rPr>
        <w:t>. London: PHE.</w:t>
      </w:r>
    </w:p>
    <w:p w14:paraId="22302DF8" w14:textId="2AB8E8E9" w:rsidR="00C4404E" w:rsidRPr="00AD1CE4" w:rsidRDefault="00C4404E" w:rsidP="00AD1CE4">
      <w:pPr>
        <w:spacing w:line="360" w:lineRule="auto"/>
        <w:jc w:val="both"/>
      </w:pPr>
      <w:r w:rsidRPr="00AD1CE4">
        <w:rPr>
          <w:rFonts w:ascii="Arial" w:eastAsia="Times New Roman" w:hAnsi="Arial" w:cs="Arial"/>
          <w:kern w:val="0"/>
          <w:lang w:eastAsia="en-GB"/>
          <w14:ligatures w14:val="none"/>
        </w:rPr>
        <w:t xml:space="preserve">World Health Organization (2022) </w:t>
      </w:r>
      <w:r w:rsidRPr="00AD1CE4">
        <w:rPr>
          <w:rFonts w:ascii="Arial" w:eastAsia="Times New Roman" w:hAnsi="Arial" w:cs="Arial"/>
          <w:i/>
          <w:iCs/>
          <w:kern w:val="0"/>
          <w:lang w:eastAsia="en-GB"/>
          <w14:ligatures w14:val="none"/>
        </w:rPr>
        <w:t>Global Oral Health Status Report: Towards Universal Health Coverage for Oral Health by 2030</w:t>
      </w:r>
      <w:r w:rsidRPr="00AD1CE4">
        <w:rPr>
          <w:rFonts w:ascii="Arial" w:eastAsia="Times New Roman" w:hAnsi="Arial" w:cs="Arial"/>
          <w:kern w:val="0"/>
          <w:lang w:eastAsia="en-GB"/>
          <w14:ligatures w14:val="none"/>
        </w:rPr>
        <w:t>. Geneva: WHO.</w:t>
      </w:r>
    </w:p>
    <w:sectPr w:rsidR="00C4404E" w:rsidRPr="00AD1CE4" w:rsidSect="00817AC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38CF18" w14:textId="77777777" w:rsidR="003D3510" w:rsidRDefault="003D3510" w:rsidP="0036682F">
      <w:pPr>
        <w:spacing w:after="0" w:line="240" w:lineRule="auto"/>
      </w:pPr>
      <w:r>
        <w:separator/>
      </w:r>
    </w:p>
  </w:endnote>
  <w:endnote w:type="continuationSeparator" w:id="0">
    <w:p w14:paraId="1FA1283C" w14:textId="77777777" w:rsidR="003D3510" w:rsidRDefault="003D3510" w:rsidP="003668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1665235"/>
      <w:docPartObj>
        <w:docPartGallery w:val="Page Numbers (Bottom of Page)"/>
        <w:docPartUnique/>
      </w:docPartObj>
    </w:sdtPr>
    <w:sdtEndPr>
      <w:rPr>
        <w:noProof/>
      </w:rPr>
    </w:sdtEndPr>
    <w:sdtContent>
      <w:p w14:paraId="14AE1A84" w14:textId="7820F7D0" w:rsidR="0036682F" w:rsidRDefault="0036682F">
        <w:pPr>
          <w:pStyle w:val="Footer"/>
        </w:pPr>
        <w:r>
          <w:fldChar w:fldCharType="begin"/>
        </w:r>
        <w:r>
          <w:instrText xml:space="preserve"> PAGE   \* MERGEFORMAT </w:instrText>
        </w:r>
        <w:r>
          <w:fldChar w:fldCharType="separate"/>
        </w:r>
        <w:r>
          <w:rPr>
            <w:noProof/>
          </w:rPr>
          <w:t>2</w:t>
        </w:r>
        <w:r>
          <w:rPr>
            <w:noProof/>
          </w:rPr>
          <w:fldChar w:fldCharType="end"/>
        </w:r>
      </w:p>
    </w:sdtContent>
  </w:sdt>
  <w:p w14:paraId="32F85D69" w14:textId="77777777" w:rsidR="0036682F" w:rsidRDefault="003668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1F395" w14:textId="77777777" w:rsidR="003D3510" w:rsidRDefault="003D3510" w:rsidP="0036682F">
      <w:pPr>
        <w:spacing w:after="0" w:line="240" w:lineRule="auto"/>
      </w:pPr>
      <w:r>
        <w:separator/>
      </w:r>
    </w:p>
  </w:footnote>
  <w:footnote w:type="continuationSeparator" w:id="0">
    <w:p w14:paraId="2A2DF675" w14:textId="77777777" w:rsidR="003D3510" w:rsidRDefault="003D3510" w:rsidP="003668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38B8"/>
    <w:rsid w:val="000043A4"/>
    <w:rsid w:val="00074A60"/>
    <w:rsid w:val="000E1711"/>
    <w:rsid w:val="000E5A2D"/>
    <w:rsid w:val="00106BFD"/>
    <w:rsid w:val="00212E6D"/>
    <w:rsid w:val="002C738A"/>
    <w:rsid w:val="0032033F"/>
    <w:rsid w:val="003308C2"/>
    <w:rsid w:val="0036682F"/>
    <w:rsid w:val="003D3510"/>
    <w:rsid w:val="004B17DF"/>
    <w:rsid w:val="004C7EFD"/>
    <w:rsid w:val="005811AC"/>
    <w:rsid w:val="005E0A83"/>
    <w:rsid w:val="006750E5"/>
    <w:rsid w:val="00685169"/>
    <w:rsid w:val="006E0919"/>
    <w:rsid w:val="006E09B9"/>
    <w:rsid w:val="007178AF"/>
    <w:rsid w:val="00817AC0"/>
    <w:rsid w:val="00892BDB"/>
    <w:rsid w:val="008C038D"/>
    <w:rsid w:val="00901DA7"/>
    <w:rsid w:val="009C0C08"/>
    <w:rsid w:val="00A656DB"/>
    <w:rsid w:val="00AD1CE4"/>
    <w:rsid w:val="00AD38B8"/>
    <w:rsid w:val="00AF00A3"/>
    <w:rsid w:val="00B6539B"/>
    <w:rsid w:val="00C2067B"/>
    <w:rsid w:val="00C22E8A"/>
    <w:rsid w:val="00C4404E"/>
    <w:rsid w:val="00DB5D5F"/>
    <w:rsid w:val="00DD5B8A"/>
    <w:rsid w:val="00E0182E"/>
    <w:rsid w:val="00E45EC2"/>
    <w:rsid w:val="00FE54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E6D76"/>
  <w15:chartTrackingRefBased/>
  <w15:docId w15:val="{C83CAA18-1F8E-4705-B2F6-04874C1E0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8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38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38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38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38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38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38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38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38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38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38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38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38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38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38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38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38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38B8"/>
    <w:rPr>
      <w:rFonts w:eastAsiaTheme="majorEastAsia" w:cstheme="majorBidi"/>
      <w:color w:val="272727" w:themeColor="text1" w:themeTint="D8"/>
    </w:rPr>
  </w:style>
  <w:style w:type="paragraph" w:styleId="Title">
    <w:name w:val="Title"/>
    <w:basedOn w:val="Normal"/>
    <w:next w:val="Normal"/>
    <w:link w:val="TitleChar"/>
    <w:uiPriority w:val="10"/>
    <w:qFormat/>
    <w:rsid w:val="00AD38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38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38B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38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38B8"/>
    <w:pPr>
      <w:spacing w:before="160"/>
      <w:jc w:val="center"/>
    </w:pPr>
    <w:rPr>
      <w:i/>
      <w:iCs/>
      <w:color w:val="404040" w:themeColor="text1" w:themeTint="BF"/>
    </w:rPr>
  </w:style>
  <w:style w:type="character" w:customStyle="1" w:styleId="QuoteChar">
    <w:name w:val="Quote Char"/>
    <w:basedOn w:val="DefaultParagraphFont"/>
    <w:link w:val="Quote"/>
    <w:uiPriority w:val="29"/>
    <w:rsid w:val="00AD38B8"/>
    <w:rPr>
      <w:i/>
      <w:iCs/>
      <w:color w:val="404040" w:themeColor="text1" w:themeTint="BF"/>
    </w:rPr>
  </w:style>
  <w:style w:type="paragraph" w:styleId="ListParagraph">
    <w:name w:val="List Paragraph"/>
    <w:basedOn w:val="Normal"/>
    <w:uiPriority w:val="34"/>
    <w:qFormat/>
    <w:rsid w:val="00AD38B8"/>
    <w:pPr>
      <w:ind w:left="720"/>
      <w:contextualSpacing/>
    </w:pPr>
  </w:style>
  <w:style w:type="character" w:styleId="IntenseEmphasis">
    <w:name w:val="Intense Emphasis"/>
    <w:basedOn w:val="DefaultParagraphFont"/>
    <w:uiPriority w:val="21"/>
    <w:qFormat/>
    <w:rsid w:val="00AD38B8"/>
    <w:rPr>
      <w:i/>
      <w:iCs/>
      <w:color w:val="0F4761" w:themeColor="accent1" w:themeShade="BF"/>
    </w:rPr>
  </w:style>
  <w:style w:type="paragraph" w:styleId="IntenseQuote">
    <w:name w:val="Intense Quote"/>
    <w:basedOn w:val="Normal"/>
    <w:next w:val="Normal"/>
    <w:link w:val="IntenseQuoteChar"/>
    <w:uiPriority w:val="30"/>
    <w:qFormat/>
    <w:rsid w:val="00AD38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38B8"/>
    <w:rPr>
      <w:i/>
      <w:iCs/>
      <w:color w:val="0F4761" w:themeColor="accent1" w:themeShade="BF"/>
    </w:rPr>
  </w:style>
  <w:style w:type="character" w:styleId="IntenseReference">
    <w:name w:val="Intense Reference"/>
    <w:basedOn w:val="DefaultParagraphFont"/>
    <w:uiPriority w:val="32"/>
    <w:qFormat/>
    <w:rsid w:val="00AD38B8"/>
    <w:rPr>
      <w:b/>
      <w:bCs/>
      <w:smallCaps/>
      <w:color w:val="0F4761" w:themeColor="accent1" w:themeShade="BF"/>
      <w:spacing w:val="5"/>
    </w:rPr>
  </w:style>
  <w:style w:type="paragraph" w:styleId="NoSpacing">
    <w:name w:val="No Spacing"/>
    <w:link w:val="NoSpacingChar"/>
    <w:uiPriority w:val="1"/>
    <w:qFormat/>
    <w:rsid w:val="00C2067B"/>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2067B"/>
    <w:rPr>
      <w:rFonts w:eastAsiaTheme="minorEastAsia"/>
      <w:kern w:val="0"/>
      <w:lang w:val="en-US"/>
      <w14:ligatures w14:val="none"/>
    </w:rPr>
  </w:style>
  <w:style w:type="paragraph" w:styleId="Header">
    <w:name w:val="header"/>
    <w:basedOn w:val="Normal"/>
    <w:link w:val="HeaderChar"/>
    <w:uiPriority w:val="99"/>
    <w:unhideWhenUsed/>
    <w:rsid w:val="003668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682F"/>
  </w:style>
  <w:style w:type="paragraph" w:styleId="Footer">
    <w:name w:val="footer"/>
    <w:basedOn w:val="Normal"/>
    <w:link w:val="FooterChar"/>
    <w:uiPriority w:val="99"/>
    <w:unhideWhenUsed/>
    <w:rsid w:val="003668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68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1</Pages>
  <Words>1210</Words>
  <Characters>6897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BMH 5014</vt:lpstr>
    </vt:vector>
  </TitlesOfParts>
  <Company/>
  <LinksUpToDate>false</LinksUpToDate>
  <CharactersWithSpaces>8091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 5014</dc:title>
  <dc:subject>component 2: written assignment (report)</dc:subject>
  <dc:creator>Elizabeth McMahon (2322757)</dc:creator>
  <cp:keywords/>
  <dc:description/>
  <cp:lastModifiedBy>Elizabeth McMahon (2322757)</cp:lastModifiedBy>
  <cp:revision>11</cp:revision>
  <dcterms:created xsi:type="dcterms:W3CDTF">2026-06-05T10:51:00Z</dcterms:created>
  <dcterms:modified xsi:type="dcterms:W3CDTF">2026-07-01T07:01:00Z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463edd47-580f-4d70-a1e3-eab35b4fe07a</vt:lpwstr>
  </property>
</Properties>
</file>