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C4212" w14:textId="7CF7045D" w:rsidR="003631FB" w:rsidRDefault="005D0970" w:rsidP="005D0970">
      <w:pPr>
        <w:ind w:left="1440" w:hanging="1440"/>
        <w:jc w:val="center"/>
        <w:rPr>
          <w:rFonts w:ascii="Arial" w:hAnsi="Arial" w:cs="Arial"/>
          <w:b/>
          <w:bCs/>
          <w:sz w:val="36"/>
          <w:szCs w:val="36"/>
        </w:rPr>
      </w:pPr>
      <w:r w:rsidRPr="005D0970">
        <w:rPr>
          <w:rFonts w:ascii="Arial" w:hAnsi="Arial" w:cs="Arial"/>
          <w:b/>
          <w:bCs/>
          <w:sz w:val="36"/>
          <w:szCs w:val="36"/>
        </w:rPr>
        <w:t>The impact of social media on mental health in</w:t>
      </w:r>
      <w:r>
        <w:rPr>
          <w:rFonts w:ascii="Arial" w:hAnsi="Arial" w:cs="Arial"/>
          <w:b/>
          <w:bCs/>
          <w:sz w:val="36"/>
          <w:szCs w:val="36"/>
        </w:rPr>
        <w:t xml:space="preserve">   </w:t>
      </w:r>
      <w:r w:rsidRPr="005D0970">
        <w:rPr>
          <w:rFonts w:ascii="Arial" w:hAnsi="Arial" w:cs="Arial"/>
          <w:b/>
          <w:bCs/>
          <w:sz w:val="36"/>
          <w:szCs w:val="36"/>
        </w:rPr>
        <w:t>adolescence</w:t>
      </w:r>
    </w:p>
    <w:p w14:paraId="699E26A0" w14:textId="77777777" w:rsidR="005D0970" w:rsidRDefault="005D0970" w:rsidP="005D0970">
      <w:pPr>
        <w:ind w:left="1440" w:hanging="1440"/>
        <w:jc w:val="center"/>
        <w:rPr>
          <w:rFonts w:ascii="Arial" w:hAnsi="Arial" w:cs="Arial"/>
          <w:b/>
          <w:bCs/>
          <w:sz w:val="36"/>
          <w:szCs w:val="36"/>
        </w:rPr>
      </w:pPr>
    </w:p>
    <w:p w14:paraId="7BCA481C" w14:textId="3B9172DB" w:rsidR="005D0970" w:rsidRDefault="005D0970" w:rsidP="005D0970">
      <w:pPr>
        <w:spacing w:line="360" w:lineRule="auto"/>
        <w:ind w:left="1440" w:hanging="1440"/>
        <w:rPr>
          <w:rFonts w:ascii="Arial" w:hAnsi="Arial" w:cs="Arial"/>
          <w:sz w:val="22"/>
          <w:szCs w:val="22"/>
        </w:rPr>
      </w:pPr>
      <w:r w:rsidRPr="005D0970">
        <w:rPr>
          <w:rFonts w:ascii="Arial" w:hAnsi="Arial" w:cs="Arial"/>
          <w:b/>
          <w:bCs/>
          <w:sz w:val="22"/>
          <w:szCs w:val="22"/>
        </w:rPr>
        <w:t xml:space="preserve">Name: </w:t>
      </w:r>
      <w:r>
        <w:rPr>
          <w:rFonts w:ascii="Arial" w:hAnsi="Arial" w:cs="Arial"/>
          <w:sz w:val="22"/>
          <w:szCs w:val="22"/>
        </w:rPr>
        <w:t xml:space="preserve">Kirstii Williams </w:t>
      </w:r>
    </w:p>
    <w:p w14:paraId="76076082" w14:textId="7E850EC8" w:rsidR="005D0970" w:rsidRDefault="005D0970" w:rsidP="005D0970">
      <w:pPr>
        <w:spacing w:line="360" w:lineRule="auto"/>
        <w:ind w:left="1440" w:hanging="1440"/>
        <w:rPr>
          <w:rFonts w:ascii="Arial" w:hAnsi="Arial" w:cs="Arial"/>
          <w:sz w:val="22"/>
          <w:szCs w:val="22"/>
        </w:rPr>
      </w:pPr>
      <w:r w:rsidRPr="005D0970">
        <w:rPr>
          <w:rFonts w:ascii="Arial" w:hAnsi="Arial" w:cs="Arial"/>
          <w:b/>
          <w:bCs/>
          <w:sz w:val="22"/>
          <w:szCs w:val="22"/>
        </w:rPr>
        <w:t>Student number:</w:t>
      </w:r>
      <w:r>
        <w:rPr>
          <w:rFonts w:ascii="Arial" w:hAnsi="Arial" w:cs="Arial"/>
          <w:sz w:val="22"/>
          <w:szCs w:val="22"/>
        </w:rPr>
        <w:t xml:space="preserve"> 2511144</w:t>
      </w:r>
    </w:p>
    <w:p w14:paraId="5CF5106D" w14:textId="60E02780" w:rsidR="005D0970" w:rsidRDefault="005D0970" w:rsidP="005D0970">
      <w:pPr>
        <w:spacing w:line="360" w:lineRule="auto"/>
        <w:ind w:left="1440" w:hanging="1440"/>
        <w:rPr>
          <w:rFonts w:ascii="Arial" w:hAnsi="Arial" w:cs="Arial"/>
          <w:sz w:val="22"/>
          <w:szCs w:val="22"/>
        </w:rPr>
      </w:pPr>
      <w:r w:rsidRPr="005D0970">
        <w:rPr>
          <w:rFonts w:ascii="Arial" w:hAnsi="Arial" w:cs="Arial"/>
          <w:b/>
          <w:bCs/>
          <w:sz w:val="22"/>
          <w:szCs w:val="22"/>
        </w:rPr>
        <w:t>Module:</w:t>
      </w:r>
      <w:r>
        <w:rPr>
          <w:rFonts w:ascii="Arial" w:hAnsi="Arial" w:cs="Arial"/>
          <w:sz w:val="22"/>
          <w:szCs w:val="22"/>
        </w:rPr>
        <w:t xml:space="preserve"> </w:t>
      </w:r>
      <w:r w:rsidR="000813F1">
        <w:rPr>
          <w:rFonts w:ascii="Arial" w:hAnsi="Arial" w:cs="Arial"/>
          <w:sz w:val="22"/>
          <w:szCs w:val="22"/>
        </w:rPr>
        <w:t>Psychology</w:t>
      </w:r>
      <w:r>
        <w:rPr>
          <w:rFonts w:ascii="Arial" w:hAnsi="Arial" w:cs="Arial"/>
          <w:sz w:val="22"/>
          <w:szCs w:val="22"/>
        </w:rPr>
        <w:t xml:space="preserve"> in Health and Social Care</w:t>
      </w:r>
    </w:p>
    <w:p w14:paraId="2E2E21A8" w14:textId="7001FEFA" w:rsidR="005D0970" w:rsidRPr="005D0970" w:rsidRDefault="005D0970" w:rsidP="005D0970">
      <w:pPr>
        <w:spacing w:line="360" w:lineRule="auto"/>
        <w:ind w:left="1440" w:hanging="1440"/>
        <w:rPr>
          <w:rFonts w:ascii="Arial" w:hAnsi="Arial" w:cs="Arial"/>
          <w:sz w:val="22"/>
          <w:szCs w:val="22"/>
        </w:rPr>
      </w:pPr>
      <w:r w:rsidRPr="005D0970">
        <w:rPr>
          <w:rFonts w:ascii="Arial" w:hAnsi="Arial" w:cs="Arial"/>
          <w:b/>
          <w:bCs/>
          <w:sz w:val="22"/>
          <w:szCs w:val="22"/>
        </w:rPr>
        <w:t>Module code:</w:t>
      </w:r>
      <w:r w:rsidRPr="005D0970">
        <w:rPr>
          <w:rFonts w:ascii="Arial" w:hAnsi="Arial" w:cs="Arial"/>
          <w:sz w:val="22"/>
          <w:szCs w:val="22"/>
        </w:rPr>
        <w:t xml:space="preserve"> LCHS4010</w:t>
      </w:r>
    </w:p>
    <w:p w14:paraId="7015FD6B" w14:textId="668617A1" w:rsidR="008D3F43" w:rsidRDefault="005D0970" w:rsidP="00D810BA">
      <w:pPr>
        <w:spacing w:line="360" w:lineRule="auto"/>
        <w:ind w:left="1440" w:hanging="1440"/>
        <w:rPr>
          <w:rFonts w:ascii="Arial" w:hAnsi="Arial" w:cs="Arial"/>
          <w:sz w:val="22"/>
          <w:szCs w:val="22"/>
        </w:rPr>
      </w:pPr>
      <w:r w:rsidRPr="005D0970">
        <w:rPr>
          <w:rFonts w:ascii="Arial" w:hAnsi="Arial" w:cs="Arial"/>
          <w:b/>
          <w:bCs/>
          <w:sz w:val="22"/>
          <w:szCs w:val="22"/>
        </w:rPr>
        <w:t>Lecturer:</w:t>
      </w:r>
      <w:r>
        <w:rPr>
          <w:rFonts w:ascii="Arial" w:hAnsi="Arial" w:cs="Arial"/>
          <w:sz w:val="22"/>
          <w:szCs w:val="22"/>
        </w:rPr>
        <w:t xml:space="preserve"> Lou </w:t>
      </w:r>
      <w:r w:rsidR="00DD2DF7">
        <w:rPr>
          <w:rFonts w:ascii="Arial" w:hAnsi="Arial" w:cs="Arial"/>
          <w:sz w:val="22"/>
          <w:szCs w:val="22"/>
        </w:rPr>
        <w:t>Wells</w:t>
      </w:r>
    </w:p>
    <w:p w14:paraId="341C65D2" w14:textId="77777777" w:rsidR="005C5F7B" w:rsidRDefault="005C5F7B" w:rsidP="00605F1A">
      <w:pPr>
        <w:spacing w:line="360" w:lineRule="auto"/>
        <w:rPr>
          <w:rFonts w:ascii="Arial" w:hAnsi="Arial" w:cs="Arial"/>
          <w:sz w:val="22"/>
          <w:szCs w:val="22"/>
        </w:rPr>
      </w:pPr>
    </w:p>
    <w:p w14:paraId="4C7D8FAF" w14:textId="10F5787F" w:rsidR="00D62512" w:rsidRPr="00605F1A" w:rsidRDefault="00D62512" w:rsidP="00605F1A">
      <w:pPr>
        <w:spacing w:line="360" w:lineRule="auto"/>
        <w:rPr>
          <w:rFonts w:ascii="Arial" w:hAnsi="Arial" w:cs="Arial"/>
          <w:sz w:val="22"/>
          <w:szCs w:val="22"/>
        </w:rPr>
      </w:pPr>
      <w:r w:rsidRPr="00605F1A">
        <w:rPr>
          <w:rFonts w:ascii="Arial" w:hAnsi="Arial" w:cs="Arial"/>
          <w:sz w:val="22"/>
          <w:szCs w:val="22"/>
        </w:rPr>
        <w:t>Social media has become a central part of adolescent life, with platforms such as Instagram, TikTok and Snapchat shaping how young people communicate, socialise and form their identities (Odgers &amp; Jensen, 2020). Research suggests that frequent exposure to online content can influence emotional wellbeing, self-esteem and peer relationships, making adolescent mental health a growing public health concern (Royal Society for Public Health, 2017). To understand how and why social media may affect young people’s psychological development, this essay will draw on Erikson’s Psychosocial Stages of Development, which highlight adolescence as a critical period of identity formation during which social pressures and online comparisons may intensify feelings of confusion or inadequacy (Erikson, 1968). Bowlby’s Attachment Theory further explains how early attachment experiences shape later emotional regulation and vulnerability to social influences (Bowlby, 1988). Using these two frameworks, this essay will explore how social media use may affect adolescent mental health, focusing on identity development, attachment needs and the psychological impact of online interactions.</w:t>
      </w:r>
    </w:p>
    <w:p w14:paraId="31E07DD0" w14:textId="2E923EA5" w:rsidR="008D3F43" w:rsidRDefault="006D2518" w:rsidP="008D3F43">
      <w:pPr>
        <w:spacing w:line="360" w:lineRule="auto"/>
        <w:rPr>
          <w:rFonts w:ascii="Arial" w:hAnsi="Arial" w:cs="Arial"/>
          <w:sz w:val="22"/>
          <w:szCs w:val="22"/>
        </w:rPr>
      </w:pPr>
      <w:r w:rsidRPr="00605F1A">
        <w:rPr>
          <w:rFonts w:ascii="Arial" w:hAnsi="Arial" w:cs="Arial"/>
          <w:sz w:val="22"/>
          <w:szCs w:val="22"/>
        </w:rPr>
        <w:t>Recent research shows that social media can affect adolescents in several ways.</w:t>
      </w:r>
      <w:r w:rsidR="00832BD0" w:rsidRPr="00832BD0">
        <w:t xml:space="preserve"> </w:t>
      </w:r>
      <w:r w:rsidR="00832BD0" w:rsidRPr="00832BD0">
        <w:rPr>
          <w:rFonts w:ascii="Arial" w:hAnsi="Arial" w:cs="Arial"/>
          <w:sz w:val="22"/>
          <w:szCs w:val="22"/>
        </w:rPr>
        <w:t>The World Health Organization defines adolescents as individuals aged 10–19 years (WHO, 2024).</w:t>
      </w:r>
      <w:r w:rsidR="00D47569" w:rsidRPr="00D47569">
        <w:t xml:space="preserve"> </w:t>
      </w:r>
      <w:r w:rsidR="00D47569" w:rsidRPr="00D47569">
        <w:rPr>
          <w:rFonts w:ascii="Arial" w:hAnsi="Arial" w:cs="Arial"/>
          <w:sz w:val="22"/>
          <w:szCs w:val="22"/>
        </w:rPr>
        <w:t>Research by Kuss and Griffiths (2017) found that around 10–12% of adolescents show signs of problematic social media use, including addiction</w:t>
      </w:r>
      <w:r w:rsidR="00D47569" w:rsidRPr="00D47569">
        <w:rPr>
          <w:rFonts w:ascii="Arial" w:hAnsi="Arial" w:cs="Arial"/>
          <w:sz w:val="22"/>
          <w:szCs w:val="22"/>
        </w:rPr>
        <w:noBreakHyphen/>
        <w:t>like symptoms such as difficulty controlling use, withdrawal, and neglecting other activities.</w:t>
      </w:r>
      <w:r w:rsidRPr="00605F1A">
        <w:rPr>
          <w:rFonts w:ascii="Arial" w:hAnsi="Arial" w:cs="Arial"/>
          <w:sz w:val="22"/>
          <w:szCs w:val="22"/>
        </w:rPr>
        <w:t xml:space="preserve"> Problematic use has been linked to lower mental and social wellbeing, higher substance use, and reduced sleep, all of which can negatively affect emotional stability and academic performance (WHO, 2024). A large scoping review also found consistent associations between social media use and depression, anxiety, suicidal ideation, and cyberbullying among young people under 25 </w:t>
      </w:r>
      <w:r w:rsidRPr="00605F1A">
        <w:rPr>
          <w:rFonts w:ascii="Arial" w:hAnsi="Arial" w:cs="Arial"/>
          <w:sz w:val="22"/>
          <w:szCs w:val="22"/>
        </w:rPr>
        <w:lastRenderedPageBreak/>
        <w:t>(Patra et al., 2024). These findings suggest that social media can intensify emotional distress, particularly for adolescents who are already vulnerable.</w:t>
      </w:r>
      <w:r w:rsidR="008D3F43">
        <w:rPr>
          <w:rFonts w:ascii="Arial" w:hAnsi="Arial" w:cs="Arial"/>
          <w:sz w:val="22"/>
          <w:szCs w:val="22"/>
        </w:rPr>
        <w:t xml:space="preserve"> </w:t>
      </w:r>
      <w:r w:rsidR="008D3F43" w:rsidRPr="008D3F43">
        <w:rPr>
          <w:rFonts w:ascii="Arial" w:hAnsi="Arial" w:cs="Arial"/>
          <w:sz w:val="22"/>
          <w:szCs w:val="22"/>
        </w:rPr>
        <w:t>Adolescence is a period of significant neurological and psychological change, and these developmental processes help explain why social media can have a strong impact on mental health. The adolescent brain is still developing, particularly the prefrontal cortex, which is responsible for impulse control, planning and decision</w:t>
      </w:r>
      <w:r w:rsidR="002609D9">
        <w:rPr>
          <w:rFonts w:ascii="Arial" w:hAnsi="Arial" w:cs="Arial"/>
          <w:sz w:val="22"/>
          <w:szCs w:val="22"/>
        </w:rPr>
        <w:t xml:space="preserve"> </w:t>
      </w:r>
      <w:r w:rsidR="008D3F43" w:rsidRPr="008D3F43">
        <w:rPr>
          <w:rFonts w:ascii="Arial" w:hAnsi="Arial" w:cs="Arial"/>
          <w:sz w:val="22"/>
          <w:szCs w:val="22"/>
        </w:rPr>
        <w:t>making. Because this area matures more slowly than the brain’s emotional and reward systems, adolescents may find it harder to regulate their online behaviour, resist peer pressure, or disengage from platforms that provide constant stimulation (Casey, 2015). This imbalance can make young people more vulnerable to addictive patterns of social media use, emotional reactivity, and difficulties managing online conflict or negative feedback (Steinberg, 2014).</w:t>
      </w:r>
      <w:r w:rsidR="008C1083">
        <w:rPr>
          <w:rFonts w:ascii="Arial" w:hAnsi="Arial" w:cs="Arial"/>
          <w:sz w:val="22"/>
          <w:szCs w:val="22"/>
        </w:rPr>
        <w:t xml:space="preserve"> </w:t>
      </w:r>
      <w:r w:rsidR="008C1083" w:rsidRPr="008C1083">
        <w:rPr>
          <w:rFonts w:ascii="Arial" w:hAnsi="Arial" w:cs="Arial"/>
          <w:sz w:val="22"/>
          <w:szCs w:val="22"/>
        </w:rPr>
        <w:t>Together, these findings show that adolescent responses to social media arise from an interaction between ‘nature’ factors, such as neurological development and attachment</w:t>
      </w:r>
      <w:r w:rsidR="002609D9">
        <w:rPr>
          <w:rFonts w:ascii="Arial" w:hAnsi="Arial" w:cs="Arial"/>
          <w:sz w:val="22"/>
          <w:szCs w:val="22"/>
        </w:rPr>
        <w:t xml:space="preserve"> </w:t>
      </w:r>
      <w:r w:rsidR="008C1083" w:rsidRPr="008C1083">
        <w:rPr>
          <w:rFonts w:ascii="Arial" w:hAnsi="Arial" w:cs="Arial"/>
          <w:sz w:val="22"/>
          <w:szCs w:val="22"/>
        </w:rPr>
        <w:t>based emotional regulation, and ‘nurture’ influences like peer comparison, online feedback and wider social environments.</w:t>
      </w:r>
    </w:p>
    <w:p w14:paraId="6507483A" w14:textId="1944D524" w:rsidR="005C25E6" w:rsidRPr="005C25E6" w:rsidRDefault="005C25E6" w:rsidP="005C25E6">
      <w:pPr>
        <w:spacing w:line="360" w:lineRule="auto"/>
        <w:rPr>
          <w:rFonts w:ascii="Arial" w:hAnsi="Arial" w:cs="Arial"/>
          <w:sz w:val="22"/>
          <w:szCs w:val="22"/>
        </w:rPr>
      </w:pPr>
      <w:r w:rsidRPr="005C25E6">
        <w:rPr>
          <w:rFonts w:ascii="Arial" w:hAnsi="Arial" w:cs="Arial"/>
          <w:sz w:val="22"/>
          <w:szCs w:val="22"/>
        </w:rPr>
        <w:t>Some studies show that social media can support belonging and identity exploration, particularly when adolescents use online platforms to connect with peers, express themselves and engage in supportive communities. Research highlights that digital spaces can enhance social connectedness and provide opportunities for creativity, friendship and emotional support, helping young people feel a sense of belonging (Anti</w:t>
      </w:r>
      <w:r w:rsidRPr="005C25E6">
        <w:rPr>
          <w:rFonts w:ascii="Arial" w:hAnsi="Arial" w:cs="Arial"/>
          <w:sz w:val="22"/>
          <w:szCs w:val="22"/>
        </w:rPr>
        <w:noBreakHyphen/>
        <w:t>Bullying Alliance, 2026). This aligns with wider findings that adolescents often use social media to strengthen peer relationships and explore aspects of their identity in ways that may not be available offline (Elvira</w:t>
      </w:r>
      <w:r w:rsidR="00F40951">
        <w:rPr>
          <w:rFonts w:ascii="Arial" w:hAnsi="Arial" w:cs="Arial"/>
          <w:sz w:val="22"/>
          <w:szCs w:val="22"/>
        </w:rPr>
        <w:t xml:space="preserve"> </w:t>
      </w:r>
      <w:r w:rsidRPr="005C25E6">
        <w:rPr>
          <w:rFonts w:ascii="Arial" w:hAnsi="Arial" w:cs="Arial"/>
          <w:sz w:val="22"/>
          <w:szCs w:val="22"/>
        </w:rPr>
        <w:t>Zorzo &amp; Bayona Gómez, 2025).</w:t>
      </w:r>
    </w:p>
    <w:p w14:paraId="636AC26B" w14:textId="4E4F79B4" w:rsidR="005C25E6" w:rsidRPr="005C25E6" w:rsidRDefault="005C25E6" w:rsidP="005C25E6">
      <w:pPr>
        <w:spacing w:line="360" w:lineRule="auto"/>
        <w:rPr>
          <w:rFonts w:ascii="Arial" w:hAnsi="Arial" w:cs="Arial"/>
          <w:sz w:val="22"/>
          <w:szCs w:val="22"/>
        </w:rPr>
      </w:pPr>
      <w:r w:rsidRPr="005C25E6">
        <w:rPr>
          <w:rFonts w:ascii="Arial" w:hAnsi="Arial" w:cs="Arial"/>
          <w:sz w:val="22"/>
          <w:szCs w:val="22"/>
        </w:rPr>
        <w:t xml:space="preserve">Research also indicates that </w:t>
      </w:r>
      <w:r w:rsidRPr="000813F1">
        <w:rPr>
          <w:rFonts w:ascii="Arial" w:hAnsi="Arial" w:cs="Arial"/>
          <w:sz w:val="22"/>
          <w:szCs w:val="22"/>
        </w:rPr>
        <w:t>moderate</w:t>
      </w:r>
      <w:r w:rsidRPr="005C25E6">
        <w:rPr>
          <w:rFonts w:ascii="Arial" w:hAnsi="Arial" w:cs="Arial"/>
          <w:sz w:val="22"/>
          <w:szCs w:val="22"/>
        </w:rPr>
        <w:t xml:space="preserve"> social media use—rather than excessive or problematic use—is associated with better wellbeing. The Internet Matters Year Five Index Report shows that time spent online is closely linked to both social connection and loneliness, suggesting that balanced engagement can support positive emotional and social development (Anti</w:t>
      </w:r>
      <w:r w:rsidRPr="005C25E6">
        <w:rPr>
          <w:rFonts w:ascii="Arial" w:hAnsi="Arial" w:cs="Arial"/>
          <w:sz w:val="22"/>
          <w:szCs w:val="22"/>
        </w:rPr>
        <w:noBreakHyphen/>
        <w:t xml:space="preserve">Bullying Alliance, 2026). This </w:t>
      </w:r>
      <w:r w:rsidR="004E26C7">
        <w:rPr>
          <w:rFonts w:ascii="Arial" w:hAnsi="Arial" w:cs="Arial"/>
          <w:sz w:val="22"/>
          <w:szCs w:val="22"/>
        </w:rPr>
        <w:t>suggests</w:t>
      </w:r>
      <w:r w:rsidRPr="005C25E6">
        <w:rPr>
          <w:rFonts w:ascii="Arial" w:hAnsi="Arial" w:cs="Arial"/>
          <w:sz w:val="22"/>
          <w:szCs w:val="22"/>
        </w:rPr>
        <w:t xml:space="preserve"> that social media is not inherently harmful; </w:t>
      </w:r>
      <w:r w:rsidR="008A1CEF" w:rsidRPr="005C25E6">
        <w:rPr>
          <w:rFonts w:ascii="Arial" w:hAnsi="Arial" w:cs="Arial"/>
          <w:sz w:val="22"/>
          <w:szCs w:val="22"/>
        </w:rPr>
        <w:t>instead,</w:t>
      </w:r>
      <w:r w:rsidR="008A1CEF" w:rsidRPr="008A1CEF">
        <w:rPr>
          <w:rFonts w:ascii="Arial" w:hAnsi="Arial" w:cs="Arial"/>
          <w:sz w:val="22"/>
          <w:szCs w:val="22"/>
        </w:rPr>
        <w:t xml:space="preserve"> its impact depends on frequency, purpose and the adolescent’s developmental needs.</w:t>
      </w:r>
    </w:p>
    <w:p w14:paraId="11B16B8D" w14:textId="77777777" w:rsidR="005C25E6" w:rsidRPr="005C25E6" w:rsidRDefault="005C25E6" w:rsidP="005C25E6">
      <w:pPr>
        <w:spacing w:line="360" w:lineRule="auto"/>
        <w:rPr>
          <w:rFonts w:ascii="Arial" w:hAnsi="Arial" w:cs="Arial"/>
          <w:sz w:val="22"/>
          <w:szCs w:val="22"/>
        </w:rPr>
      </w:pPr>
      <w:r w:rsidRPr="005C25E6">
        <w:rPr>
          <w:rFonts w:ascii="Arial" w:hAnsi="Arial" w:cs="Arial"/>
          <w:sz w:val="22"/>
          <w:szCs w:val="22"/>
        </w:rPr>
        <w:t xml:space="preserve">Cyberbullying remains a significant concern, affecting around </w:t>
      </w:r>
      <w:r w:rsidRPr="000813F1">
        <w:rPr>
          <w:rFonts w:ascii="Arial" w:hAnsi="Arial" w:cs="Arial"/>
          <w:sz w:val="22"/>
          <w:szCs w:val="22"/>
        </w:rPr>
        <w:t>1 in 5 adolescents in the UK,</w:t>
      </w:r>
      <w:r w:rsidRPr="005C25E6">
        <w:rPr>
          <w:rFonts w:ascii="Arial" w:hAnsi="Arial" w:cs="Arial"/>
          <w:sz w:val="22"/>
          <w:szCs w:val="22"/>
        </w:rPr>
        <w:t xml:space="preserve"> according to recent national reports on children’s digital lives (Anti</w:t>
      </w:r>
      <w:r w:rsidRPr="005C25E6">
        <w:rPr>
          <w:rFonts w:ascii="Arial" w:hAnsi="Arial" w:cs="Arial"/>
          <w:sz w:val="22"/>
          <w:szCs w:val="22"/>
        </w:rPr>
        <w:noBreakHyphen/>
        <w:t>Bullying Alliance, 2026). Cyberbullying can include abusive messages, harassment and intimidation, and is strongly associated with increased depression, anxiety, and emotional distress (Ray et al., 2024). These findings demonstrate that while social media can support belonging and identity exploration, it also exposes adolescents to risks that can negatively affect mental health.</w:t>
      </w:r>
    </w:p>
    <w:p w14:paraId="7B3FF5EE" w14:textId="11C26966" w:rsidR="006D2518" w:rsidRPr="00605F1A" w:rsidRDefault="006D2518" w:rsidP="00605F1A">
      <w:pPr>
        <w:spacing w:line="360" w:lineRule="auto"/>
        <w:rPr>
          <w:rFonts w:ascii="Arial" w:hAnsi="Arial" w:cs="Arial"/>
          <w:sz w:val="22"/>
          <w:szCs w:val="22"/>
        </w:rPr>
      </w:pPr>
      <w:r w:rsidRPr="00605F1A">
        <w:rPr>
          <w:rFonts w:ascii="Arial" w:hAnsi="Arial" w:cs="Arial"/>
          <w:sz w:val="22"/>
          <w:szCs w:val="22"/>
        </w:rPr>
        <w:lastRenderedPageBreak/>
        <w:t>Bowlby’s Attachment Theory proposes that early attachment experiences shape later emotional regulation, coping strategies, and vulnerability to social influences (Bowlby, 1988). Adolescents with secure attachment are more likely to use social media in health</w:t>
      </w:r>
      <w:r w:rsidR="00654BB6">
        <w:rPr>
          <w:rFonts w:ascii="Arial" w:hAnsi="Arial" w:cs="Arial"/>
          <w:sz w:val="22"/>
          <w:szCs w:val="22"/>
        </w:rPr>
        <w:t xml:space="preserve">ier ways, </w:t>
      </w:r>
      <w:r w:rsidRPr="00605F1A">
        <w:rPr>
          <w:rFonts w:ascii="Arial" w:hAnsi="Arial" w:cs="Arial"/>
          <w:sz w:val="22"/>
          <w:szCs w:val="22"/>
        </w:rPr>
        <w:t>seeking connection, support, and positive interactions. However, those with insecure attachment may be more susceptible to problematic use. For example, adolescents who struggle with emotional regulation or fear rejection may rely heavily on social media for reassurance, validation, or constant contact with peers (Allen, 2016). This aligns with WHO findings that over one</w:t>
      </w:r>
      <w:r w:rsidRPr="00605F1A">
        <w:rPr>
          <w:rFonts w:ascii="Arial" w:hAnsi="Arial" w:cs="Arial"/>
          <w:sz w:val="22"/>
          <w:szCs w:val="22"/>
        </w:rPr>
        <w:noBreakHyphen/>
        <w:t>third of adolescents maintain constant online contact, with the highest rates among 15</w:t>
      </w:r>
      <w:r w:rsidRPr="00605F1A">
        <w:rPr>
          <w:rFonts w:ascii="Arial" w:hAnsi="Arial" w:cs="Arial"/>
          <w:sz w:val="22"/>
          <w:szCs w:val="22"/>
        </w:rPr>
        <w:noBreakHyphen/>
        <w:t>year</w:t>
      </w:r>
      <w:r w:rsidRPr="00605F1A">
        <w:rPr>
          <w:rFonts w:ascii="Arial" w:hAnsi="Arial" w:cs="Arial"/>
          <w:sz w:val="22"/>
          <w:szCs w:val="22"/>
        </w:rPr>
        <w:noBreakHyphen/>
        <w:t>old girls (World Health Organization, 2024).</w:t>
      </w:r>
    </w:p>
    <w:p w14:paraId="5FCA9AF4" w14:textId="2373E6DD" w:rsidR="006D2518" w:rsidRPr="00605F1A" w:rsidRDefault="006D2518" w:rsidP="00605F1A">
      <w:pPr>
        <w:spacing w:line="360" w:lineRule="auto"/>
        <w:rPr>
          <w:rFonts w:ascii="Arial" w:hAnsi="Arial" w:cs="Arial"/>
          <w:sz w:val="22"/>
          <w:szCs w:val="22"/>
        </w:rPr>
      </w:pPr>
      <w:r w:rsidRPr="00605F1A">
        <w:rPr>
          <w:rFonts w:ascii="Arial" w:hAnsi="Arial" w:cs="Arial"/>
          <w:sz w:val="22"/>
          <w:szCs w:val="22"/>
        </w:rPr>
        <w:t>From an attachment perspective, this constant connectivity may reflect unmet attachment needs offline. Adolescents with anxious attachment may experience heightened distress when online interactions do not provide the validation they seek, potentially increasing symptoms of anxiety or depression (Morey et al., 2023). Conversely, securely attached adolescents may be better able to navigate negative online experiences, reducing the risk of poor mental health outcomes (</w:t>
      </w:r>
      <w:proofErr w:type="spellStart"/>
      <w:r w:rsidRPr="00605F1A">
        <w:rPr>
          <w:rFonts w:ascii="Arial" w:hAnsi="Arial" w:cs="Arial"/>
          <w:sz w:val="22"/>
          <w:szCs w:val="22"/>
        </w:rPr>
        <w:t>Gorrese</w:t>
      </w:r>
      <w:proofErr w:type="spellEnd"/>
      <w:r w:rsidRPr="00605F1A">
        <w:rPr>
          <w:rFonts w:ascii="Arial" w:hAnsi="Arial" w:cs="Arial"/>
          <w:sz w:val="22"/>
          <w:szCs w:val="22"/>
        </w:rPr>
        <w:t xml:space="preserve"> &amp; Ruggieri, 2013).</w:t>
      </w:r>
      <w:r w:rsidR="00772055">
        <w:rPr>
          <w:rFonts w:ascii="Arial" w:hAnsi="Arial" w:cs="Arial"/>
          <w:sz w:val="22"/>
          <w:szCs w:val="22"/>
        </w:rPr>
        <w:t xml:space="preserve"> </w:t>
      </w:r>
      <w:r w:rsidR="00772055" w:rsidRPr="00772055">
        <w:rPr>
          <w:rFonts w:ascii="Arial" w:hAnsi="Arial" w:cs="Arial"/>
          <w:sz w:val="22"/>
          <w:szCs w:val="22"/>
        </w:rPr>
        <w:t>While Bowlby focuses on how early attachment relationships shape emotional regulation and vulnerability to social influences, Erikson emphasises the adolescent task of forming a stable identity, meaning each theory explains different aspects of how social media affects mental health.</w:t>
      </w:r>
    </w:p>
    <w:p w14:paraId="7EE98A2F" w14:textId="61AB4415" w:rsidR="006D2518" w:rsidRPr="00605F1A" w:rsidRDefault="006D2518" w:rsidP="00605F1A">
      <w:pPr>
        <w:spacing w:line="360" w:lineRule="auto"/>
        <w:rPr>
          <w:rFonts w:ascii="Arial" w:hAnsi="Arial" w:cs="Arial"/>
          <w:sz w:val="22"/>
          <w:szCs w:val="22"/>
        </w:rPr>
      </w:pPr>
      <w:r w:rsidRPr="00605F1A">
        <w:rPr>
          <w:rFonts w:ascii="Arial" w:hAnsi="Arial" w:cs="Arial"/>
          <w:sz w:val="22"/>
          <w:szCs w:val="22"/>
        </w:rPr>
        <w:t>Erikson identifies adolescence as the stage of Identity vs Role Confusion, where young people work to establish a coherent sense of self (Erikson, 1968). Social media environments</w:t>
      </w:r>
      <w:r w:rsidR="008D258D">
        <w:rPr>
          <w:rFonts w:ascii="Arial" w:hAnsi="Arial" w:cs="Arial"/>
          <w:sz w:val="22"/>
          <w:szCs w:val="22"/>
        </w:rPr>
        <w:t xml:space="preserve"> that are </w:t>
      </w:r>
      <w:r w:rsidRPr="00605F1A">
        <w:rPr>
          <w:rFonts w:ascii="Arial" w:hAnsi="Arial" w:cs="Arial"/>
          <w:sz w:val="22"/>
          <w:szCs w:val="22"/>
        </w:rPr>
        <w:t>characterised</w:t>
      </w:r>
      <w:r w:rsidR="00857C9D">
        <w:rPr>
          <w:rFonts w:ascii="Arial" w:hAnsi="Arial" w:cs="Arial"/>
          <w:sz w:val="22"/>
          <w:szCs w:val="22"/>
        </w:rPr>
        <w:t xml:space="preserve"> with</w:t>
      </w:r>
      <w:r w:rsidRPr="00605F1A">
        <w:rPr>
          <w:rFonts w:ascii="Arial" w:hAnsi="Arial" w:cs="Arial"/>
          <w:sz w:val="22"/>
          <w:szCs w:val="22"/>
        </w:rPr>
        <w:t xml:space="preserve"> </w:t>
      </w:r>
      <w:r w:rsidR="00857C9D" w:rsidRPr="00857C9D">
        <w:rPr>
          <w:rFonts w:ascii="Arial" w:hAnsi="Arial" w:cs="Arial"/>
          <w:sz w:val="22"/>
          <w:szCs w:val="22"/>
        </w:rPr>
        <w:t>filtered images, edited content and negative feedback</w:t>
      </w:r>
      <w:r w:rsidR="008D258D">
        <w:rPr>
          <w:rFonts w:ascii="Arial" w:hAnsi="Arial" w:cs="Arial"/>
          <w:sz w:val="22"/>
          <w:szCs w:val="22"/>
        </w:rPr>
        <w:t xml:space="preserve">, </w:t>
      </w:r>
      <w:r w:rsidRPr="00605F1A">
        <w:rPr>
          <w:rFonts w:ascii="Arial" w:hAnsi="Arial" w:cs="Arial"/>
          <w:sz w:val="22"/>
          <w:szCs w:val="22"/>
        </w:rPr>
        <w:t>can intensify this developmental challenge. Research shows that problematic social media users report lower wellbeing, higher emotional distress, and greater difficulty controlling their use (World Health Organization, 2024).</w:t>
      </w:r>
    </w:p>
    <w:p w14:paraId="60671EF7" w14:textId="77777777" w:rsidR="006D2518" w:rsidRPr="00605F1A" w:rsidRDefault="006D2518" w:rsidP="00605F1A">
      <w:pPr>
        <w:spacing w:line="360" w:lineRule="auto"/>
        <w:rPr>
          <w:rFonts w:ascii="Arial" w:hAnsi="Arial" w:cs="Arial"/>
          <w:sz w:val="22"/>
          <w:szCs w:val="22"/>
        </w:rPr>
      </w:pPr>
      <w:r w:rsidRPr="00605F1A">
        <w:rPr>
          <w:rFonts w:ascii="Arial" w:hAnsi="Arial" w:cs="Arial"/>
          <w:sz w:val="22"/>
          <w:szCs w:val="22"/>
        </w:rPr>
        <w:t>From Erikson’s perspective, social media may disrupt identity formation by exposing adolescents to unrealistic standards and constant comparison. This can contribute to role confusion, low self-esteem, and uncertainty about personal identity. The scoping review found strong associations between social media use and depression and anxiety, which may reflect the psychological strain of navigating identity development in highly evaluative online spaces (Patra et al., 2024).</w:t>
      </w:r>
    </w:p>
    <w:p w14:paraId="6F1BC72A" w14:textId="77777777" w:rsidR="006D2518" w:rsidRDefault="006D2518" w:rsidP="00605F1A">
      <w:pPr>
        <w:spacing w:line="360" w:lineRule="auto"/>
        <w:rPr>
          <w:rFonts w:ascii="Arial" w:hAnsi="Arial" w:cs="Arial"/>
          <w:sz w:val="22"/>
          <w:szCs w:val="22"/>
        </w:rPr>
      </w:pPr>
      <w:r w:rsidRPr="00605F1A">
        <w:rPr>
          <w:rFonts w:ascii="Arial" w:hAnsi="Arial" w:cs="Arial"/>
          <w:sz w:val="22"/>
          <w:szCs w:val="22"/>
        </w:rPr>
        <w:t>However, Erikson’s theory also allows for positive outcomes. Adolescents who use social media purposefully—for creativity, self-expression, or community engagement—may strengthen their identity development. The review notes that shorter, purposeful engagement is associated with better mood and wellbeing (Patra et al., 2024), suggesting that social media can support healthy psychosocial development when used in balanced ways.</w:t>
      </w:r>
    </w:p>
    <w:p w14:paraId="4C769997" w14:textId="07F36A74" w:rsidR="008D3F43" w:rsidRDefault="008D3F43" w:rsidP="00605F1A">
      <w:pPr>
        <w:spacing w:line="360" w:lineRule="auto"/>
        <w:rPr>
          <w:rFonts w:ascii="Arial" w:hAnsi="Arial" w:cs="Arial"/>
          <w:sz w:val="22"/>
          <w:szCs w:val="22"/>
        </w:rPr>
      </w:pPr>
      <w:r w:rsidRPr="008D3F43">
        <w:rPr>
          <w:rFonts w:ascii="Arial" w:hAnsi="Arial" w:cs="Arial"/>
          <w:sz w:val="22"/>
          <w:szCs w:val="22"/>
        </w:rPr>
        <w:lastRenderedPageBreak/>
        <w:t>Although Erikson’s and Bowlby’s theories provide useful frameworks for understanding adolescent responses to social media, both have limitations that should be acknowledged. Erikson’s Psychosocial Theory has been criticised for being culturally narrow and overly general, as it assumes that all adolescents progress through identity formation in the same way, which may not reflect diverse social, cultural or digital experiences in modern adolescence. Similarly, Bowlby’s Attachment Theory has been challenged for focusing heavily on early childhood relationships and underestimating the influence of later peer interactions, social environments and online contexts that shape adolescent behaviour. Both theories were developed long before social media existed, meaning their concepts require careful adaptation when applied to digital communication patterns. Despite these limitations, the theories remain valuable for highlighting how identity development and attachment needs can interact with social media use, but they should be used alongside contemporary research to fully understand adolescent mental health in the digital age.</w:t>
      </w:r>
    </w:p>
    <w:p w14:paraId="2F8567CE" w14:textId="5F3A7EFD" w:rsidR="00D230D0" w:rsidRPr="00605F1A" w:rsidRDefault="00D230D0" w:rsidP="00605F1A">
      <w:pPr>
        <w:spacing w:line="360" w:lineRule="auto"/>
        <w:rPr>
          <w:rFonts w:ascii="Arial" w:hAnsi="Arial" w:cs="Arial"/>
          <w:sz w:val="22"/>
          <w:szCs w:val="22"/>
        </w:rPr>
      </w:pPr>
      <w:r w:rsidRPr="00D230D0">
        <w:rPr>
          <w:rFonts w:ascii="Arial" w:hAnsi="Arial" w:cs="Arial"/>
          <w:sz w:val="22"/>
          <w:szCs w:val="22"/>
        </w:rPr>
        <w:t>In practice, these theories suggest that health and social care practitioners should support adolescents through secure relationships offline, balanced digital habits, and guidance on managing online comparison and peer pressure. Attachment</w:t>
      </w:r>
      <w:r w:rsidRPr="00D230D0">
        <w:rPr>
          <w:rFonts w:ascii="Arial" w:hAnsi="Arial" w:cs="Arial"/>
          <w:sz w:val="22"/>
          <w:szCs w:val="22"/>
        </w:rPr>
        <w:noBreakHyphen/>
        <w:t>informed approaches can strengthen emotional regulation, while Erikson’s framework highlights the value of encouraging positive identity exploration. Together, these strategies help practitioners identify vulnerable adolescents and provide targeted support that promotes healthier social media use.</w:t>
      </w:r>
    </w:p>
    <w:p w14:paraId="5A9FBACC" w14:textId="77777777" w:rsidR="008E6B82" w:rsidRDefault="00605F1A" w:rsidP="00D62512">
      <w:pPr>
        <w:spacing w:line="360" w:lineRule="auto"/>
        <w:rPr>
          <w:rFonts w:ascii="Arial" w:hAnsi="Arial" w:cs="Arial"/>
          <w:sz w:val="22"/>
          <w:szCs w:val="22"/>
        </w:rPr>
      </w:pPr>
      <w:r w:rsidRPr="00605F1A">
        <w:rPr>
          <w:rFonts w:ascii="Arial" w:hAnsi="Arial" w:cs="Arial"/>
          <w:sz w:val="22"/>
          <w:szCs w:val="22"/>
        </w:rPr>
        <w:t xml:space="preserve">Drawing on the evidence discussed, social media can have a significant impact on adolescent mental health by shaping emotional wellbeing, identity development and patterns of social interaction. Bowlby’s Attachment Theory helps explain why adolescents with insecure attachment may be more vulnerable to problematic social media use, relying on online reassurance and constant connectivity in ways that heighten anxiety and emotional distress. In contrast, securely attached adolescents may navigate online environments more confidently, reducing the likelihood of negative outcomes. Erikson’s Psychosocial Theory further illustrates how social media interacts with the developmental task of identity formation. Exposure to peer comparison, </w:t>
      </w:r>
      <w:r w:rsidR="00BD38FF">
        <w:rPr>
          <w:rFonts w:ascii="Arial" w:hAnsi="Arial" w:cs="Arial"/>
          <w:sz w:val="22"/>
          <w:szCs w:val="22"/>
        </w:rPr>
        <w:t>filtered</w:t>
      </w:r>
      <w:r w:rsidR="00522846">
        <w:rPr>
          <w:rFonts w:ascii="Arial" w:hAnsi="Arial" w:cs="Arial"/>
          <w:sz w:val="22"/>
          <w:szCs w:val="22"/>
        </w:rPr>
        <w:t xml:space="preserve"> and edited</w:t>
      </w:r>
      <w:r w:rsidRPr="00605F1A">
        <w:rPr>
          <w:rFonts w:ascii="Arial" w:hAnsi="Arial" w:cs="Arial"/>
          <w:sz w:val="22"/>
          <w:szCs w:val="22"/>
        </w:rPr>
        <w:t xml:space="preserve"> images and </w:t>
      </w:r>
      <w:r w:rsidR="00BD38FF">
        <w:rPr>
          <w:rFonts w:ascii="Arial" w:hAnsi="Arial" w:cs="Arial"/>
          <w:sz w:val="22"/>
          <w:szCs w:val="22"/>
        </w:rPr>
        <w:t>negativity</w:t>
      </w:r>
      <w:r w:rsidRPr="00605F1A">
        <w:rPr>
          <w:rFonts w:ascii="Arial" w:hAnsi="Arial" w:cs="Arial"/>
          <w:sz w:val="22"/>
          <w:szCs w:val="22"/>
        </w:rPr>
        <w:t xml:space="preserve"> can intensify role confusion and lower self-esteem, contributing to symptoms of depression and anxiety. However, when used purposefully, social media can also support identity exploration and self-expression. Together, these theories show that the impact of social media on adolescent mental health is shaped by both early attachment experiences and the developmental challenges of adolescence, highlighting the need for balanced, supportive and developmentally informed approaches to digital engagement.</w:t>
      </w:r>
    </w:p>
    <w:p w14:paraId="229E3F92" w14:textId="4832A98F" w:rsidR="00D62512" w:rsidRDefault="00D62512" w:rsidP="00D62512">
      <w:pPr>
        <w:spacing w:line="360" w:lineRule="auto"/>
        <w:rPr>
          <w:rFonts w:ascii="Arial" w:hAnsi="Arial" w:cs="Arial"/>
          <w:sz w:val="22"/>
          <w:szCs w:val="22"/>
        </w:rPr>
      </w:pPr>
      <w:r>
        <w:rPr>
          <w:rFonts w:ascii="Arial" w:hAnsi="Arial" w:cs="Arial"/>
          <w:sz w:val="22"/>
          <w:szCs w:val="22"/>
        </w:rPr>
        <w:lastRenderedPageBreak/>
        <w:t>References</w:t>
      </w:r>
    </w:p>
    <w:p w14:paraId="279F8003" w14:textId="77777777" w:rsidR="006D2518" w:rsidRDefault="006D2518" w:rsidP="006D2518">
      <w:pPr>
        <w:spacing w:line="360" w:lineRule="auto"/>
        <w:rPr>
          <w:rFonts w:ascii="Arial" w:hAnsi="Arial" w:cs="Arial"/>
          <w:sz w:val="22"/>
          <w:szCs w:val="22"/>
        </w:rPr>
      </w:pPr>
      <w:r w:rsidRPr="005C25E6">
        <w:rPr>
          <w:rFonts w:ascii="Arial" w:hAnsi="Arial" w:cs="Arial"/>
          <w:sz w:val="22"/>
          <w:szCs w:val="22"/>
        </w:rPr>
        <w:t xml:space="preserve">Allen, J.P. (2016) </w:t>
      </w:r>
      <w:r w:rsidRPr="005C25E6">
        <w:rPr>
          <w:rFonts w:ascii="Arial" w:hAnsi="Arial" w:cs="Arial"/>
          <w:i/>
          <w:iCs/>
          <w:sz w:val="22"/>
          <w:szCs w:val="22"/>
        </w:rPr>
        <w:t>Attachment in adolescence: A move to the level of emotion regulation</w:t>
      </w:r>
      <w:r w:rsidRPr="005C25E6">
        <w:rPr>
          <w:rFonts w:ascii="Arial" w:hAnsi="Arial" w:cs="Arial"/>
          <w:sz w:val="22"/>
          <w:szCs w:val="22"/>
        </w:rPr>
        <w:t>. New York: Guilford Press.</w:t>
      </w:r>
    </w:p>
    <w:p w14:paraId="762266EF" w14:textId="77777777" w:rsidR="005C25E6" w:rsidRPr="005C25E6" w:rsidRDefault="005C25E6" w:rsidP="005C25E6">
      <w:pPr>
        <w:spacing w:line="360" w:lineRule="auto"/>
        <w:rPr>
          <w:rFonts w:ascii="Arial" w:hAnsi="Arial" w:cs="Arial"/>
          <w:sz w:val="22"/>
          <w:szCs w:val="22"/>
        </w:rPr>
      </w:pPr>
      <w:r w:rsidRPr="005C25E6">
        <w:rPr>
          <w:rFonts w:ascii="Arial" w:hAnsi="Arial" w:cs="Arial"/>
          <w:sz w:val="22"/>
          <w:szCs w:val="22"/>
        </w:rPr>
        <w:t>Anti</w:t>
      </w:r>
      <w:r w:rsidRPr="005C25E6">
        <w:rPr>
          <w:rFonts w:ascii="Arial" w:hAnsi="Arial" w:cs="Arial"/>
          <w:sz w:val="22"/>
          <w:szCs w:val="22"/>
        </w:rPr>
        <w:noBreakHyphen/>
        <w:t xml:space="preserve">Bullying Alliance (2026) </w:t>
      </w:r>
      <w:r w:rsidRPr="005C25E6">
        <w:rPr>
          <w:rFonts w:ascii="Arial" w:hAnsi="Arial" w:cs="Arial"/>
          <w:i/>
          <w:iCs/>
          <w:sz w:val="22"/>
          <w:szCs w:val="22"/>
        </w:rPr>
        <w:t>Children’s digital lives in 2026: What new Internet Matters research tells us about bullying, belonging and wellbeing</w:t>
      </w:r>
      <w:r w:rsidRPr="005C25E6">
        <w:rPr>
          <w:rFonts w:ascii="Arial" w:hAnsi="Arial" w:cs="Arial"/>
          <w:sz w:val="22"/>
          <w:szCs w:val="22"/>
        </w:rPr>
        <w:t>. Anti</w:t>
      </w:r>
      <w:r w:rsidRPr="005C25E6">
        <w:rPr>
          <w:rFonts w:ascii="Arial" w:hAnsi="Arial" w:cs="Arial"/>
          <w:sz w:val="22"/>
          <w:szCs w:val="22"/>
        </w:rPr>
        <w:noBreakHyphen/>
        <w:t>Bullying Alliance.</w:t>
      </w:r>
    </w:p>
    <w:p w14:paraId="7446DA4A" w14:textId="3E834CB6" w:rsidR="00D62512" w:rsidRPr="005C25E6" w:rsidRDefault="00D62512" w:rsidP="00D62512">
      <w:pPr>
        <w:spacing w:line="360" w:lineRule="auto"/>
        <w:rPr>
          <w:rFonts w:ascii="Arial" w:hAnsi="Arial" w:cs="Arial"/>
          <w:sz w:val="22"/>
          <w:szCs w:val="22"/>
        </w:rPr>
      </w:pPr>
      <w:r w:rsidRPr="005C25E6">
        <w:rPr>
          <w:rFonts w:ascii="Arial" w:hAnsi="Arial" w:cs="Arial"/>
          <w:sz w:val="22"/>
          <w:szCs w:val="22"/>
        </w:rPr>
        <w:t xml:space="preserve">Bowlby, J. (1988) </w:t>
      </w:r>
      <w:r w:rsidRPr="005C25E6">
        <w:rPr>
          <w:rFonts w:ascii="Arial" w:hAnsi="Arial" w:cs="Arial"/>
          <w:i/>
          <w:iCs/>
          <w:sz w:val="22"/>
          <w:szCs w:val="22"/>
        </w:rPr>
        <w:t>A secure base: Parent-child attachment and healthy human development</w:t>
      </w:r>
      <w:r w:rsidRPr="005C25E6">
        <w:rPr>
          <w:rFonts w:ascii="Arial" w:hAnsi="Arial" w:cs="Arial"/>
          <w:sz w:val="22"/>
          <w:szCs w:val="22"/>
        </w:rPr>
        <w:t>. London: Routledge.</w:t>
      </w:r>
    </w:p>
    <w:p w14:paraId="02827C4C" w14:textId="589A22C9" w:rsidR="005C25E6" w:rsidRDefault="005C25E6" w:rsidP="00D62512">
      <w:pPr>
        <w:spacing w:line="360" w:lineRule="auto"/>
        <w:rPr>
          <w:rFonts w:ascii="Arial" w:hAnsi="Arial" w:cs="Arial"/>
          <w:sz w:val="22"/>
          <w:szCs w:val="22"/>
        </w:rPr>
      </w:pPr>
      <w:r w:rsidRPr="005C25E6">
        <w:rPr>
          <w:rFonts w:ascii="Arial" w:hAnsi="Arial" w:cs="Arial"/>
          <w:sz w:val="22"/>
          <w:szCs w:val="22"/>
        </w:rPr>
        <w:t xml:space="preserve">Casey, B.J. (2015) ‘Beyond simple models of self-control to circuit-based accounts of adolescent </w:t>
      </w:r>
      <w:proofErr w:type="spellStart"/>
      <w:r w:rsidRPr="005C25E6">
        <w:rPr>
          <w:rFonts w:ascii="Arial" w:hAnsi="Arial" w:cs="Arial"/>
          <w:sz w:val="22"/>
          <w:szCs w:val="22"/>
        </w:rPr>
        <w:t>behavior</w:t>
      </w:r>
      <w:proofErr w:type="spellEnd"/>
      <w:r w:rsidRPr="005C25E6">
        <w:rPr>
          <w:rFonts w:ascii="Arial" w:hAnsi="Arial" w:cs="Arial"/>
          <w:sz w:val="22"/>
          <w:szCs w:val="22"/>
        </w:rPr>
        <w:t xml:space="preserve">’, </w:t>
      </w:r>
      <w:r w:rsidRPr="005C25E6">
        <w:rPr>
          <w:rFonts w:ascii="Arial" w:hAnsi="Arial" w:cs="Arial"/>
          <w:i/>
          <w:iCs/>
          <w:sz w:val="22"/>
          <w:szCs w:val="22"/>
        </w:rPr>
        <w:t>Annual Review of Psychology</w:t>
      </w:r>
      <w:r w:rsidRPr="005C25E6">
        <w:rPr>
          <w:rFonts w:ascii="Arial" w:hAnsi="Arial" w:cs="Arial"/>
          <w:sz w:val="22"/>
          <w:szCs w:val="22"/>
        </w:rPr>
        <w:t>, 66, pp. 295–319.</w:t>
      </w:r>
    </w:p>
    <w:p w14:paraId="1DC8FA54" w14:textId="77777777" w:rsidR="005C25E6" w:rsidRPr="005C25E6" w:rsidRDefault="005C25E6" w:rsidP="005C25E6">
      <w:pPr>
        <w:spacing w:line="360" w:lineRule="auto"/>
        <w:rPr>
          <w:rFonts w:ascii="Arial" w:hAnsi="Arial" w:cs="Arial"/>
          <w:sz w:val="22"/>
          <w:szCs w:val="22"/>
        </w:rPr>
      </w:pPr>
      <w:r w:rsidRPr="005C25E6">
        <w:rPr>
          <w:rFonts w:ascii="Arial" w:hAnsi="Arial" w:cs="Arial"/>
          <w:sz w:val="22"/>
          <w:szCs w:val="22"/>
        </w:rPr>
        <w:t>Elvira</w:t>
      </w:r>
      <w:r w:rsidRPr="005C25E6">
        <w:rPr>
          <w:rFonts w:ascii="Arial" w:hAnsi="Arial" w:cs="Arial"/>
          <w:sz w:val="22"/>
          <w:szCs w:val="22"/>
        </w:rPr>
        <w:noBreakHyphen/>
        <w:t xml:space="preserve">Zorzo, M.N. and Bayona Gómez, P. (2025) ‘Identity construction and digital vulnerability in adolescents: Psychosocial implications’, </w:t>
      </w:r>
      <w:r w:rsidRPr="005C25E6">
        <w:rPr>
          <w:rFonts w:ascii="Arial" w:hAnsi="Arial" w:cs="Arial"/>
          <w:i/>
          <w:iCs/>
          <w:sz w:val="22"/>
          <w:szCs w:val="22"/>
        </w:rPr>
        <w:t>Youth</w:t>
      </w:r>
      <w:r w:rsidRPr="005C25E6">
        <w:rPr>
          <w:rFonts w:ascii="Arial" w:hAnsi="Arial" w:cs="Arial"/>
          <w:sz w:val="22"/>
          <w:szCs w:val="22"/>
        </w:rPr>
        <w:t>, 5(4), p.119.</w:t>
      </w:r>
    </w:p>
    <w:p w14:paraId="5D3140D7" w14:textId="77777777" w:rsidR="00D62512" w:rsidRPr="005C25E6" w:rsidRDefault="00D62512" w:rsidP="00D62512">
      <w:pPr>
        <w:spacing w:line="360" w:lineRule="auto"/>
        <w:rPr>
          <w:rFonts w:ascii="Arial" w:hAnsi="Arial" w:cs="Arial"/>
          <w:sz w:val="22"/>
          <w:szCs w:val="22"/>
        </w:rPr>
      </w:pPr>
      <w:r w:rsidRPr="005C25E6">
        <w:rPr>
          <w:rFonts w:ascii="Arial" w:hAnsi="Arial" w:cs="Arial"/>
          <w:sz w:val="22"/>
          <w:szCs w:val="22"/>
        </w:rPr>
        <w:t xml:space="preserve">Erikson, E.H. (1968) </w:t>
      </w:r>
      <w:r w:rsidRPr="005C25E6">
        <w:rPr>
          <w:rFonts w:ascii="Arial" w:hAnsi="Arial" w:cs="Arial"/>
          <w:i/>
          <w:iCs/>
          <w:sz w:val="22"/>
          <w:szCs w:val="22"/>
        </w:rPr>
        <w:t>Identity: Youth and crisis</w:t>
      </w:r>
      <w:r w:rsidRPr="005C25E6">
        <w:rPr>
          <w:rFonts w:ascii="Arial" w:hAnsi="Arial" w:cs="Arial"/>
          <w:sz w:val="22"/>
          <w:szCs w:val="22"/>
        </w:rPr>
        <w:t>. New York: Norton.</w:t>
      </w:r>
    </w:p>
    <w:p w14:paraId="6C2BB6B3" w14:textId="77777777" w:rsidR="006D2518" w:rsidRDefault="006D2518" w:rsidP="006D2518">
      <w:pPr>
        <w:spacing w:line="360" w:lineRule="auto"/>
        <w:rPr>
          <w:rFonts w:ascii="Arial" w:hAnsi="Arial" w:cs="Arial"/>
          <w:sz w:val="22"/>
          <w:szCs w:val="22"/>
        </w:rPr>
      </w:pPr>
      <w:proofErr w:type="spellStart"/>
      <w:r w:rsidRPr="005C25E6">
        <w:rPr>
          <w:rFonts w:ascii="Arial" w:hAnsi="Arial" w:cs="Arial"/>
          <w:sz w:val="22"/>
          <w:szCs w:val="22"/>
        </w:rPr>
        <w:t>Gorrese</w:t>
      </w:r>
      <w:proofErr w:type="spellEnd"/>
      <w:r w:rsidRPr="005C25E6">
        <w:rPr>
          <w:rFonts w:ascii="Arial" w:hAnsi="Arial" w:cs="Arial"/>
          <w:sz w:val="22"/>
          <w:szCs w:val="22"/>
        </w:rPr>
        <w:t xml:space="preserve">, A. and Ruggieri, R. (2013) ‘Peer attachment and self-esteem: A meta-analytic review’, </w:t>
      </w:r>
      <w:r w:rsidRPr="005C25E6">
        <w:rPr>
          <w:rFonts w:ascii="Arial" w:hAnsi="Arial" w:cs="Arial"/>
          <w:i/>
          <w:iCs/>
          <w:sz w:val="22"/>
          <w:szCs w:val="22"/>
        </w:rPr>
        <w:t>Personality and Individual Differences</w:t>
      </w:r>
      <w:r w:rsidRPr="005C25E6">
        <w:rPr>
          <w:rFonts w:ascii="Arial" w:hAnsi="Arial" w:cs="Arial"/>
          <w:sz w:val="22"/>
          <w:szCs w:val="22"/>
        </w:rPr>
        <w:t>, 55(5), pp. 559–568.</w:t>
      </w:r>
    </w:p>
    <w:p w14:paraId="23634B25" w14:textId="24E0450D" w:rsidR="00130F0C" w:rsidRPr="005C25E6" w:rsidRDefault="00130F0C" w:rsidP="006D2518">
      <w:pPr>
        <w:spacing w:line="360" w:lineRule="auto"/>
        <w:rPr>
          <w:rFonts w:ascii="Arial" w:hAnsi="Arial" w:cs="Arial"/>
          <w:sz w:val="22"/>
          <w:szCs w:val="22"/>
        </w:rPr>
      </w:pPr>
      <w:r w:rsidRPr="00130F0C">
        <w:rPr>
          <w:rFonts w:ascii="Arial" w:hAnsi="Arial" w:cs="Arial"/>
          <w:sz w:val="22"/>
          <w:szCs w:val="22"/>
        </w:rPr>
        <w:t xml:space="preserve">Kuss, D.J. and Griffiths, M.D. (2017) ‘Social networking sites and addiction: Ten lessons learned’, </w:t>
      </w:r>
      <w:r w:rsidRPr="00130F0C">
        <w:rPr>
          <w:rFonts w:ascii="Arial" w:hAnsi="Arial" w:cs="Arial"/>
          <w:i/>
          <w:iCs/>
          <w:sz w:val="22"/>
          <w:szCs w:val="22"/>
        </w:rPr>
        <w:t>International Journal of Mental Health and Addiction</w:t>
      </w:r>
      <w:r w:rsidRPr="00130F0C">
        <w:rPr>
          <w:rFonts w:ascii="Arial" w:hAnsi="Arial" w:cs="Arial"/>
          <w:sz w:val="22"/>
          <w:szCs w:val="22"/>
        </w:rPr>
        <w:t>, 15(3), pp. 1–13.</w:t>
      </w:r>
    </w:p>
    <w:p w14:paraId="2F13BE4E" w14:textId="77777777" w:rsidR="006D2518" w:rsidRPr="005C25E6" w:rsidRDefault="006D2518" w:rsidP="006D2518">
      <w:pPr>
        <w:spacing w:line="360" w:lineRule="auto"/>
        <w:rPr>
          <w:rFonts w:ascii="Arial" w:hAnsi="Arial" w:cs="Arial"/>
          <w:sz w:val="22"/>
          <w:szCs w:val="22"/>
        </w:rPr>
      </w:pPr>
      <w:r w:rsidRPr="005C25E6">
        <w:rPr>
          <w:rFonts w:ascii="Arial" w:hAnsi="Arial" w:cs="Arial"/>
          <w:sz w:val="22"/>
          <w:szCs w:val="22"/>
        </w:rPr>
        <w:t xml:space="preserve">Morey, J.N., Gentzler, A.L. and Creasy, K.R. (2023) ‘Attachment anxiety and social media reassurance seeking’, </w:t>
      </w:r>
      <w:r w:rsidRPr="005C25E6">
        <w:rPr>
          <w:rFonts w:ascii="Arial" w:hAnsi="Arial" w:cs="Arial"/>
          <w:i/>
          <w:iCs/>
          <w:sz w:val="22"/>
          <w:szCs w:val="22"/>
        </w:rPr>
        <w:t>Journal of Social and Personal Relationships</w:t>
      </w:r>
      <w:r w:rsidRPr="005C25E6">
        <w:rPr>
          <w:rFonts w:ascii="Arial" w:hAnsi="Arial" w:cs="Arial"/>
          <w:sz w:val="22"/>
          <w:szCs w:val="22"/>
        </w:rPr>
        <w:t>, 40(2), pp. 421–440.</w:t>
      </w:r>
    </w:p>
    <w:p w14:paraId="7203E9FD" w14:textId="77777777" w:rsidR="00D62512" w:rsidRPr="005C25E6" w:rsidRDefault="00D62512" w:rsidP="00D62512">
      <w:pPr>
        <w:spacing w:line="360" w:lineRule="auto"/>
        <w:rPr>
          <w:rFonts w:ascii="Arial" w:hAnsi="Arial" w:cs="Arial"/>
          <w:sz w:val="22"/>
          <w:szCs w:val="22"/>
        </w:rPr>
      </w:pPr>
      <w:r w:rsidRPr="005C25E6">
        <w:rPr>
          <w:rFonts w:ascii="Arial" w:hAnsi="Arial" w:cs="Arial"/>
          <w:sz w:val="22"/>
          <w:szCs w:val="22"/>
        </w:rPr>
        <w:t xml:space="preserve">Odgers, C.L. and Jensen, M.R. (2020) ‘Annual research review: Adolescent mental health in the digital age: facts, fears, and future directions’, </w:t>
      </w:r>
      <w:r w:rsidRPr="005C25E6">
        <w:rPr>
          <w:rFonts w:ascii="Arial" w:hAnsi="Arial" w:cs="Arial"/>
          <w:i/>
          <w:iCs/>
          <w:sz w:val="22"/>
          <w:szCs w:val="22"/>
        </w:rPr>
        <w:t>Journal of Child Psychology and Psychiatry</w:t>
      </w:r>
      <w:r w:rsidRPr="005C25E6">
        <w:rPr>
          <w:rFonts w:ascii="Arial" w:hAnsi="Arial" w:cs="Arial"/>
          <w:sz w:val="22"/>
          <w:szCs w:val="22"/>
        </w:rPr>
        <w:t>, 61(3), pp. 336–348.</w:t>
      </w:r>
    </w:p>
    <w:p w14:paraId="68345551" w14:textId="7F31BE73" w:rsidR="006D2518" w:rsidRPr="005C25E6" w:rsidRDefault="006D2518" w:rsidP="006D2518">
      <w:pPr>
        <w:spacing w:line="360" w:lineRule="auto"/>
        <w:rPr>
          <w:rFonts w:ascii="Arial" w:hAnsi="Arial" w:cs="Arial"/>
          <w:sz w:val="22"/>
          <w:szCs w:val="22"/>
        </w:rPr>
      </w:pPr>
      <w:r w:rsidRPr="005C25E6">
        <w:rPr>
          <w:rFonts w:ascii="Arial" w:hAnsi="Arial" w:cs="Arial"/>
          <w:sz w:val="22"/>
          <w:szCs w:val="22"/>
        </w:rPr>
        <w:t xml:space="preserve">Patra, S., Kar, S., Panigrahi, M., Singh, R. and </w:t>
      </w:r>
      <w:proofErr w:type="spellStart"/>
      <w:r w:rsidRPr="005C25E6">
        <w:rPr>
          <w:rFonts w:ascii="Arial" w:hAnsi="Arial" w:cs="Arial"/>
          <w:sz w:val="22"/>
          <w:szCs w:val="22"/>
        </w:rPr>
        <w:t>Padhy</w:t>
      </w:r>
      <w:proofErr w:type="spellEnd"/>
      <w:r w:rsidRPr="005C25E6">
        <w:rPr>
          <w:rFonts w:ascii="Arial" w:hAnsi="Arial" w:cs="Arial"/>
          <w:sz w:val="22"/>
          <w:szCs w:val="22"/>
        </w:rPr>
        <w:t xml:space="preserve">, S.K. (2024) ‘Impact of social media on adolescent mental health: A scoping review’, </w:t>
      </w:r>
      <w:r w:rsidRPr="005C25E6">
        <w:rPr>
          <w:rFonts w:ascii="Arial" w:hAnsi="Arial" w:cs="Arial"/>
          <w:i/>
          <w:iCs/>
          <w:sz w:val="22"/>
          <w:szCs w:val="22"/>
        </w:rPr>
        <w:t>Indian Journal of Psychiatry</w:t>
      </w:r>
      <w:r w:rsidRPr="005C25E6">
        <w:rPr>
          <w:rFonts w:ascii="Arial" w:hAnsi="Arial" w:cs="Arial"/>
          <w:sz w:val="22"/>
          <w:szCs w:val="22"/>
        </w:rPr>
        <w:t>, 66(1), pp. 10–20</w:t>
      </w:r>
      <w:r w:rsidR="005C25E6" w:rsidRPr="005C25E6">
        <w:rPr>
          <w:rFonts w:ascii="Arial" w:hAnsi="Arial" w:cs="Arial"/>
          <w:sz w:val="22"/>
          <w:szCs w:val="22"/>
        </w:rPr>
        <w:t>.</w:t>
      </w:r>
    </w:p>
    <w:p w14:paraId="45FEA8D5" w14:textId="77777777" w:rsidR="005C25E6" w:rsidRPr="005C25E6" w:rsidRDefault="005C25E6" w:rsidP="005C25E6">
      <w:pPr>
        <w:spacing w:line="360" w:lineRule="auto"/>
        <w:rPr>
          <w:rFonts w:ascii="Arial" w:hAnsi="Arial" w:cs="Arial"/>
          <w:sz w:val="22"/>
          <w:szCs w:val="22"/>
        </w:rPr>
      </w:pPr>
      <w:r w:rsidRPr="005C25E6">
        <w:rPr>
          <w:rFonts w:ascii="Arial" w:hAnsi="Arial" w:cs="Arial"/>
          <w:sz w:val="22"/>
          <w:szCs w:val="22"/>
        </w:rPr>
        <w:t xml:space="preserve">Ray, G., McDermott, C.D. and Nicho, M. (2024) ‘Cyberbullying on social media: Definitions, prevalence, and impact challenges’, </w:t>
      </w:r>
      <w:r w:rsidRPr="005C25E6">
        <w:rPr>
          <w:rFonts w:ascii="Arial" w:hAnsi="Arial" w:cs="Arial"/>
          <w:i/>
          <w:iCs/>
          <w:sz w:val="22"/>
          <w:szCs w:val="22"/>
        </w:rPr>
        <w:t>Journal of Cybersecurity</w:t>
      </w:r>
      <w:r w:rsidRPr="005C25E6">
        <w:rPr>
          <w:rFonts w:ascii="Arial" w:hAnsi="Arial" w:cs="Arial"/>
          <w:sz w:val="22"/>
          <w:szCs w:val="22"/>
        </w:rPr>
        <w:t>, 10(1).</w:t>
      </w:r>
    </w:p>
    <w:p w14:paraId="77A78D0B" w14:textId="41443DCE" w:rsidR="00D62512" w:rsidRPr="005C25E6" w:rsidRDefault="00D62512" w:rsidP="00D62512">
      <w:pPr>
        <w:spacing w:line="360" w:lineRule="auto"/>
        <w:rPr>
          <w:rFonts w:ascii="Arial" w:hAnsi="Arial" w:cs="Arial"/>
          <w:sz w:val="22"/>
          <w:szCs w:val="22"/>
        </w:rPr>
      </w:pPr>
      <w:r w:rsidRPr="005C25E6">
        <w:rPr>
          <w:rFonts w:ascii="Arial" w:hAnsi="Arial" w:cs="Arial"/>
          <w:sz w:val="22"/>
          <w:szCs w:val="22"/>
        </w:rPr>
        <w:t xml:space="preserve">Royal Society for Public Health (2017) </w:t>
      </w:r>
      <w:r w:rsidRPr="005C25E6">
        <w:rPr>
          <w:rFonts w:ascii="Arial" w:hAnsi="Arial" w:cs="Arial"/>
          <w:i/>
          <w:iCs/>
          <w:sz w:val="22"/>
          <w:szCs w:val="22"/>
        </w:rPr>
        <w:t>#StatusOfMind: Social media and young people’s mental health and wellbeing</w:t>
      </w:r>
      <w:r w:rsidRPr="005C25E6">
        <w:rPr>
          <w:rFonts w:ascii="Arial" w:hAnsi="Arial" w:cs="Arial"/>
          <w:sz w:val="22"/>
          <w:szCs w:val="22"/>
        </w:rPr>
        <w:t>. London: RSPH.</w:t>
      </w:r>
    </w:p>
    <w:p w14:paraId="30ACE439" w14:textId="77777777" w:rsidR="00130F0C" w:rsidRDefault="005C25E6" w:rsidP="00D62512">
      <w:pPr>
        <w:spacing w:line="360" w:lineRule="auto"/>
        <w:rPr>
          <w:rFonts w:ascii="Arial" w:hAnsi="Arial" w:cs="Arial"/>
          <w:sz w:val="22"/>
          <w:szCs w:val="22"/>
        </w:rPr>
      </w:pPr>
      <w:r w:rsidRPr="005C25E6">
        <w:rPr>
          <w:rFonts w:ascii="Arial" w:hAnsi="Arial" w:cs="Arial"/>
          <w:sz w:val="22"/>
          <w:szCs w:val="22"/>
        </w:rPr>
        <w:t xml:space="preserve">Steinberg, L. (2014) </w:t>
      </w:r>
      <w:r w:rsidRPr="005C25E6">
        <w:rPr>
          <w:rFonts w:ascii="Arial" w:hAnsi="Arial" w:cs="Arial"/>
          <w:i/>
          <w:iCs/>
          <w:sz w:val="22"/>
          <w:szCs w:val="22"/>
        </w:rPr>
        <w:t>Age of opportunity: Lessons from the new science of adolescence</w:t>
      </w:r>
      <w:r w:rsidRPr="005C25E6">
        <w:rPr>
          <w:rFonts w:ascii="Arial" w:hAnsi="Arial" w:cs="Arial"/>
          <w:sz w:val="22"/>
          <w:szCs w:val="22"/>
        </w:rPr>
        <w:t>. Boston: Houghton Mifflin Harcourt.</w:t>
      </w:r>
    </w:p>
    <w:p w14:paraId="29907D64" w14:textId="0D312032" w:rsidR="00832BD0" w:rsidRPr="005C25E6" w:rsidRDefault="00832BD0" w:rsidP="00D62512">
      <w:pPr>
        <w:spacing w:line="360" w:lineRule="auto"/>
        <w:rPr>
          <w:rFonts w:ascii="Arial" w:hAnsi="Arial" w:cs="Arial"/>
          <w:sz w:val="22"/>
          <w:szCs w:val="22"/>
        </w:rPr>
      </w:pPr>
      <w:r w:rsidRPr="00832BD0">
        <w:rPr>
          <w:rFonts w:ascii="Arial" w:hAnsi="Arial" w:cs="Arial"/>
          <w:sz w:val="22"/>
          <w:szCs w:val="22"/>
        </w:rPr>
        <w:lastRenderedPageBreak/>
        <w:t xml:space="preserve">World Health Organization (2024) </w:t>
      </w:r>
      <w:r w:rsidRPr="00832BD0">
        <w:rPr>
          <w:rFonts w:ascii="Arial" w:hAnsi="Arial" w:cs="Arial"/>
          <w:i/>
          <w:iCs/>
          <w:sz w:val="22"/>
          <w:szCs w:val="22"/>
        </w:rPr>
        <w:t>Adolescent health</w:t>
      </w:r>
      <w:r w:rsidRPr="00832BD0">
        <w:rPr>
          <w:rFonts w:ascii="Arial" w:hAnsi="Arial" w:cs="Arial"/>
          <w:sz w:val="22"/>
          <w:szCs w:val="22"/>
        </w:rPr>
        <w:t xml:space="preserve">. Available at: </w:t>
      </w:r>
      <w:hyperlink r:id="rId10" w:history="1">
        <w:r w:rsidRPr="006125DF">
          <w:rPr>
            <w:rStyle w:val="Hyperlink"/>
            <w:rFonts w:ascii="Arial" w:hAnsi="Arial" w:cs="Arial"/>
            <w:sz w:val="22"/>
            <w:szCs w:val="22"/>
          </w:rPr>
          <w:t>https://www.who.int/health-topics/adolescent-health</w:t>
        </w:r>
      </w:hyperlink>
      <w:r>
        <w:rPr>
          <w:rFonts w:ascii="Arial" w:hAnsi="Arial" w:cs="Arial"/>
          <w:sz w:val="22"/>
          <w:szCs w:val="22"/>
        </w:rPr>
        <w:t xml:space="preserve"> </w:t>
      </w:r>
      <w:r w:rsidRPr="00832BD0">
        <w:rPr>
          <w:rFonts w:ascii="Arial" w:hAnsi="Arial" w:cs="Arial"/>
          <w:sz w:val="22"/>
          <w:szCs w:val="22"/>
        </w:rPr>
        <w:t>(Accessed: 10 August 2026).</w:t>
      </w:r>
    </w:p>
    <w:p w14:paraId="5A003C7F" w14:textId="6557CDF4" w:rsidR="005C25E6" w:rsidRPr="005C25E6" w:rsidRDefault="005C25E6" w:rsidP="00D62512">
      <w:pPr>
        <w:spacing w:line="360" w:lineRule="auto"/>
        <w:rPr>
          <w:rFonts w:ascii="Arial" w:hAnsi="Arial" w:cs="Arial"/>
          <w:sz w:val="22"/>
          <w:szCs w:val="22"/>
        </w:rPr>
      </w:pPr>
    </w:p>
    <w:sectPr w:rsidR="005C25E6" w:rsidRPr="005C25E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9F465" w14:textId="77777777" w:rsidR="000858B1" w:rsidRDefault="000858B1" w:rsidP="008D3F43">
      <w:pPr>
        <w:spacing w:after="0" w:line="240" w:lineRule="auto"/>
      </w:pPr>
      <w:r>
        <w:separator/>
      </w:r>
    </w:p>
  </w:endnote>
  <w:endnote w:type="continuationSeparator" w:id="0">
    <w:p w14:paraId="41095C64" w14:textId="77777777" w:rsidR="000858B1" w:rsidRDefault="000858B1" w:rsidP="008D3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8742261"/>
      <w:docPartObj>
        <w:docPartGallery w:val="Page Numbers (Bottom of Page)"/>
        <w:docPartUnique/>
      </w:docPartObj>
    </w:sdtPr>
    <w:sdtEndPr>
      <w:rPr>
        <w:noProof/>
      </w:rPr>
    </w:sdtEndPr>
    <w:sdtContent>
      <w:p w14:paraId="3B189793" w14:textId="77777777" w:rsidR="008D3F43" w:rsidRDefault="008D3F43">
        <w:pPr>
          <w:pStyle w:val="Footer"/>
          <w:jc w:val="right"/>
        </w:pPr>
      </w:p>
      <w:p w14:paraId="508BA940" w14:textId="2060C2A9" w:rsidR="008D3F43" w:rsidRDefault="008D3F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42356D" w14:textId="77777777" w:rsidR="008D3F43" w:rsidRDefault="008D3F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1447D" w14:textId="77777777" w:rsidR="000858B1" w:rsidRDefault="000858B1" w:rsidP="008D3F43">
      <w:pPr>
        <w:spacing w:after="0" w:line="240" w:lineRule="auto"/>
      </w:pPr>
      <w:r>
        <w:separator/>
      </w:r>
    </w:p>
  </w:footnote>
  <w:footnote w:type="continuationSeparator" w:id="0">
    <w:p w14:paraId="1FA56733" w14:textId="77777777" w:rsidR="000858B1" w:rsidRDefault="000858B1" w:rsidP="008D3F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970"/>
    <w:rsid w:val="0000246C"/>
    <w:rsid w:val="00040FA2"/>
    <w:rsid w:val="000813F1"/>
    <w:rsid w:val="000858B1"/>
    <w:rsid w:val="000A006C"/>
    <w:rsid w:val="0010593F"/>
    <w:rsid w:val="00130F0C"/>
    <w:rsid w:val="0025607E"/>
    <w:rsid w:val="002609D9"/>
    <w:rsid w:val="003631FB"/>
    <w:rsid w:val="00371B8E"/>
    <w:rsid w:val="004A658A"/>
    <w:rsid w:val="004E26C7"/>
    <w:rsid w:val="00522846"/>
    <w:rsid w:val="00523ADE"/>
    <w:rsid w:val="005C25E6"/>
    <w:rsid w:val="005C5F7B"/>
    <w:rsid w:val="005D0970"/>
    <w:rsid w:val="005F38EB"/>
    <w:rsid w:val="00605F1A"/>
    <w:rsid w:val="00654BB6"/>
    <w:rsid w:val="006B619A"/>
    <w:rsid w:val="006D2518"/>
    <w:rsid w:val="00772055"/>
    <w:rsid w:val="00832BD0"/>
    <w:rsid w:val="00857C9D"/>
    <w:rsid w:val="008A1CEF"/>
    <w:rsid w:val="008C1083"/>
    <w:rsid w:val="008D258D"/>
    <w:rsid w:val="008D3F43"/>
    <w:rsid w:val="008E6B82"/>
    <w:rsid w:val="00997D48"/>
    <w:rsid w:val="00B93594"/>
    <w:rsid w:val="00BD38FF"/>
    <w:rsid w:val="00CA123A"/>
    <w:rsid w:val="00CC1D42"/>
    <w:rsid w:val="00CE380F"/>
    <w:rsid w:val="00D20B11"/>
    <w:rsid w:val="00D230D0"/>
    <w:rsid w:val="00D47569"/>
    <w:rsid w:val="00D62512"/>
    <w:rsid w:val="00D64537"/>
    <w:rsid w:val="00D810BA"/>
    <w:rsid w:val="00DD2DF7"/>
    <w:rsid w:val="00DD4A2D"/>
    <w:rsid w:val="00F40951"/>
    <w:rsid w:val="00F41F19"/>
    <w:rsid w:val="00F753A0"/>
    <w:rsid w:val="00FE4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A3895"/>
  <w15:chartTrackingRefBased/>
  <w15:docId w15:val="{CC3D8ACB-E9B3-4B09-AAE0-34DD49CA5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09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09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09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09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09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09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09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09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09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9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09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09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09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09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09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09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09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0970"/>
    <w:rPr>
      <w:rFonts w:eastAsiaTheme="majorEastAsia" w:cstheme="majorBidi"/>
      <w:color w:val="272727" w:themeColor="text1" w:themeTint="D8"/>
    </w:rPr>
  </w:style>
  <w:style w:type="paragraph" w:styleId="Title">
    <w:name w:val="Title"/>
    <w:basedOn w:val="Normal"/>
    <w:next w:val="Normal"/>
    <w:link w:val="TitleChar"/>
    <w:uiPriority w:val="10"/>
    <w:qFormat/>
    <w:rsid w:val="005D09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09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09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09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0970"/>
    <w:pPr>
      <w:spacing w:before="160"/>
      <w:jc w:val="center"/>
    </w:pPr>
    <w:rPr>
      <w:i/>
      <w:iCs/>
      <w:color w:val="404040" w:themeColor="text1" w:themeTint="BF"/>
    </w:rPr>
  </w:style>
  <w:style w:type="character" w:customStyle="1" w:styleId="QuoteChar">
    <w:name w:val="Quote Char"/>
    <w:basedOn w:val="DefaultParagraphFont"/>
    <w:link w:val="Quote"/>
    <w:uiPriority w:val="29"/>
    <w:rsid w:val="005D0970"/>
    <w:rPr>
      <w:i/>
      <w:iCs/>
      <w:color w:val="404040" w:themeColor="text1" w:themeTint="BF"/>
    </w:rPr>
  </w:style>
  <w:style w:type="paragraph" w:styleId="ListParagraph">
    <w:name w:val="List Paragraph"/>
    <w:basedOn w:val="Normal"/>
    <w:uiPriority w:val="34"/>
    <w:qFormat/>
    <w:rsid w:val="005D0970"/>
    <w:pPr>
      <w:ind w:left="720"/>
      <w:contextualSpacing/>
    </w:pPr>
  </w:style>
  <w:style w:type="character" w:styleId="IntenseEmphasis">
    <w:name w:val="Intense Emphasis"/>
    <w:basedOn w:val="DefaultParagraphFont"/>
    <w:uiPriority w:val="21"/>
    <w:qFormat/>
    <w:rsid w:val="005D0970"/>
    <w:rPr>
      <w:i/>
      <w:iCs/>
      <w:color w:val="0F4761" w:themeColor="accent1" w:themeShade="BF"/>
    </w:rPr>
  </w:style>
  <w:style w:type="paragraph" w:styleId="IntenseQuote">
    <w:name w:val="Intense Quote"/>
    <w:basedOn w:val="Normal"/>
    <w:next w:val="Normal"/>
    <w:link w:val="IntenseQuoteChar"/>
    <w:uiPriority w:val="30"/>
    <w:qFormat/>
    <w:rsid w:val="005D09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0970"/>
    <w:rPr>
      <w:i/>
      <w:iCs/>
      <w:color w:val="0F4761" w:themeColor="accent1" w:themeShade="BF"/>
    </w:rPr>
  </w:style>
  <w:style w:type="character" w:styleId="IntenseReference">
    <w:name w:val="Intense Reference"/>
    <w:basedOn w:val="DefaultParagraphFont"/>
    <w:uiPriority w:val="32"/>
    <w:qFormat/>
    <w:rsid w:val="005D0970"/>
    <w:rPr>
      <w:b/>
      <w:bCs/>
      <w:smallCaps/>
      <w:color w:val="0F4761" w:themeColor="accent1" w:themeShade="BF"/>
      <w:spacing w:val="5"/>
    </w:rPr>
  </w:style>
  <w:style w:type="paragraph" w:styleId="NormalWeb">
    <w:name w:val="Normal (Web)"/>
    <w:basedOn w:val="Normal"/>
    <w:uiPriority w:val="99"/>
    <w:semiHidden/>
    <w:unhideWhenUsed/>
    <w:rsid w:val="00D62512"/>
    <w:rPr>
      <w:rFonts w:ascii="Times New Roman" w:hAnsi="Times New Roman" w:cs="Times New Roman"/>
    </w:rPr>
  </w:style>
  <w:style w:type="paragraph" w:styleId="Header">
    <w:name w:val="header"/>
    <w:basedOn w:val="Normal"/>
    <w:link w:val="HeaderChar"/>
    <w:uiPriority w:val="99"/>
    <w:unhideWhenUsed/>
    <w:rsid w:val="008D3F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F43"/>
  </w:style>
  <w:style w:type="paragraph" w:styleId="Footer">
    <w:name w:val="footer"/>
    <w:basedOn w:val="Normal"/>
    <w:link w:val="FooterChar"/>
    <w:uiPriority w:val="99"/>
    <w:unhideWhenUsed/>
    <w:rsid w:val="008D3F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F43"/>
  </w:style>
  <w:style w:type="paragraph" w:styleId="Revision">
    <w:name w:val="Revision"/>
    <w:hidden/>
    <w:uiPriority w:val="99"/>
    <w:semiHidden/>
    <w:rsid w:val="002609D9"/>
    <w:pPr>
      <w:spacing w:after="0" w:line="240" w:lineRule="auto"/>
    </w:pPr>
  </w:style>
  <w:style w:type="character" w:styleId="Hyperlink">
    <w:name w:val="Hyperlink"/>
    <w:basedOn w:val="DefaultParagraphFont"/>
    <w:uiPriority w:val="99"/>
    <w:unhideWhenUsed/>
    <w:rsid w:val="00832BD0"/>
    <w:rPr>
      <w:color w:val="467886" w:themeColor="hyperlink"/>
      <w:u w:val="single"/>
    </w:rPr>
  </w:style>
  <w:style w:type="character" w:styleId="UnresolvedMention">
    <w:name w:val="Unresolved Mention"/>
    <w:basedOn w:val="DefaultParagraphFont"/>
    <w:uiPriority w:val="99"/>
    <w:semiHidden/>
    <w:unhideWhenUsed/>
    <w:rsid w:val="00832B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who.int/health-topics/adolescent-health"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5a96fd87-d65e-4250-a0f3-23014b7624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BCAF38596F6224C85994D82B7D04C5E" ma:contentTypeVersion="5" ma:contentTypeDescription="Create a new document." ma:contentTypeScope="" ma:versionID="bcdec999e8df9b63705184eef2bf49d4">
  <xsd:schema xmlns:xsd="http://www.w3.org/2001/XMLSchema" xmlns:xs="http://www.w3.org/2001/XMLSchema" xmlns:p="http://schemas.microsoft.com/office/2006/metadata/properties" xmlns:ns3="5a96fd87-d65e-4250-a0f3-23014b7624a5" targetNamespace="http://schemas.microsoft.com/office/2006/metadata/properties" ma:root="true" ma:fieldsID="655ac8d5b748f99c29da4767151e6401" ns3:_="">
    <xsd:import namespace="5a96fd87-d65e-4250-a0f3-23014b7624a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96fd87-d65e-4250-a0f3-23014b7624a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FEA5D5-5E0B-4634-BCFF-FC8942CA63D3}">
  <ds:schemaRefs>
    <ds:schemaRef ds:uri="http://schemas.openxmlformats.org/officeDocument/2006/bibliography"/>
  </ds:schemaRefs>
</ds:datastoreItem>
</file>

<file path=customXml/itemProps2.xml><?xml version="1.0" encoding="utf-8"?>
<ds:datastoreItem xmlns:ds="http://schemas.openxmlformats.org/officeDocument/2006/customXml" ds:itemID="{9182EDDE-B92E-4FB5-ABBF-54D76B17045F}">
  <ds:schemaRefs>
    <ds:schemaRef ds:uri="http://schemas.microsoft.com/office/2006/metadata/properties"/>
    <ds:schemaRef ds:uri="http://schemas.microsoft.com/office/infopath/2007/PartnerControls"/>
    <ds:schemaRef ds:uri="5a96fd87-d65e-4250-a0f3-23014b7624a5"/>
  </ds:schemaRefs>
</ds:datastoreItem>
</file>

<file path=customXml/itemProps3.xml><?xml version="1.0" encoding="utf-8"?>
<ds:datastoreItem xmlns:ds="http://schemas.openxmlformats.org/officeDocument/2006/customXml" ds:itemID="{FC46A2AA-CA1E-4111-840C-3F152363FF47}">
  <ds:schemaRefs>
    <ds:schemaRef ds:uri="http://schemas.microsoft.com/sharepoint/v3/contenttype/forms"/>
  </ds:schemaRefs>
</ds:datastoreItem>
</file>

<file path=customXml/itemProps4.xml><?xml version="1.0" encoding="utf-8"?>
<ds:datastoreItem xmlns:ds="http://schemas.openxmlformats.org/officeDocument/2006/customXml" ds:itemID="{E9D05D61-881C-4B1C-A9C0-04C1BB4518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96fd87-d65e-4250-a0f3-23014b7624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Pages>
  <Words>1997</Words>
  <Characters>11384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 Leanne Williams (2511144)</dc:creator>
  <cp:keywords/>
  <dc:description/>
  <cp:lastModifiedBy>Kirsti Leanne Williams (2511144)</cp:lastModifiedBy>
  <cp:revision>11</cp:revision>
  <dcterms:created xsi:type="dcterms:W3CDTF">2026-07-08T18:34:00Z</dcterms:created>
  <dcterms:modified xsi:type="dcterms:W3CDTF">2026-08-10T11:48:00Z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0x010100ABCAF38596F6224C85994D82B7D04C5E</vt:lpwstr>
  </property>
</Properties>
</file>