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8"/>
        <w:ind w:right="0" w:left="0" w:firstLine="0"/>
        <w:jc w:val="both"/>
        <w:rPr>
          <w:rFonts w:ascii="Arial" w:hAnsi="Arial" w:cs="Arial" w:eastAsia="Arial"/>
          <w:b/>
          <w:color w:val="auto"/>
          <w:spacing w:val="0"/>
          <w:position w:val="0"/>
          <w:sz w:val="28"/>
          <w:shd w:fill="auto" w:val="clear"/>
        </w:rPr>
      </w:pPr>
      <w:r>
        <w:object w:dxaOrig="2937" w:dyaOrig="835">
          <v:rect xmlns:o="urn:schemas-microsoft-com:office:office" xmlns:v="urn:schemas-microsoft-com:vml" id="rectole0000000000" style="width:146.850000pt;height:41.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78"/>
        <w:ind w:right="0" w:left="0" w:firstLine="0"/>
        <w:jc w:val="both"/>
        <w:rPr>
          <w:rFonts w:ascii="Arial" w:hAnsi="Arial" w:cs="Arial" w:eastAsia="Arial"/>
          <w:b/>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p>
    <w:tbl>
      <w:tblPr/>
      <w:tblGrid>
        <w:gridCol w:w="2730"/>
        <w:gridCol w:w="6405"/>
      </w:tblGrid>
      <w:tr>
        <w:trPr>
          <w:trHeight w:val="750"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Raza khan ahmadzai </w:t>
            </w:r>
          </w:p>
        </w:tc>
      </w:tr>
      <w:tr>
        <w:trPr>
          <w:trHeight w:val="675"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ID: </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2423995</w:t>
            </w:r>
          </w:p>
        </w:tc>
      </w:tr>
      <w:tr>
        <w:trPr>
          <w:trHeight w:val="555"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Programme:</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BSc (Hons) Health and Social Care</w:t>
            </w:r>
          </w:p>
        </w:tc>
      </w:tr>
      <w:tr>
        <w:trPr>
          <w:trHeight w:val="735"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name and code:</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BMHP5014 - Creativity and Value Creation  </w:t>
            </w:r>
          </w:p>
        </w:tc>
      </w:tr>
      <w:tr>
        <w:trPr>
          <w:trHeight w:val="555" w:hRule="auto"/>
          <w:jc w:val="left"/>
        </w:trPr>
        <w:tc>
          <w:tcPr>
            <w:tcW w:w="2730" w:type="dxa"/>
            <w:tcBorders>
              <w:top w:val="single" w:color="000000" w:sz="4"/>
              <w:left w:val="single" w:color="000000" w:sz="4"/>
              <w:bottom w:val="single" w:color="000000" w:sz="4"/>
              <w:right w:val="single" w:color="000000" w:sz="4"/>
            </w:tcBorders>
            <w:shd w:color="auto" w:fill="a5c9eb" w:val="clear"/>
            <w:tcMar>
              <w:left w:w="108" w:type="dxa"/>
              <w:right w:w="108" w:type="dxa"/>
            </w:tcMar>
            <w:vAlign w:val="top"/>
          </w:tcPr>
          <w:p>
            <w:pPr>
              <w:spacing w:before="0" w:after="160" w:line="278"/>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Lecture's name: </w:t>
            </w:r>
          </w:p>
        </w:tc>
        <w:tc>
          <w:tcPr>
            <w:tcW w:w="640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78"/>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brian mashumba</w:t>
            </w:r>
          </w:p>
        </w:tc>
      </w:tr>
    </w:tbl>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both"/>
        <w:rPr>
          <w:rFonts w:ascii="Arial" w:hAnsi="Arial" w:cs="Arial" w:eastAsia="Arial"/>
          <w:b/>
          <w:color w:val="auto"/>
          <w:spacing w:val="0"/>
          <w:position w:val="0"/>
          <w:sz w:val="22"/>
          <w:u w:val="single"/>
          <w:shd w:fill="auto" w:val="clear"/>
        </w:rPr>
      </w:pPr>
    </w:p>
    <w:p>
      <w:pPr>
        <w:spacing w:before="0" w:after="160" w:line="278"/>
        <w:ind w:right="0" w:left="0" w:firstLine="0"/>
        <w:jc w:val="center"/>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Table of content </w:t>
      </w: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Poster</w:t>
      </w:r>
    </w:p>
    <w:p>
      <w:pPr>
        <w:spacing w:before="0" w:after="160" w:line="360"/>
        <w:ind w:right="0" w:left="0" w:firstLine="0"/>
        <w:jc w:val="both"/>
        <w:rPr>
          <w:rFonts w:ascii="Arial" w:hAnsi="Arial" w:cs="Arial" w:eastAsia="Arial"/>
          <w:color w:val="auto"/>
          <w:spacing w:val="0"/>
          <w:position w:val="0"/>
          <w:sz w:val="22"/>
          <w:shd w:fill="auto" w:val="clear"/>
        </w:rPr>
      </w:pPr>
      <w:r>
        <w:object w:dxaOrig="7397" w:dyaOrig="11095">
          <v:rect xmlns:o="urn:schemas-microsoft-com:office:office" xmlns:v="urn:schemas-microsoft-com:vml" id="rectole0000000001" style="width:369.850000pt;height:554.7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Pitch</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Those living with homelessness have greater difficulties accessing timely and appropriate health and social care in the UK and therefore poorer physical and mental health outcomes. The inability to register at GP practices, poor continuity of care and poor services often result in delayed treatment and increased use of emergency services. HealthLink Mobile is a groundbreaking mobile health care service that brings accessible, comprehensive primary health care, mental health services, social care referrals and digital health records to homeless people in their communities. The innovation will strengthen the NHS's vision of equitable and inclusive healthcare, using multidisciplinary outreach and secure digital technology to enhance access to healthcare, decrease health inequalities and facilitate person-centred care.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Background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Homelessness is a major public health problem in the UK and people who are homeless suffer far worse health than the rest of the population. A large proportion of people have multiple long-term physical conditions, mental health disorders and substance misuse problems, but may not be able to access health care due to a variety of factors including unstable housing, no identification, transport difficulties and a lack of integrated health and social care services. This means that many delay seeking treatment until they are in very poor health, leading to an increase in emergency department use and unplanned hospital admissions.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NHS Long Term Plan emphasises the need to tackle health inequalities by making services more accessible for vulnerable groups and the Faculty for Homeless and Inclusion Health calls for more person-centred and integrated care. Other charities, including Crisis and Homeless Link, also link homelessness to social exclusion, low mental health and life expectancy. Although there are existing outreach initiatives, service provision is inconsistent throughout the UK, resulting in many people not receiving ongoing service. The gaps highlight the need for a new service that can be easily accessed and provide coordinated health services directly in communities, allowing for timely interventions, better continuity of care, and better long-term health outcomes.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Innovation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HealthLink Mobile is a mobile healthcare service which is integrated to provide essential health and social care to those who are homeless, across the UK. This service is delivered via a multidisciplinary team of GPs, nurses, mental health practitioners, social workers and substance misuse specialists in specially equipped mobile clinics. Instead of having to go to a healthcare facility, the service goes to where homeless people are likely to be. This makes it easier and more engaging for individuals to access healthcare. One of the innovation's key aspects is its secure digital health record system, which allows authorised health care professionals to access and update patient health information in real time, ensuring continuity of care across NHS and community services. The service also has a digital referral system to link people with housing assistance, addictions services, mental health and voluntary organisations. Specialist Telehealth consultations can be organised as needed, minimising delays in accessing care. HealthLink Mobile is a more user-friendly, person-centred and streamlined service, using mobile outreach, digital technology and multi-agency collaboration to help tackle health inequalities and enhance the long-term wellbeing of vulnerable people.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Impact on Health &amp; Social Care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HealthLink Mobile can enhance health outcomes for people who are homeless by delivering timely, person-centred health services in convenient, community-based environments. The service can assist those who may have complex mental health or drug and alcohol needs, often have rough sleeping issues, or live in temporary accommodation. The innovation provides care to these groups directly, which helps to diagnose and treat them earlier, thus preventing unnecessary illness and hospitalizations.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integrated approach also helps to foster working together between health-care teams, social workers, housing teams and voluntary organisations, so that people have coordinated support that meets their needs. Authorised professionals can access accurate health information, eliminate duplicated assessments and enhance clinical decision making, which helps to secure digital health records and provides continuity of care. Earlier intervention could help to alleviate pressure on the NHS' emergency departments and to minimise the cost of NHS crisis care. In summary, HealthLink Mobile contributes towards the overall goal of the NHS to halve health inequalities, to improve services and their accessibility, and to improve health equity, which in turn improves the long-term wellbeing and quality of life of one of the most vulnerable populations in the UK.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Public &amp; Stakeholder Involvement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is a great need for good inter-agency working between the people experiencing homelessness, healthcare professionals, local governments and voluntary organisations to ensure the success of HealthLink Mobile. Lived experience of homelessness will be integrated into the co-design and evaluation of the service, to ensure the service is relevant to their needs and to ensure trust is built. Support will be provided by key stakeholders, including the NHS, local councils, charities like Shelter and Crisis, and housing providers will be working together. The service will be promoted and engagement encouraged through public awareness campaigns, social media, community outreach and partnerships with local organisations. Feedback from service users and professionals will be regular and facilitate continuous improvement, ensuring the innovation is effective, accessible and responsive to the needs of vulnerable communities.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Policies, Services &amp; Professional Links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HealthLink Mobile supports key policies and laws in the UK that support equitable, person-centred care. The Care Act 2014 is supportive of integrated services which enhance wellbeing, the Equality Act 2010 is a requirement for equality of access to healthcare for vulnerable groups. The service is also compliant with the UK GDPR, which guarantees the secure handling of patient records digitally. HealthLink Mobile would liaise closely with NHS primary care, community mental health teams, local authority social care, housing services and voluntary organisations for co-ordinated support. Healthcare workers, such as GPs, nurses, social workers, mental health workers and outreach workers, would work together to provide comprehensive care and better long-term health outcomes for individuals who are homeless.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UK HealthLink Mobile is a solution that is both practical and innovative that can help to make healthcare more accessible to those who are homeless. The service uses mobile outreach, integrated health and social care, and secure digital technology to connect with vulnerable people who may not have the means to get the help they need in time. The innovation has the potential to reduce health inequalities, improve the continuity of care and enhance the wellbeing in the long-term with the support of the NHS, local authorities and voluntary organisations. The realistic implementation of this and the person-centred approach makes HealthLink Mobile a valuable contribution to the vision of an inclusive and equitable health and social care system.</w:t>
      </w:r>
    </w:p>
    <w:p>
      <w:pPr>
        <w:spacing w:before="0" w:after="160" w:line="278"/>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References</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Aldridge, R.W., Story, A., Hwang, S.W., Nordentoft, M., Luchenski, S.A., Hartwell, G., Tweed, E.J., Lewer, D., Vittal Katikireddi, S. and Hayward, A.C. (2018) ‘Morbidity and mortality in homeless individuals, prisoners, sex workers, and individuals with substance use disorders in high-income countries: A systematic review and meta-analysis’, </w:t>
      </w:r>
      <w:r>
        <w:rPr>
          <w:rFonts w:ascii="Arial" w:hAnsi="Arial" w:cs="Arial" w:eastAsia="Arial"/>
          <w:i/>
          <w:color w:val="auto"/>
          <w:spacing w:val="0"/>
          <w:position w:val="0"/>
          <w:sz w:val="22"/>
          <w:shd w:fill="auto" w:val="clear"/>
        </w:rPr>
        <w:t xml:space="preserve">The Lancet</w:t>
      </w:r>
      <w:r>
        <w:rPr>
          <w:rFonts w:ascii="Arial" w:hAnsi="Arial" w:cs="Arial" w:eastAsia="Arial"/>
          <w:color w:val="auto"/>
          <w:spacing w:val="0"/>
          <w:position w:val="0"/>
          <w:sz w:val="22"/>
          <w:shd w:fill="auto" w:val="clear"/>
        </w:rPr>
        <w:t xml:space="preserve">, 391(10117), pp. 241</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250.</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Care Quality Commission (2024) </w:t>
      </w:r>
      <w:r>
        <w:rPr>
          <w:rFonts w:ascii="Arial" w:hAnsi="Arial" w:cs="Arial" w:eastAsia="Arial"/>
          <w:i/>
          <w:color w:val="auto"/>
          <w:spacing w:val="0"/>
          <w:position w:val="0"/>
          <w:sz w:val="22"/>
          <w:shd w:fill="auto" w:val="clear"/>
        </w:rPr>
        <w:t xml:space="preserve">The state of health care and adult social care in England 2023/24</w:t>
      </w:r>
      <w:r>
        <w:rPr>
          <w:rFonts w:ascii="Arial" w:hAnsi="Arial" w:cs="Arial" w:eastAsia="Arial"/>
          <w:color w:val="auto"/>
          <w:spacing w:val="0"/>
          <w:position w:val="0"/>
          <w:sz w:val="22"/>
          <w:shd w:fill="auto" w:val="clear"/>
        </w:rPr>
        <w:t xml:space="preserve">. Newcastle upon Tyne: CQC.</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Crisis (2024) </w:t>
      </w:r>
      <w:r>
        <w:rPr>
          <w:rFonts w:ascii="Arial" w:hAnsi="Arial" w:cs="Arial" w:eastAsia="Arial"/>
          <w:i/>
          <w:color w:val="auto"/>
          <w:spacing w:val="0"/>
          <w:position w:val="0"/>
          <w:sz w:val="22"/>
          <w:shd w:fill="auto" w:val="clear"/>
        </w:rPr>
        <w:t xml:space="preserve">The homelessness monitor: England 2024</w:t>
      </w:r>
      <w:r>
        <w:rPr>
          <w:rFonts w:ascii="Arial" w:hAnsi="Arial" w:cs="Arial" w:eastAsia="Arial"/>
          <w:color w:val="auto"/>
          <w:spacing w:val="0"/>
          <w:position w:val="0"/>
          <w:sz w:val="22"/>
          <w:shd w:fill="auto" w:val="clear"/>
        </w:rPr>
        <w:t xml:space="preserve">. London: Crisis.</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Department of Health and Social Care (2022) </w:t>
      </w:r>
      <w:r>
        <w:rPr>
          <w:rFonts w:ascii="Arial" w:hAnsi="Arial" w:cs="Arial" w:eastAsia="Arial"/>
          <w:i/>
          <w:color w:val="auto"/>
          <w:spacing w:val="0"/>
          <w:position w:val="0"/>
          <w:sz w:val="22"/>
          <w:shd w:fill="auto" w:val="clear"/>
        </w:rPr>
        <w:t xml:space="preserve">Health and social care integration: Joining up care for people, places and populations</w:t>
      </w:r>
      <w:r>
        <w:rPr>
          <w:rFonts w:ascii="Arial" w:hAnsi="Arial" w:cs="Arial" w:eastAsia="Arial"/>
          <w:color w:val="auto"/>
          <w:spacing w:val="0"/>
          <w:position w:val="0"/>
          <w:sz w:val="22"/>
          <w:shd w:fill="auto" w:val="clear"/>
        </w:rPr>
        <w:t xml:space="preserve">. London: DHSC.</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Faculty for Homeless and Inclusion Health (2024) </w:t>
      </w:r>
      <w:r>
        <w:rPr>
          <w:rFonts w:ascii="Arial" w:hAnsi="Arial" w:cs="Arial" w:eastAsia="Arial"/>
          <w:i/>
          <w:color w:val="auto"/>
          <w:spacing w:val="0"/>
          <w:position w:val="0"/>
          <w:sz w:val="22"/>
          <w:shd w:fill="auto" w:val="clear"/>
        </w:rPr>
        <w:t xml:space="preserve">Standards for commissioners and service providers</w:t>
      </w:r>
      <w:r>
        <w:rPr>
          <w:rFonts w:ascii="Arial" w:hAnsi="Arial" w:cs="Arial" w:eastAsia="Arial"/>
          <w:color w:val="auto"/>
          <w:spacing w:val="0"/>
          <w:position w:val="0"/>
          <w:sz w:val="22"/>
          <w:shd w:fill="auto" w:val="clear"/>
        </w:rPr>
        <w:t xml:space="preserve">. London: Pathway.</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Homeless Link (2024) </w:t>
      </w:r>
      <w:r>
        <w:rPr>
          <w:rFonts w:ascii="Arial" w:hAnsi="Arial" w:cs="Arial" w:eastAsia="Arial"/>
          <w:i/>
          <w:color w:val="auto"/>
          <w:spacing w:val="0"/>
          <w:position w:val="0"/>
          <w:sz w:val="22"/>
          <w:shd w:fill="auto" w:val="clear"/>
        </w:rPr>
        <w:t xml:space="preserve">The annual review of support for people experiencing homelessness in England</w:t>
      </w:r>
      <w:r>
        <w:rPr>
          <w:rFonts w:ascii="Arial" w:hAnsi="Arial" w:cs="Arial" w:eastAsia="Arial"/>
          <w:color w:val="auto"/>
          <w:spacing w:val="0"/>
          <w:position w:val="0"/>
          <w:sz w:val="22"/>
          <w:shd w:fill="auto" w:val="clear"/>
        </w:rPr>
        <w:t xml:space="preserve">. London: Homeless Link.</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National Institute for Health and Care Excellence (2022) </w:t>
      </w:r>
      <w:r>
        <w:rPr>
          <w:rFonts w:ascii="Arial" w:hAnsi="Arial" w:cs="Arial" w:eastAsia="Arial"/>
          <w:i/>
          <w:color w:val="auto"/>
          <w:spacing w:val="0"/>
          <w:position w:val="0"/>
          <w:sz w:val="22"/>
          <w:shd w:fill="auto" w:val="clear"/>
        </w:rPr>
        <w:t xml:space="preserve">Integrated health and social care for people experiencing homelessness (NG214)</w:t>
      </w:r>
      <w:r>
        <w:rPr>
          <w:rFonts w:ascii="Arial" w:hAnsi="Arial" w:cs="Arial" w:eastAsia="Arial"/>
          <w:color w:val="auto"/>
          <w:spacing w:val="0"/>
          <w:position w:val="0"/>
          <w:sz w:val="22"/>
          <w:shd w:fill="auto" w:val="clear"/>
        </w:rPr>
        <w:t xml:space="preserve">. London: NICE.</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England (2019) </w:t>
      </w:r>
      <w:r>
        <w:rPr>
          <w:rFonts w:ascii="Arial" w:hAnsi="Arial" w:cs="Arial" w:eastAsia="Arial"/>
          <w:i/>
          <w:color w:val="auto"/>
          <w:spacing w:val="0"/>
          <w:position w:val="0"/>
          <w:sz w:val="22"/>
          <w:shd w:fill="auto" w:val="clear"/>
        </w:rPr>
        <w:t xml:space="preserve">The NHS Long Term Plan</w:t>
      </w:r>
      <w:r>
        <w:rPr>
          <w:rFonts w:ascii="Arial" w:hAnsi="Arial" w:cs="Arial" w:eastAsia="Arial"/>
          <w:color w:val="auto"/>
          <w:spacing w:val="0"/>
          <w:position w:val="0"/>
          <w:sz w:val="22"/>
          <w:shd w:fill="auto" w:val="clear"/>
        </w:rPr>
        <w:t xml:space="preserve">. London: NHS England.</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England (2024) </w:t>
      </w:r>
      <w:r>
        <w:rPr>
          <w:rFonts w:ascii="Arial" w:hAnsi="Arial" w:cs="Arial" w:eastAsia="Arial"/>
          <w:i/>
          <w:color w:val="auto"/>
          <w:spacing w:val="0"/>
          <w:position w:val="0"/>
          <w:sz w:val="22"/>
          <w:shd w:fill="auto" w:val="clear"/>
        </w:rPr>
        <w:t xml:space="preserve">Core20PLUS5 </w:t>
      </w:r>
      <w:r>
        <w:rPr>
          <w:rFonts w:ascii="Arial" w:hAnsi="Arial" w:cs="Arial" w:eastAsia="Arial"/>
          <w:i/>
          <w:color w:val="auto"/>
          <w:spacing w:val="0"/>
          <w:position w:val="0"/>
          <w:sz w:val="22"/>
          <w:shd w:fill="auto" w:val="clear"/>
        </w:rPr>
        <w:t xml:space="preserve">–</w:t>
      </w:r>
      <w:r>
        <w:rPr>
          <w:rFonts w:ascii="Arial" w:hAnsi="Arial" w:cs="Arial" w:eastAsia="Arial"/>
          <w:i/>
          <w:color w:val="auto"/>
          <w:spacing w:val="0"/>
          <w:position w:val="0"/>
          <w:sz w:val="22"/>
          <w:shd w:fill="auto" w:val="clear"/>
        </w:rPr>
        <w:t xml:space="preserve"> An approach to reducing healthcare inequalities</w:t>
      </w:r>
      <w:r>
        <w:rPr>
          <w:rFonts w:ascii="Arial" w:hAnsi="Arial" w:cs="Arial" w:eastAsia="Arial"/>
          <w:color w:val="auto"/>
          <w:spacing w:val="0"/>
          <w:position w:val="0"/>
          <w:sz w:val="22"/>
          <w:shd w:fill="auto" w:val="clear"/>
        </w:rPr>
        <w:t xml:space="preserve">. London: NHS England.</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Office for National Statistics (2024) </w:t>
      </w:r>
      <w:r>
        <w:rPr>
          <w:rFonts w:ascii="Arial" w:hAnsi="Arial" w:cs="Arial" w:eastAsia="Arial"/>
          <w:i/>
          <w:color w:val="auto"/>
          <w:spacing w:val="0"/>
          <w:position w:val="0"/>
          <w:sz w:val="22"/>
          <w:shd w:fill="auto" w:val="clear"/>
        </w:rPr>
        <w:t xml:space="preserve">Deaths of homeless people in England and Wales: 2023 registrations</w:t>
      </w:r>
      <w:r>
        <w:rPr>
          <w:rFonts w:ascii="Arial" w:hAnsi="Arial" w:cs="Arial" w:eastAsia="Arial"/>
          <w:color w:val="auto"/>
          <w:spacing w:val="0"/>
          <w:position w:val="0"/>
          <w:sz w:val="22"/>
          <w:shd w:fill="auto" w:val="clear"/>
        </w:rPr>
        <w:t xml:space="preserve">. Newport: ONS.</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UK Government (2010) </w:t>
      </w:r>
      <w:r>
        <w:rPr>
          <w:rFonts w:ascii="Arial" w:hAnsi="Arial" w:cs="Arial" w:eastAsia="Arial"/>
          <w:i/>
          <w:color w:val="auto"/>
          <w:spacing w:val="0"/>
          <w:position w:val="0"/>
          <w:sz w:val="22"/>
          <w:shd w:fill="auto" w:val="clear"/>
        </w:rPr>
        <w:t xml:space="preserve">Equality Act 2010</w:t>
      </w:r>
      <w:r>
        <w:rPr>
          <w:rFonts w:ascii="Arial" w:hAnsi="Arial" w:cs="Arial" w:eastAsia="Arial"/>
          <w:color w:val="auto"/>
          <w:spacing w:val="0"/>
          <w:position w:val="0"/>
          <w:sz w:val="22"/>
          <w:shd w:fill="auto" w:val="clear"/>
        </w:rPr>
        <w:t xml:space="preserve">. London: The Stationery Office.</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UK Government (2014) </w:t>
      </w:r>
      <w:r>
        <w:rPr>
          <w:rFonts w:ascii="Arial" w:hAnsi="Arial" w:cs="Arial" w:eastAsia="Arial"/>
          <w:i/>
          <w:color w:val="auto"/>
          <w:spacing w:val="0"/>
          <w:position w:val="0"/>
          <w:sz w:val="22"/>
          <w:shd w:fill="auto" w:val="clear"/>
        </w:rPr>
        <w:t xml:space="preserve">Care Act 2014</w:t>
      </w:r>
      <w:r>
        <w:rPr>
          <w:rFonts w:ascii="Arial" w:hAnsi="Arial" w:cs="Arial" w:eastAsia="Arial"/>
          <w:color w:val="auto"/>
          <w:spacing w:val="0"/>
          <w:position w:val="0"/>
          <w:sz w:val="22"/>
          <w:shd w:fill="auto" w:val="clear"/>
        </w:rPr>
        <w:t xml:space="preserve">. London: The Stationery Office.</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UK Government (2018) </w:t>
      </w:r>
      <w:r>
        <w:rPr>
          <w:rFonts w:ascii="Arial" w:hAnsi="Arial" w:cs="Arial" w:eastAsia="Arial"/>
          <w:i/>
          <w:color w:val="auto"/>
          <w:spacing w:val="0"/>
          <w:position w:val="0"/>
          <w:sz w:val="22"/>
          <w:shd w:fill="auto" w:val="clear"/>
        </w:rPr>
        <w:t xml:space="preserve">Data Protection Act 2018</w:t>
      </w:r>
      <w:r>
        <w:rPr>
          <w:rFonts w:ascii="Arial" w:hAnsi="Arial" w:cs="Arial" w:eastAsia="Arial"/>
          <w:color w:val="auto"/>
          <w:spacing w:val="0"/>
          <w:position w:val="0"/>
          <w:sz w:val="22"/>
          <w:shd w:fill="auto" w:val="clear"/>
        </w:rPr>
        <w:t xml:space="preserve">. London: The Stationery Office.</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World Health Organization (2021) </w:t>
      </w:r>
      <w:r>
        <w:rPr>
          <w:rFonts w:ascii="Arial" w:hAnsi="Arial" w:cs="Arial" w:eastAsia="Arial"/>
          <w:i/>
          <w:color w:val="auto"/>
          <w:spacing w:val="0"/>
          <w:position w:val="0"/>
          <w:sz w:val="22"/>
          <w:shd w:fill="auto" w:val="clear"/>
        </w:rPr>
        <w:t xml:space="preserve">Social determinants of health</w:t>
      </w:r>
      <w:r>
        <w:rPr>
          <w:rFonts w:ascii="Arial" w:hAnsi="Arial" w:cs="Arial" w:eastAsia="Arial"/>
          <w:color w:val="auto"/>
          <w:spacing w:val="0"/>
          <w:position w:val="0"/>
          <w:sz w:val="22"/>
          <w:shd w:fill="auto" w:val="clear"/>
        </w:rPr>
        <w:t xml:space="preserve">. Geneva: World Health Organization.</w:t>
      </w:r>
    </w:p>
    <w:p>
      <w:pPr>
        <w:spacing w:before="240" w:after="240" w:line="278"/>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World Health Organization (2023) </w:t>
      </w:r>
      <w:r>
        <w:rPr>
          <w:rFonts w:ascii="Arial" w:hAnsi="Arial" w:cs="Arial" w:eastAsia="Arial"/>
          <w:i/>
          <w:color w:val="auto"/>
          <w:spacing w:val="0"/>
          <w:position w:val="0"/>
          <w:sz w:val="22"/>
          <w:shd w:fill="auto" w:val="clear"/>
        </w:rPr>
        <w:t xml:space="preserve">Health equity and its determinants</w:t>
      </w:r>
      <w:r>
        <w:rPr>
          <w:rFonts w:ascii="Arial" w:hAnsi="Arial" w:cs="Arial" w:eastAsia="Arial"/>
          <w:color w:val="auto"/>
          <w:spacing w:val="0"/>
          <w:position w:val="0"/>
          <w:sz w:val="22"/>
          <w:shd w:fill="auto" w:val="clear"/>
        </w:rPr>
        <w:t xml:space="preserve">. Geneva: World Health Organization.</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