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2016643071"/>
        <w:docPartObj>
          <w:docPartGallery w:val="Cover Pages"/>
          <w:docPartUnique/>
        </w:docPartObj>
      </w:sdtPr>
      <w:sdtEndPr>
        <w:rPr>
          <w:b/>
          <w:sz w:val="28"/>
          <w:szCs w:val="28"/>
        </w:rPr>
      </w:sdtEndPr>
      <w:sdtContent>
        <w:p w14:paraId="1D1BA330" w14:textId="6C288006" w:rsidR="00A95166" w:rsidRDefault="00A95166">
          <w:r>
            <w:rPr>
              <w:noProof/>
            </w:rPr>
            <mc:AlternateContent>
              <mc:Choice Requires="wpg">
                <w:drawing>
                  <wp:anchor distT="0" distB="0" distL="114300" distR="114300" simplePos="0" relativeHeight="251659264" behindDoc="0" locked="0" layoutInCell="1" allowOverlap="1" wp14:anchorId="441AD3E1" wp14:editId="543F3175">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EndPr/>
                                  <w:sdtContent>
                                    <w:p w14:paraId="3E079D82" w14:textId="247EAA2C" w:rsidR="00A95166" w:rsidRDefault="00A95166">
                                      <w:pPr>
                                        <w:pStyle w:val="NoSpacing"/>
                                        <w:rPr>
                                          <w:color w:val="FFFFFF" w:themeColor="background1"/>
                                          <w:sz w:val="96"/>
                                          <w:szCs w:val="96"/>
                                        </w:rPr>
                                      </w:pPr>
                                      <w:r>
                                        <w:rPr>
                                          <w:color w:val="FFFFFF" w:themeColor="background1"/>
                                          <w:sz w:val="96"/>
                                          <w:szCs w:val="96"/>
                                        </w:rPr>
                                        <w:t>202</w:t>
                                      </w:r>
                                      <w:r w:rsidR="00F74477">
                                        <w:rPr>
                                          <w:color w:val="FFFFFF" w:themeColor="background1"/>
                                          <w:sz w:val="96"/>
                                          <w:szCs w:val="96"/>
                                        </w:rPr>
                                        <w:t>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FAFDB6B" w14:textId="26FA8B34" w:rsidR="00A95166" w:rsidRPr="00A95166" w:rsidRDefault="00D515E2" w:rsidP="00A95166">
                                      <w:pPr>
                                        <w:pStyle w:val="NoSpacing"/>
                                        <w:spacing w:line="360" w:lineRule="auto"/>
                                        <w:rPr>
                                          <w:rFonts w:ascii="Calibri" w:hAnsi="Calibri"/>
                                          <w:color w:val="FFFFFF"/>
                                        </w:rPr>
                                      </w:pPr>
                                      <w:r>
                                        <w:rPr>
                                          <w:color w:val="FFFFFF" w:themeColor="background1"/>
                                        </w:rPr>
                                        <w:t>MD R</w:t>
                                      </w:r>
                                      <w:r w:rsidR="009D5283">
                                        <w:rPr>
                                          <w:color w:val="FFFFFF" w:themeColor="background1"/>
                                        </w:rPr>
                                        <w:t xml:space="preserve"> Ahmed</w:t>
                                      </w:r>
                                    </w:p>
                                  </w:sdtContent>
                                </w:sdt>
                                <w:p w14:paraId="7881789A" w14:textId="77777777" w:rsidR="00A95166" w:rsidRPr="00A95166" w:rsidRDefault="00A95166" w:rsidP="00A95166">
                                  <w:pPr>
                                    <w:spacing w:line="360" w:lineRule="auto"/>
                                    <w:rPr>
                                      <w:rFonts w:ascii="Calibri" w:hAnsi="Calibri"/>
                                      <w:color w:val="FFFFFF"/>
                                      <w:sz w:val="22"/>
                                      <w:szCs w:val="22"/>
                                      <w:lang w:val="en-US" w:eastAsia="en-US"/>
                                    </w:rPr>
                                  </w:pPr>
                                  <w:r w:rsidRPr="00A95166">
                                    <w:rPr>
                                      <w:rFonts w:ascii="Calibri" w:hAnsi="Calibri"/>
                                      <w:sz w:val="22"/>
                                      <w:szCs w:val="22"/>
                                      <w:lang w:val="en-US" w:eastAsia="en-US"/>
                                    </w:rPr>
                                    <w:t xml:space="preserve">     </w:t>
                                  </w:r>
                                </w:p>
                                <w:p w14:paraId="19FC98E5" w14:textId="77777777" w:rsidR="00A95166" w:rsidRPr="00A95166" w:rsidRDefault="00A95166" w:rsidP="00A95166">
                                  <w:pPr>
                                    <w:jc w:val="both"/>
                                    <w:rPr>
                                      <w:rFonts w:ascii="Arial" w:hAnsi="Arial" w:cs="Arial"/>
                                      <w:b/>
                                      <w:sz w:val="22"/>
                                      <w:szCs w:val="22"/>
                                    </w:rPr>
                                  </w:pPr>
                                  <w:r w:rsidRPr="00A95166">
                                    <w:rPr>
                                      <w:rFonts w:ascii="Arial" w:hAnsi="Arial" w:cs="Arial"/>
                                      <w:b/>
                                      <w:sz w:val="22"/>
                                      <w:szCs w:val="22"/>
                                    </w:rPr>
                                    <w:t>Student Name: MD ROSHID AHMED</w:t>
                                  </w:r>
                                </w:p>
                                <w:p w14:paraId="0A8240DE" w14:textId="77777777" w:rsidR="00A95166" w:rsidRPr="00A95166" w:rsidRDefault="00A95166" w:rsidP="00A95166">
                                  <w:pPr>
                                    <w:jc w:val="both"/>
                                    <w:rPr>
                                      <w:rFonts w:ascii="Arial" w:hAnsi="Arial" w:cs="Arial"/>
                                      <w:b/>
                                      <w:sz w:val="22"/>
                                      <w:szCs w:val="22"/>
                                    </w:rPr>
                                  </w:pPr>
                                  <w:r w:rsidRPr="00A95166">
                                    <w:rPr>
                                      <w:rFonts w:ascii="Arial" w:hAnsi="Arial" w:cs="Arial"/>
                                      <w:b/>
                                      <w:sz w:val="22"/>
                                      <w:szCs w:val="22"/>
                                    </w:rPr>
                                    <w:t>Student ID: 1922561</w:t>
                                  </w:r>
                                </w:p>
                                <w:p w14:paraId="41FF368D" w14:textId="52481856" w:rsidR="00A95166" w:rsidRPr="00A95166" w:rsidRDefault="00A95166" w:rsidP="00A95166">
                                  <w:pPr>
                                    <w:jc w:val="both"/>
                                    <w:rPr>
                                      <w:rFonts w:ascii="Arial" w:hAnsi="Arial" w:cs="Arial"/>
                                      <w:b/>
                                      <w:sz w:val="22"/>
                                      <w:szCs w:val="22"/>
                                    </w:rPr>
                                  </w:pPr>
                                  <w:r w:rsidRPr="00A95166">
                                    <w:rPr>
                                      <w:rFonts w:ascii="Arial" w:hAnsi="Arial" w:cs="Arial"/>
                                      <w:b/>
                                      <w:sz w:val="22"/>
                                      <w:szCs w:val="22"/>
                                    </w:rPr>
                                    <w:t xml:space="preserve">Course Lecturer: </w:t>
                                  </w:r>
                                  <w:r w:rsidR="00A40ABB">
                                    <w:rPr>
                                      <w:rFonts w:ascii="Arial" w:hAnsi="Arial" w:cs="Arial"/>
                                      <w:b/>
                                      <w:sz w:val="22"/>
                                      <w:szCs w:val="22"/>
                                    </w:rPr>
                                    <w:t>Laura Knight</w:t>
                                  </w:r>
                                </w:p>
                                <w:p w14:paraId="76DC9802" w14:textId="63F8C5B7" w:rsidR="00A95166" w:rsidRPr="00A95166" w:rsidRDefault="00A95166" w:rsidP="00A95166">
                                  <w:pPr>
                                    <w:jc w:val="both"/>
                                    <w:rPr>
                                      <w:rFonts w:ascii="Arial" w:hAnsi="Arial" w:cs="Arial"/>
                                      <w:b/>
                                      <w:sz w:val="22"/>
                                      <w:szCs w:val="22"/>
                                    </w:rPr>
                                  </w:pPr>
                                  <w:r w:rsidRPr="00A95166">
                                    <w:rPr>
                                      <w:rFonts w:ascii="Arial" w:hAnsi="Arial" w:cs="Arial"/>
                                      <w:b/>
                                      <w:sz w:val="22"/>
                                      <w:szCs w:val="22"/>
                                    </w:rPr>
                                    <w:t xml:space="preserve">Course Module: </w:t>
                                  </w:r>
                                  <w:r w:rsidR="00A40ABB">
                                    <w:rPr>
                                      <w:rFonts w:ascii="Arial" w:hAnsi="Arial" w:cs="Arial"/>
                                      <w:b/>
                                      <w:sz w:val="22"/>
                                      <w:szCs w:val="22"/>
                                    </w:rPr>
                                    <w:t>European Law</w:t>
                                  </w:r>
                                </w:p>
                                <w:p w14:paraId="07C08E4C" w14:textId="7954A65F" w:rsidR="00A95166" w:rsidRPr="00A95166" w:rsidRDefault="00A95166" w:rsidP="00A95166">
                                  <w:pPr>
                                    <w:jc w:val="both"/>
                                    <w:rPr>
                                      <w:rFonts w:ascii="Arial" w:hAnsi="Arial" w:cs="Arial"/>
                                      <w:b/>
                                      <w:sz w:val="22"/>
                                      <w:szCs w:val="22"/>
                                    </w:rPr>
                                  </w:pPr>
                                  <w:r w:rsidRPr="00A95166">
                                    <w:rPr>
                                      <w:rFonts w:ascii="Arial" w:hAnsi="Arial" w:cs="Arial"/>
                                      <w:b/>
                                      <w:sz w:val="22"/>
                                      <w:szCs w:val="22"/>
                                    </w:rPr>
                                    <w:t>Course Code: BMLW</w:t>
                                  </w:r>
                                  <w:r w:rsidR="00A40ABB">
                                    <w:rPr>
                                      <w:rFonts w:ascii="Arial" w:hAnsi="Arial" w:cs="Arial"/>
                                      <w:b/>
                                      <w:sz w:val="22"/>
                                      <w:szCs w:val="22"/>
                                    </w:rPr>
                                    <w:t>5007</w:t>
                                  </w:r>
                                </w:p>
                                <w:p w14:paraId="011FBFF9" w14:textId="496DBF90" w:rsidR="00A95166" w:rsidRPr="00A95166" w:rsidRDefault="00A95166" w:rsidP="00A95166">
                                  <w:pPr>
                                    <w:jc w:val="both"/>
                                    <w:rPr>
                                      <w:rFonts w:ascii="Arial" w:hAnsi="Arial" w:cs="Arial"/>
                                      <w:b/>
                                      <w:sz w:val="22"/>
                                      <w:szCs w:val="22"/>
                                    </w:rPr>
                                  </w:pPr>
                                  <w:r w:rsidRPr="00A95166">
                                    <w:rPr>
                                      <w:rFonts w:ascii="Arial" w:hAnsi="Arial" w:cs="Arial"/>
                                      <w:b/>
                                      <w:sz w:val="22"/>
                                      <w:szCs w:val="22"/>
                                    </w:rPr>
                                    <w:t>Submission Date: 0</w:t>
                                  </w:r>
                                  <w:r w:rsidR="00A40ABB">
                                    <w:rPr>
                                      <w:rFonts w:ascii="Arial" w:hAnsi="Arial" w:cs="Arial"/>
                                      <w:b/>
                                      <w:sz w:val="22"/>
                                      <w:szCs w:val="22"/>
                                    </w:rPr>
                                    <w:t>4</w:t>
                                  </w:r>
                                  <w:r w:rsidRPr="00A95166">
                                    <w:rPr>
                                      <w:rFonts w:ascii="Arial" w:hAnsi="Arial" w:cs="Arial"/>
                                      <w:b/>
                                      <w:sz w:val="22"/>
                                      <w:szCs w:val="22"/>
                                      <w:vertAlign w:val="superscript"/>
                                    </w:rPr>
                                    <w:t>th</w:t>
                                  </w:r>
                                  <w:r w:rsidRPr="00A95166">
                                    <w:rPr>
                                      <w:rFonts w:ascii="Arial" w:hAnsi="Arial" w:cs="Arial"/>
                                      <w:b/>
                                      <w:sz w:val="22"/>
                                      <w:szCs w:val="22"/>
                                    </w:rPr>
                                    <w:t xml:space="preserve"> March 202</w:t>
                                  </w:r>
                                  <w:r w:rsidR="00A40ABB">
                                    <w:rPr>
                                      <w:rFonts w:ascii="Arial" w:hAnsi="Arial" w:cs="Arial"/>
                                      <w:b/>
                                      <w:sz w:val="22"/>
                                      <w:szCs w:val="22"/>
                                    </w:rPr>
                                    <w:t>2</w:t>
                                  </w:r>
                                </w:p>
                                <w:p w14:paraId="37ABAB38" w14:textId="3A145613" w:rsidR="00A95166" w:rsidRDefault="00A95166">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21AB7E60" w14:textId="3925BDE8" w:rsidR="00A95166" w:rsidRDefault="00A95166">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41AD3E1"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EndPr/>
                            <w:sdtContent>
                              <w:p w14:paraId="3E079D82" w14:textId="247EAA2C" w:rsidR="00A95166" w:rsidRDefault="00A95166">
                                <w:pPr>
                                  <w:pStyle w:val="NoSpacing"/>
                                  <w:rPr>
                                    <w:color w:val="FFFFFF" w:themeColor="background1"/>
                                    <w:sz w:val="96"/>
                                    <w:szCs w:val="96"/>
                                  </w:rPr>
                                </w:pPr>
                                <w:r>
                                  <w:rPr>
                                    <w:color w:val="FFFFFF" w:themeColor="background1"/>
                                    <w:sz w:val="96"/>
                                    <w:szCs w:val="96"/>
                                  </w:rPr>
                                  <w:t>202</w:t>
                                </w:r>
                                <w:r w:rsidR="00F74477">
                                  <w:rPr>
                                    <w:color w:val="FFFFFF" w:themeColor="background1"/>
                                    <w:sz w:val="96"/>
                                    <w:szCs w:val="96"/>
                                  </w:rPr>
                                  <w:t>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FAFDB6B" w14:textId="26FA8B34" w:rsidR="00A95166" w:rsidRPr="00A95166" w:rsidRDefault="00D515E2" w:rsidP="00A95166">
                                <w:pPr>
                                  <w:pStyle w:val="NoSpacing"/>
                                  <w:spacing w:line="360" w:lineRule="auto"/>
                                  <w:rPr>
                                    <w:rFonts w:ascii="Calibri" w:hAnsi="Calibri"/>
                                    <w:color w:val="FFFFFF"/>
                                  </w:rPr>
                                </w:pPr>
                                <w:r>
                                  <w:rPr>
                                    <w:color w:val="FFFFFF" w:themeColor="background1"/>
                                  </w:rPr>
                                  <w:t>MD R</w:t>
                                </w:r>
                                <w:r w:rsidR="009D5283">
                                  <w:rPr>
                                    <w:color w:val="FFFFFF" w:themeColor="background1"/>
                                  </w:rPr>
                                  <w:t xml:space="preserve"> Ahmed</w:t>
                                </w:r>
                              </w:p>
                            </w:sdtContent>
                          </w:sdt>
                          <w:p w14:paraId="7881789A" w14:textId="77777777" w:rsidR="00A95166" w:rsidRPr="00A95166" w:rsidRDefault="00A95166" w:rsidP="00A95166">
                            <w:pPr>
                              <w:spacing w:line="360" w:lineRule="auto"/>
                              <w:rPr>
                                <w:rFonts w:ascii="Calibri" w:hAnsi="Calibri"/>
                                <w:color w:val="FFFFFF"/>
                                <w:sz w:val="22"/>
                                <w:szCs w:val="22"/>
                                <w:lang w:val="en-US" w:eastAsia="en-US"/>
                              </w:rPr>
                            </w:pPr>
                            <w:r w:rsidRPr="00A95166">
                              <w:rPr>
                                <w:rFonts w:ascii="Calibri" w:hAnsi="Calibri"/>
                                <w:sz w:val="22"/>
                                <w:szCs w:val="22"/>
                                <w:lang w:val="en-US" w:eastAsia="en-US"/>
                              </w:rPr>
                              <w:t xml:space="preserve">     </w:t>
                            </w:r>
                          </w:p>
                          <w:p w14:paraId="19FC98E5" w14:textId="77777777" w:rsidR="00A95166" w:rsidRPr="00A95166" w:rsidRDefault="00A95166" w:rsidP="00A95166">
                            <w:pPr>
                              <w:jc w:val="both"/>
                              <w:rPr>
                                <w:rFonts w:ascii="Arial" w:hAnsi="Arial" w:cs="Arial"/>
                                <w:b/>
                                <w:sz w:val="22"/>
                                <w:szCs w:val="22"/>
                              </w:rPr>
                            </w:pPr>
                            <w:r w:rsidRPr="00A95166">
                              <w:rPr>
                                <w:rFonts w:ascii="Arial" w:hAnsi="Arial" w:cs="Arial"/>
                                <w:b/>
                                <w:sz w:val="22"/>
                                <w:szCs w:val="22"/>
                              </w:rPr>
                              <w:t>Student Name: MD ROSHID AHMED</w:t>
                            </w:r>
                          </w:p>
                          <w:p w14:paraId="0A8240DE" w14:textId="77777777" w:rsidR="00A95166" w:rsidRPr="00A95166" w:rsidRDefault="00A95166" w:rsidP="00A95166">
                            <w:pPr>
                              <w:jc w:val="both"/>
                              <w:rPr>
                                <w:rFonts w:ascii="Arial" w:hAnsi="Arial" w:cs="Arial"/>
                                <w:b/>
                                <w:sz w:val="22"/>
                                <w:szCs w:val="22"/>
                              </w:rPr>
                            </w:pPr>
                            <w:r w:rsidRPr="00A95166">
                              <w:rPr>
                                <w:rFonts w:ascii="Arial" w:hAnsi="Arial" w:cs="Arial"/>
                                <w:b/>
                                <w:sz w:val="22"/>
                                <w:szCs w:val="22"/>
                              </w:rPr>
                              <w:t>Student ID: 1922561</w:t>
                            </w:r>
                          </w:p>
                          <w:p w14:paraId="41FF368D" w14:textId="52481856" w:rsidR="00A95166" w:rsidRPr="00A95166" w:rsidRDefault="00A95166" w:rsidP="00A95166">
                            <w:pPr>
                              <w:jc w:val="both"/>
                              <w:rPr>
                                <w:rFonts w:ascii="Arial" w:hAnsi="Arial" w:cs="Arial"/>
                                <w:b/>
                                <w:sz w:val="22"/>
                                <w:szCs w:val="22"/>
                              </w:rPr>
                            </w:pPr>
                            <w:r w:rsidRPr="00A95166">
                              <w:rPr>
                                <w:rFonts w:ascii="Arial" w:hAnsi="Arial" w:cs="Arial"/>
                                <w:b/>
                                <w:sz w:val="22"/>
                                <w:szCs w:val="22"/>
                              </w:rPr>
                              <w:t xml:space="preserve">Course Lecturer: </w:t>
                            </w:r>
                            <w:r w:rsidR="00A40ABB">
                              <w:rPr>
                                <w:rFonts w:ascii="Arial" w:hAnsi="Arial" w:cs="Arial"/>
                                <w:b/>
                                <w:sz w:val="22"/>
                                <w:szCs w:val="22"/>
                              </w:rPr>
                              <w:t>Laura Knight</w:t>
                            </w:r>
                          </w:p>
                          <w:p w14:paraId="76DC9802" w14:textId="63F8C5B7" w:rsidR="00A95166" w:rsidRPr="00A95166" w:rsidRDefault="00A95166" w:rsidP="00A95166">
                            <w:pPr>
                              <w:jc w:val="both"/>
                              <w:rPr>
                                <w:rFonts w:ascii="Arial" w:hAnsi="Arial" w:cs="Arial"/>
                                <w:b/>
                                <w:sz w:val="22"/>
                                <w:szCs w:val="22"/>
                              </w:rPr>
                            </w:pPr>
                            <w:r w:rsidRPr="00A95166">
                              <w:rPr>
                                <w:rFonts w:ascii="Arial" w:hAnsi="Arial" w:cs="Arial"/>
                                <w:b/>
                                <w:sz w:val="22"/>
                                <w:szCs w:val="22"/>
                              </w:rPr>
                              <w:t xml:space="preserve">Course Module: </w:t>
                            </w:r>
                            <w:r w:rsidR="00A40ABB">
                              <w:rPr>
                                <w:rFonts w:ascii="Arial" w:hAnsi="Arial" w:cs="Arial"/>
                                <w:b/>
                                <w:sz w:val="22"/>
                                <w:szCs w:val="22"/>
                              </w:rPr>
                              <w:t>European Law</w:t>
                            </w:r>
                          </w:p>
                          <w:p w14:paraId="07C08E4C" w14:textId="7954A65F" w:rsidR="00A95166" w:rsidRPr="00A95166" w:rsidRDefault="00A95166" w:rsidP="00A95166">
                            <w:pPr>
                              <w:jc w:val="both"/>
                              <w:rPr>
                                <w:rFonts w:ascii="Arial" w:hAnsi="Arial" w:cs="Arial"/>
                                <w:b/>
                                <w:sz w:val="22"/>
                                <w:szCs w:val="22"/>
                              </w:rPr>
                            </w:pPr>
                            <w:r w:rsidRPr="00A95166">
                              <w:rPr>
                                <w:rFonts w:ascii="Arial" w:hAnsi="Arial" w:cs="Arial"/>
                                <w:b/>
                                <w:sz w:val="22"/>
                                <w:szCs w:val="22"/>
                              </w:rPr>
                              <w:t>Course Code: BMLW</w:t>
                            </w:r>
                            <w:r w:rsidR="00A40ABB">
                              <w:rPr>
                                <w:rFonts w:ascii="Arial" w:hAnsi="Arial" w:cs="Arial"/>
                                <w:b/>
                                <w:sz w:val="22"/>
                                <w:szCs w:val="22"/>
                              </w:rPr>
                              <w:t>5007</w:t>
                            </w:r>
                          </w:p>
                          <w:p w14:paraId="011FBFF9" w14:textId="496DBF90" w:rsidR="00A95166" w:rsidRPr="00A95166" w:rsidRDefault="00A95166" w:rsidP="00A95166">
                            <w:pPr>
                              <w:jc w:val="both"/>
                              <w:rPr>
                                <w:rFonts w:ascii="Arial" w:hAnsi="Arial" w:cs="Arial"/>
                                <w:b/>
                                <w:sz w:val="22"/>
                                <w:szCs w:val="22"/>
                              </w:rPr>
                            </w:pPr>
                            <w:r w:rsidRPr="00A95166">
                              <w:rPr>
                                <w:rFonts w:ascii="Arial" w:hAnsi="Arial" w:cs="Arial"/>
                                <w:b/>
                                <w:sz w:val="22"/>
                                <w:szCs w:val="22"/>
                              </w:rPr>
                              <w:t>Submission Date: 0</w:t>
                            </w:r>
                            <w:r w:rsidR="00A40ABB">
                              <w:rPr>
                                <w:rFonts w:ascii="Arial" w:hAnsi="Arial" w:cs="Arial"/>
                                <w:b/>
                                <w:sz w:val="22"/>
                                <w:szCs w:val="22"/>
                              </w:rPr>
                              <w:t>4</w:t>
                            </w:r>
                            <w:r w:rsidRPr="00A95166">
                              <w:rPr>
                                <w:rFonts w:ascii="Arial" w:hAnsi="Arial" w:cs="Arial"/>
                                <w:b/>
                                <w:sz w:val="22"/>
                                <w:szCs w:val="22"/>
                                <w:vertAlign w:val="superscript"/>
                              </w:rPr>
                              <w:t>th</w:t>
                            </w:r>
                            <w:r w:rsidRPr="00A95166">
                              <w:rPr>
                                <w:rFonts w:ascii="Arial" w:hAnsi="Arial" w:cs="Arial"/>
                                <w:b/>
                                <w:sz w:val="22"/>
                                <w:szCs w:val="22"/>
                              </w:rPr>
                              <w:t xml:space="preserve"> March 202</w:t>
                            </w:r>
                            <w:r w:rsidR="00A40ABB">
                              <w:rPr>
                                <w:rFonts w:ascii="Arial" w:hAnsi="Arial" w:cs="Arial"/>
                                <w:b/>
                                <w:sz w:val="22"/>
                                <w:szCs w:val="22"/>
                              </w:rPr>
                              <w:t>2</w:t>
                            </w:r>
                          </w:p>
                          <w:p w14:paraId="37ABAB38" w14:textId="3A145613" w:rsidR="00A95166" w:rsidRDefault="00A95166">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21AB7E60" w14:textId="3925BDE8" w:rsidR="00A95166" w:rsidRDefault="00A95166">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175943BA" wp14:editId="5687F177">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00"/>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BDAA114" w14:textId="21BFEFDE" w:rsidR="00A95166" w:rsidRDefault="00F74477" w:rsidP="00F74477">
                                    <w:pPr>
                                      <w:pStyle w:val="NoSpacing"/>
                                      <w:jc w:val="center"/>
                                      <w:rPr>
                                        <w:color w:val="FFFFFF" w:themeColor="background1"/>
                                        <w:sz w:val="72"/>
                                        <w:szCs w:val="72"/>
                                      </w:rPr>
                                    </w:pPr>
                                    <w:r>
                                      <w:rPr>
                                        <w:color w:val="FFFF00"/>
                                        <w:sz w:val="40"/>
                                        <w:szCs w:val="40"/>
                                      </w:rPr>
                                      <w:t xml:space="preserve">European Law </w:t>
                                    </w:r>
                                    <w:r w:rsidR="00A95166" w:rsidRPr="00A95166">
                                      <w:rPr>
                                        <w:color w:val="FFFF00"/>
                                        <w:sz w:val="40"/>
                                        <w:szCs w:val="40"/>
                                      </w:rPr>
                                      <w:t>- Assignment:</w:t>
                                    </w:r>
                                    <w:r>
                                      <w:rPr>
                                        <w:color w:val="FFFF00"/>
                                        <w:sz w:val="40"/>
                                        <w:szCs w:val="40"/>
                                      </w:rPr>
                                      <w:t xml:space="preserve"> 1</w:t>
                                    </w:r>
                                    <w:r w:rsidR="00A95166" w:rsidRPr="00A95166">
                                      <w:rPr>
                                        <w:color w:val="FFFF00"/>
                                        <w:sz w:val="40"/>
                                        <w:szCs w:val="40"/>
                                      </w:rPr>
                                      <w:t xml:space="preserve"> – </w:t>
                                    </w:r>
                                    <w:r>
                                      <w:rPr>
                                        <w:color w:val="FFFF00"/>
                                        <w:sz w:val="40"/>
                                        <w:szCs w:val="40"/>
                                      </w:rPr>
                                      <w:t>Democratic deficit.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75943BA"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00"/>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BDAA114" w14:textId="21BFEFDE" w:rsidR="00A95166" w:rsidRDefault="00F74477" w:rsidP="00F74477">
                              <w:pPr>
                                <w:pStyle w:val="NoSpacing"/>
                                <w:jc w:val="center"/>
                                <w:rPr>
                                  <w:color w:val="FFFFFF" w:themeColor="background1"/>
                                  <w:sz w:val="72"/>
                                  <w:szCs w:val="72"/>
                                </w:rPr>
                              </w:pPr>
                              <w:r>
                                <w:rPr>
                                  <w:color w:val="FFFF00"/>
                                  <w:sz w:val="40"/>
                                  <w:szCs w:val="40"/>
                                </w:rPr>
                                <w:t xml:space="preserve">European Law </w:t>
                              </w:r>
                              <w:r w:rsidR="00A95166" w:rsidRPr="00A95166">
                                <w:rPr>
                                  <w:color w:val="FFFF00"/>
                                  <w:sz w:val="40"/>
                                  <w:szCs w:val="40"/>
                                </w:rPr>
                                <w:t>- Assignment:</w:t>
                              </w:r>
                              <w:r>
                                <w:rPr>
                                  <w:color w:val="FFFF00"/>
                                  <w:sz w:val="40"/>
                                  <w:szCs w:val="40"/>
                                </w:rPr>
                                <w:t xml:space="preserve"> 1</w:t>
                              </w:r>
                              <w:r w:rsidR="00A95166" w:rsidRPr="00A95166">
                                <w:rPr>
                                  <w:color w:val="FFFF00"/>
                                  <w:sz w:val="40"/>
                                  <w:szCs w:val="40"/>
                                </w:rPr>
                                <w:t xml:space="preserve"> – </w:t>
                              </w:r>
                              <w:r>
                                <w:rPr>
                                  <w:color w:val="FFFF00"/>
                                  <w:sz w:val="40"/>
                                  <w:szCs w:val="40"/>
                                </w:rPr>
                                <w:t>Democratic deficit.</w:t>
                              </w:r>
                            </w:p>
                          </w:sdtContent>
                        </w:sdt>
                      </w:txbxContent>
                    </v:textbox>
                    <w10:wrap anchorx="page" anchory="page"/>
                  </v:rect>
                </w:pict>
              </mc:Fallback>
            </mc:AlternateContent>
          </w:r>
        </w:p>
        <w:p w14:paraId="4A6BBED3" w14:textId="77777777" w:rsidR="00987626" w:rsidRDefault="00A95166" w:rsidP="00987626">
          <w:pPr>
            <w:pStyle w:val="Heading1"/>
            <w:rPr>
              <w:b/>
              <w:sz w:val="28"/>
              <w:szCs w:val="28"/>
            </w:rPr>
          </w:pPr>
          <w:r>
            <w:rPr>
              <w:noProof/>
            </w:rPr>
            <w:drawing>
              <wp:anchor distT="0" distB="0" distL="114300" distR="114300" simplePos="0" relativeHeight="251660288" behindDoc="0" locked="0" layoutInCell="0" allowOverlap="1" wp14:anchorId="3847333B" wp14:editId="1E851F79">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b/>
              <w:sz w:val="28"/>
              <w:szCs w:val="28"/>
            </w:rPr>
            <w:br w:type="page"/>
          </w:r>
        </w:p>
      </w:sdtContent>
    </w:sdt>
    <w:p w14:paraId="118E799A" w14:textId="589AEC65" w:rsidR="00987626" w:rsidRPr="00987626" w:rsidRDefault="00987626" w:rsidP="00987626">
      <w:pPr>
        <w:pStyle w:val="Heading1"/>
        <w:rPr>
          <w:rFonts w:ascii="Times New Roman" w:hAnsi="Times New Roman"/>
          <w:b/>
          <w:lang w:val="en-US" w:eastAsia="en-US"/>
        </w:rPr>
      </w:pPr>
      <w:r w:rsidRPr="00987626">
        <w:rPr>
          <w:rFonts w:ascii="Times New Roman" w:hAnsi="Times New Roman"/>
          <w:b/>
          <w:lang w:val="en-US" w:eastAsia="en-US"/>
        </w:rPr>
        <w:lastRenderedPageBreak/>
        <w:t xml:space="preserve"> </w:t>
      </w:r>
      <w:r w:rsidRPr="00987626">
        <w:rPr>
          <w:rFonts w:ascii="Times New Roman" w:hAnsi="Times New Roman"/>
          <w:b/>
          <w:lang w:val="en-US" w:eastAsia="en-US"/>
        </w:rPr>
        <w:t xml:space="preserve">Introduction </w:t>
      </w:r>
    </w:p>
    <w:p w14:paraId="21DBCC3C"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r w:rsidRPr="00987626">
        <w:rPr>
          <w:rFonts w:eastAsiaTheme="minorHAnsi"/>
          <w:color w:val="000000" w:themeColor="text1"/>
          <w:sz w:val="24"/>
          <w:szCs w:val="24"/>
          <w:lang w:val="en-US" w:eastAsia="en-US"/>
        </w:rPr>
        <w:t xml:space="preserve">Democratic deficit is the term which is used by the people to argue that EU institutions and their process of decision-making suffer from the lack of democracy and seem inaccessible to an ordinary citizen due to complexity. This essay demonstrates the major explanation of democratic deficit based on the European law. Likewise, Article 10,11,12 of TEU view on EU democracy is explained.  The role of judges is explained on the basis of European Council indicating its members and its role. Furthermore, major argument regarding democratic deficit in the EU is clarified through European Parliament, European Commission, Court of Justice of the European Union, and European Council.  </w:t>
      </w:r>
    </w:p>
    <w:p w14:paraId="0836D19F"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r w:rsidRPr="00987626">
        <w:rPr>
          <w:rFonts w:eastAsiaTheme="minorHAnsi"/>
          <w:color w:val="000000" w:themeColor="text1"/>
          <w:sz w:val="24"/>
          <w:szCs w:val="24"/>
          <w:lang w:val="en-US" w:eastAsia="en-US"/>
        </w:rPr>
        <w:t xml:space="preserve">Democratic deficit in terms of European Union refers to the professed lack of convenience based on the ordinary citizen and lack of responsibility </w:t>
      </w:r>
      <w:r w:rsidRPr="00987626">
        <w:rPr>
          <w:rFonts w:eastAsiaTheme="minorHAnsi"/>
          <w:i/>
          <w:iCs/>
          <w:color w:val="000000" w:themeColor="text1"/>
          <w:sz w:val="24"/>
          <w:szCs w:val="24"/>
          <w:lang w:val="en-US" w:eastAsia="en-US"/>
        </w:rPr>
        <w:t>(Olsen</w:t>
      </w:r>
      <w:r w:rsidRPr="00987626">
        <w:rPr>
          <w:rFonts w:asciiTheme="minorHAnsi" w:eastAsiaTheme="minorHAnsi" w:hAnsiTheme="minorHAnsi" w:cstheme="minorBidi"/>
          <w:i/>
          <w:iCs/>
          <w:sz w:val="22"/>
          <w:szCs w:val="22"/>
          <w:lang w:val="en-US" w:eastAsia="en-US"/>
        </w:rPr>
        <w:t>, J. and McCormick, J., 2018).</w:t>
      </w:r>
      <w:r w:rsidRPr="00987626">
        <w:rPr>
          <w:rFonts w:asciiTheme="minorHAnsi" w:eastAsiaTheme="minorHAnsi" w:hAnsiTheme="minorHAnsi" w:cstheme="minorBidi"/>
          <w:sz w:val="22"/>
          <w:szCs w:val="22"/>
          <w:lang w:val="en-US" w:eastAsia="en-US"/>
        </w:rPr>
        <w:t> </w:t>
      </w:r>
      <w:r w:rsidRPr="00987626">
        <w:rPr>
          <w:rFonts w:eastAsiaTheme="minorHAnsi"/>
          <w:color w:val="000000" w:themeColor="text1"/>
          <w:sz w:val="24"/>
          <w:szCs w:val="24"/>
          <w:lang w:val="en-US" w:eastAsia="en-US"/>
        </w:rPr>
        <w:t xml:space="preserve">. There is democratic dissatisfaction in the European Union where the member states transfer power and escape control through national parliaments. The </w:t>
      </w:r>
      <w:r w:rsidRPr="00987626">
        <w:rPr>
          <w:rFonts w:eastAsiaTheme="minorHAnsi"/>
          <w:i/>
          <w:iCs/>
          <w:color w:val="000000" w:themeColor="text1"/>
          <w:sz w:val="24"/>
          <w:szCs w:val="24"/>
          <w:lang w:val="en-US" w:eastAsia="en-US"/>
        </w:rPr>
        <w:t>European Communities Act 1972</w:t>
      </w:r>
      <w:r w:rsidRPr="00987626">
        <w:rPr>
          <w:rFonts w:eastAsiaTheme="minorHAnsi"/>
          <w:color w:val="000000" w:themeColor="text1"/>
          <w:sz w:val="24"/>
          <w:szCs w:val="24"/>
          <w:lang w:val="en-US" w:eastAsia="en-US"/>
        </w:rPr>
        <w:t xml:space="preserve"> demonstrates the democratic deficit which can guarantee stability and efficiency in the European Union. Based on the government legitimacy, democratic deficit derives through the popular perception where the government abides in governing and legally accountable to the overall citizen</w:t>
      </w:r>
      <w:r w:rsidRPr="00987626">
        <w:rPr>
          <w:rFonts w:eastAsiaTheme="minorHAnsi"/>
          <w:i/>
          <w:iCs/>
          <w:color w:val="000000" w:themeColor="text1"/>
          <w:sz w:val="24"/>
          <w:szCs w:val="24"/>
          <w:lang w:val="en-US" w:eastAsia="en-US"/>
        </w:rPr>
        <w:t xml:space="preserve"> (</w:t>
      </w:r>
      <w:r w:rsidRPr="00987626">
        <w:rPr>
          <w:rFonts w:asciiTheme="minorHAnsi" w:eastAsiaTheme="minorHAnsi" w:hAnsiTheme="minorHAnsi" w:cstheme="minorBidi"/>
          <w:i/>
          <w:iCs/>
          <w:sz w:val="22"/>
          <w:szCs w:val="22"/>
          <w:lang w:val="en-US" w:eastAsia="en-US"/>
        </w:rPr>
        <w:t>Yowell, P., Hayley Jayne Hooper and Hunt, M. (2017)</w:t>
      </w:r>
      <w:r w:rsidRPr="00987626">
        <w:rPr>
          <w:rFonts w:eastAsiaTheme="minorHAnsi"/>
          <w:color w:val="000000" w:themeColor="text1"/>
          <w:sz w:val="24"/>
          <w:szCs w:val="24"/>
          <w:lang w:val="en-US" w:eastAsia="en-US"/>
        </w:rPr>
        <w:t xml:space="preserve">. Democratic deficit is based on the two major approaches that relies on the political procedure such as regulations and legislation. On the other hand, </w:t>
      </w:r>
      <w:bookmarkStart w:id="0" w:name="_Hlk96334457"/>
      <w:r w:rsidRPr="00987626">
        <w:rPr>
          <w:rFonts w:eastAsiaTheme="minorHAnsi"/>
          <w:i/>
          <w:iCs/>
          <w:color w:val="000000" w:themeColor="text1"/>
          <w:sz w:val="24"/>
          <w:szCs w:val="24"/>
          <w:lang w:val="en-US" w:eastAsia="en-US"/>
        </w:rPr>
        <w:t>European Union Act 2011</w:t>
      </w:r>
      <w:bookmarkEnd w:id="0"/>
      <w:r w:rsidRPr="00987626">
        <w:rPr>
          <w:rFonts w:eastAsiaTheme="minorHAnsi"/>
          <w:color w:val="000000" w:themeColor="text1"/>
          <w:sz w:val="24"/>
          <w:szCs w:val="24"/>
          <w:lang w:val="en-US" w:eastAsia="en-US"/>
        </w:rPr>
        <w:t xml:space="preserve"> defines the concept of democratic deficit that is accompanied from the procedure of European integration. European policies are certainly very centrist which result the delicate compromise amongst every interest parties. However, it is delicate from the main part positions and member states. </w:t>
      </w:r>
    </w:p>
    <w:p w14:paraId="3A14809A"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r w:rsidRPr="00987626">
        <w:rPr>
          <w:rFonts w:eastAsiaTheme="minorHAnsi"/>
          <w:color w:val="000000" w:themeColor="text1"/>
          <w:sz w:val="24"/>
          <w:szCs w:val="24"/>
          <w:lang w:val="en-US" w:eastAsia="en-US"/>
        </w:rPr>
        <w:t xml:space="preserve">Democratic deficit has the enormous impact on European Law. The Article 10, 11 and 12 reviews the democracy in the European Law </w:t>
      </w:r>
      <w:r w:rsidRPr="00987626">
        <w:rPr>
          <w:rFonts w:eastAsiaTheme="minorHAnsi"/>
          <w:i/>
          <w:iCs/>
          <w:color w:val="000000" w:themeColor="text1"/>
          <w:sz w:val="24"/>
          <w:szCs w:val="24"/>
          <w:lang w:val="en-US" w:eastAsia="en-US"/>
        </w:rPr>
        <w:t>(</w:t>
      </w:r>
      <w:r w:rsidRPr="00987626">
        <w:rPr>
          <w:rFonts w:asciiTheme="minorHAnsi" w:eastAsiaTheme="minorHAnsi" w:hAnsiTheme="minorHAnsi" w:cstheme="minorBidi"/>
          <w:i/>
          <w:iCs/>
          <w:sz w:val="22"/>
          <w:szCs w:val="22"/>
          <w:lang w:val="en-US" w:eastAsia="en-US"/>
        </w:rPr>
        <w:t>De Vette, E. M. F. (2011).</w:t>
      </w:r>
      <w:r w:rsidRPr="00987626">
        <w:rPr>
          <w:rFonts w:eastAsiaTheme="minorHAnsi"/>
          <w:color w:val="000000" w:themeColor="text1"/>
          <w:sz w:val="24"/>
          <w:szCs w:val="24"/>
          <w:lang w:val="en-US" w:eastAsia="en-US"/>
        </w:rPr>
        <w:t xml:space="preserve"> The European Commission (EC) has been normally pointed as the best accountable and legitimate European institutions. According to the </w:t>
      </w:r>
      <w:bookmarkStart w:id="1" w:name="_Hlk96336634"/>
      <w:r w:rsidRPr="00987626">
        <w:rPr>
          <w:rFonts w:eastAsiaTheme="minorHAnsi"/>
          <w:i/>
          <w:iCs/>
          <w:color w:val="000000" w:themeColor="text1"/>
          <w:sz w:val="24"/>
          <w:szCs w:val="24"/>
          <w:lang w:val="en-US" w:eastAsia="en-US"/>
        </w:rPr>
        <w:t>Article 10 TEU</w:t>
      </w:r>
      <w:bookmarkEnd w:id="1"/>
      <w:r w:rsidRPr="00987626">
        <w:rPr>
          <w:rFonts w:eastAsiaTheme="minorHAnsi"/>
          <w:i/>
          <w:iCs/>
          <w:color w:val="000000" w:themeColor="text1"/>
          <w:sz w:val="24"/>
          <w:szCs w:val="24"/>
          <w:lang w:val="en-US" w:eastAsia="en-US"/>
        </w:rPr>
        <w:t xml:space="preserve"> (Treaty on European),</w:t>
      </w:r>
      <w:r w:rsidRPr="00987626">
        <w:rPr>
          <w:rFonts w:eastAsiaTheme="minorHAnsi"/>
          <w:color w:val="000000" w:themeColor="text1"/>
          <w:sz w:val="24"/>
          <w:szCs w:val="24"/>
          <w:lang w:val="en-US" w:eastAsia="en-US"/>
        </w:rPr>
        <w:t xml:space="preserve"> citizen has the right to participate in a democratic life where they can take the decisions to express their personal ideas and views. The case </w:t>
      </w:r>
      <w:r w:rsidRPr="00987626">
        <w:rPr>
          <w:rFonts w:eastAsiaTheme="minorHAnsi"/>
          <w:i/>
          <w:iCs/>
          <w:color w:val="000000" w:themeColor="text1"/>
          <w:sz w:val="24"/>
          <w:szCs w:val="24"/>
          <w:lang w:val="en-US" w:eastAsia="en-US"/>
        </w:rPr>
        <w:t xml:space="preserve">of </w:t>
      </w:r>
      <w:bookmarkStart w:id="2" w:name="_Hlk96336650"/>
      <w:r w:rsidRPr="00987626">
        <w:rPr>
          <w:rFonts w:eastAsiaTheme="minorHAnsi"/>
          <w:i/>
          <w:iCs/>
          <w:color w:val="000000" w:themeColor="text1"/>
          <w:sz w:val="24"/>
          <w:szCs w:val="24"/>
          <w:lang w:val="en-US" w:eastAsia="en-US"/>
        </w:rPr>
        <w:t xml:space="preserve">Matthews v. the United </w:t>
      </w:r>
      <w:bookmarkEnd w:id="2"/>
      <w:r w:rsidRPr="00987626">
        <w:rPr>
          <w:rFonts w:eastAsiaTheme="minorHAnsi"/>
          <w:i/>
          <w:iCs/>
          <w:color w:val="000000" w:themeColor="text1"/>
          <w:sz w:val="24"/>
          <w:szCs w:val="24"/>
          <w:lang w:val="en-US" w:eastAsia="en-US"/>
        </w:rPr>
        <w:t>Kingdom (1999),</w:t>
      </w:r>
      <w:r w:rsidRPr="00987626">
        <w:rPr>
          <w:rFonts w:eastAsiaTheme="minorHAnsi"/>
          <w:color w:val="000000" w:themeColor="text1"/>
          <w:sz w:val="24"/>
          <w:szCs w:val="24"/>
          <w:lang w:val="en-US" w:eastAsia="en-US"/>
        </w:rPr>
        <w:t xml:space="preserve"> represents the citizen who are directly presented as the union level based on the European Parliament. Thus, this article clarifies the major argument of democratic deficit which reflects the existence of maximum number of national parties and European parties </w:t>
      </w:r>
      <w:r w:rsidRPr="00987626">
        <w:rPr>
          <w:rFonts w:eastAsiaTheme="minorHAnsi"/>
          <w:color w:val="000000" w:themeColor="text1"/>
          <w:sz w:val="24"/>
          <w:szCs w:val="24"/>
          <w:lang w:val="en-US" w:eastAsia="en-US"/>
        </w:rPr>
        <w:lastRenderedPageBreak/>
        <w:t xml:space="preserve">valuable for generating interest level among citizens. Likewise, </w:t>
      </w:r>
      <w:bookmarkStart w:id="3" w:name="_Hlk96336681"/>
      <w:r w:rsidRPr="00987626">
        <w:rPr>
          <w:rFonts w:eastAsiaTheme="minorHAnsi"/>
          <w:i/>
          <w:iCs/>
          <w:color w:val="000000" w:themeColor="text1"/>
          <w:sz w:val="24"/>
          <w:szCs w:val="24"/>
          <w:lang w:val="en-US" w:eastAsia="en-US"/>
        </w:rPr>
        <w:t>Article 11 Treaty on European Union</w:t>
      </w:r>
      <w:bookmarkEnd w:id="3"/>
      <w:r w:rsidRPr="00987626">
        <w:rPr>
          <w:rFonts w:eastAsiaTheme="minorHAnsi"/>
          <w:color w:val="000000" w:themeColor="text1"/>
          <w:sz w:val="24"/>
          <w:szCs w:val="24"/>
          <w:lang w:val="en-US" w:eastAsia="en-US"/>
        </w:rPr>
        <w:t xml:space="preserve">, gives the appropriate means to representative associations and citizens in order to publicly exchange views in overall areas of union action </w:t>
      </w:r>
      <w:r w:rsidRPr="00987626">
        <w:rPr>
          <w:rFonts w:eastAsiaTheme="minorHAnsi"/>
          <w:i/>
          <w:iCs/>
          <w:color w:val="000000" w:themeColor="text1"/>
          <w:sz w:val="24"/>
          <w:szCs w:val="24"/>
          <w:lang w:val="en-US" w:eastAsia="en-US"/>
        </w:rPr>
        <w:t>(</w:t>
      </w:r>
      <w:r w:rsidRPr="00987626">
        <w:rPr>
          <w:rFonts w:asciiTheme="minorHAnsi" w:eastAsiaTheme="minorHAnsi" w:hAnsiTheme="minorHAnsi" w:cstheme="minorBidi"/>
          <w:i/>
          <w:iCs/>
          <w:sz w:val="22"/>
          <w:szCs w:val="22"/>
          <w:lang w:val="en-US" w:eastAsia="en-US"/>
        </w:rPr>
        <w:t>P. Craig &amp; G. de Burca, 2015)</w:t>
      </w:r>
      <w:r w:rsidRPr="00987626">
        <w:rPr>
          <w:rFonts w:eastAsiaTheme="minorHAnsi"/>
          <w:i/>
          <w:iCs/>
          <w:color w:val="000000" w:themeColor="text1"/>
          <w:sz w:val="24"/>
          <w:szCs w:val="24"/>
          <w:lang w:val="en-US" w:eastAsia="en-US"/>
        </w:rPr>
        <w:t>.</w:t>
      </w:r>
      <w:r w:rsidRPr="00987626">
        <w:rPr>
          <w:rFonts w:eastAsiaTheme="minorHAnsi"/>
          <w:color w:val="000000" w:themeColor="text1"/>
          <w:sz w:val="24"/>
          <w:szCs w:val="24"/>
          <w:lang w:val="en-US" w:eastAsia="en-US"/>
        </w:rPr>
        <w:t xml:space="preserve"> Similarly, </w:t>
      </w:r>
      <w:bookmarkStart w:id="4" w:name="_Hlk96336766"/>
      <w:r w:rsidRPr="00987626">
        <w:rPr>
          <w:rFonts w:eastAsiaTheme="minorHAnsi"/>
          <w:i/>
          <w:iCs/>
          <w:color w:val="000000" w:themeColor="text1"/>
          <w:sz w:val="24"/>
          <w:szCs w:val="24"/>
          <w:lang w:val="en-US" w:eastAsia="en-US"/>
        </w:rPr>
        <w:t>Article 12 TEU</w:t>
      </w:r>
      <w:bookmarkEnd w:id="4"/>
      <w:r w:rsidRPr="00987626">
        <w:rPr>
          <w:rFonts w:eastAsiaTheme="minorHAnsi"/>
          <w:i/>
          <w:iCs/>
          <w:color w:val="000000" w:themeColor="text1"/>
          <w:sz w:val="24"/>
          <w:szCs w:val="24"/>
          <w:lang w:val="en-US" w:eastAsia="en-US"/>
        </w:rPr>
        <w:t>,</w:t>
      </w:r>
      <w:r w:rsidRPr="00987626">
        <w:rPr>
          <w:rFonts w:eastAsiaTheme="minorHAnsi"/>
          <w:color w:val="000000" w:themeColor="text1"/>
          <w:sz w:val="24"/>
          <w:szCs w:val="24"/>
          <w:lang w:val="en-US" w:eastAsia="en-US"/>
        </w:rPr>
        <w:t xml:space="preserve"> considers the good functioning of a European Union which sets the democratic principles, governance framework and institutions on the security and foreign policy of the European Union law.  </w:t>
      </w:r>
    </w:p>
    <w:p w14:paraId="3F96647E"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r w:rsidRPr="00987626">
        <w:rPr>
          <w:rFonts w:eastAsiaTheme="minorHAnsi"/>
          <w:color w:val="000000" w:themeColor="text1"/>
          <w:sz w:val="24"/>
          <w:szCs w:val="24"/>
          <w:lang w:val="en-US" w:eastAsia="en-US"/>
        </w:rPr>
        <w:t xml:space="preserve">The European Commission is the political independent executive arm of European Union that is responsible for drawing the proposals to reduce democratic deficit. It reduces the democratic deficit by forming the effective European Legislation which implements several decisions of the Council and Parliament of the UK </w:t>
      </w:r>
      <w:r w:rsidRPr="00987626">
        <w:rPr>
          <w:rFonts w:eastAsiaTheme="minorHAnsi"/>
          <w:i/>
          <w:iCs/>
          <w:color w:val="000000" w:themeColor="text1"/>
          <w:sz w:val="24"/>
          <w:szCs w:val="24"/>
          <w:lang w:val="en-US" w:eastAsia="en-US"/>
        </w:rPr>
        <w:t>(</w:t>
      </w:r>
      <w:r w:rsidRPr="00987626">
        <w:rPr>
          <w:rFonts w:asciiTheme="minorHAnsi" w:eastAsiaTheme="minorHAnsi" w:hAnsiTheme="minorHAnsi" w:cstheme="minorBidi"/>
          <w:i/>
          <w:iCs/>
          <w:sz w:val="22"/>
          <w:szCs w:val="22"/>
          <w:lang w:val="en-US" w:eastAsia="en-US"/>
        </w:rPr>
        <w:t>Kullaa, R. (2016)</w:t>
      </w:r>
      <w:r w:rsidRPr="00987626">
        <w:rPr>
          <w:rFonts w:eastAsiaTheme="minorHAnsi"/>
          <w:i/>
          <w:iCs/>
          <w:color w:val="000000" w:themeColor="text1"/>
          <w:sz w:val="24"/>
          <w:szCs w:val="24"/>
          <w:lang w:val="en-US" w:eastAsia="en-US"/>
        </w:rPr>
        <w:t>.</w:t>
      </w:r>
      <w:r w:rsidRPr="00987626">
        <w:rPr>
          <w:rFonts w:eastAsiaTheme="minorHAnsi"/>
          <w:color w:val="000000" w:themeColor="text1"/>
          <w:sz w:val="24"/>
          <w:szCs w:val="24"/>
          <w:lang w:val="en-US" w:eastAsia="en-US"/>
        </w:rPr>
        <w:t xml:space="preserve"> The case of </w:t>
      </w:r>
      <w:r w:rsidRPr="00987626">
        <w:rPr>
          <w:rFonts w:eastAsiaTheme="minorHAnsi"/>
          <w:i/>
          <w:iCs/>
          <w:color w:val="000000" w:themeColor="text1"/>
          <w:sz w:val="24"/>
          <w:szCs w:val="24"/>
          <w:lang w:val="en-US" w:eastAsia="en-US"/>
        </w:rPr>
        <w:t xml:space="preserve">EC </w:t>
      </w:r>
      <w:bookmarkStart w:id="5" w:name="_Hlk96336820"/>
      <w:r w:rsidRPr="00987626">
        <w:rPr>
          <w:rFonts w:eastAsiaTheme="minorHAnsi"/>
          <w:i/>
          <w:iCs/>
          <w:color w:val="000000" w:themeColor="text1"/>
          <w:sz w:val="24"/>
          <w:szCs w:val="24"/>
          <w:lang w:val="en-US" w:eastAsia="en-US"/>
        </w:rPr>
        <w:t>Commission v United</w:t>
      </w:r>
      <w:bookmarkEnd w:id="5"/>
      <w:r w:rsidRPr="00987626">
        <w:rPr>
          <w:rFonts w:eastAsiaTheme="minorHAnsi"/>
          <w:i/>
          <w:iCs/>
          <w:color w:val="000000" w:themeColor="text1"/>
          <w:sz w:val="24"/>
          <w:szCs w:val="24"/>
          <w:lang w:val="en-US" w:eastAsia="en-US"/>
        </w:rPr>
        <w:t xml:space="preserve"> (1979),</w:t>
      </w:r>
      <w:r w:rsidRPr="00987626">
        <w:rPr>
          <w:rFonts w:eastAsiaTheme="minorHAnsi"/>
          <w:color w:val="000000" w:themeColor="text1"/>
          <w:sz w:val="24"/>
          <w:szCs w:val="24"/>
          <w:lang w:val="en-US" w:eastAsia="en-US"/>
        </w:rPr>
        <w:t xml:space="preserve"> shows the responsibilities of European Commission which helps to form the proposes and strategy and European Union. Referring to the case, it plays the important role in delivering aid and supporting international development. Likewise, case of </w:t>
      </w:r>
      <w:r w:rsidRPr="00987626">
        <w:rPr>
          <w:rFonts w:eastAsiaTheme="minorHAnsi"/>
          <w:i/>
          <w:iCs/>
          <w:color w:val="000000" w:themeColor="text1"/>
          <w:sz w:val="24"/>
          <w:szCs w:val="24"/>
          <w:lang w:val="en-US" w:eastAsia="en-US"/>
        </w:rPr>
        <w:t>United Kingdom v. Commission of the European Communities</w:t>
      </w:r>
      <w:r w:rsidRPr="00987626">
        <w:rPr>
          <w:rFonts w:eastAsiaTheme="minorHAnsi"/>
          <w:color w:val="000000" w:themeColor="text1"/>
          <w:sz w:val="24"/>
          <w:szCs w:val="24"/>
          <w:lang w:val="en-US" w:eastAsia="en-US"/>
        </w:rPr>
        <w:t xml:space="preserve">, role of European Commission is considered as the support to propose new policies and law to implement democratic deficit in the European Union. It plays the important role in delivering aid and supporting international development </w:t>
      </w:r>
      <w:r w:rsidRPr="00987626">
        <w:rPr>
          <w:rFonts w:eastAsiaTheme="minorHAnsi"/>
          <w:i/>
          <w:iCs/>
          <w:color w:val="000000" w:themeColor="text1"/>
          <w:sz w:val="24"/>
          <w:szCs w:val="24"/>
          <w:lang w:val="en-US" w:eastAsia="en-US"/>
        </w:rPr>
        <w:t>(</w:t>
      </w:r>
      <w:r w:rsidRPr="00987626">
        <w:rPr>
          <w:rFonts w:asciiTheme="minorHAnsi" w:eastAsiaTheme="minorHAnsi" w:hAnsiTheme="minorHAnsi" w:cstheme="minorBidi"/>
          <w:i/>
          <w:iCs/>
          <w:sz w:val="22"/>
          <w:szCs w:val="22"/>
          <w:lang w:val="en-US" w:eastAsia="en-US"/>
        </w:rPr>
        <w:t>N. Foster 2015)</w:t>
      </w:r>
      <w:r w:rsidRPr="00987626">
        <w:rPr>
          <w:rFonts w:eastAsiaTheme="minorHAnsi"/>
          <w:i/>
          <w:iCs/>
          <w:color w:val="000000" w:themeColor="text1"/>
          <w:sz w:val="24"/>
          <w:szCs w:val="24"/>
          <w:lang w:val="en-US" w:eastAsia="en-US"/>
        </w:rPr>
        <w:t>.</w:t>
      </w:r>
      <w:r w:rsidRPr="00987626">
        <w:rPr>
          <w:rFonts w:eastAsiaTheme="minorHAnsi"/>
          <w:color w:val="000000" w:themeColor="text1"/>
          <w:sz w:val="24"/>
          <w:szCs w:val="24"/>
          <w:lang w:val="en-US" w:eastAsia="en-US"/>
        </w:rPr>
        <w:t xml:space="preserve"> European Commission implements and propose the budget of European Union which manages the funding programs of European Union. Likewise, </w:t>
      </w:r>
      <w:bookmarkStart w:id="6" w:name="_Hlk96336918"/>
      <w:r w:rsidRPr="00987626">
        <w:rPr>
          <w:rFonts w:eastAsiaTheme="minorHAnsi"/>
          <w:i/>
          <w:iCs/>
          <w:color w:val="000000" w:themeColor="text1"/>
          <w:sz w:val="24"/>
          <w:szCs w:val="24"/>
          <w:lang w:val="en-US" w:eastAsia="en-US"/>
        </w:rPr>
        <w:t>Article 17 European Union</w:t>
      </w:r>
      <w:bookmarkEnd w:id="6"/>
      <w:r w:rsidRPr="00987626">
        <w:rPr>
          <w:rFonts w:eastAsiaTheme="minorHAnsi"/>
          <w:color w:val="000000" w:themeColor="text1"/>
          <w:sz w:val="24"/>
          <w:szCs w:val="24"/>
          <w:lang w:val="en-US" w:eastAsia="en-US"/>
        </w:rPr>
        <w:t xml:space="preserve">, investigates the important role of European Commission. The role of European Commission has the capacity to generate new legislation to perform and monitor oversight function based on the European Legislation. The vital role of European Commission is important because it act as the driving force for the European integration. </w:t>
      </w:r>
    </w:p>
    <w:p w14:paraId="079A19BB"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r w:rsidRPr="00987626">
        <w:rPr>
          <w:rFonts w:eastAsiaTheme="minorHAnsi"/>
          <w:color w:val="000000" w:themeColor="text1"/>
          <w:sz w:val="24"/>
          <w:szCs w:val="24"/>
          <w:lang w:val="en-US" w:eastAsia="en-US"/>
        </w:rPr>
        <w:t xml:space="preserve">On the basis of European law, </w:t>
      </w:r>
      <w:bookmarkStart w:id="7" w:name="_Hlk96336948"/>
      <w:r w:rsidRPr="00987626">
        <w:rPr>
          <w:rFonts w:eastAsiaTheme="minorHAnsi"/>
          <w:i/>
          <w:iCs/>
          <w:color w:val="000000" w:themeColor="text1"/>
          <w:sz w:val="24"/>
          <w:szCs w:val="24"/>
          <w:lang w:val="en-US" w:eastAsia="en-US"/>
        </w:rPr>
        <w:t>Article 258 TEFU</w:t>
      </w:r>
      <w:bookmarkEnd w:id="7"/>
      <w:r w:rsidRPr="00987626">
        <w:rPr>
          <w:rFonts w:eastAsiaTheme="minorHAnsi"/>
          <w:i/>
          <w:iCs/>
          <w:color w:val="000000" w:themeColor="text1"/>
          <w:sz w:val="24"/>
          <w:szCs w:val="24"/>
          <w:lang w:val="en-US" w:eastAsia="en-US"/>
        </w:rPr>
        <w:t xml:space="preserve"> (Treaty on Functioning of the European Union)</w:t>
      </w:r>
      <w:r w:rsidRPr="00987626">
        <w:rPr>
          <w:rFonts w:eastAsiaTheme="minorHAnsi"/>
          <w:color w:val="000000" w:themeColor="text1"/>
          <w:sz w:val="24"/>
          <w:szCs w:val="24"/>
          <w:lang w:val="en-US" w:eastAsia="en-US"/>
        </w:rPr>
        <w:t xml:space="preserve"> shows the European commission which file the action to obtain through the Court of Justice based on the European Union. In terms of European Commission, representatives are appointed through the member states in consultation with a Commission President selecting the commissioner’s team </w:t>
      </w:r>
      <w:r w:rsidRPr="00987626">
        <w:rPr>
          <w:rFonts w:asciiTheme="minorHAnsi" w:eastAsiaTheme="minorHAnsi" w:hAnsiTheme="minorHAnsi" w:cstheme="minorBidi"/>
          <w:i/>
          <w:iCs/>
          <w:sz w:val="22"/>
          <w:szCs w:val="22"/>
          <w:lang w:val="en-US" w:eastAsia="en-US"/>
        </w:rPr>
        <w:t>(S. Prechal 2006)</w:t>
      </w:r>
      <w:r w:rsidRPr="00987626">
        <w:rPr>
          <w:rFonts w:eastAsiaTheme="minorHAnsi"/>
          <w:i/>
          <w:iCs/>
          <w:color w:val="000000" w:themeColor="text1"/>
          <w:sz w:val="24"/>
          <w:szCs w:val="24"/>
          <w:lang w:val="en-US" w:eastAsia="en-US"/>
        </w:rPr>
        <w:t>.</w:t>
      </w:r>
      <w:r w:rsidRPr="00987626">
        <w:rPr>
          <w:rFonts w:eastAsiaTheme="minorHAnsi"/>
          <w:color w:val="000000" w:themeColor="text1"/>
          <w:sz w:val="24"/>
          <w:szCs w:val="24"/>
          <w:lang w:val="en-US" w:eastAsia="en-US"/>
        </w:rPr>
        <w:t xml:space="preserve"> The case of </w:t>
      </w:r>
      <w:r w:rsidRPr="00987626">
        <w:rPr>
          <w:rFonts w:eastAsiaTheme="minorHAnsi"/>
          <w:i/>
          <w:iCs/>
          <w:color w:val="000000" w:themeColor="text1"/>
          <w:sz w:val="24"/>
          <w:szCs w:val="24"/>
          <w:lang w:val="en-US" w:eastAsia="en-US"/>
        </w:rPr>
        <w:t>United Kingdom v Council of the European Union - ECJ Case C-77/05, 10.7.07</w:t>
      </w:r>
      <w:r w:rsidRPr="00987626">
        <w:rPr>
          <w:rFonts w:eastAsiaTheme="minorHAnsi"/>
          <w:color w:val="000000" w:themeColor="text1"/>
          <w:sz w:val="24"/>
          <w:szCs w:val="24"/>
          <w:lang w:val="en-US" w:eastAsia="en-US"/>
        </w:rPr>
        <w:t xml:space="preserve">, shows the way commissioners are appointed. In this process, the European Council proposes the president of a Commission. Talking about the case, it reflects the nominee procedure where the commissioner is appointed by the majority of a Parliament </w:t>
      </w:r>
      <w:r w:rsidRPr="00987626">
        <w:rPr>
          <w:rFonts w:eastAsiaTheme="minorHAnsi"/>
          <w:i/>
          <w:iCs/>
          <w:color w:val="000000" w:themeColor="text1"/>
          <w:sz w:val="24"/>
          <w:szCs w:val="24"/>
          <w:lang w:val="en-US" w:eastAsia="en-US"/>
        </w:rPr>
        <w:t>(</w:t>
      </w:r>
      <w:r w:rsidRPr="00987626">
        <w:rPr>
          <w:rFonts w:asciiTheme="minorHAnsi" w:eastAsiaTheme="minorHAnsi" w:hAnsiTheme="minorHAnsi" w:cstheme="minorBidi"/>
          <w:i/>
          <w:iCs/>
          <w:sz w:val="22"/>
          <w:szCs w:val="22"/>
          <w:lang w:val="en-US" w:eastAsia="en-US"/>
        </w:rPr>
        <w:t>Berry &amp; Homewood 2015)</w:t>
      </w:r>
      <w:r w:rsidRPr="00987626">
        <w:rPr>
          <w:rFonts w:eastAsiaTheme="minorHAnsi"/>
          <w:color w:val="000000" w:themeColor="text1"/>
          <w:sz w:val="24"/>
          <w:szCs w:val="24"/>
          <w:lang w:val="en-US" w:eastAsia="en-US"/>
        </w:rPr>
        <w:t xml:space="preserve">. </w:t>
      </w:r>
      <w:r w:rsidRPr="00987626">
        <w:rPr>
          <w:rFonts w:eastAsiaTheme="minorHAnsi"/>
          <w:color w:val="000000" w:themeColor="text1"/>
          <w:sz w:val="24"/>
          <w:szCs w:val="24"/>
          <w:lang w:val="en-US" w:eastAsia="en-US"/>
        </w:rPr>
        <w:lastRenderedPageBreak/>
        <w:t xml:space="preserve">The selected commissioners relish the reason behind democratic deficit in a European Union. This article is effective in the European Commission which yields the full complementary and existing measures in order to address episodic and specific violations under the European law. </w:t>
      </w:r>
    </w:p>
    <w:p w14:paraId="3DD9DA40"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r w:rsidRPr="00987626">
        <w:rPr>
          <w:rFonts w:eastAsiaTheme="minorHAnsi"/>
          <w:color w:val="000000" w:themeColor="text1"/>
          <w:sz w:val="24"/>
          <w:szCs w:val="24"/>
          <w:lang w:val="en-US" w:eastAsia="en-US"/>
        </w:rPr>
        <w:t xml:space="preserve">The president in terms of European law is not directly elected rather elected through the Parliament members based on the terms of per parliamentary. According to the European law, president is selected on the basis of vote given by each and every citizen </w:t>
      </w:r>
      <w:r w:rsidRPr="00987626">
        <w:rPr>
          <w:rFonts w:eastAsiaTheme="minorHAnsi"/>
          <w:i/>
          <w:iCs/>
          <w:color w:val="000000" w:themeColor="text1"/>
          <w:sz w:val="24"/>
          <w:szCs w:val="24"/>
          <w:lang w:val="en-US" w:eastAsia="en-US"/>
        </w:rPr>
        <w:t>(Huhe, Naurin and Thomson, 2017)</w:t>
      </w:r>
      <w:r w:rsidRPr="00987626">
        <w:rPr>
          <w:rFonts w:eastAsiaTheme="minorHAnsi"/>
          <w:color w:val="000000" w:themeColor="text1"/>
          <w:sz w:val="24"/>
          <w:szCs w:val="24"/>
          <w:lang w:val="en-US" w:eastAsia="en-US"/>
        </w:rPr>
        <w:t xml:space="preserve">. Generally, the president is selected from the popular vote and electors and from the process of Electoral college. The case of </w:t>
      </w:r>
      <w:r w:rsidRPr="00987626">
        <w:rPr>
          <w:rFonts w:eastAsiaTheme="minorHAnsi"/>
          <w:i/>
          <w:iCs/>
          <w:color w:val="000000" w:themeColor="text1"/>
          <w:sz w:val="24"/>
          <w:szCs w:val="24"/>
          <w:lang w:val="en-US" w:eastAsia="en-US"/>
        </w:rPr>
        <w:t xml:space="preserve">European Communities v Kingdom of Spain or C-157/03, </w:t>
      </w:r>
      <w:r w:rsidRPr="00987626">
        <w:rPr>
          <w:rFonts w:eastAsiaTheme="minorHAnsi"/>
          <w:color w:val="000000" w:themeColor="text1"/>
          <w:sz w:val="24"/>
          <w:szCs w:val="24"/>
          <w:lang w:val="en-US" w:eastAsia="en-US"/>
        </w:rPr>
        <w:t>shows the general election which decides the president. It is the opportunity for citizen to select capable president to represent the country. In terms of European law there is several choices for the citizen to each constituency.</w:t>
      </w:r>
      <w:bookmarkStart w:id="8" w:name="_Hlk96337130"/>
      <w:r w:rsidRPr="00987626">
        <w:rPr>
          <w:rFonts w:eastAsiaTheme="minorHAnsi"/>
          <w:color w:val="000000" w:themeColor="text1"/>
          <w:sz w:val="24"/>
          <w:szCs w:val="24"/>
          <w:lang w:val="en-US" w:eastAsia="en-US"/>
        </w:rPr>
        <w:t xml:space="preserve"> According to </w:t>
      </w:r>
      <w:r w:rsidRPr="00987626">
        <w:rPr>
          <w:rFonts w:eastAsiaTheme="minorHAnsi"/>
          <w:i/>
          <w:iCs/>
          <w:color w:val="000000" w:themeColor="text1"/>
          <w:sz w:val="24"/>
          <w:szCs w:val="24"/>
          <w:lang w:val="en-US" w:eastAsia="en-US"/>
        </w:rPr>
        <w:t>Fixed-term Parliaments Act (2011</w:t>
      </w:r>
      <w:bookmarkEnd w:id="8"/>
      <w:r w:rsidRPr="00987626">
        <w:rPr>
          <w:rFonts w:eastAsiaTheme="minorHAnsi"/>
          <w:i/>
          <w:iCs/>
          <w:color w:val="000000" w:themeColor="text1"/>
          <w:sz w:val="24"/>
          <w:szCs w:val="24"/>
          <w:lang w:val="en-US" w:eastAsia="en-US"/>
        </w:rPr>
        <w:t>)</w:t>
      </w:r>
      <w:r w:rsidRPr="00987626">
        <w:rPr>
          <w:rFonts w:eastAsiaTheme="minorHAnsi"/>
          <w:color w:val="000000" w:themeColor="text1"/>
          <w:sz w:val="24"/>
          <w:szCs w:val="24"/>
          <w:lang w:val="en-US" w:eastAsia="en-US"/>
        </w:rPr>
        <w:t>, provides the general elections regarding the selection of president which is done from the process of Electoral College. It assigns counting electoral votes towards Congress where the president is chosen from the House of Representatives.</w:t>
      </w:r>
    </w:p>
    <w:p w14:paraId="69968F61"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r w:rsidRPr="00987626">
        <w:rPr>
          <w:rFonts w:eastAsiaTheme="minorHAnsi"/>
          <w:color w:val="000000" w:themeColor="text1"/>
          <w:sz w:val="24"/>
          <w:szCs w:val="24"/>
          <w:lang w:val="en-US" w:eastAsia="en-US"/>
        </w:rPr>
        <w:t xml:space="preserve">Democratization is a transition to the political regime that includes substantive political changes moving to the democratic direction.  Likewise, attempts have been made to provide the glimpse of development activities which are associated with the democratic processes of the UK. Referring to the </w:t>
      </w:r>
      <w:bookmarkStart w:id="9" w:name="_Hlk96337144"/>
      <w:r w:rsidRPr="00987626">
        <w:rPr>
          <w:rFonts w:eastAsiaTheme="minorHAnsi"/>
          <w:i/>
          <w:iCs/>
          <w:color w:val="000000" w:themeColor="text1"/>
          <w:sz w:val="24"/>
          <w:szCs w:val="24"/>
          <w:lang w:val="en-US" w:eastAsia="en-US"/>
        </w:rPr>
        <w:t>Article 102 EU commission</w:t>
      </w:r>
      <w:bookmarkEnd w:id="9"/>
      <w:r w:rsidRPr="00987626">
        <w:rPr>
          <w:rFonts w:eastAsiaTheme="minorHAnsi"/>
          <w:color w:val="000000" w:themeColor="text1"/>
          <w:sz w:val="24"/>
          <w:szCs w:val="24"/>
          <w:lang w:val="en-US" w:eastAsia="en-US"/>
        </w:rPr>
        <w:t xml:space="preserve">, this country is proceeding through the autocracy of socio-political structure to democratization and the republic with the multi-party system. Although the political system has changed rapidly, the development activities has been moving ahead with time based on the contextual background of country. The case of </w:t>
      </w:r>
      <w:r w:rsidRPr="00987626">
        <w:rPr>
          <w:rFonts w:eastAsiaTheme="minorHAnsi"/>
          <w:i/>
          <w:iCs/>
          <w:color w:val="000000" w:themeColor="text1"/>
          <w:sz w:val="24"/>
          <w:szCs w:val="24"/>
          <w:lang w:val="en-US" w:eastAsia="en-US"/>
        </w:rPr>
        <w:t>Commentary on Roberts v Hopwood</w:t>
      </w:r>
      <w:r w:rsidRPr="00987626">
        <w:rPr>
          <w:rFonts w:eastAsiaTheme="minorHAnsi"/>
          <w:color w:val="000000" w:themeColor="text1"/>
          <w:sz w:val="24"/>
          <w:szCs w:val="24"/>
          <w:lang w:val="en-US" w:eastAsia="en-US"/>
        </w:rPr>
        <w:t xml:space="preserve"> (1925), attempts made to democratize the commission reveals the points which promotes the human rights, democratic principles and rule law from the European law considered as the development policy of European law.</w:t>
      </w:r>
    </w:p>
    <w:p w14:paraId="50077D0A" w14:textId="77777777" w:rsidR="00987626" w:rsidRPr="00987626" w:rsidRDefault="00987626" w:rsidP="00987626">
      <w:pPr>
        <w:spacing w:after="160" w:line="360" w:lineRule="auto"/>
        <w:jc w:val="both"/>
        <w:rPr>
          <w:rFonts w:eastAsiaTheme="minorHAnsi"/>
          <w:i/>
          <w:iCs/>
          <w:color w:val="000000" w:themeColor="text1"/>
          <w:sz w:val="24"/>
          <w:szCs w:val="24"/>
          <w:lang w:val="en-US" w:eastAsia="en-US"/>
        </w:rPr>
      </w:pPr>
      <w:r w:rsidRPr="00987626">
        <w:rPr>
          <w:rFonts w:eastAsiaTheme="minorHAnsi"/>
          <w:color w:val="000000" w:themeColor="text1"/>
          <w:sz w:val="24"/>
          <w:szCs w:val="24"/>
          <w:lang w:val="en-US" w:eastAsia="en-US"/>
        </w:rPr>
        <w:t xml:space="preserve">European parliament refers to the branches of three legislative based on the European Union. Generally, European Parliament debates legislation which can reject or pass laws and make amendments passed on the EU council </w:t>
      </w:r>
      <w:r w:rsidRPr="00987626">
        <w:rPr>
          <w:rFonts w:eastAsiaTheme="minorHAnsi"/>
          <w:i/>
          <w:iCs/>
          <w:color w:val="000000" w:themeColor="text1"/>
          <w:sz w:val="24"/>
          <w:szCs w:val="24"/>
          <w:lang w:val="en-US" w:eastAsia="en-US"/>
        </w:rPr>
        <w:t>(Parliament.gov.uk., 2022)</w:t>
      </w:r>
      <w:r w:rsidRPr="00987626">
        <w:rPr>
          <w:rFonts w:eastAsiaTheme="minorHAnsi"/>
          <w:color w:val="000000" w:themeColor="text1"/>
          <w:sz w:val="24"/>
          <w:szCs w:val="24"/>
          <w:lang w:val="en-US" w:eastAsia="en-US"/>
        </w:rPr>
        <w:t xml:space="preserve">.It is the legislative body of the UK government. </w:t>
      </w:r>
      <w:r w:rsidRPr="00987626">
        <w:rPr>
          <w:rFonts w:eastAsiaTheme="minorHAnsi"/>
          <w:i/>
          <w:iCs/>
          <w:color w:val="000000" w:themeColor="text1"/>
          <w:sz w:val="24"/>
          <w:szCs w:val="24"/>
          <w:lang w:val="en-US" w:eastAsia="en-US"/>
        </w:rPr>
        <w:t>1986 Single European Act</w:t>
      </w:r>
      <w:r w:rsidRPr="00987626">
        <w:rPr>
          <w:rFonts w:eastAsiaTheme="minorHAnsi"/>
          <w:color w:val="000000" w:themeColor="text1"/>
          <w:sz w:val="24"/>
          <w:szCs w:val="24"/>
          <w:lang w:val="en-US" w:eastAsia="en-US"/>
        </w:rPr>
        <w:t xml:space="preserve"> is based on the agreements of governing accession and agreements. In terms of European Parliament, members are selected from the vote. Each citizen gives one vote that can be transferred through the candidate according to the European law. </w:t>
      </w:r>
      <w:r w:rsidRPr="00987626">
        <w:rPr>
          <w:rFonts w:eastAsiaTheme="minorHAnsi"/>
          <w:color w:val="000000" w:themeColor="text1"/>
          <w:sz w:val="24"/>
          <w:szCs w:val="24"/>
          <w:lang w:val="en-US" w:eastAsia="en-US"/>
        </w:rPr>
        <w:lastRenderedPageBreak/>
        <w:t xml:space="preserve">The case of </w:t>
      </w:r>
      <w:bookmarkStart w:id="10" w:name="_Hlk96337225"/>
      <w:r w:rsidRPr="00987626">
        <w:rPr>
          <w:rFonts w:eastAsiaTheme="minorHAnsi"/>
          <w:i/>
          <w:iCs/>
          <w:color w:val="000000" w:themeColor="text1"/>
          <w:sz w:val="24"/>
          <w:szCs w:val="24"/>
          <w:lang w:val="en-US" w:eastAsia="en-US"/>
        </w:rPr>
        <w:t>CJEU - C‑540/03, European Parliament v Council of the European Union</w:t>
      </w:r>
      <w:bookmarkEnd w:id="10"/>
      <w:r w:rsidRPr="00987626">
        <w:rPr>
          <w:rFonts w:eastAsiaTheme="minorHAnsi"/>
          <w:color w:val="000000" w:themeColor="text1"/>
          <w:sz w:val="24"/>
          <w:szCs w:val="24"/>
          <w:lang w:val="en-US" w:eastAsia="en-US"/>
        </w:rPr>
        <w:t xml:space="preserve">, shows the parliament power developed and changed over time. The Article of parliament passes in the UK created the new kingdom of England which softened both parliaments swapping them with the new parliament of England based in a previous home of an English parliament. Likewise, in terms of European Parliament, voter turnout refers to the percentage of qualified voters who contributed to the election often cast as the ballot. Eligibility differs from country and the population of eligible voter do not get confused when dealing with the democracy deficit </w:t>
      </w:r>
      <w:r w:rsidRPr="00987626">
        <w:rPr>
          <w:rFonts w:eastAsiaTheme="minorHAnsi"/>
          <w:i/>
          <w:iCs/>
          <w:color w:val="000000" w:themeColor="text1"/>
          <w:sz w:val="24"/>
          <w:szCs w:val="24"/>
          <w:lang w:val="en-US" w:eastAsia="en-US"/>
        </w:rPr>
        <w:t>(</w:t>
      </w:r>
      <w:r w:rsidRPr="00987626">
        <w:rPr>
          <w:rFonts w:asciiTheme="minorHAnsi" w:eastAsiaTheme="minorHAnsi" w:hAnsiTheme="minorHAnsi" w:cstheme="minorBidi"/>
          <w:i/>
          <w:iCs/>
          <w:sz w:val="22"/>
          <w:szCs w:val="22"/>
          <w:lang w:val="en-US" w:eastAsia="en-US"/>
        </w:rPr>
        <w:t>Gneist, R. and Keane, A. H. (2012)</w:t>
      </w:r>
      <w:r w:rsidRPr="00987626">
        <w:rPr>
          <w:rFonts w:eastAsiaTheme="minorHAnsi"/>
          <w:i/>
          <w:iCs/>
          <w:color w:val="000000" w:themeColor="text1"/>
          <w:sz w:val="24"/>
          <w:szCs w:val="24"/>
          <w:lang w:val="en-US" w:eastAsia="en-US"/>
        </w:rPr>
        <w:t xml:space="preserve">. </w:t>
      </w:r>
    </w:p>
    <w:p w14:paraId="4A54CBB0"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r w:rsidRPr="00987626">
        <w:rPr>
          <w:rFonts w:eastAsiaTheme="minorHAnsi"/>
          <w:color w:val="000000" w:themeColor="text1"/>
          <w:sz w:val="24"/>
          <w:szCs w:val="24"/>
          <w:lang w:val="en-US" w:eastAsia="en-US"/>
        </w:rPr>
        <w:t xml:space="preserve">The European Council refers to the collegiate body which defines the overall priorities and directions of politics based on the European Union. It is collected through the heads of government or state implied from the state’s member of European Union. The case </w:t>
      </w:r>
      <w:r w:rsidRPr="00987626">
        <w:rPr>
          <w:rFonts w:eastAsiaTheme="minorHAnsi"/>
          <w:i/>
          <w:iCs/>
          <w:color w:val="000000" w:themeColor="text1"/>
          <w:sz w:val="24"/>
          <w:szCs w:val="24"/>
          <w:lang w:val="en-US" w:eastAsia="en-US"/>
        </w:rPr>
        <w:t>of Malcolm v Oxford University Press [1994] EMLR 17</w:t>
      </w:r>
      <w:r w:rsidRPr="00987626">
        <w:rPr>
          <w:rFonts w:eastAsiaTheme="minorHAnsi"/>
          <w:color w:val="000000" w:themeColor="text1"/>
          <w:sz w:val="24"/>
          <w:szCs w:val="24"/>
          <w:lang w:val="en-US" w:eastAsia="en-US"/>
        </w:rPr>
        <w:t xml:space="preserve">, reflects the contribution of European Council. Government ministers from each country of European Union meet to amend, adopt, and discuss law by coordinating policies. However, European Council refers to amending main decision body based on the European Union. </w:t>
      </w:r>
      <w:bookmarkStart w:id="11" w:name="_Hlk96333411"/>
      <w:r w:rsidRPr="00987626">
        <w:rPr>
          <w:rFonts w:eastAsiaTheme="minorHAnsi"/>
          <w:color w:val="000000" w:themeColor="text1"/>
          <w:sz w:val="24"/>
          <w:szCs w:val="24"/>
          <w:lang w:val="en-US" w:eastAsia="en-US"/>
        </w:rPr>
        <w:t>The European Council regulates the overall political direction of European Union by traditionally adopting conclusions which does not negotiate and adopt laws of European Union</w:t>
      </w:r>
      <w:bookmarkEnd w:id="11"/>
      <w:r w:rsidRPr="00987626">
        <w:rPr>
          <w:rFonts w:eastAsiaTheme="minorHAnsi"/>
          <w:color w:val="000000" w:themeColor="text1"/>
          <w:sz w:val="24"/>
          <w:szCs w:val="24"/>
          <w:lang w:val="en-US" w:eastAsia="en-US"/>
        </w:rPr>
        <w:t xml:space="preserve">. According to the </w:t>
      </w:r>
      <w:bookmarkStart w:id="12" w:name="_Hlk96337315"/>
      <w:r w:rsidRPr="00987626">
        <w:rPr>
          <w:rFonts w:eastAsiaTheme="minorHAnsi"/>
          <w:i/>
          <w:iCs/>
          <w:color w:val="000000" w:themeColor="text1"/>
          <w:sz w:val="24"/>
          <w:szCs w:val="24"/>
          <w:lang w:val="en-US" w:eastAsia="en-US"/>
        </w:rPr>
        <w:t>European Council Article 214(2),</w:t>
      </w:r>
      <w:r w:rsidRPr="00987626">
        <w:rPr>
          <w:rFonts w:eastAsiaTheme="minorHAnsi"/>
          <w:color w:val="000000" w:themeColor="text1"/>
          <w:sz w:val="24"/>
          <w:szCs w:val="24"/>
          <w:lang w:val="en-US" w:eastAsia="en-US"/>
        </w:rPr>
        <w:t xml:space="preserve"> </w:t>
      </w:r>
      <w:bookmarkEnd w:id="12"/>
      <w:r w:rsidRPr="00987626">
        <w:rPr>
          <w:rFonts w:eastAsiaTheme="minorHAnsi"/>
          <w:color w:val="000000" w:themeColor="text1"/>
          <w:sz w:val="24"/>
          <w:szCs w:val="24"/>
          <w:lang w:val="en-US" w:eastAsia="en-US"/>
        </w:rPr>
        <w:t xml:space="preserve">no members are fixed in the European Council rather the Council meets in ten several configurations which corresponds to the policy discussed through the European law. Similarly, depending on the configuration, particular country sends their personal minister to be responsible for area of policy. According to the </w:t>
      </w:r>
      <w:bookmarkStart w:id="13" w:name="_Hlk96337339"/>
      <w:r w:rsidRPr="00987626">
        <w:rPr>
          <w:rFonts w:eastAsiaTheme="minorHAnsi"/>
          <w:i/>
          <w:iCs/>
          <w:color w:val="000000" w:themeColor="text1"/>
          <w:sz w:val="24"/>
          <w:szCs w:val="24"/>
          <w:lang w:val="en-US" w:eastAsia="en-US"/>
        </w:rPr>
        <w:t>TEU Article 4</w:t>
      </w:r>
      <w:bookmarkEnd w:id="13"/>
      <w:r w:rsidRPr="00987626">
        <w:rPr>
          <w:rFonts w:eastAsiaTheme="minorHAnsi"/>
          <w:color w:val="000000" w:themeColor="text1"/>
          <w:sz w:val="24"/>
          <w:szCs w:val="24"/>
          <w:lang w:val="en-US" w:eastAsia="en-US"/>
        </w:rPr>
        <w:t xml:space="preserve">, European Council plays the vital role which provides the Union with an essential impetus for development and defines specific guidelines of politics. Referring to the </w:t>
      </w:r>
      <w:bookmarkStart w:id="14" w:name="_Hlk96337356"/>
      <w:r w:rsidRPr="00987626">
        <w:rPr>
          <w:rFonts w:eastAsiaTheme="minorHAnsi"/>
          <w:i/>
          <w:iCs/>
          <w:color w:val="000000" w:themeColor="text1"/>
          <w:sz w:val="24"/>
          <w:szCs w:val="24"/>
          <w:lang w:val="en-US" w:eastAsia="en-US"/>
        </w:rPr>
        <w:t>Treaty on European Union Article 16</w:t>
      </w:r>
      <w:r w:rsidRPr="00987626">
        <w:rPr>
          <w:rFonts w:eastAsiaTheme="minorHAnsi"/>
          <w:color w:val="000000" w:themeColor="text1"/>
          <w:sz w:val="24"/>
          <w:szCs w:val="24"/>
          <w:lang w:val="en-US" w:eastAsia="en-US"/>
        </w:rPr>
        <w:t xml:space="preserve">, </w:t>
      </w:r>
      <w:bookmarkEnd w:id="14"/>
      <w:r w:rsidRPr="00987626">
        <w:rPr>
          <w:rFonts w:eastAsiaTheme="minorHAnsi"/>
          <w:color w:val="000000" w:themeColor="text1"/>
          <w:sz w:val="24"/>
          <w:szCs w:val="24"/>
          <w:lang w:val="en-US" w:eastAsia="en-US"/>
        </w:rPr>
        <w:t xml:space="preserve">qualified majority voting requires the decision of Council which is adopted when there are issues debated regarding democracy deficit. Talking about the case of </w:t>
      </w:r>
      <w:r w:rsidRPr="00987626">
        <w:rPr>
          <w:rFonts w:eastAsiaTheme="minorHAnsi"/>
          <w:i/>
          <w:iCs/>
          <w:color w:val="000000" w:themeColor="text1"/>
          <w:sz w:val="24"/>
          <w:szCs w:val="24"/>
          <w:lang w:val="en-US" w:eastAsia="en-US"/>
        </w:rPr>
        <w:t>Robinson v Solicitors Regulation Authority</w:t>
      </w:r>
      <w:r w:rsidRPr="00987626">
        <w:rPr>
          <w:rFonts w:eastAsiaTheme="minorHAnsi"/>
          <w:color w:val="000000" w:themeColor="text1"/>
          <w:sz w:val="24"/>
          <w:szCs w:val="24"/>
          <w:lang w:val="en-US" w:eastAsia="en-US"/>
        </w:rPr>
        <w:t xml:space="preserve"> (2012), advantage of qualified majority voting indicates the method used for voting that is based on the normal procedure of legislative. Similarly, disadvantage of qualified majority voting is based on the defence of unanimity rule based on the European Council. It pushes to Council to work constantly to unite Member States. </w:t>
      </w:r>
    </w:p>
    <w:p w14:paraId="3216FDB9"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r w:rsidRPr="00987626">
        <w:rPr>
          <w:rFonts w:eastAsiaTheme="minorHAnsi"/>
          <w:color w:val="000000" w:themeColor="text1"/>
          <w:sz w:val="24"/>
          <w:szCs w:val="24"/>
          <w:lang w:val="en-US" w:eastAsia="en-US"/>
        </w:rPr>
        <w:t xml:space="preserve">The Court of Justice of the European Union interprets law of European Union to amend and settle legal disputes amongst EU institutions and national governments.  The case of </w:t>
      </w:r>
      <w:r w:rsidRPr="00987626">
        <w:rPr>
          <w:rFonts w:eastAsiaTheme="minorHAnsi"/>
          <w:i/>
          <w:iCs/>
          <w:color w:val="000000" w:themeColor="text1"/>
          <w:sz w:val="24"/>
          <w:szCs w:val="24"/>
          <w:lang w:val="en-US" w:eastAsia="en-US"/>
        </w:rPr>
        <w:t xml:space="preserve">Karsten Kaltoft v </w:t>
      </w:r>
      <w:r w:rsidRPr="00987626">
        <w:rPr>
          <w:rFonts w:eastAsiaTheme="minorHAnsi"/>
          <w:i/>
          <w:iCs/>
          <w:color w:val="000000" w:themeColor="text1"/>
          <w:sz w:val="24"/>
          <w:szCs w:val="24"/>
          <w:lang w:val="en-US" w:eastAsia="en-US"/>
        </w:rPr>
        <w:lastRenderedPageBreak/>
        <w:t xml:space="preserve">Billund Kommune Case C-354/13 ECJ, </w:t>
      </w:r>
      <w:r w:rsidRPr="00987626">
        <w:rPr>
          <w:rFonts w:eastAsiaTheme="minorHAnsi"/>
          <w:color w:val="000000" w:themeColor="text1"/>
          <w:sz w:val="24"/>
          <w:szCs w:val="24"/>
          <w:lang w:val="en-US" w:eastAsia="en-US"/>
        </w:rPr>
        <w:t xml:space="preserve">demonstrates the role of Court of Justice which ensures the European law that is applied and interpreted based on the EU institutions abide through the law of European Union. In terms of European law overall states member are not represented in a General Assembly. According to the </w:t>
      </w:r>
      <w:bookmarkStart w:id="15" w:name="_Hlk96337416"/>
      <w:r w:rsidRPr="00987626">
        <w:rPr>
          <w:rFonts w:eastAsiaTheme="minorHAnsi"/>
          <w:i/>
          <w:iCs/>
          <w:color w:val="000000" w:themeColor="text1"/>
          <w:sz w:val="24"/>
          <w:szCs w:val="24"/>
          <w:lang w:val="en-US" w:eastAsia="en-US"/>
        </w:rPr>
        <w:t>Article 31 (3) TEU</w:t>
      </w:r>
      <w:bookmarkEnd w:id="15"/>
      <w:r w:rsidRPr="00987626">
        <w:rPr>
          <w:rFonts w:eastAsiaTheme="minorHAnsi"/>
          <w:i/>
          <w:iCs/>
          <w:color w:val="000000" w:themeColor="text1"/>
          <w:sz w:val="24"/>
          <w:szCs w:val="24"/>
          <w:lang w:val="en-US" w:eastAsia="en-US"/>
        </w:rPr>
        <w:t xml:space="preserve">, </w:t>
      </w:r>
      <w:r w:rsidRPr="00987626">
        <w:rPr>
          <w:rFonts w:eastAsiaTheme="minorHAnsi"/>
          <w:color w:val="000000" w:themeColor="text1"/>
          <w:sz w:val="24"/>
          <w:szCs w:val="24"/>
          <w:lang w:val="en-US" w:eastAsia="en-US"/>
        </w:rPr>
        <w:t xml:space="preserve">adopt the decision stipulating which the European Council shall act through the qualified majority. The judiciary role is to decide and adjudicate disputes regarding European Law. The role of judges is to make and interpret law in a way that it plays the significant role in interpreting legislation in an effective manner created from the European law. The court has not gone beyond the powers given because it is based on the common-law where the judge of court has the power to punish misbehavior occurring inside the courtroom </w:t>
      </w:r>
      <w:r w:rsidRPr="00987626">
        <w:rPr>
          <w:rFonts w:eastAsiaTheme="minorHAnsi"/>
          <w:i/>
          <w:iCs/>
          <w:color w:val="000000" w:themeColor="text1"/>
          <w:sz w:val="24"/>
          <w:szCs w:val="24"/>
          <w:lang w:val="en-US" w:eastAsia="en-US"/>
        </w:rPr>
        <w:t>(</w:t>
      </w:r>
      <w:r w:rsidRPr="00987626">
        <w:rPr>
          <w:rFonts w:asciiTheme="minorHAnsi" w:eastAsiaTheme="minorHAnsi" w:hAnsiTheme="minorHAnsi" w:cstheme="minorBidi"/>
          <w:i/>
          <w:iCs/>
          <w:sz w:val="22"/>
          <w:szCs w:val="22"/>
          <w:lang w:val="en-US" w:eastAsia="en-US"/>
        </w:rPr>
        <w:t>Terpan, F. (2014).</w:t>
      </w:r>
    </w:p>
    <w:p w14:paraId="3710736E"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0D2918E8"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7CAD3CDE"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1D050085"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63F1A922"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48F26DBE"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1768FD8C"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31D3B070"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21248498"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10FF6EC6"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32495435"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42304A86"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51A7C547"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2C482363"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66826AB3" w14:textId="77777777" w:rsidR="00987626" w:rsidRPr="00987626" w:rsidRDefault="00987626" w:rsidP="00987626">
      <w:pPr>
        <w:keepNext/>
        <w:keepLines/>
        <w:spacing w:before="240" w:line="259" w:lineRule="auto"/>
        <w:outlineLvl w:val="0"/>
        <w:rPr>
          <w:rFonts w:eastAsiaTheme="majorEastAsia" w:cstheme="majorBidi"/>
          <w:b/>
          <w:color w:val="2F5496" w:themeColor="accent1" w:themeShade="BF"/>
          <w:sz w:val="32"/>
          <w:szCs w:val="32"/>
          <w:lang w:val="en-US" w:eastAsia="en-US"/>
        </w:rPr>
      </w:pPr>
      <w:r w:rsidRPr="00987626">
        <w:rPr>
          <w:rFonts w:eastAsiaTheme="majorEastAsia" w:cstheme="majorBidi"/>
          <w:b/>
          <w:color w:val="2F5496" w:themeColor="accent1" w:themeShade="BF"/>
          <w:sz w:val="32"/>
          <w:szCs w:val="32"/>
          <w:lang w:val="en-US" w:eastAsia="en-US"/>
        </w:rPr>
        <w:lastRenderedPageBreak/>
        <w:t>Conclusion</w:t>
      </w:r>
    </w:p>
    <w:p w14:paraId="344437C9" w14:textId="77777777" w:rsidR="00987626" w:rsidRPr="00987626" w:rsidRDefault="00987626" w:rsidP="00987626">
      <w:pPr>
        <w:spacing w:after="160" w:line="360" w:lineRule="auto"/>
        <w:jc w:val="both"/>
        <w:rPr>
          <w:rFonts w:eastAsiaTheme="minorHAnsi"/>
          <w:i/>
          <w:iCs/>
          <w:color w:val="000000" w:themeColor="text1"/>
          <w:sz w:val="24"/>
          <w:szCs w:val="24"/>
          <w:lang w:val="en-US" w:eastAsia="en-US"/>
        </w:rPr>
      </w:pPr>
      <w:r w:rsidRPr="00987626">
        <w:rPr>
          <w:rFonts w:eastAsiaTheme="minorHAnsi"/>
          <w:color w:val="000000" w:themeColor="text1"/>
          <w:sz w:val="24"/>
          <w:szCs w:val="24"/>
          <w:lang w:val="en-US" w:eastAsia="en-US"/>
        </w:rPr>
        <w:t xml:space="preserve">In conclusion, European parliament indicates the branches of three legislative based on the European Union. Generally, European Parliament debates legislation which can reject or pass laws and make amendments passed on the EU council. It is the legislative body of the UK government. The European Council regulates the overall political direction of European Union by traditionally adopting conclusions which does not negotiate and adopt laws of European Union. No any members are fixed in the European Council rather the Council meets in ten several configurations which corresponds to the policy discussed through the European law </w:t>
      </w:r>
      <w:r w:rsidRPr="00987626">
        <w:rPr>
          <w:rFonts w:eastAsiaTheme="minorHAnsi"/>
          <w:i/>
          <w:iCs/>
          <w:color w:val="000000" w:themeColor="text1"/>
          <w:sz w:val="24"/>
          <w:szCs w:val="24"/>
          <w:lang w:val="en-US" w:eastAsia="en-US"/>
        </w:rPr>
        <w:t>(</w:t>
      </w:r>
      <w:r w:rsidRPr="00987626">
        <w:rPr>
          <w:rFonts w:asciiTheme="minorHAnsi" w:eastAsiaTheme="minorHAnsi" w:hAnsiTheme="minorHAnsi" w:cstheme="minorHAnsi"/>
          <w:i/>
          <w:iCs/>
          <w:sz w:val="24"/>
          <w:szCs w:val="24"/>
          <w:lang w:val="en-US" w:eastAsia="en-US"/>
        </w:rPr>
        <w:t>Tridimas 2007)</w:t>
      </w:r>
      <w:r w:rsidRPr="00987626">
        <w:rPr>
          <w:rFonts w:eastAsiaTheme="minorHAnsi"/>
          <w:i/>
          <w:iCs/>
          <w:color w:val="000000" w:themeColor="text1"/>
          <w:sz w:val="24"/>
          <w:szCs w:val="24"/>
          <w:lang w:val="en-US" w:eastAsia="en-US"/>
        </w:rPr>
        <w:t>.</w:t>
      </w:r>
      <w:r w:rsidRPr="00987626">
        <w:rPr>
          <w:rFonts w:eastAsiaTheme="minorHAnsi"/>
          <w:color w:val="000000" w:themeColor="text1"/>
          <w:sz w:val="24"/>
          <w:szCs w:val="24"/>
          <w:lang w:val="en-US" w:eastAsia="en-US"/>
        </w:rPr>
        <w:t xml:space="preserve"> Similarly, depending on the configuration, particular country sends their personal minister to be responsible for area of policy. Based on the government legitimacy, democratic deficit derives through the popular perception where the government abides in governing and legally accountable to the overall citizen. Democratic deficit is based on the two major approaches that relies on the political procedure such as regulations and legislation. The concept of democratic deficit that is accompanied from the procedure of European integration are certainly very centrist which result the delicate compromise amongst every interest parties </w:t>
      </w:r>
      <w:r w:rsidRPr="00987626">
        <w:rPr>
          <w:rFonts w:eastAsiaTheme="minorHAnsi"/>
          <w:i/>
          <w:iCs/>
          <w:color w:val="000000" w:themeColor="text1"/>
          <w:sz w:val="24"/>
          <w:szCs w:val="24"/>
          <w:lang w:val="en-US" w:eastAsia="en-US"/>
        </w:rPr>
        <w:t>(Bilčík, V. (2017).</w:t>
      </w:r>
      <w:r w:rsidRPr="00987626">
        <w:rPr>
          <w:rFonts w:eastAsiaTheme="minorHAnsi"/>
          <w:color w:val="000000" w:themeColor="text1"/>
          <w:sz w:val="24"/>
          <w:szCs w:val="24"/>
          <w:lang w:val="en-US" w:eastAsia="en-US"/>
        </w:rPr>
        <w:t xml:space="preserve"> However, it is delicate from the main part positions and member states. Role of European Commission is considered as the support to propose new policies and law to implement democratic deficit in the European Union. It plays the important role in delivering aid and supporting international development. European Commission implements and propose the budget of European Union which manages the funding programs of European Union. Therefore, European Council regulates the overall political direction of European Union by traditionally adopting conclusions which does not negotiate and adopt laws of European Union </w:t>
      </w:r>
      <w:r w:rsidRPr="00987626">
        <w:rPr>
          <w:rFonts w:eastAsiaTheme="minorHAnsi"/>
          <w:i/>
          <w:iCs/>
          <w:color w:val="000000" w:themeColor="text1"/>
          <w:sz w:val="24"/>
          <w:szCs w:val="24"/>
          <w:lang w:val="en-US" w:eastAsia="en-US"/>
        </w:rPr>
        <w:t>(</w:t>
      </w:r>
      <w:r w:rsidRPr="00987626">
        <w:rPr>
          <w:rFonts w:asciiTheme="minorHAnsi" w:eastAsiaTheme="minorHAnsi" w:hAnsiTheme="minorHAnsi" w:cstheme="minorBidi"/>
          <w:i/>
          <w:iCs/>
          <w:sz w:val="22"/>
          <w:szCs w:val="22"/>
          <w:lang w:val="en-US" w:eastAsia="en-US"/>
        </w:rPr>
        <w:t>Cairney, P., McHarg, A., McEwen, N. and Turner, K., 2019).</w:t>
      </w:r>
    </w:p>
    <w:p w14:paraId="381CDCEE" w14:textId="77777777" w:rsidR="00987626" w:rsidRPr="00987626" w:rsidRDefault="00987626" w:rsidP="00987626">
      <w:pPr>
        <w:spacing w:after="160" w:line="360" w:lineRule="auto"/>
        <w:jc w:val="both"/>
        <w:rPr>
          <w:rFonts w:eastAsiaTheme="minorHAnsi"/>
          <w:i/>
          <w:iCs/>
          <w:color w:val="000000" w:themeColor="text1"/>
          <w:sz w:val="24"/>
          <w:szCs w:val="24"/>
          <w:lang w:val="en-US" w:eastAsia="en-US"/>
        </w:rPr>
      </w:pPr>
    </w:p>
    <w:p w14:paraId="4654782B"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3192DE11"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6A5E00D9"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33537A65"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248B4E4F"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p>
    <w:p w14:paraId="0F47E978" w14:textId="77777777" w:rsidR="00987626" w:rsidRPr="00987626" w:rsidRDefault="00987626" w:rsidP="00987626">
      <w:pPr>
        <w:keepNext/>
        <w:keepLines/>
        <w:spacing w:before="240" w:line="259" w:lineRule="auto"/>
        <w:outlineLvl w:val="0"/>
        <w:rPr>
          <w:rFonts w:eastAsiaTheme="majorEastAsia" w:cstheme="majorBidi"/>
          <w:b/>
          <w:color w:val="2F5496" w:themeColor="accent1" w:themeShade="BF"/>
          <w:sz w:val="32"/>
          <w:szCs w:val="32"/>
          <w:lang w:val="en-US" w:eastAsia="en-US"/>
        </w:rPr>
      </w:pPr>
      <w:r w:rsidRPr="00987626">
        <w:rPr>
          <w:rFonts w:eastAsiaTheme="majorEastAsia" w:cstheme="majorBidi"/>
          <w:b/>
          <w:color w:val="2F5496" w:themeColor="accent1" w:themeShade="BF"/>
          <w:sz w:val="32"/>
          <w:szCs w:val="32"/>
          <w:lang w:val="en-US" w:eastAsia="en-US"/>
        </w:rPr>
        <w:lastRenderedPageBreak/>
        <w:t xml:space="preserve">Bibliography </w:t>
      </w:r>
    </w:p>
    <w:p w14:paraId="54D45FFB" w14:textId="77777777" w:rsidR="00987626" w:rsidRPr="00987626" w:rsidRDefault="00987626" w:rsidP="00987626">
      <w:pPr>
        <w:spacing w:after="160" w:line="259" w:lineRule="auto"/>
        <w:rPr>
          <w:rFonts w:asciiTheme="minorHAnsi" w:eastAsiaTheme="minorHAnsi" w:hAnsiTheme="minorHAnsi" w:cstheme="minorBidi"/>
          <w:sz w:val="22"/>
          <w:szCs w:val="22"/>
          <w:lang w:val="en-US" w:eastAsia="en-US"/>
        </w:rPr>
      </w:pPr>
    </w:p>
    <w:p w14:paraId="727313A5" w14:textId="77777777" w:rsidR="00987626" w:rsidRPr="00987626" w:rsidRDefault="00987626" w:rsidP="00987626">
      <w:pPr>
        <w:spacing w:line="480" w:lineRule="auto"/>
        <w:rPr>
          <w:rFonts w:eastAsia="Calibri"/>
          <w:b/>
          <w:sz w:val="28"/>
          <w:szCs w:val="28"/>
          <w:lang w:eastAsia="en-US"/>
        </w:rPr>
      </w:pPr>
      <w:r w:rsidRPr="00987626">
        <w:rPr>
          <w:rFonts w:eastAsia="Calibri"/>
          <w:b/>
          <w:sz w:val="28"/>
          <w:szCs w:val="28"/>
          <w:lang w:eastAsia="en-US"/>
        </w:rPr>
        <w:t xml:space="preserve">Primary Sources </w:t>
      </w:r>
    </w:p>
    <w:p w14:paraId="43C59D9F" w14:textId="77777777" w:rsidR="00987626" w:rsidRPr="00987626" w:rsidRDefault="00987626" w:rsidP="00987626">
      <w:pPr>
        <w:rPr>
          <w:rFonts w:asciiTheme="minorHAnsi" w:eastAsiaTheme="minorHAnsi" w:hAnsiTheme="minorHAnsi" w:cstheme="minorBidi"/>
          <w:b/>
          <w:sz w:val="24"/>
          <w:szCs w:val="22"/>
          <w:lang w:val="en-US" w:eastAsia="en-US"/>
        </w:rPr>
      </w:pPr>
      <w:r w:rsidRPr="00987626">
        <w:rPr>
          <w:rFonts w:asciiTheme="minorHAnsi" w:eastAsiaTheme="minorHAnsi" w:hAnsiTheme="minorHAnsi" w:cstheme="minorBidi"/>
          <w:b/>
          <w:sz w:val="24"/>
          <w:szCs w:val="22"/>
          <w:lang w:val="en-US" w:eastAsia="en-US"/>
        </w:rPr>
        <w:t xml:space="preserve">Cases </w:t>
      </w:r>
    </w:p>
    <w:p w14:paraId="0F3CC032" w14:textId="77777777" w:rsidR="00987626" w:rsidRPr="00987626" w:rsidRDefault="00987626" w:rsidP="00987626">
      <w:pPr>
        <w:rPr>
          <w:rFonts w:asciiTheme="minorHAnsi" w:eastAsiaTheme="minorHAnsi" w:hAnsiTheme="minorHAnsi" w:cstheme="minorBidi"/>
          <w:b/>
          <w:sz w:val="24"/>
          <w:szCs w:val="22"/>
          <w:lang w:val="en-US" w:eastAsia="en-US"/>
        </w:rPr>
      </w:pPr>
    </w:p>
    <w:p w14:paraId="28A5F311"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Commentary on Roberts v Hopwood [1925].</w:t>
      </w:r>
    </w:p>
    <w:p w14:paraId="016A8FCC" w14:textId="77777777" w:rsidR="00987626" w:rsidRPr="00987626" w:rsidRDefault="00987626" w:rsidP="00987626">
      <w:pPr>
        <w:rPr>
          <w:rFonts w:eastAsiaTheme="minorHAnsi"/>
          <w:sz w:val="24"/>
          <w:szCs w:val="24"/>
          <w:lang w:val="en-US" w:eastAsia="en-US"/>
        </w:rPr>
      </w:pPr>
      <w:r w:rsidRPr="00987626">
        <w:rPr>
          <w:rFonts w:eastAsiaTheme="minorHAnsi"/>
          <w:sz w:val="24"/>
          <w:szCs w:val="24"/>
          <w:lang w:val="en-US" w:eastAsia="en-US"/>
        </w:rPr>
        <w:t>CJEU - C‑540/03, European Parliament v Council of the European Union</w:t>
      </w:r>
    </w:p>
    <w:p w14:paraId="701B368F" w14:textId="77777777" w:rsidR="00987626" w:rsidRPr="00987626" w:rsidRDefault="00987626" w:rsidP="00987626">
      <w:pPr>
        <w:rPr>
          <w:rFonts w:eastAsiaTheme="minorHAnsi"/>
          <w:sz w:val="24"/>
          <w:szCs w:val="24"/>
          <w:lang w:val="en-US" w:eastAsia="en-US"/>
        </w:rPr>
      </w:pPr>
    </w:p>
    <w:p w14:paraId="5F0907A8"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bookmarkStart w:id="16" w:name="_Hlk97195884"/>
      <w:bookmarkStart w:id="17" w:name="_Hlk97195925"/>
      <w:r w:rsidRPr="00987626">
        <w:rPr>
          <w:rFonts w:asciiTheme="minorHAnsi" w:eastAsiaTheme="minorHAnsi" w:hAnsiTheme="minorHAnsi" w:cstheme="minorHAnsi"/>
          <w:sz w:val="24"/>
          <w:szCs w:val="24"/>
          <w:lang w:val="en-US" w:eastAsia="en-US"/>
        </w:rPr>
        <w:t>European Communities v United Kingdom of Great Britain Case C-6/04</w:t>
      </w:r>
    </w:p>
    <w:p w14:paraId="78779936"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EC Commission v United Kingdom [1979]</w:t>
      </w:r>
    </w:p>
    <w:p w14:paraId="1F3D9D03"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European Communities v Kingdom of Spain or C-157/03</w:t>
      </w:r>
    </w:p>
    <w:p w14:paraId="19BD4140"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bookmarkStart w:id="18" w:name="_Hlk97197630"/>
      <w:r w:rsidRPr="00987626">
        <w:rPr>
          <w:rFonts w:asciiTheme="minorHAnsi" w:eastAsiaTheme="minorHAnsi" w:hAnsiTheme="minorHAnsi" w:cstheme="minorHAnsi"/>
          <w:sz w:val="24"/>
          <w:szCs w:val="24"/>
          <w:lang w:val="en-US" w:eastAsia="en-US"/>
        </w:rPr>
        <w:t>Karsten Kaltoft v Billund Kommune Case C-354/13 ECJ</w:t>
      </w:r>
    </w:p>
    <w:p w14:paraId="0C7D00D5"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bookmarkStart w:id="19" w:name="_Hlk97196653"/>
      <w:bookmarkEnd w:id="18"/>
      <w:r w:rsidRPr="00987626">
        <w:rPr>
          <w:rFonts w:asciiTheme="minorHAnsi" w:eastAsiaTheme="minorHAnsi" w:hAnsiTheme="minorHAnsi" w:cstheme="minorHAnsi"/>
          <w:sz w:val="24"/>
          <w:szCs w:val="24"/>
          <w:lang w:val="en-US" w:eastAsia="en-US"/>
        </w:rPr>
        <w:t>Malcolm v Oxford University Press [1994] EMLR 17</w:t>
      </w:r>
    </w:p>
    <w:p w14:paraId="329590EB"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bookmarkStart w:id="20" w:name="_Hlk97196883"/>
      <w:r w:rsidRPr="00987626">
        <w:rPr>
          <w:rFonts w:asciiTheme="minorHAnsi" w:eastAsiaTheme="minorHAnsi" w:hAnsiTheme="minorHAnsi" w:cstheme="minorHAnsi"/>
          <w:sz w:val="24"/>
          <w:szCs w:val="24"/>
          <w:lang w:val="en-US" w:eastAsia="en-US"/>
        </w:rPr>
        <w:t>Matthews v. the United Kingdom [1999]</w:t>
      </w:r>
    </w:p>
    <w:p w14:paraId="2EE56149"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R (Miller) v Secretary of State for Exiting the European Union</w:t>
      </w:r>
    </w:p>
    <w:p w14:paraId="30D20629"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bookmarkStart w:id="21" w:name="_Hlk97197263"/>
      <w:r w:rsidRPr="00987626">
        <w:rPr>
          <w:rFonts w:asciiTheme="minorHAnsi" w:eastAsiaTheme="minorHAnsi" w:hAnsiTheme="minorHAnsi" w:cstheme="minorHAnsi"/>
          <w:sz w:val="24"/>
          <w:szCs w:val="24"/>
          <w:lang w:val="en-US" w:eastAsia="en-US"/>
        </w:rPr>
        <w:t>Robinson v Solicitors Regulation Authority [2012]</w:t>
      </w:r>
    </w:p>
    <w:p w14:paraId="0443282B"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United Kingdom v Council of the European Union - ECJ Case C-77/05, 10.7.07</w:t>
      </w:r>
    </w:p>
    <w:p w14:paraId="1F68A1DC"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United Kingdom v. Commission of the European Communities</w:t>
      </w:r>
    </w:p>
    <w:bookmarkEnd w:id="16"/>
    <w:bookmarkEnd w:id="17"/>
    <w:bookmarkEnd w:id="19"/>
    <w:bookmarkEnd w:id="20"/>
    <w:bookmarkEnd w:id="21"/>
    <w:p w14:paraId="0C163D28" w14:textId="77777777" w:rsidR="00987626" w:rsidRPr="00987626" w:rsidRDefault="00987626" w:rsidP="00987626">
      <w:pPr>
        <w:rPr>
          <w:rFonts w:asciiTheme="minorHAnsi" w:eastAsiaTheme="minorHAnsi" w:hAnsiTheme="minorHAnsi" w:cstheme="minorBidi"/>
          <w:b/>
          <w:sz w:val="24"/>
          <w:szCs w:val="22"/>
          <w:lang w:val="en-US" w:eastAsia="en-US"/>
        </w:rPr>
      </w:pPr>
      <w:r w:rsidRPr="00987626">
        <w:rPr>
          <w:rFonts w:asciiTheme="minorHAnsi" w:eastAsiaTheme="minorHAnsi" w:hAnsiTheme="minorHAnsi" w:cstheme="minorBidi"/>
          <w:b/>
          <w:sz w:val="24"/>
          <w:szCs w:val="22"/>
          <w:lang w:val="en-US" w:eastAsia="en-US"/>
        </w:rPr>
        <w:t xml:space="preserve">Legislation and Act </w:t>
      </w:r>
    </w:p>
    <w:p w14:paraId="4C34DEE7" w14:textId="77777777" w:rsidR="00987626" w:rsidRPr="00987626" w:rsidRDefault="00987626" w:rsidP="00987626">
      <w:pPr>
        <w:rPr>
          <w:rFonts w:asciiTheme="minorHAnsi" w:eastAsiaTheme="minorHAnsi" w:hAnsiTheme="minorHAnsi" w:cstheme="minorBidi"/>
          <w:b/>
          <w:sz w:val="24"/>
          <w:szCs w:val="22"/>
          <w:lang w:val="en-US" w:eastAsia="en-US"/>
        </w:rPr>
      </w:pPr>
    </w:p>
    <w:p w14:paraId="235826AD" w14:textId="77777777" w:rsidR="00987626" w:rsidRPr="00987626" w:rsidRDefault="00987626" w:rsidP="00987626">
      <w:pPr>
        <w:spacing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Article 10 TEU</w:t>
      </w:r>
    </w:p>
    <w:p w14:paraId="07D07DC3" w14:textId="77777777" w:rsidR="00987626" w:rsidRPr="00987626" w:rsidRDefault="00987626" w:rsidP="00987626">
      <w:pPr>
        <w:spacing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Article 102 EU commission</w:t>
      </w:r>
    </w:p>
    <w:p w14:paraId="64755D2E"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Article 11 Treaty on European Union</w:t>
      </w:r>
    </w:p>
    <w:p w14:paraId="0584A886"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Article 12 TEU</w:t>
      </w:r>
    </w:p>
    <w:p w14:paraId="4D41C4FE" w14:textId="77777777" w:rsidR="00987626" w:rsidRPr="00987626" w:rsidRDefault="00987626" w:rsidP="00987626">
      <w:pPr>
        <w:spacing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Article 17 European Union</w:t>
      </w:r>
    </w:p>
    <w:p w14:paraId="6F2F1378"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Article 258 TEFU</w:t>
      </w:r>
    </w:p>
    <w:p w14:paraId="7C0AE291"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lastRenderedPageBreak/>
        <w:t>Article 31 (3) TEU</w:t>
      </w:r>
    </w:p>
    <w:p w14:paraId="48A2DE2B"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European Communities Act 1972</w:t>
      </w:r>
    </w:p>
    <w:p w14:paraId="2B31FD73"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European Council Article 214(2)</w:t>
      </w:r>
    </w:p>
    <w:p w14:paraId="37D4F8D9"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European Union Act 2011</w:t>
      </w:r>
    </w:p>
    <w:p w14:paraId="005B6F08"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Bidi"/>
          <w:sz w:val="22"/>
          <w:szCs w:val="22"/>
          <w:lang w:val="en-US" w:eastAsia="en-US"/>
        </w:rPr>
        <w:t>1986 Single European Act</w:t>
      </w:r>
    </w:p>
    <w:p w14:paraId="4EBF4359"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Fixed-term Parliaments Act 2011</w:t>
      </w:r>
    </w:p>
    <w:p w14:paraId="1A878514"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TEU Article 4</w:t>
      </w:r>
    </w:p>
    <w:p w14:paraId="5C0906AA"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Treaty on European Union Article 16</w:t>
      </w:r>
    </w:p>
    <w:p w14:paraId="61517CA6" w14:textId="77777777" w:rsidR="00987626" w:rsidRPr="00987626" w:rsidRDefault="00987626" w:rsidP="00987626">
      <w:pPr>
        <w:spacing w:line="480" w:lineRule="auto"/>
        <w:rPr>
          <w:rFonts w:eastAsia="Calibri"/>
          <w:b/>
          <w:sz w:val="28"/>
          <w:szCs w:val="28"/>
          <w:lang w:eastAsia="en-US"/>
        </w:rPr>
      </w:pPr>
      <w:r w:rsidRPr="00987626">
        <w:rPr>
          <w:rFonts w:eastAsia="Calibri"/>
          <w:b/>
          <w:sz w:val="28"/>
          <w:szCs w:val="28"/>
          <w:lang w:eastAsia="en-US"/>
        </w:rPr>
        <w:t xml:space="preserve">Secondary Sources </w:t>
      </w:r>
    </w:p>
    <w:p w14:paraId="0E27E4CB" w14:textId="77777777" w:rsidR="00987626" w:rsidRPr="00987626" w:rsidRDefault="00987626" w:rsidP="00987626">
      <w:pPr>
        <w:rPr>
          <w:rFonts w:eastAsiaTheme="minorHAnsi"/>
          <w:b/>
          <w:sz w:val="28"/>
          <w:szCs w:val="28"/>
          <w:lang w:val="en-US" w:eastAsia="en-US"/>
        </w:rPr>
      </w:pPr>
      <w:r w:rsidRPr="00987626">
        <w:rPr>
          <w:rFonts w:eastAsiaTheme="minorHAnsi"/>
          <w:b/>
          <w:sz w:val="28"/>
          <w:szCs w:val="28"/>
          <w:lang w:val="en-US" w:eastAsia="en-US"/>
        </w:rPr>
        <w:t xml:space="preserve">Journals </w:t>
      </w:r>
    </w:p>
    <w:p w14:paraId="2B80F638" w14:textId="77777777" w:rsidR="00987626" w:rsidRPr="00987626" w:rsidRDefault="00987626" w:rsidP="00987626">
      <w:pPr>
        <w:rPr>
          <w:rFonts w:eastAsiaTheme="minorHAnsi"/>
          <w:b/>
          <w:sz w:val="28"/>
          <w:szCs w:val="28"/>
          <w:lang w:val="en-US" w:eastAsia="en-US"/>
        </w:rPr>
      </w:pPr>
    </w:p>
    <w:p w14:paraId="0D729E36"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bookmarkStart w:id="22" w:name="_Hlk97226089"/>
      <w:r w:rsidRPr="00987626">
        <w:rPr>
          <w:rFonts w:eastAsiaTheme="minorHAnsi"/>
          <w:color w:val="000000" w:themeColor="text1"/>
          <w:sz w:val="24"/>
          <w:szCs w:val="24"/>
          <w:lang w:val="en-US" w:eastAsia="en-US"/>
        </w:rPr>
        <w:t xml:space="preserve">Bilčík, V. (2017) </w:t>
      </w:r>
      <w:bookmarkEnd w:id="22"/>
      <w:r w:rsidRPr="00987626">
        <w:rPr>
          <w:rFonts w:eastAsiaTheme="minorHAnsi"/>
          <w:color w:val="000000" w:themeColor="text1"/>
          <w:sz w:val="24"/>
          <w:szCs w:val="24"/>
          <w:lang w:val="en-US" w:eastAsia="en-US"/>
        </w:rPr>
        <w:t>“The Slovak EU Council Presidency: In Defence of Post-Brexit EU,” </w:t>
      </w:r>
      <w:r w:rsidRPr="00987626">
        <w:rPr>
          <w:rFonts w:eastAsiaTheme="minorHAnsi"/>
          <w:i/>
          <w:iCs/>
          <w:color w:val="000000" w:themeColor="text1"/>
          <w:sz w:val="24"/>
          <w:szCs w:val="24"/>
          <w:lang w:val="en-US" w:eastAsia="en-US"/>
        </w:rPr>
        <w:t>JCMS: Journal of Common Market Studies</w:t>
      </w:r>
      <w:r w:rsidRPr="00987626">
        <w:rPr>
          <w:rFonts w:eastAsiaTheme="minorHAnsi"/>
          <w:color w:val="000000" w:themeColor="text1"/>
          <w:sz w:val="24"/>
          <w:szCs w:val="24"/>
          <w:lang w:val="en-US" w:eastAsia="en-US"/>
        </w:rPr>
        <w:t>, 55, pp. 64–72. doi: 10.1111/jcms.12619.</w:t>
      </w:r>
    </w:p>
    <w:p w14:paraId="012C2542"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De Vette, E. M. F. (2011) “Multinational enterprise groups in insolvency: how should the European Union act?,” </w:t>
      </w:r>
      <w:r w:rsidRPr="00987626">
        <w:rPr>
          <w:rFonts w:asciiTheme="minorHAnsi" w:eastAsiaTheme="minorHAnsi" w:hAnsiTheme="minorHAnsi" w:cstheme="minorHAnsi"/>
          <w:i/>
          <w:iCs/>
          <w:sz w:val="24"/>
          <w:szCs w:val="24"/>
          <w:lang w:val="en-US" w:eastAsia="en-US"/>
        </w:rPr>
        <w:t>Utrecht Law Review</w:t>
      </w:r>
      <w:r w:rsidRPr="00987626">
        <w:rPr>
          <w:rFonts w:asciiTheme="minorHAnsi" w:eastAsiaTheme="minorHAnsi" w:hAnsiTheme="minorHAnsi" w:cstheme="minorHAnsi"/>
          <w:sz w:val="24"/>
          <w:szCs w:val="24"/>
          <w:lang w:val="en-US" w:eastAsia="en-US"/>
        </w:rPr>
        <w:t>, 7(1), p. 216. doi: 10.18352/ulr.156</w:t>
      </w:r>
    </w:p>
    <w:p w14:paraId="159E0BD4" w14:textId="77777777" w:rsidR="00987626" w:rsidRPr="00987626" w:rsidRDefault="00987626" w:rsidP="00987626">
      <w:pPr>
        <w:spacing w:after="160" w:line="360" w:lineRule="auto"/>
        <w:jc w:val="both"/>
        <w:rPr>
          <w:rFonts w:eastAsiaTheme="minorHAnsi"/>
          <w:color w:val="000000" w:themeColor="text1"/>
          <w:sz w:val="24"/>
          <w:szCs w:val="24"/>
          <w:lang w:val="en-US" w:eastAsia="en-US"/>
        </w:rPr>
      </w:pPr>
      <w:r w:rsidRPr="00987626">
        <w:rPr>
          <w:rFonts w:eastAsiaTheme="minorHAnsi"/>
          <w:color w:val="000000" w:themeColor="text1"/>
          <w:sz w:val="24"/>
          <w:szCs w:val="24"/>
          <w:lang w:val="en-US" w:eastAsia="en-US"/>
        </w:rPr>
        <w:t>Huhe, N., Naurin, D. and Thomson, R. (2017) “The evolution of political networks: Evidence from the Council of the European Union,” </w:t>
      </w:r>
      <w:r w:rsidRPr="00987626">
        <w:rPr>
          <w:rFonts w:eastAsiaTheme="minorHAnsi"/>
          <w:i/>
          <w:iCs/>
          <w:color w:val="000000" w:themeColor="text1"/>
          <w:sz w:val="24"/>
          <w:szCs w:val="24"/>
          <w:lang w:val="en-US" w:eastAsia="en-US"/>
        </w:rPr>
        <w:t>European Union Politics</w:t>
      </w:r>
      <w:r w:rsidRPr="00987626">
        <w:rPr>
          <w:rFonts w:eastAsiaTheme="minorHAnsi"/>
          <w:color w:val="000000" w:themeColor="text1"/>
          <w:sz w:val="24"/>
          <w:szCs w:val="24"/>
          <w:lang w:val="en-US" w:eastAsia="en-US"/>
        </w:rPr>
        <w:t>, 19(1), pp. 25–51. doi: 10.1177/1465116517740228.</w:t>
      </w:r>
    </w:p>
    <w:p w14:paraId="6B3875FE"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Kullaa, R. (2016) “The European Parliament and the UK Parliament: A Relationship in Foreign Policy,” </w:t>
      </w:r>
      <w:r w:rsidRPr="00987626">
        <w:rPr>
          <w:rFonts w:asciiTheme="minorHAnsi" w:eastAsiaTheme="minorHAnsi" w:hAnsiTheme="minorHAnsi" w:cstheme="minorHAnsi"/>
          <w:i/>
          <w:iCs/>
          <w:sz w:val="24"/>
          <w:szCs w:val="24"/>
          <w:lang w:val="en-US" w:eastAsia="en-US"/>
        </w:rPr>
        <w:t>Parliamentary History</w:t>
      </w:r>
      <w:r w:rsidRPr="00987626">
        <w:rPr>
          <w:rFonts w:asciiTheme="minorHAnsi" w:eastAsiaTheme="minorHAnsi" w:hAnsiTheme="minorHAnsi" w:cstheme="minorHAnsi"/>
          <w:sz w:val="24"/>
          <w:szCs w:val="24"/>
          <w:lang w:val="en-US" w:eastAsia="en-US"/>
        </w:rPr>
        <w:t>, 35(1), pp. 67–79. doi: 10.1111/1750-0206.12185.</w:t>
      </w:r>
      <w:bookmarkStart w:id="23" w:name="_Hlk97196123"/>
    </w:p>
    <w:p w14:paraId="70137C88"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bookmarkStart w:id="24" w:name="_Hlk97197093"/>
      <w:r w:rsidRPr="00987626">
        <w:rPr>
          <w:rFonts w:asciiTheme="minorHAnsi" w:eastAsiaTheme="minorHAnsi" w:hAnsiTheme="minorHAnsi" w:cstheme="minorHAnsi"/>
          <w:sz w:val="24"/>
          <w:szCs w:val="24"/>
          <w:lang w:val="en-US" w:eastAsia="en-US"/>
        </w:rPr>
        <w:t>Cairney, P., McHarg, A., McEwen, N. and Turner, K., 2019. How to conceptualise energy law and policy for an interdisciplinary audience: The case of post-Brexit UK. Energy Policy, 129, pp.459-466.</w:t>
      </w:r>
    </w:p>
    <w:p w14:paraId="369D5B2D"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bookmarkStart w:id="25" w:name="_Hlk97224348"/>
      <w:r w:rsidRPr="00987626">
        <w:rPr>
          <w:rFonts w:asciiTheme="minorHAnsi" w:eastAsiaTheme="minorHAnsi" w:hAnsiTheme="minorHAnsi" w:cstheme="minorBidi"/>
          <w:sz w:val="22"/>
          <w:szCs w:val="22"/>
          <w:lang w:val="en-US" w:eastAsia="en-US"/>
        </w:rPr>
        <w:t xml:space="preserve">Terpan, F. (2014) </w:t>
      </w:r>
      <w:bookmarkEnd w:id="25"/>
      <w:r w:rsidRPr="00987626">
        <w:rPr>
          <w:rFonts w:asciiTheme="minorHAnsi" w:eastAsiaTheme="minorHAnsi" w:hAnsiTheme="minorHAnsi" w:cstheme="minorBidi"/>
          <w:sz w:val="22"/>
          <w:szCs w:val="22"/>
          <w:lang w:val="en-US" w:eastAsia="en-US"/>
        </w:rPr>
        <w:t>“Soft Law in the European Union-The Changing Nature of EU Law,” </w:t>
      </w:r>
      <w:r w:rsidRPr="00987626">
        <w:rPr>
          <w:rFonts w:asciiTheme="minorHAnsi" w:eastAsiaTheme="minorHAnsi" w:hAnsiTheme="minorHAnsi" w:cstheme="minorBidi"/>
          <w:i/>
          <w:iCs/>
          <w:sz w:val="22"/>
          <w:szCs w:val="22"/>
          <w:lang w:val="en-US" w:eastAsia="en-US"/>
        </w:rPr>
        <w:t>European Law Journal</w:t>
      </w:r>
      <w:r w:rsidRPr="00987626">
        <w:rPr>
          <w:rFonts w:asciiTheme="minorHAnsi" w:eastAsiaTheme="minorHAnsi" w:hAnsiTheme="minorHAnsi" w:cstheme="minorBidi"/>
          <w:sz w:val="22"/>
          <w:szCs w:val="22"/>
          <w:lang w:val="en-US" w:eastAsia="en-US"/>
        </w:rPr>
        <w:t>, 21(1), pp. 68–96. doi: 10.1111/eulj.12090.</w:t>
      </w:r>
    </w:p>
    <w:bookmarkEnd w:id="23"/>
    <w:bookmarkEnd w:id="24"/>
    <w:p w14:paraId="4DBFAB3B" w14:textId="77777777" w:rsidR="00987626" w:rsidRPr="00987626" w:rsidRDefault="00987626" w:rsidP="00987626">
      <w:pPr>
        <w:rPr>
          <w:rFonts w:asciiTheme="minorHAnsi" w:eastAsiaTheme="minorHAnsi" w:hAnsiTheme="minorHAnsi" w:cstheme="minorBidi"/>
          <w:b/>
          <w:sz w:val="24"/>
          <w:szCs w:val="22"/>
          <w:lang w:val="en-US" w:eastAsia="en-US"/>
        </w:rPr>
      </w:pPr>
      <w:r w:rsidRPr="00987626">
        <w:rPr>
          <w:rFonts w:asciiTheme="minorHAnsi" w:eastAsiaTheme="minorHAnsi" w:hAnsiTheme="minorHAnsi" w:cstheme="minorBidi"/>
          <w:b/>
          <w:sz w:val="24"/>
          <w:szCs w:val="22"/>
          <w:lang w:val="en-US" w:eastAsia="en-US"/>
        </w:rPr>
        <w:lastRenderedPageBreak/>
        <w:t xml:space="preserve">Books </w:t>
      </w:r>
    </w:p>
    <w:p w14:paraId="4D18E720" w14:textId="77777777" w:rsidR="00987626" w:rsidRPr="00987626" w:rsidRDefault="00987626" w:rsidP="00987626">
      <w:pPr>
        <w:spacing w:after="160" w:line="259" w:lineRule="auto"/>
        <w:jc w:val="both"/>
        <w:rPr>
          <w:rFonts w:asciiTheme="minorHAnsi" w:eastAsiaTheme="minorHAnsi" w:hAnsiTheme="minorHAnsi" w:cstheme="minorHAnsi"/>
          <w:sz w:val="24"/>
          <w:szCs w:val="24"/>
          <w:lang w:val="en-US" w:eastAsia="en-US"/>
        </w:rPr>
      </w:pPr>
      <w:bookmarkStart w:id="26" w:name="_Hlk97196506"/>
      <w:r w:rsidRPr="00987626">
        <w:rPr>
          <w:rFonts w:asciiTheme="minorHAnsi" w:eastAsiaTheme="minorHAnsi" w:hAnsiTheme="minorHAnsi" w:cstheme="minorHAnsi"/>
          <w:sz w:val="24"/>
          <w:szCs w:val="24"/>
          <w:lang w:val="en-US" w:eastAsia="en-US"/>
        </w:rPr>
        <w:t>E. Berry &amp; M.J Homewood 2015 Complete EU law, Text, Cases and Materials 2</w:t>
      </w:r>
      <w:r w:rsidRPr="00987626">
        <w:rPr>
          <w:rFonts w:asciiTheme="minorHAnsi" w:eastAsiaTheme="minorHAnsi" w:hAnsiTheme="minorHAnsi" w:cstheme="minorHAnsi"/>
          <w:sz w:val="24"/>
          <w:szCs w:val="24"/>
          <w:vertAlign w:val="superscript"/>
          <w:lang w:val="en-US" w:eastAsia="en-US"/>
        </w:rPr>
        <w:t>nd</w:t>
      </w:r>
      <w:r w:rsidRPr="00987626">
        <w:rPr>
          <w:rFonts w:asciiTheme="minorHAnsi" w:eastAsiaTheme="minorHAnsi" w:hAnsiTheme="minorHAnsi" w:cstheme="minorHAnsi"/>
          <w:sz w:val="24"/>
          <w:szCs w:val="24"/>
          <w:lang w:val="en-US" w:eastAsia="en-US"/>
        </w:rPr>
        <w:t xml:space="preserve"> Edition Oxford University Press </w:t>
      </w:r>
      <w:bookmarkEnd w:id="26"/>
    </w:p>
    <w:p w14:paraId="4F6797A8" w14:textId="77777777" w:rsidR="00987626" w:rsidRPr="00987626" w:rsidRDefault="00987626" w:rsidP="00987626">
      <w:pPr>
        <w:spacing w:after="160"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N. Foster 2015 Foster on EU Law 5</w:t>
      </w:r>
      <w:r w:rsidRPr="00987626">
        <w:rPr>
          <w:rFonts w:asciiTheme="minorHAnsi" w:eastAsiaTheme="minorHAnsi" w:hAnsiTheme="minorHAnsi" w:cstheme="minorHAnsi"/>
          <w:sz w:val="24"/>
          <w:szCs w:val="24"/>
          <w:vertAlign w:val="superscript"/>
          <w:lang w:val="en-US" w:eastAsia="en-US"/>
        </w:rPr>
        <w:t>th</w:t>
      </w:r>
      <w:r w:rsidRPr="00987626">
        <w:rPr>
          <w:rFonts w:asciiTheme="minorHAnsi" w:eastAsiaTheme="minorHAnsi" w:hAnsiTheme="minorHAnsi" w:cstheme="minorHAnsi"/>
          <w:sz w:val="24"/>
          <w:szCs w:val="24"/>
          <w:lang w:val="en-US" w:eastAsia="en-US"/>
        </w:rPr>
        <w:t xml:space="preserve"> Edition Oxford University Press </w:t>
      </w:r>
    </w:p>
    <w:p w14:paraId="5431EA7C" w14:textId="77777777" w:rsidR="00987626" w:rsidRPr="00987626" w:rsidRDefault="00987626" w:rsidP="00987626">
      <w:pPr>
        <w:spacing w:after="160" w:line="259"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Olsen, J. and McCormick, J., 2018. </w:t>
      </w:r>
      <w:r w:rsidRPr="00987626">
        <w:rPr>
          <w:rFonts w:asciiTheme="minorHAnsi" w:eastAsiaTheme="minorHAnsi" w:hAnsiTheme="minorHAnsi" w:cstheme="minorHAnsi"/>
          <w:i/>
          <w:iCs/>
          <w:sz w:val="24"/>
          <w:szCs w:val="24"/>
          <w:lang w:val="en-US" w:eastAsia="en-US"/>
        </w:rPr>
        <w:t>The European Union: politics and policies</w:t>
      </w:r>
      <w:r w:rsidRPr="00987626">
        <w:rPr>
          <w:rFonts w:asciiTheme="minorHAnsi" w:eastAsiaTheme="minorHAnsi" w:hAnsiTheme="minorHAnsi" w:cstheme="minorHAnsi"/>
          <w:sz w:val="24"/>
          <w:szCs w:val="24"/>
          <w:lang w:val="en-US" w:eastAsia="en-US"/>
        </w:rPr>
        <w:t>. Routledge.</w:t>
      </w:r>
    </w:p>
    <w:p w14:paraId="19FD8AD0" w14:textId="77777777" w:rsidR="00987626" w:rsidRPr="00987626" w:rsidRDefault="00987626" w:rsidP="00987626">
      <w:pPr>
        <w:spacing w:after="160" w:line="259" w:lineRule="auto"/>
        <w:jc w:val="both"/>
        <w:rPr>
          <w:rFonts w:asciiTheme="minorHAnsi" w:eastAsiaTheme="minorHAnsi" w:hAnsiTheme="minorHAnsi" w:cstheme="minorHAnsi"/>
          <w:sz w:val="24"/>
          <w:szCs w:val="24"/>
          <w:lang w:val="en-US" w:eastAsia="en-US"/>
        </w:rPr>
      </w:pPr>
      <w:bookmarkStart w:id="27" w:name="_Hlk97195617"/>
      <w:r w:rsidRPr="00987626">
        <w:rPr>
          <w:rFonts w:asciiTheme="minorHAnsi" w:eastAsiaTheme="minorHAnsi" w:hAnsiTheme="minorHAnsi" w:cstheme="minorHAnsi"/>
          <w:sz w:val="24"/>
          <w:szCs w:val="24"/>
          <w:lang w:val="en-US" w:eastAsia="en-US"/>
        </w:rPr>
        <w:t>P. Craig &amp; G. de Burca 2015 EU Law Text , Cases and Material 6</w:t>
      </w:r>
      <w:r w:rsidRPr="00987626">
        <w:rPr>
          <w:rFonts w:asciiTheme="minorHAnsi" w:eastAsiaTheme="minorHAnsi" w:hAnsiTheme="minorHAnsi" w:cstheme="minorHAnsi"/>
          <w:sz w:val="24"/>
          <w:szCs w:val="24"/>
          <w:vertAlign w:val="superscript"/>
          <w:lang w:val="en-US" w:eastAsia="en-US"/>
        </w:rPr>
        <w:t>th</w:t>
      </w:r>
      <w:r w:rsidRPr="00987626">
        <w:rPr>
          <w:rFonts w:asciiTheme="minorHAnsi" w:eastAsiaTheme="minorHAnsi" w:hAnsiTheme="minorHAnsi" w:cstheme="minorHAnsi"/>
          <w:sz w:val="24"/>
          <w:szCs w:val="24"/>
          <w:lang w:val="en-US" w:eastAsia="en-US"/>
        </w:rPr>
        <w:t xml:space="preserve"> Edition Oxford University Press </w:t>
      </w:r>
      <w:bookmarkEnd w:id="27"/>
    </w:p>
    <w:p w14:paraId="2EC31964" w14:textId="77777777" w:rsidR="00987626" w:rsidRPr="00987626" w:rsidRDefault="00987626" w:rsidP="00987626">
      <w:pPr>
        <w:spacing w:after="160" w:line="259" w:lineRule="auto"/>
        <w:jc w:val="both"/>
        <w:rPr>
          <w:rFonts w:asciiTheme="minorHAnsi" w:eastAsiaTheme="minorHAnsi" w:hAnsiTheme="minorHAnsi" w:cstheme="minorHAnsi"/>
          <w:sz w:val="24"/>
          <w:szCs w:val="24"/>
          <w:lang w:val="en-US" w:eastAsia="en-US"/>
        </w:rPr>
      </w:pPr>
      <w:bookmarkStart w:id="28" w:name="_Hlk97196278"/>
      <w:r w:rsidRPr="00987626">
        <w:rPr>
          <w:rFonts w:asciiTheme="minorHAnsi" w:eastAsiaTheme="minorHAnsi" w:hAnsiTheme="minorHAnsi" w:cstheme="minorHAnsi"/>
          <w:sz w:val="24"/>
          <w:szCs w:val="24"/>
          <w:lang w:val="en-US" w:eastAsia="en-US"/>
        </w:rPr>
        <w:t>S.Prechal 2006 Directives in EC Law 2</w:t>
      </w:r>
      <w:r w:rsidRPr="00987626">
        <w:rPr>
          <w:rFonts w:asciiTheme="minorHAnsi" w:eastAsiaTheme="minorHAnsi" w:hAnsiTheme="minorHAnsi" w:cstheme="minorHAnsi"/>
          <w:sz w:val="24"/>
          <w:szCs w:val="24"/>
          <w:vertAlign w:val="superscript"/>
          <w:lang w:val="en-US" w:eastAsia="en-US"/>
        </w:rPr>
        <w:t>nd</w:t>
      </w:r>
      <w:r w:rsidRPr="00987626">
        <w:rPr>
          <w:rFonts w:asciiTheme="minorHAnsi" w:eastAsiaTheme="minorHAnsi" w:hAnsiTheme="minorHAnsi" w:cstheme="minorHAnsi"/>
          <w:sz w:val="24"/>
          <w:szCs w:val="24"/>
          <w:lang w:val="en-US" w:eastAsia="en-US"/>
        </w:rPr>
        <w:t xml:space="preserve"> edition Oxford University Press </w:t>
      </w:r>
      <w:bookmarkEnd w:id="28"/>
    </w:p>
    <w:p w14:paraId="0DB1E447" w14:textId="77777777" w:rsidR="00987626" w:rsidRPr="00987626" w:rsidRDefault="00987626" w:rsidP="00987626">
      <w:pPr>
        <w:spacing w:after="160" w:line="259" w:lineRule="auto"/>
        <w:jc w:val="both"/>
        <w:rPr>
          <w:rFonts w:asciiTheme="minorHAnsi" w:eastAsiaTheme="minorHAnsi" w:hAnsiTheme="minorHAnsi" w:cstheme="minorHAnsi"/>
          <w:sz w:val="24"/>
          <w:szCs w:val="24"/>
          <w:lang w:val="en-US" w:eastAsia="en-US"/>
        </w:rPr>
      </w:pPr>
      <w:bookmarkStart w:id="29" w:name="_Hlk97197871"/>
      <w:r w:rsidRPr="00987626">
        <w:rPr>
          <w:rFonts w:asciiTheme="minorHAnsi" w:eastAsiaTheme="minorHAnsi" w:hAnsiTheme="minorHAnsi" w:cstheme="minorHAnsi"/>
          <w:sz w:val="24"/>
          <w:szCs w:val="24"/>
          <w:lang w:val="en-US" w:eastAsia="en-US"/>
        </w:rPr>
        <w:t>T.</w:t>
      </w:r>
      <w:bookmarkStart w:id="30" w:name="_Hlk97224538"/>
      <w:r w:rsidRPr="00987626">
        <w:rPr>
          <w:rFonts w:asciiTheme="minorHAnsi" w:eastAsiaTheme="minorHAnsi" w:hAnsiTheme="minorHAnsi" w:cstheme="minorHAnsi"/>
          <w:sz w:val="24"/>
          <w:szCs w:val="24"/>
          <w:lang w:val="en-US" w:eastAsia="en-US"/>
        </w:rPr>
        <w:t xml:space="preserve">Tridimas 2007 </w:t>
      </w:r>
      <w:bookmarkEnd w:id="30"/>
      <w:r w:rsidRPr="00987626">
        <w:rPr>
          <w:rFonts w:asciiTheme="minorHAnsi" w:eastAsiaTheme="minorHAnsi" w:hAnsiTheme="minorHAnsi" w:cstheme="minorHAnsi"/>
          <w:sz w:val="24"/>
          <w:szCs w:val="24"/>
          <w:lang w:val="en-US" w:eastAsia="en-US"/>
        </w:rPr>
        <w:t>The General Principles of EU Law 2</w:t>
      </w:r>
      <w:r w:rsidRPr="00987626">
        <w:rPr>
          <w:rFonts w:asciiTheme="minorHAnsi" w:eastAsiaTheme="minorHAnsi" w:hAnsiTheme="minorHAnsi" w:cstheme="minorHAnsi"/>
          <w:sz w:val="24"/>
          <w:szCs w:val="24"/>
          <w:vertAlign w:val="superscript"/>
          <w:lang w:val="en-US" w:eastAsia="en-US"/>
        </w:rPr>
        <w:t>nd</w:t>
      </w:r>
      <w:r w:rsidRPr="00987626">
        <w:rPr>
          <w:rFonts w:asciiTheme="minorHAnsi" w:eastAsiaTheme="minorHAnsi" w:hAnsiTheme="minorHAnsi" w:cstheme="minorHAnsi"/>
          <w:sz w:val="24"/>
          <w:szCs w:val="24"/>
          <w:lang w:val="en-US" w:eastAsia="en-US"/>
        </w:rPr>
        <w:t xml:space="preserve"> Edition Oxford University Press</w:t>
      </w:r>
      <w:bookmarkEnd w:id="29"/>
    </w:p>
    <w:p w14:paraId="7C8F2E30" w14:textId="77777777" w:rsidR="00987626" w:rsidRPr="00987626" w:rsidRDefault="00987626" w:rsidP="00987626">
      <w:pPr>
        <w:spacing w:line="360" w:lineRule="auto"/>
        <w:jc w:val="both"/>
        <w:rPr>
          <w:rFonts w:asciiTheme="minorHAnsi" w:eastAsiaTheme="minorHAnsi" w:hAnsiTheme="minorHAnsi" w:cstheme="minorHAnsi"/>
          <w:sz w:val="24"/>
          <w:szCs w:val="24"/>
          <w:lang w:val="en-US" w:eastAsia="en-US"/>
        </w:rPr>
      </w:pPr>
      <w:r w:rsidRPr="00987626">
        <w:rPr>
          <w:rFonts w:asciiTheme="minorHAnsi" w:eastAsiaTheme="minorHAnsi" w:hAnsiTheme="minorHAnsi" w:cstheme="minorHAnsi"/>
          <w:sz w:val="24"/>
          <w:szCs w:val="24"/>
          <w:lang w:val="en-US" w:eastAsia="en-US"/>
        </w:rPr>
        <w:t>Yowell, P., Hayley Jayne Hooper and Hunt, M. (2017) </w:t>
      </w:r>
      <w:r w:rsidRPr="00987626">
        <w:rPr>
          <w:rFonts w:asciiTheme="minorHAnsi" w:eastAsiaTheme="minorHAnsi" w:hAnsiTheme="minorHAnsi" w:cstheme="minorHAnsi"/>
          <w:i/>
          <w:iCs/>
          <w:sz w:val="24"/>
          <w:szCs w:val="24"/>
          <w:lang w:val="en-US" w:eastAsia="en-US"/>
        </w:rPr>
        <w:t>Parliaments and human rights : redressing the democratic deficit</w:t>
      </w:r>
      <w:r w:rsidRPr="00987626">
        <w:rPr>
          <w:rFonts w:asciiTheme="minorHAnsi" w:eastAsiaTheme="minorHAnsi" w:hAnsiTheme="minorHAnsi" w:cstheme="minorHAnsi"/>
          <w:sz w:val="24"/>
          <w:szCs w:val="24"/>
          <w:lang w:val="en-US" w:eastAsia="en-US"/>
        </w:rPr>
        <w:t>. Oxford: Hart Publishing.</w:t>
      </w:r>
    </w:p>
    <w:p w14:paraId="1BEBE2B2" w14:textId="77777777" w:rsidR="00987626" w:rsidRPr="00987626" w:rsidRDefault="00987626" w:rsidP="00987626">
      <w:pPr>
        <w:spacing w:after="160" w:line="259" w:lineRule="auto"/>
        <w:jc w:val="both"/>
        <w:rPr>
          <w:rFonts w:asciiTheme="minorHAnsi" w:eastAsiaTheme="minorHAnsi" w:hAnsiTheme="minorHAnsi" w:cstheme="minorHAnsi"/>
          <w:sz w:val="24"/>
          <w:szCs w:val="24"/>
          <w:lang w:val="en-US" w:eastAsia="en-US"/>
        </w:rPr>
      </w:pPr>
    </w:p>
    <w:p w14:paraId="436498DC" w14:textId="77777777" w:rsidR="00987626" w:rsidRPr="00987626" w:rsidRDefault="00987626" w:rsidP="00987626">
      <w:pPr>
        <w:rPr>
          <w:rFonts w:asciiTheme="minorHAnsi" w:eastAsiaTheme="minorHAnsi" w:hAnsiTheme="minorHAnsi" w:cstheme="minorBidi"/>
          <w:b/>
          <w:sz w:val="24"/>
          <w:szCs w:val="22"/>
          <w:lang w:val="en-US" w:eastAsia="en-US"/>
        </w:rPr>
      </w:pPr>
      <w:r w:rsidRPr="00987626">
        <w:rPr>
          <w:rFonts w:asciiTheme="minorHAnsi" w:eastAsiaTheme="minorHAnsi" w:hAnsiTheme="minorHAnsi" w:cstheme="minorBidi"/>
          <w:b/>
          <w:sz w:val="24"/>
          <w:szCs w:val="22"/>
          <w:lang w:val="en-US" w:eastAsia="en-US"/>
        </w:rPr>
        <w:t xml:space="preserve">Websites </w:t>
      </w:r>
    </w:p>
    <w:p w14:paraId="054913BB" w14:textId="77777777" w:rsidR="00987626" w:rsidRPr="00987626" w:rsidRDefault="00987626" w:rsidP="00987626">
      <w:pPr>
        <w:rPr>
          <w:rFonts w:asciiTheme="minorHAnsi" w:eastAsiaTheme="minorHAnsi" w:hAnsiTheme="minorHAnsi" w:cstheme="minorBidi"/>
          <w:b/>
          <w:sz w:val="24"/>
          <w:szCs w:val="22"/>
          <w:lang w:val="en-US" w:eastAsia="en-US"/>
        </w:rPr>
      </w:pPr>
    </w:p>
    <w:p w14:paraId="5F869E4F" w14:textId="77777777" w:rsidR="00987626" w:rsidRPr="00987626" w:rsidRDefault="00987626" w:rsidP="00987626">
      <w:pPr>
        <w:spacing w:after="160" w:line="360" w:lineRule="auto"/>
        <w:jc w:val="both"/>
        <w:rPr>
          <w:rFonts w:eastAsiaTheme="minorHAnsi" w:cstheme="minorBidi"/>
          <w:color w:val="000000" w:themeColor="text1"/>
          <w:sz w:val="22"/>
          <w:szCs w:val="22"/>
          <w:lang w:val="en-IN" w:eastAsia="en-US"/>
        </w:rPr>
      </w:pPr>
      <w:r w:rsidRPr="00987626">
        <w:rPr>
          <w:rFonts w:eastAsiaTheme="minorHAnsi"/>
          <w:color w:val="000000" w:themeColor="text1"/>
          <w:sz w:val="24"/>
          <w:szCs w:val="24"/>
          <w:lang w:val="en-US" w:eastAsia="en-US"/>
        </w:rPr>
        <w:t xml:space="preserve">UK Legislation; Parliament.gov.uk, (2022). [ online]; </w:t>
      </w:r>
      <w:hyperlink r:id="rId9" w:history="1">
        <w:r w:rsidRPr="00987626">
          <w:rPr>
            <w:rFonts w:eastAsiaTheme="minorHAnsi"/>
            <w:color w:val="0563C1" w:themeColor="hyperlink"/>
            <w:sz w:val="24"/>
            <w:szCs w:val="24"/>
            <w:u w:val="single"/>
            <w:lang w:val="en-US" w:eastAsia="en-US"/>
          </w:rPr>
          <w:t>https://www.google.co.uk/search?q=examples+of+acts+of+parliament+uk&amp;ei=nf8gYv6DOZKjgQaWz4-IAQ&amp;oq=www.parliament.uk+legislation&amp;gs_lcp=Cgdnd3Mtd2l6EAEYATIHCAAQRxCwAzIHCAAQRxCwAzIHCAAQRxCwAzIHCAAQRxCwAzIHCAAQRxCwAzIHCAAQRxCwAzIHCAAQRxCwAzIHCAAQRxCwA0oECEEYAEoECEYYAFAAWABgqjNoAXABeACAAQCIAQCSAQCYAQDIAQjAAQE&amp;sclient=gws-wiz</w:t>
        </w:r>
      </w:hyperlink>
      <w:r w:rsidRPr="00987626">
        <w:rPr>
          <w:rFonts w:eastAsiaTheme="minorHAnsi"/>
          <w:color w:val="000000" w:themeColor="text1"/>
          <w:sz w:val="24"/>
          <w:szCs w:val="24"/>
          <w:lang w:val="en-US" w:eastAsia="en-US"/>
        </w:rPr>
        <w:t xml:space="preserve">  </w:t>
      </w:r>
      <w:r w:rsidRPr="00987626">
        <w:rPr>
          <w:rFonts w:eastAsiaTheme="minorHAnsi" w:cstheme="minorBidi"/>
          <w:color w:val="000000" w:themeColor="text1"/>
          <w:sz w:val="22"/>
          <w:szCs w:val="22"/>
          <w:lang w:val="en-IN" w:eastAsia="en-US"/>
        </w:rPr>
        <w:t>[Accessed on: 03 March 2022].</w:t>
      </w:r>
    </w:p>
    <w:p w14:paraId="4A743170" w14:textId="77777777" w:rsidR="00987626" w:rsidRPr="00987626" w:rsidRDefault="00987626" w:rsidP="00987626">
      <w:pPr>
        <w:spacing w:after="160" w:line="360" w:lineRule="auto"/>
        <w:jc w:val="both"/>
        <w:rPr>
          <w:rFonts w:eastAsiaTheme="minorHAnsi" w:cstheme="minorBidi"/>
          <w:color w:val="000000" w:themeColor="text1"/>
          <w:sz w:val="22"/>
          <w:szCs w:val="22"/>
          <w:lang w:val="en-IN" w:eastAsia="en-US"/>
        </w:rPr>
      </w:pPr>
    </w:p>
    <w:p w14:paraId="66996F60" w14:textId="77777777" w:rsidR="00987626" w:rsidRPr="00987626" w:rsidRDefault="00987626" w:rsidP="00987626">
      <w:pPr>
        <w:spacing w:after="160" w:line="360" w:lineRule="auto"/>
        <w:jc w:val="both"/>
        <w:rPr>
          <w:rFonts w:eastAsiaTheme="minorHAnsi" w:cstheme="minorBidi"/>
          <w:color w:val="000000" w:themeColor="text1"/>
          <w:sz w:val="22"/>
          <w:szCs w:val="22"/>
          <w:lang w:val="en-IN" w:eastAsia="en-US"/>
        </w:rPr>
      </w:pPr>
    </w:p>
    <w:p w14:paraId="27529FFA" w14:textId="77777777" w:rsidR="00987626" w:rsidRPr="00987626" w:rsidRDefault="00987626" w:rsidP="00987626">
      <w:pPr>
        <w:spacing w:after="160" w:line="360" w:lineRule="auto"/>
        <w:jc w:val="both"/>
        <w:rPr>
          <w:rFonts w:eastAsiaTheme="minorHAnsi" w:cstheme="minorBidi"/>
          <w:color w:val="000000" w:themeColor="text1"/>
          <w:sz w:val="22"/>
          <w:szCs w:val="22"/>
          <w:lang w:val="en-IN" w:eastAsia="en-US"/>
        </w:rPr>
      </w:pPr>
    </w:p>
    <w:p w14:paraId="4C2032DC" w14:textId="27CFF517" w:rsidR="00A73C15" w:rsidRDefault="00A73C15" w:rsidP="00987626">
      <w:pPr>
        <w:pStyle w:val="Heading1"/>
        <w:rPr>
          <w:b/>
          <w:sz w:val="28"/>
          <w:szCs w:val="28"/>
        </w:rPr>
      </w:pPr>
    </w:p>
    <w:sectPr w:rsidR="00A73C15" w:rsidSect="004F1396">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4C8B8" w14:textId="77777777" w:rsidR="009717C0" w:rsidRDefault="009717C0" w:rsidP="00CA75FD">
      <w:r>
        <w:separator/>
      </w:r>
    </w:p>
  </w:endnote>
  <w:endnote w:type="continuationSeparator" w:id="0">
    <w:p w14:paraId="562795B6" w14:textId="77777777" w:rsidR="009717C0" w:rsidRDefault="009717C0" w:rsidP="00CA7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3132758"/>
      <w:docPartObj>
        <w:docPartGallery w:val="Page Numbers (Bottom of Page)"/>
        <w:docPartUnique/>
      </w:docPartObj>
    </w:sdtPr>
    <w:sdtEndPr>
      <w:rPr>
        <w:noProof/>
      </w:rPr>
    </w:sdtEndPr>
    <w:sdtContent>
      <w:p w14:paraId="5605858C" w14:textId="56FF7836" w:rsidR="00CA75FD" w:rsidRDefault="00CA75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49EAB0" w14:textId="77777777" w:rsidR="00CA75FD" w:rsidRDefault="00CA7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64FDD" w14:textId="77777777" w:rsidR="009717C0" w:rsidRDefault="009717C0" w:rsidP="00CA75FD">
      <w:r>
        <w:separator/>
      </w:r>
    </w:p>
  </w:footnote>
  <w:footnote w:type="continuationSeparator" w:id="0">
    <w:p w14:paraId="642C6E96" w14:textId="77777777" w:rsidR="009717C0" w:rsidRDefault="009717C0" w:rsidP="00CA75F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166"/>
    <w:rsid w:val="00041B7E"/>
    <w:rsid w:val="00051FDC"/>
    <w:rsid w:val="000817A2"/>
    <w:rsid w:val="000A2834"/>
    <w:rsid w:val="00132F74"/>
    <w:rsid w:val="00186B83"/>
    <w:rsid w:val="001921E6"/>
    <w:rsid w:val="001A0421"/>
    <w:rsid w:val="001D47A1"/>
    <w:rsid w:val="00291189"/>
    <w:rsid w:val="002D1128"/>
    <w:rsid w:val="00335F3B"/>
    <w:rsid w:val="00385B25"/>
    <w:rsid w:val="0039300E"/>
    <w:rsid w:val="003B5C37"/>
    <w:rsid w:val="00406337"/>
    <w:rsid w:val="004418AC"/>
    <w:rsid w:val="006B7074"/>
    <w:rsid w:val="006C1B47"/>
    <w:rsid w:val="006E1930"/>
    <w:rsid w:val="00803F7D"/>
    <w:rsid w:val="008C1A35"/>
    <w:rsid w:val="009717C0"/>
    <w:rsid w:val="00987626"/>
    <w:rsid w:val="009D5283"/>
    <w:rsid w:val="00A40ABB"/>
    <w:rsid w:val="00A73C15"/>
    <w:rsid w:val="00A95166"/>
    <w:rsid w:val="00AD341B"/>
    <w:rsid w:val="00AD5EE7"/>
    <w:rsid w:val="00B35DFE"/>
    <w:rsid w:val="00B55408"/>
    <w:rsid w:val="00BE2A69"/>
    <w:rsid w:val="00BF247A"/>
    <w:rsid w:val="00BF6409"/>
    <w:rsid w:val="00C676C4"/>
    <w:rsid w:val="00CA75FD"/>
    <w:rsid w:val="00CB0AC2"/>
    <w:rsid w:val="00D26A72"/>
    <w:rsid w:val="00D515E2"/>
    <w:rsid w:val="00D80586"/>
    <w:rsid w:val="00E34F9C"/>
    <w:rsid w:val="00F74477"/>
    <w:rsid w:val="00FE0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CB360"/>
  <w15:chartTrackingRefBased/>
  <w15:docId w15:val="{2FE7A4BF-3323-4B5A-A76A-40F161350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16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A73C1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sid w:val="00A95166"/>
    <w:rPr>
      <w:i/>
      <w:iCs/>
    </w:rPr>
  </w:style>
  <w:style w:type="character" w:styleId="Hyperlink">
    <w:name w:val="Hyperlink"/>
    <w:uiPriority w:val="99"/>
    <w:unhideWhenUsed/>
    <w:rsid w:val="00A95166"/>
    <w:rPr>
      <w:color w:val="0000FF"/>
      <w:u w:val="single"/>
    </w:rPr>
  </w:style>
  <w:style w:type="character" w:customStyle="1" w:styleId="case-name">
    <w:name w:val="case-name"/>
    <w:rsid w:val="00A95166"/>
  </w:style>
  <w:style w:type="character" w:styleId="HTMLCite">
    <w:name w:val="HTML Cite"/>
    <w:uiPriority w:val="99"/>
    <w:semiHidden/>
    <w:unhideWhenUsed/>
    <w:rsid w:val="00A95166"/>
    <w:rPr>
      <w:i/>
      <w:iCs/>
    </w:rPr>
  </w:style>
  <w:style w:type="character" w:customStyle="1" w:styleId="year">
    <w:name w:val="year"/>
    <w:rsid w:val="00A95166"/>
  </w:style>
  <w:style w:type="character" w:customStyle="1" w:styleId="vol">
    <w:name w:val="vol"/>
    <w:rsid w:val="00A95166"/>
  </w:style>
  <w:style w:type="character" w:customStyle="1" w:styleId="pub">
    <w:name w:val="pub"/>
    <w:rsid w:val="00A95166"/>
  </w:style>
  <w:style w:type="character" w:customStyle="1" w:styleId="pages">
    <w:name w:val="pages"/>
    <w:rsid w:val="00A95166"/>
  </w:style>
  <w:style w:type="paragraph" w:styleId="NoSpacing">
    <w:name w:val="No Spacing"/>
    <w:link w:val="NoSpacingChar"/>
    <w:uiPriority w:val="1"/>
    <w:qFormat/>
    <w:rsid w:val="00A951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5166"/>
    <w:rPr>
      <w:rFonts w:eastAsiaTheme="minorEastAsia"/>
      <w:lang w:val="en-US"/>
    </w:rPr>
  </w:style>
  <w:style w:type="paragraph" w:styleId="Header">
    <w:name w:val="header"/>
    <w:basedOn w:val="Normal"/>
    <w:link w:val="HeaderChar"/>
    <w:uiPriority w:val="99"/>
    <w:unhideWhenUsed/>
    <w:rsid w:val="00CA75FD"/>
    <w:pPr>
      <w:tabs>
        <w:tab w:val="center" w:pos="4513"/>
        <w:tab w:val="right" w:pos="9026"/>
      </w:tabs>
    </w:pPr>
  </w:style>
  <w:style w:type="character" w:customStyle="1" w:styleId="HeaderChar">
    <w:name w:val="Header Char"/>
    <w:basedOn w:val="DefaultParagraphFont"/>
    <w:link w:val="Header"/>
    <w:uiPriority w:val="99"/>
    <w:rsid w:val="00CA75F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A75FD"/>
    <w:pPr>
      <w:tabs>
        <w:tab w:val="center" w:pos="4513"/>
        <w:tab w:val="right" w:pos="9026"/>
      </w:tabs>
    </w:pPr>
  </w:style>
  <w:style w:type="character" w:customStyle="1" w:styleId="FooterChar">
    <w:name w:val="Footer Char"/>
    <w:basedOn w:val="DefaultParagraphFont"/>
    <w:link w:val="Footer"/>
    <w:uiPriority w:val="99"/>
    <w:rsid w:val="00CA75FD"/>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A73C15"/>
    <w:rPr>
      <w:rFonts w:asciiTheme="majorHAnsi" w:eastAsiaTheme="majorEastAsia" w:hAnsiTheme="majorHAnsi" w:cstheme="majorBidi"/>
      <w:color w:val="2F5496" w:themeColor="accent1" w:themeShade="BF"/>
      <w:sz w:val="32"/>
      <w:szCs w:val="32"/>
      <w:lang w:eastAsia="en-GB"/>
    </w:rPr>
  </w:style>
  <w:style w:type="paragraph" w:styleId="FootnoteText">
    <w:name w:val="footnote text"/>
    <w:basedOn w:val="Normal"/>
    <w:link w:val="FootnoteTextChar"/>
    <w:uiPriority w:val="99"/>
    <w:semiHidden/>
    <w:unhideWhenUsed/>
    <w:rsid w:val="00A73C15"/>
    <w:rPr>
      <w:rFonts w:asciiTheme="minorHAnsi" w:eastAsiaTheme="minorHAnsi" w:hAnsiTheme="minorHAnsi" w:cstheme="minorBidi"/>
      <w:lang w:val="en-US" w:eastAsia="en-US"/>
    </w:rPr>
  </w:style>
  <w:style w:type="character" w:customStyle="1" w:styleId="FootnoteTextChar">
    <w:name w:val="Footnote Text Char"/>
    <w:basedOn w:val="DefaultParagraphFont"/>
    <w:link w:val="FootnoteText"/>
    <w:uiPriority w:val="99"/>
    <w:semiHidden/>
    <w:rsid w:val="00A73C15"/>
    <w:rPr>
      <w:sz w:val="20"/>
      <w:szCs w:val="20"/>
      <w:lang w:val="en-US"/>
    </w:rPr>
  </w:style>
  <w:style w:type="character" w:styleId="FootnoteReference">
    <w:name w:val="footnote reference"/>
    <w:basedOn w:val="DefaultParagraphFont"/>
    <w:uiPriority w:val="99"/>
    <w:semiHidden/>
    <w:unhideWhenUsed/>
    <w:rsid w:val="00A73C1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301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ogle.co.uk/search?q=examples+of+acts+of+parliament+uk&amp;ei=nf8gYv6DOZKjgQaWz4-IAQ&amp;oq=www.parliament.uk+legislation&amp;gs_lcp=Cgdnd3Mtd2l6EAEYATIHCAAQRxCwAzIHCAAQRxCwAzIHCAAQRxCwAzIHCAAQRxCwAzIHCAAQRxCwAzIHCAAQRxCwAzIHCAAQRxCwAzIHCAAQRxCwA0oECEEYAEoECEYYAFAAWABgqjNoAXABeACAAQCIAQCSAQCYAQDIAQjAAQE&amp;sclient=gws-wi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10</Pages>
  <Words>2576</Words>
  <Characters>14689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Criminal Litigation- Assignment: Case Study – Letter of Advice to Peter Matthew.</vt:lpstr>
    </vt:vector>
  </TitlesOfParts>
  <Company/>
  <LinksUpToDate>false</LinksUpToDate>
  <CharactersWithSpaces>17231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European Law - Assignment: 1 – Democratic deficit.</dc:title>
  <dc:subject/>
  <dc:creator>MD R Ahmed</dc:creator>
  <cp:keywords/>
  <dc:description/>
  <cp:lastModifiedBy>Md Roshid Ahmed (1922561)</cp:lastModifiedBy>
  <cp:revision>36</cp:revision>
  <dcterms:created xsi:type="dcterms:W3CDTF">2021-03-04T23:45:00Z</dcterms:created>
  <dcterms:modified xsi:type="dcterms:W3CDTF">2022-03-03T19:12:00Z</dcterms:modified>
</cp:coreProperties>
</file>