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Times New Roman" w:hAnsi="Times New Roman" w:cs="Times New Roman"/>
          <w:b/>
          <w:bCs/>
          <w:sz w:val="24"/>
          <w:szCs w:val="24"/>
        </w:rPr>
      </w:pPr>
      <w:bookmarkStart w:id="0" w:name="_GoBack"/>
      <w:r>
        <w:rPr>
          <w:rFonts w:ascii="Times New Roman" w:hAnsi="Times New Roman" w:cs="Times New Roman"/>
          <w:b/>
          <w:bCs/>
          <w:sz w:val="24"/>
          <w:szCs w:val="24"/>
        </w:rPr>
        <w:t>Navigating Change: A Case Study of Seesaw Coffee SMEs Adaptation to the COVID-19 Pandemic</w:t>
      </w:r>
    </w:p>
    <w:bookmarkEnd w:id="0"/>
    <w:p>
      <w:pPr>
        <w:spacing w:line="480" w:lineRule="auto"/>
        <w:rPr>
          <w:rFonts w:ascii="Times New Roman" w:hAnsi="Times New Roman" w:cs="Times New Roman"/>
        </w:rPr>
      </w:pPr>
    </w:p>
    <w:p>
      <w:pPr>
        <w:spacing w:line="480" w:lineRule="auto"/>
        <w:jc w:val="center"/>
        <w:rPr>
          <w:rFonts w:hint="default" w:ascii="Times New Roman" w:hAnsi="Times New Roman" w:eastAsia="宋体" w:cs="Times New Roman"/>
          <w:lang w:val="en-US" w:eastAsia="zh-CN"/>
        </w:rPr>
      </w:pPr>
      <w:r>
        <w:rPr>
          <w:rFonts w:ascii="Times New Roman" w:hAnsi="Times New Roman" w:cs="Times New Roman"/>
        </w:rPr>
        <w:t>Student’s Name:</w:t>
      </w:r>
      <w:r>
        <w:rPr>
          <w:rFonts w:hint="eastAsia" w:ascii="Times New Roman" w:hAnsi="Times New Roman" w:eastAsia="宋体" w:cs="Times New Roman"/>
          <w:lang w:val="en-US" w:eastAsia="zh-CN"/>
        </w:rPr>
        <w:t xml:space="preserve"> SuiBinYang</w:t>
      </w:r>
    </w:p>
    <w:p>
      <w:pPr>
        <w:spacing w:line="480" w:lineRule="auto"/>
        <w:jc w:val="center"/>
        <w:rPr>
          <w:rFonts w:ascii="Times New Roman" w:hAnsi="Times New Roman" w:cs="Times New Roman"/>
        </w:rPr>
      </w:pPr>
    </w:p>
    <w:p>
      <w:pPr>
        <w:spacing w:line="480" w:lineRule="auto"/>
        <w:jc w:val="center"/>
        <w:rPr>
          <w:rFonts w:hint="default" w:ascii="Times New Roman" w:hAnsi="Times New Roman" w:eastAsia="宋体" w:cs="Times New Roman"/>
          <w:lang w:val="en-US" w:eastAsia="zh-CN"/>
        </w:rPr>
      </w:pPr>
      <w:r>
        <w:rPr>
          <w:rFonts w:ascii="Times New Roman" w:hAnsi="Times New Roman" w:cs="Times New Roman"/>
        </w:rPr>
        <w:t>Student’s No:</w:t>
      </w:r>
      <w:r>
        <w:rPr>
          <w:rFonts w:hint="eastAsia" w:ascii="Times New Roman" w:hAnsi="Times New Roman" w:eastAsia="宋体" w:cs="Times New Roman"/>
          <w:lang w:val="en-US" w:eastAsia="zh-CN"/>
        </w:rPr>
        <w:t>2227824</w:t>
      </w:r>
    </w:p>
    <w:p>
      <w:pPr>
        <w:spacing w:line="480" w:lineRule="auto"/>
        <w:jc w:val="center"/>
        <w:rPr>
          <w:rFonts w:ascii="Times New Roman" w:hAnsi="Times New Roman" w:cs="Times New Roman"/>
        </w:rPr>
      </w:pPr>
    </w:p>
    <w:p>
      <w:pPr>
        <w:spacing w:line="480" w:lineRule="auto"/>
        <w:jc w:val="center"/>
        <w:rPr>
          <w:rFonts w:ascii="Times New Roman" w:hAnsi="Times New Roman" w:cs="Times New Roman"/>
        </w:rPr>
      </w:pPr>
      <w:r>
        <w:rPr>
          <w:rFonts w:ascii="Times New Roman" w:hAnsi="Times New Roman" w:cs="Times New Roman"/>
        </w:rPr>
        <w:t>Module Name:</w:t>
      </w:r>
      <w:r>
        <w:rPr>
          <w:rFonts w:hint="eastAsia" w:ascii="Times New Roman" w:hAnsi="Times New Roman" w:cs="Times New Roman"/>
        </w:rPr>
        <w:t>Change and Stability Management (BMMB7000)</w:t>
      </w:r>
    </w:p>
    <w:p>
      <w:pPr>
        <w:spacing w:line="480" w:lineRule="auto"/>
        <w:jc w:val="center"/>
        <w:rPr>
          <w:rFonts w:ascii="Times New Roman" w:hAnsi="Times New Roman" w:cs="Times New Roman"/>
        </w:rPr>
      </w:pPr>
    </w:p>
    <w:p>
      <w:pPr>
        <w:spacing w:line="480" w:lineRule="auto"/>
        <w:jc w:val="center"/>
        <w:rPr>
          <w:rFonts w:ascii="Times New Roman" w:hAnsi="Times New Roman" w:cs="Times New Roman"/>
        </w:rPr>
      </w:pPr>
      <w:r>
        <w:rPr>
          <w:rFonts w:ascii="Times New Roman" w:hAnsi="Times New Roman" w:cs="Times New Roman"/>
        </w:rPr>
        <w:t>Word Count: 3601</w:t>
      </w:r>
    </w:p>
    <w:p>
      <w:pPr>
        <w:spacing w:line="480" w:lineRule="auto"/>
        <w:rPr>
          <w:rFonts w:ascii="Times New Roman" w:hAnsi="Times New Roman" w:cs="Times New Roman"/>
        </w:rPr>
      </w:pPr>
      <w:r>
        <w:rPr>
          <w:rFonts w:ascii="Times New Roman" w:hAnsi="Times New Roman" w:cs="Times New Roman"/>
        </w:rPr>
        <w:br w:type="page"/>
      </w:r>
    </w:p>
    <w:p>
      <w:pPr>
        <w:pStyle w:val="2"/>
        <w:spacing w:line="480" w:lineRule="auto"/>
        <w:rPr>
          <w:rFonts w:ascii="Times New Roman" w:hAnsi="Times New Roman" w:cs="Times New Roman"/>
          <w:color w:val="auto"/>
        </w:rPr>
      </w:pPr>
      <w:r>
        <w:rPr>
          <w:rFonts w:ascii="Times New Roman" w:hAnsi="Times New Roman" w:cs="Times New Roman"/>
          <w:color w:val="auto"/>
        </w:rPr>
        <w:t>Introduction</w:t>
      </w:r>
    </w:p>
    <w:p>
      <w:pPr>
        <w:pStyle w:val="3"/>
        <w:spacing w:line="480" w:lineRule="auto"/>
        <w:rPr>
          <w:rFonts w:ascii="Times New Roman" w:hAnsi="Times New Roman" w:cs="Times New Roman"/>
          <w:color w:val="auto"/>
        </w:rPr>
      </w:pPr>
      <w:r>
        <w:rPr>
          <w:rFonts w:ascii="Times New Roman" w:hAnsi="Times New Roman" w:cs="Times New Roman"/>
          <w:color w:val="auto"/>
        </w:rPr>
        <w:t>Background</w:t>
      </w:r>
    </w:p>
    <w:p>
      <w:pPr>
        <w:spacing w:line="480" w:lineRule="auto"/>
        <w:rPr>
          <w:rFonts w:ascii="Times New Roman" w:hAnsi="Times New Roman" w:cs="Times New Roman"/>
          <w:sz w:val="24"/>
          <w:szCs w:val="24"/>
        </w:rPr>
      </w:pPr>
      <w:r>
        <w:rPr>
          <w:rFonts w:ascii="Times New Roman" w:hAnsi="Times New Roman" w:cs="Times New Roman"/>
          <w:sz w:val="24"/>
          <w:szCs w:val="24"/>
        </w:rPr>
        <w:t>Small and Medium-sized Enterprises (SMEs) play a substantial part in economic development and job creation worldwide. According to the</w:t>
      </w:r>
      <w:r>
        <w:rPr>
          <w:rFonts w:ascii="Times New Roman" w:hAnsi="Times New Roman" w:cs="Times New Roman"/>
          <w:sz w:val="24"/>
          <w:szCs w:val="24"/>
          <w:shd w:val="clear" w:color="auto" w:fill="FFFFFF"/>
        </w:rPr>
        <w:t xml:space="preserve"> Koirala (2019)</w:t>
      </w:r>
      <w:r>
        <w:rPr>
          <w:rFonts w:ascii="Times New Roman" w:hAnsi="Times New Roman" w:cs="Times New Roman"/>
          <w:sz w:val="24"/>
          <w:szCs w:val="24"/>
        </w:rPr>
        <w:t>, SMEs represent over 90% of businesses worldwide and are responsible for creating 60-70% of all jobs in developing countries. SMEs face unique challenges such as limited resources, financial constraints, and market competition. However, they also have advantages such as flexibility, innovation, and adaptability to changing circumstances.</w:t>
      </w:r>
    </w:p>
    <w:p>
      <w:pPr>
        <w:spacing w:line="480" w:lineRule="auto"/>
        <w:rPr>
          <w:rFonts w:ascii="Times New Roman" w:hAnsi="Times New Roman" w:cs="Times New Roman"/>
          <w:sz w:val="24"/>
          <w:szCs w:val="24"/>
        </w:rPr>
      </w:pPr>
      <w:r>
        <w:rPr>
          <w:rFonts w:ascii="Times New Roman" w:hAnsi="Times New Roman" w:cs="Times New Roman"/>
          <w:sz w:val="24"/>
          <w:szCs w:val="24"/>
        </w:rPr>
        <w:t>Seesaw Coffee, a Chinese SME in the specialty coffee industry, has experienced significant challenges during the COVID-19 pandemic. Founded in Shanghai in 2012, the company has expanded to several locations across China, focusing on providing high-quality coffee sourced from various regions within the country (Seesaw Coffee, 2022). Despite its relatively small scale compared to large multinational corporations, Seesaw Coffee has successfully built a loyal customer base and has been recognized for its unique approach to coffee culture (Ferreira &amp; Ferreira, 2018).</w:t>
      </w:r>
    </w:p>
    <w:p>
      <w:pPr>
        <w:pStyle w:val="3"/>
        <w:spacing w:line="480" w:lineRule="auto"/>
        <w:rPr>
          <w:rFonts w:ascii="Times New Roman" w:hAnsi="Times New Roman" w:cs="Times New Roman"/>
          <w:color w:val="auto"/>
        </w:rPr>
      </w:pPr>
      <w:r>
        <w:rPr>
          <w:rFonts w:ascii="Times New Roman" w:hAnsi="Times New Roman" w:cs="Times New Roman"/>
          <w:color w:val="auto"/>
        </w:rPr>
        <w:t>Effect of the COVID-19 on Seesaw Coffee</w:t>
      </w:r>
    </w:p>
    <w:p>
      <w:pPr>
        <w:spacing w:line="480" w:lineRule="auto"/>
        <w:rPr>
          <w:rFonts w:ascii="Times New Roman" w:hAnsi="Times New Roman" w:cs="Times New Roman"/>
          <w:sz w:val="24"/>
          <w:szCs w:val="24"/>
        </w:rPr>
      </w:pPr>
      <w:r>
        <w:rPr>
          <w:rFonts w:ascii="Times New Roman" w:hAnsi="Times New Roman" w:cs="Times New Roman"/>
          <w:sz w:val="24"/>
          <w:szCs w:val="24"/>
        </w:rPr>
        <w:t>The COVID-19 pandemic has affected businesses worldwide, including Seesaw Coffee (Carracedo et al., 2021). As the pandemic spread across China, many businesses had to temporarily close their physical stores, adapt to social distancing measures, and navigate the challenges posed by reduced foot traffic (Pantano et al., 2020). Seesaw Coffee was no exception. The company had to quickly reassess its business model and identify ways to maintain revenue and retain its customers amid the crisis (Booker, 2022).</w:t>
      </w:r>
    </w:p>
    <w:p>
      <w:pPr>
        <w:pStyle w:val="3"/>
        <w:spacing w:line="480" w:lineRule="auto"/>
        <w:rPr>
          <w:rFonts w:ascii="Times New Roman" w:hAnsi="Times New Roman" w:cs="Times New Roman"/>
          <w:color w:val="auto"/>
        </w:rPr>
      </w:pPr>
      <w:r>
        <w:rPr>
          <w:rFonts w:ascii="Times New Roman" w:hAnsi="Times New Roman" w:cs="Times New Roman"/>
          <w:color w:val="auto"/>
        </w:rPr>
        <w:t>Purpose of the Study</w:t>
      </w:r>
    </w:p>
    <w:p>
      <w:pPr>
        <w:spacing w:line="480" w:lineRule="auto"/>
        <w:rPr>
          <w:rFonts w:ascii="Times New Roman" w:hAnsi="Times New Roman" w:cs="Times New Roman"/>
          <w:sz w:val="24"/>
          <w:szCs w:val="24"/>
        </w:rPr>
      </w:pPr>
      <w:r>
        <w:rPr>
          <w:rFonts w:ascii="Times New Roman" w:hAnsi="Times New Roman" w:cs="Times New Roman"/>
          <w:sz w:val="24"/>
          <w:szCs w:val="24"/>
        </w:rPr>
        <w:t>The purpose of this study is to analyze how Seesaw Coffee adapted to the challenges posed by the COVID-19 pandemic using change management models and strategies. The study will provide insights into how the company leveraged its strengths and navigated the rapidly evolving business landscape, particularly focusing on the incremental and large-scale changes implemented throughout the pandemic.</w:t>
      </w:r>
    </w:p>
    <w:p>
      <w:pPr>
        <w:pStyle w:val="3"/>
        <w:spacing w:line="480" w:lineRule="auto"/>
        <w:rPr>
          <w:rFonts w:ascii="Times New Roman" w:hAnsi="Times New Roman" w:cs="Times New Roman"/>
          <w:color w:val="auto"/>
        </w:rPr>
      </w:pPr>
      <w:r>
        <w:rPr>
          <w:rFonts w:ascii="Times New Roman" w:hAnsi="Times New Roman" w:cs="Times New Roman"/>
          <w:color w:val="auto"/>
        </w:rPr>
        <w:t>Research Objectives</w:t>
      </w:r>
    </w:p>
    <w:p>
      <w:pPr>
        <w:spacing w:line="480" w:lineRule="auto"/>
        <w:rPr>
          <w:rFonts w:ascii="Times New Roman" w:hAnsi="Times New Roman" w:cs="Times New Roman"/>
          <w:sz w:val="24"/>
          <w:szCs w:val="24"/>
        </w:rPr>
      </w:pPr>
      <w:r>
        <w:rPr>
          <w:rFonts w:ascii="Times New Roman" w:hAnsi="Times New Roman" w:cs="Times New Roman"/>
          <w:sz w:val="24"/>
          <w:szCs w:val="24"/>
        </w:rPr>
        <w:t>The main objectives of this study are:</w:t>
      </w:r>
    </w:p>
    <w:p>
      <w:pPr>
        <w:pStyle w:val="10"/>
        <w:numPr>
          <w:ilvl w:val="0"/>
          <w:numId w:val="2"/>
        </w:numPr>
        <w:spacing w:line="480" w:lineRule="auto"/>
        <w:rPr>
          <w:sz w:val="24"/>
          <w:szCs w:val="24"/>
        </w:rPr>
      </w:pPr>
      <w:r>
        <w:rPr>
          <w:sz w:val="24"/>
          <w:szCs w:val="24"/>
        </w:rPr>
        <w:t>To provide a brief overview of Seesaw Coffee and the reasons for its change management during the pandemic</w:t>
      </w:r>
    </w:p>
    <w:p>
      <w:pPr>
        <w:pStyle w:val="10"/>
        <w:numPr>
          <w:ilvl w:val="0"/>
          <w:numId w:val="2"/>
        </w:numPr>
        <w:spacing w:line="480" w:lineRule="auto"/>
        <w:rPr>
          <w:sz w:val="24"/>
          <w:szCs w:val="24"/>
        </w:rPr>
      </w:pPr>
      <w:r>
        <w:rPr>
          <w:sz w:val="24"/>
          <w:szCs w:val="24"/>
        </w:rPr>
        <w:t>To critically appraise key change management models and their applicability to Seesaw Coffee's response to the pandemic</w:t>
      </w:r>
    </w:p>
    <w:p>
      <w:pPr>
        <w:pStyle w:val="10"/>
        <w:numPr>
          <w:ilvl w:val="0"/>
          <w:numId w:val="2"/>
        </w:numPr>
        <w:spacing w:line="480" w:lineRule="auto"/>
        <w:rPr>
          <w:sz w:val="24"/>
          <w:szCs w:val="24"/>
        </w:rPr>
      </w:pPr>
      <w:r>
        <w:rPr>
          <w:sz w:val="24"/>
          <w:szCs w:val="24"/>
        </w:rPr>
        <w:t>To analyze the drivers of change within the organization, such as culture, leadership, digitalization, competition, and customer preferences</w:t>
      </w:r>
    </w:p>
    <w:p>
      <w:pPr>
        <w:pStyle w:val="10"/>
        <w:numPr>
          <w:ilvl w:val="0"/>
          <w:numId w:val="2"/>
        </w:numPr>
        <w:spacing w:line="480" w:lineRule="auto"/>
        <w:rPr>
          <w:sz w:val="24"/>
          <w:szCs w:val="24"/>
        </w:rPr>
      </w:pPr>
      <w:r>
        <w:rPr>
          <w:sz w:val="24"/>
          <w:szCs w:val="24"/>
        </w:rPr>
        <w:t>To identify and assess the resistance factors to change and how the company addressed them</w:t>
      </w:r>
    </w:p>
    <w:p>
      <w:pPr>
        <w:pStyle w:val="10"/>
        <w:numPr>
          <w:ilvl w:val="0"/>
          <w:numId w:val="2"/>
        </w:numPr>
        <w:spacing w:line="480" w:lineRule="auto"/>
        <w:rPr>
          <w:sz w:val="24"/>
          <w:szCs w:val="24"/>
        </w:rPr>
      </w:pPr>
      <w:r>
        <w:rPr>
          <w:sz w:val="24"/>
          <w:szCs w:val="24"/>
        </w:rPr>
        <w:t>To evaluate the effectiveness of Seesaw Coffee's change management strategies and their impact on the company's future business prospects</w:t>
      </w:r>
    </w:p>
    <w:p>
      <w:pPr>
        <w:pStyle w:val="2"/>
        <w:spacing w:line="480" w:lineRule="auto"/>
        <w:rPr>
          <w:rFonts w:ascii="Times New Roman" w:hAnsi="Times New Roman" w:cs="Times New Roman"/>
          <w:color w:val="auto"/>
        </w:rPr>
      </w:pPr>
      <w:r>
        <w:rPr>
          <w:rFonts w:ascii="Times New Roman" w:hAnsi="Times New Roman" w:cs="Times New Roman"/>
          <w:color w:val="auto"/>
        </w:rPr>
        <w:t>Literature Review and Theoretical Framework</w:t>
      </w:r>
    </w:p>
    <w:p>
      <w:pPr>
        <w:pStyle w:val="3"/>
        <w:spacing w:line="480" w:lineRule="auto"/>
        <w:rPr>
          <w:rFonts w:ascii="Times New Roman" w:hAnsi="Times New Roman" w:cs="Times New Roman"/>
          <w:color w:val="auto"/>
        </w:rPr>
      </w:pPr>
      <w:r>
        <w:rPr>
          <w:rFonts w:ascii="Times New Roman" w:hAnsi="Times New Roman" w:cs="Times New Roman"/>
          <w:color w:val="auto"/>
        </w:rPr>
        <w:t>Introduction</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chapter presents a review of the relevant literature on organizational change and its impact on SMEs, particularly in the context of the COVID-19 pandemic. </w:t>
      </w:r>
    </w:p>
    <w:p>
      <w:pPr>
        <w:pStyle w:val="3"/>
        <w:spacing w:line="480" w:lineRule="auto"/>
        <w:rPr>
          <w:rFonts w:ascii="Times New Roman" w:hAnsi="Times New Roman" w:cs="Times New Roman"/>
          <w:color w:val="auto"/>
        </w:rPr>
      </w:pPr>
      <w:r>
        <w:rPr>
          <w:rFonts w:ascii="Times New Roman" w:hAnsi="Times New Roman" w:cs="Times New Roman"/>
          <w:color w:val="auto"/>
        </w:rPr>
        <w:t>Organizational Change in SMEs</w:t>
      </w:r>
    </w:p>
    <w:p>
      <w:pPr>
        <w:spacing w:line="480" w:lineRule="auto"/>
        <w:rPr>
          <w:rFonts w:ascii="Times New Roman" w:hAnsi="Times New Roman" w:cs="Times New Roman"/>
          <w:sz w:val="24"/>
          <w:szCs w:val="24"/>
        </w:rPr>
      </w:pPr>
      <w:r>
        <w:rPr>
          <w:rFonts w:ascii="Times New Roman" w:hAnsi="Times New Roman" w:cs="Times New Roman"/>
          <w:sz w:val="24"/>
          <w:szCs w:val="24"/>
        </w:rPr>
        <w:t>Organizational change is an essential aspect of business growth, adaptation, and survival, especially for SMEs operating in a dynamic business environment (Min &amp; Kim, 2022). According to Gorjian et al. (2021), SMEs need to adapt their strategies, processes, and structures to maintain competitiveness in the face of environmental changes. This may include adopting new technologies, restructuring the organization, or redefining the corporate culture.</w:t>
      </w:r>
    </w:p>
    <w:p>
      <w:pPr>
        <w:pStyle w:val="3"/>
        <w:spacing w:line="480" w:lineRule="auto"/>
        <w:rPr>
          <w:rFonts w:ascii="Times New Roman" w:hAnsi="Times New Roman" w:cs="Times New Roman"/>
          <w:color w:val="auto"/>
        </w:rPr>
      </w:pPr>
      <w:r>
        <w:rPr>
          <w:rFonts w:ascii="Times New Roman" w:hAnsi="Times New Roman" w:cs="Times New Roman"/>
          <w:color w:val="auto"/>
        </w:rPr>
        <w:t>Impact of COVID-19 on SMEs</w:t>
      </w:r>
    </w:p>
    <w:p>
      <w:pPr>
        <w:spacing w:line="480" w:lineRule="auto"/>
        <w:rPr>
          <w:rFonts w:ascii="Times New Roman" w:hAnsi="Times New Roman" w:cs="Times New Roman"/>
          <w:sz w:val="24"/>
          <w:szCs w:val="24"/>
        </w:rPr>
      </w:pPr>
      <w:r>
        <w:rPr>
          <w:rFonts w:ascii="Times New Roman" w:hAnsi="Times New Roman" w:cs="Times New Roman"/>
          <w:sz w:val="24"/>
          <w:szCs w:val="24"/>
        </w:rPr>
        <w:t>The COVID-19 pandemic has had a profound impact on businesses globally, and SMEs have been particularly vulnerable due to their limited resources and adaptive capacities (Klein &amp; Todesco, 2021). Kalogiannidis (2020) found that the pandemic led to the closure of many SMEs, either temporarily or permanently, and disrupted supply chains, causing severe financial strains on these businesses. In response to these challenges, SMEs needed to implement rapid changes to their operations, such as transitioning to remote work, implementing new health and safety protocols, and adjusting their products or services to meet changing customer needs (Rapaccini et al., 2020).</w:t>
      </w:r>
    </w:p>
    <w:p>
      <w:pPr>
        <w:pStyle w:val="3"/>
        <w:spacing w:line="480" w:lineRule="auto"/>
        <w:rPr>
          <w:rFonts w:ascii="Times New Roman" w:hAnsi="Times New Roman" w:cs="Times New Roman"/>
          <w:color w:val="auto"/>
        </w:rPr>
      </w:pPr>
      <w:r>
        <w:rPr>
          <w:rFonts w:ascii="Times New Roman" w:hAnsi="Times New Roman" w:cs="Times New Roman"/>
          <w:color w:val="auto"/>
        </w:rPr>
        <w:t>Change Management Models for SMEs</w:t>
      </w:r>
    </w:p>
    <w:p>
      <w:pPr>
        <w:spacing w:line="480" w:lineRule="auto"/>
        <w:rPr>
          <w:rFonts w:ascii="Times New Roman" w:hAnsi="Times New Roman" w:cs="Times New Roman"/>
          <w:sz w:val="24"/>
          <w:szCs w:val="24"/>
        </w:rPr>
      </w:pPr>
      <w:r>
        <w:rPr>
          <w:rFonts w:ascii="Times New Roman" w:hAnsi="Times New Roman" w:cs="Times New Roman"/>
          <w:sz w:val="24"/>
          <w:szCs w:val="24"/>
        </w:rPr>
        <w:t>To successfully navigate organizational change, SMEs can employ various change management models, such as Lewin's Change Management Model, Kotter's 8-Step Change Model, and the McKinsey 7S Model (Tang &amp; Tang, 2019). These models provide a structured approach to change implementation, helping organizations identify key factors for change, overcome resistance, and ensure the successful adoption of new strategies, processes, and structures.</w:t>
      </w:r>
    </w:p>
    <w:p>
      <w:pPr>
        <w:pStyle w:val="3"/>
        <w:spacing w:line="480" w:lineRule="auto"/>
        <w:rPr>
          <w:rFonts w:ascii="Times New Roman" w:hAnsi="Times New Roman" w:cs="Times New Roman"/>
          <w:color w:val="auto"/>
        </w:rPr>
      </w:pPr>
      <w:r>
        <w:rPr>
          <w:rFonts w:ascii="Times New Roman" w:hAnsi="Times New Roman" w:cs="Times New Roman"/>
          <w:color w:val="auto"/>
        </w:rPr>
        <w:t>Factors Affecting Organizational Change in SMEs</w:t>
      </w:r>
    </w:p>
    <w:p>
      <w:pPr>
        <w:spacing w:line="480" w:lineRule="auto"/>
        <w:rPr>
          <w:rFonts w:ascii="Times New Roman" w:hAnsi="Times New Roman" w:cs="Times New Roman"/>
          <w:sz w:val="24"/>
          <w:szCs w:val="24"/>
        </w:rPr>
      </w:pPr>
      <w:r>
        <w:rPr>
          <w:rFonts w:ascii="Times New Roman" w:hAnsi="Times New Roman" w:cs="Times New Roman"/>
          <w:sz w:val="24"/>
          <w:szCs w:val="24"/>
        </w:rPr>
        <w:t>Several factors can influence the success or failure of organizational change efforts in SMEs. According to Cândido &amp; Santos (2019), these factors can include leadership, organizational culture, employee engagement, and communication. Effective leadership plays a crucial role in guiding SMEs through change by providing a clear vision, setting expectations, and fostering a supportive environment (Tajasom et al., 2015). Organizational culture, as a set of shared values, beliefs, and norms, can either facilitate or hinder change depending on its alignment with the desired change outcomes (Cândido &amp; Santos, 2019). Employee engagement and communication are also critical factors, as employees who are informed and committed to the change are more likely to support and actively participate in the change process (</w:t>
      </w:r>
      <w:r>
        <w:rPr>
          <w:rFonts w:ascii="Times New Roman" w:hAnsi="Times New Roman" w:cs="Times New Roman"/>
          <w:sz w:val="24"/>
          <w:szCs w:val="24"/>
          <w:shd w:val="clear" w:color="auto" w:fill="FFFFFF"/>
        </w:rPr>
        <w:t>Georgiades</w:t>
      </w:r>
      <w:r>
        <w:rPr>
          <w:rFonts w:ascii="Times New Roman" w:hAnsi="Times New Roman" w:cs="Times New Roman"/>
          <w:sz w:val="24"/>
          <w:szCs w:val="24"/>
        </w:rPr>
        <w:t xml:space="preserve"> &amp; </w:t>
      </w:r>
      <w:r>
        <w:rPr>
          <w:rFonts w:ascii="Times New Roman" w:hAnsi="Times New Roman" w:cs="Times New Roman"/>
          <w:sz w:val="24"/>
          <w:szCs w:val="24"/>
          <w:shd w:val="clear" w:color="auto" w:fill="FFFFFF"/>
        </w:rPr>
        <w:t>Georgiades</w:t>
      </w:r>
      <w:r>
        <w:rPr>
          <w:rFonts w:ascii="Times New Roman" w:hAnsi="Times New Roman" w:cs="Times New Roman"/>
          <w:sz w:val="24"/>
          <w:szCs w:val="24"/>
        </w:rPr>
        <w:t xml:space="preserve"> et al., 2015).</w:t>
      </w:r>
    </w:p>
    <w:p>
      <w:pPr>
        <w:spacing w:line="480" w:lineRule="auto"/>
        <w:rPr>
          <w:rFonts w:ascii="Times New Roman" w:hAnsi="Times New Roman" w:cs="Times New Roman"/>
          <w:sz w:val="24"/>
          <w:szCs w:val="24"/>
        </w:rPr>
      </w:pPr>
    </w:p>
    <w:p>
      <w:pPr>
        <w:pStyle w:val="2"/>
        <w:spacing w:line="480" w:lineRule="auto"/>
        <w:rPr>
          <w:rFonts w:ascii="Times New Roman" w:hAnsi="Times New Roman" w:cs="Times New Roman"/>
          <w:color w:val="auto"/>
        </w:rPr>
      </w:pPr>
      <w:r>
        <w:rPr>
          <w:rFonts w:ascii="Times New Roman" w:hAnsi="Times New Roman" w:cs="Times New Roman"/>
          <w:color w:val="auto"/>
        </w:rPr>
        <w:t>Drivers of Change</w:t>
      </w:r>
    </w:p>
    <w:p>
      <w:pPr>
        <w:pStyle w:val="3"/>
        <w:spacing w:line="480" w:lineRule="auto"/>
        <w:rPr>
          <w:rFonts w:ascii="Times New Roman" w:hAnsi="Times New Roman" w:cs="Times New Roman"/>
          <w:color w:val="auto"/>
        </w:rPr>
      </w:pPr>
      <w:r>
        <w:rPr>
          <w:rFonts w:ascii="Times New Roman" w:hAnsi="Times New Roman" w:cs="Times New Roman"/>
          <w:color w:val="auto"/>
        </w:rPr>
        <w:t>Organizational culture</w:t>
      </w:r>
    </w:p>
    <w:p>
      <w:pPr>
        <w:spacing w:line="480" w:lineRule="auto"/>
        <w:rPr>
          <w:rFonts w:ascii="Times New Roman" w:hAnsi="Times New Roman" w:cs="Times New Roman"/>
          <w:sz w:val="24"/>
          <w:szCs w:val="24"/>
        </w:rPr>
      </w:pPr>
      <w:r>
        <w:rPr>
          <w:rFonts w:ascii="Times New Roman" w:hAnsi="Times New Roman" w:cs="Times New Roman"/>
          <w:sz w:val="24"/>
          <w:szCs w:val="24"/>
        </w:rPr>
        <w:t>Organizational culture played a significant role in driving change within Seesaw Coffee during the pandemic. The company's values and beliefs, centered on adaptability, innovation, and customer-centricity, were instrumental in fostering a proactive approach to addressing the challenges of COVID-19. By promoting a culture that embraced change, Seesaw Coffee was better equipped to respond to the evolving business environment and maintain its competitive advantage (Chen, 2019).</w:t>
      </w:r>
    </w:p>
    <w:p>
      <w:pPr>
        <w:pStyle w:val="3"/>
        <w:spacing w:line="480" w:lineRule="auto"/>
        <w:rPr>
          <w:rFonts w:ascii="Times New Roman" w:hAnsi="Times New Roman" w:cs="Times New Roman"/>
          <w:color w:val="auto"/>
        </w:rPr>
      </w:pPr>
      <w:r>
        <w:rPr>
          <w:rFonts w:ascii="Times New Roman" w:hAnsi="Times New Roman" w:cs="Times New Roman"/>
          <w:color w:val="auto"/>
        </w:rPr>
        <w:t>Leadership</w:t>
      </w:r>
    </w:p>
    <w:p>
      <w:pPr>
        <w:spacing w:line="480" w:lineRule="auto"/>
        <w:rPr>
          <w:rFonts w:ascii="Times New Roman" w:hAnsi="Times New Roman" w:cs="Times New Roman"/>
          <w:sz w:val="24"/>
          <w:szCs w:val="24"/>
        </w:rPr>
      </w:pPr>
      <w:r>
        <w:rPr>
          <w:rFonts w:ascii="Times New Roman" w:hAnsi="Times New Roman" w:cs="Times New Roman"/>
          <w:sz w:val="24"/>
          <w:szCs w:val="24"/>
        </w:rPr>
        <w:t>Effective leadership during the pandemic was crucial in steering Seesaw Coffee towards successful change implementation (Cavish, 2018). The company's leaders demonstrated strong decision-making skills, clear communication, and resilience in the face of adversity (Elishaer &amp; Saad, 2022). By modeling these behaviors, leaders at Seesaw Coffee fostered trust and inspired employees to embrace change initiatives, thereby ensuring the organization's ability to adapt and thrive during the crisis.</w:t>
      </w:r>
    </w:p>
    <w:p>
      <w:pPr>
        <w:pStyle w:val="3"/>
        <w:spacing w:line="480" w:lineRule="auto"/>
        <w:rPr>
          <w:rFonts w:ascii="Times New Roman" w:hAnsi="Times New Roman" w:cs="Times New Roman"/>
          <w:color w:val="auto"/>
        </w:rPr>
      </w:pPr>
      <w:r>
        <w:rPr>
          <w:rFonts w:ascii="Times New Roman" w:hAnsi="Times New Roman" w:cs="Times New Roman"/>
          <w:color w:val="auto"/>
        </w:rPr>
        <w:t>Power dynamics</w:t>
      </w:r>
    </w:p>
    <w:p>
      <w:pPr>
        <w:spacing w:line="480" w:lineRule="auto"/>
        <w:rPr>
          <w:rFonts w:ascii="Times New Roman" w:hAnsi="Times New Roman" w:cs="Times New Roman"/>
          <w:sz w:val="24"/>
          <w:szCs w:val="24"/>
        </w:rPr>
      </w:pPr>
      <w:r>
        <w:rPr>
          <w:rFonts w:ascii="Times New Roman" w:hAnsi="Times New Roman" w:cs="Times New Roman"/>
          <w:sz w:val="24"/>
          <w:szCs w:val="24"/>
        </w:rPr>
        <w:t>Power dynamics within Seesaw Coffee influenced the change process by shaping how various stakeholders responded to the proposed changes. Recognizing the importance of stakeholder buy-in, the company's leadership worked to engage employees at all levels, soliciting input and providing opportunities for open dialogue (Roulet, 2022). By addressing potential resistance and fostering a sense of ownership over the change initiatives, Seesaw Coffee was able to create an environment in which stakeholders felt empowered to contribute to the organization's successful adaptation.</w:t>
      </w:r>
    </w:p>
    <w:p>
      <w:pPr>
        <w:pStyle w:val="3"/>
        <w:spacing w:line="480" w:lineRule="auto"/>
        <w:rPr>
          <w:rFonts w:ascii="Times New Roman" w:hAnsi="Times New Roman" w:cs="Times New Roman"/>
          <w:color w:val="auto"/>
        </w:rPr>
      </w:pPr>
      <w:r>
        <w:rPr>
          <w:rFonts w:ascii="Times New Roman" w:hAnsi="Times New Roman" w:cs="Times New Roman"/>
          <w:color w:val="auto"/>
        </w:rPr>
        <w:t>Digitalization</w:t>
      </w:r>
    </w:p>
    <w:p>
      <w:pPr>
        <w:spacing w:line="480" w:lineRule="auto"/>
        <w:rPr>
          <w:rFonts w:ascii="Times New Roman" w:hAnsi="Times New Roman" w:cs="Times New Roman"/>
          <w:sz w:val="24"/>
          <w:szCs w:val="24"/>
        </w:rPr>
      </w:pPr>
      <w:r>
        <w:rPr>
          <w:rFonts w:ascii="Times New Roman" w:hAnsi="Times New Roman" w:cs="Times New Roman"/>
          <w:sz w:val="24"/>
          <w:szCs w:val="24"/>
        </w:rPr>
        <w:t>Digitalization was a critical driver of change for Seesaw Coffee during the pandemic, as the company sought to leverage technology to maintain operations and meet customer needs. By investing in digital infrastructure and tools, such as online ordering platforms, mobile apps, and contactless payment options, Seesaw Coffee was able to pivot quickly and capitalize on emerging opportunities within the digital landscape (Bharadwaj et al., 2013). This not only enabled the organization to maintain customer engagement but also created new revenue streams and competitive advantages.</w:t>
      </w:r>
    </w:p>
    <w:p>
      <w:pPr>
        <w:pStyle w:val="3"/>
        <w:spacing w:line="480" w:lineRule="auto"/>
        <w:rPr>
          <w:rFonts w:ascii="Times New Roman" w:hAnsi="Times New Roman" w:cs="Times New Roman"/>
          <w:color w:val="auto"/>
        </w:rPr>
      </w:pPr>
      <w:r>
        <w:rPr>
          <w:rFonts w:ascii="Times New Roman" w:hAnsi="Times New Roman" w:cs="Times New Roman"/>
          <w:color w:val="auto"/>
        </w:rPr>
        <w:t>Competition</w:t>
      </w:r>
    </w:p>
    <w:p>
      <w:pPr>
        <w:spacing w:line="480" w:lineRule="auto"/>
        <w:rPr>
          <w:rFonts w:ascii="Times New Roman" w:hAnsi="Times New Roman" w:cs="Times New Roman"/>
          <w:sz w:val="24"/>
          <w:szCs w:val="24"/>
        </w:rPr>
      </w:pPr>
      <w:r>
        <w:rPr>
          <w:rFonts w:ascii="Times New Roman" w:hAnsi="Times New Roman" w:cs="Times New Roman"/>
          <w:sz w:val="24"/>
          <w:szCs w:val="24"/>
        </w:rPr>
        <w:t>Competition within the coffee industry was a key driver of change for Seesaw Coffee during the pandemic. With market conditions shifting rapidly, the company needed to adapt its strategies and offerings to maintain its competitive position and attract customers (Nastasolu &amp; Vandenbosch, 2019). By closely monitoring competitors' actions and responding proactively to market trends, Seesaw Coffee demonstrated agility and adaptability, positioning itself as a leader in the industry even in the face of unprecedented challenges.</w:t>
      </w:r>
    </w:p>
    <w:p>
      <w:pPr>
        <w:pStyle w:val="2"/>
        <w:spacing w:line="480" w:lineRule="auto"/>
        <w:rPr>
          <w:rFonts w:ascii="Times New Roman" w:hAnsi="Times New Roman" w:cs="Times New Roman"/>
          <w:color w:val="auto"/>
        </w:rPr>
      </w:pPr>
      <w:r>
        <w:rPr>
          <w:rFonts w:ascii="Times New Roman" w:hAnsi="Times New Roman" w:cs="Times New Roman"/>
          <w:color w:val="auto"/>
        </w:rPr>
        <w:t>Adapting to Change and Driving Business Growth during the Pandemic</w:t>
      </w:r>
    </w:p>
    <w:p>
      <w:pPr>
        <w:pStyle w:val="3"/>
        <w:numPr>
          <w:ilvl w:val="0"/>
          <w:numId w:val="0"/>
        </w:numPr>
        <w:spacing w:line="480" w:lineRule="auto"/>
        <w:rPr>
          <w:rFonts w:ascii="Times New Roman" w:hAnsi="Times New Roman" w:cs="Times New Roman"/>
          <w:color w:val="auto"/>
        </w:rPr>
      </w:pPr>
      <w:r>
        <w:rPr>
          <w:rFonts w:ascii="Times New Roman" w:hAnsi="Times New Roman" w:cs="Times New Roman"/>
          <w:color w:val="auto"/>
        </w:rPr>
        <w:t>Introduction</w:t>
      </w:r>
    </w:p>
    <w:p>
      <w:pPr>
        <w:spacing w:line="480" w:lineRule="auto"/>
        <w:rPr>
          <w:rFonts w:ascii="Times New Roman" w:hAnsi="Times New Roman" w:cs="Times New Roman"/>
          <w:sz w:val="24"/>
          <w:szCs w:val="24"/>
        </w:rPr>
      </w:pPr>
      <w:r>
        <w:rPr>
          <w:rFonts w:ascii="Times New Roman" w:hAnsi="Times New Roman" w:cs="Times New Roman"/>
          <w:sz w:val="24"/>
          <w:szCs w:val="24"/>
        </w:rPr>
        <w:t>This chapter discusses how Seesaw Coffee adapted to the challenges posed by the COVID-19 pandemic and the strategies the company employed to drive business growth during these challenging times. It highlights the critical role of innovation, digital transformation, and customer-centric approaches in ensuring the organization's resilience and continued success (Hartmann et al., 2020).</w:t>
      </w:r>
    </w:p>
    <w:p>
      <w:pPr>
        <w:spacing w:line="480" w:lineRule="auto"/>
        <w:rPr>
          <w:rFonts w:ascii="Times New Roman" w:hAnsi="Times New Roman" w:cs="Times New Roman"/>
          <w:sz w:val="24"/>
          <w:szCs w:val="24"/>
        </w:rPr>
      </w:pPr>
      <w:r>
        <w:rPr>
          <w:rFonts w:ascii="Times New Roman" w:hAnsi="Times New Roman" w:cs="Times New Roman"/>
          <w:sz w:val="24"/>
          <w:szCs w:val="24"/>
        </w:rPr>
        <w:t>4.2 Embracing Digital Transformation</w:t>
      </w:r>
    </w:p>
    <w:p>
      <w:pPr>
        <w:spacing w:line="480" w:lineRule="auto"/>
        <w:rPr>
          <w:rFonts w:ascii="Times New Roman" w:hAnsi="Times New Roman" w:cs="Times New Roman"/>
          <w:sz w:val="24"/>
          <w:szCs w:val="24"/>
        </w:rPr>
      </w:pPr>
      <w:r>
        <w:rPr>
          <w:rFonts w:ascii="Times New Roman" w:hAnsi="Times New Roman" w:cs="Times New Roman"/>
          <w:sz w:val="24"/>
          <w:szCs w:val="24"/>
        </w:rPr>
        <w:t>Recognizing the need for an agile response to the pandemic's challenges, Seesaw Coffee rapidly embraced digital transformation. The company invested in upgrading its digital infrastructure, which enabled the launch of a user-friendly mobile app and online platform. Customers could place orders, make payments, and arrange for delivery or pick-up through these channels. This move proved invaluable in retaining customers and attracting new ones during periods of lockdown and social distancing.</w:t>
      </w:r>
    </w:p>
    <w:p>
      <w:pPr>
        <w:spacing w:line="480" w:lineRule="auto"/>
        <w:rPr>
          <w:rFonts w:ascii="Times New Roman" w:hAnsi="Times New Roman" w:cs="Times New Roman"/>
          <w:sz w:val="24"/>
          <w:szCs w:val="24"/>
        </w:rPr>
      </w:pPr>
      <w:r>
        <w:rPr>
          <w:rFonts w:ascii="Times New Roman" w:hAnsi="Times New Roman" w:cs="Times New Roman"/>
          <w:sz w:val="24"/>
          <w:szCs w:val="24"/>
        </w:rPr>
        <w:t>4.3 Enhancing Customer Experience</w:t>
      </w:r>
    </w:p>
    <w:p>
      <w:pPr>
        <w:spacing w:line="480" w:lineRule="auto"/>
        <w:rPr>
          <w:rFonts w:ascii="Times New Roman" w:hAnsi="Times New Roman" w:cs="Times New Roman"/>
          <w:sz w:val="24"/>
          <w:szCs w:val="24"/>
        </w:rPr>
      </w:pPr>
      <w:r>
        <w:rPr>
          <w:rFonts w:ascii="Times New Roman" w:hAnsi="Times New Roman" w:cs="Times New Roman"/>
          <w:sz w:val="24"/>
          <w:szCs w:val="24"/>
        </w:rPr>
        <w:t>Seesaw Coffee placed a strong emphasis on enhancing the customer experience during the pandemic. The company utilized data-driven insights and customer feedback to improve its digital offerings, streamline the ordering process, and expand its delivery services. Additionally, Seesaw Coffee like other SMEs adopted creative marketing campaigns on social media to stay connected with their customers and maintain brand visibility (Dubbelink et al., 2020).</w:t>
      </w:r>
    </w:p>
    <w:p>
      <w:pPr>
        <w:spacing w:line="480" w:lineRule="auto"/>
        <w:rPr>
          <w:rFonts w:ascii="Times New Roman" w:hAnsi="Times New Roman" w:cs="Times New Roman"/>
          <w:sz w:val="24"/>
          <w:szCs w:val="24"/>
        </w:rPr>
      </w:pPr>
      <w:r>
        <w:rPr>
          <w:rFonts w:ascii="Times New Roman" w:hAnsi="Times New Roman" w:cs="Times New Roman"/>
          <w:sz w:val="24"/>
          <w:szCs w:val="24"/>
        </w:rPr>
        <w:t>4.4 Adapting to Changing Consumer Preferences</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As consumer preferences shifted due to the pandemic, Seesaw Coffee responded by adapting its product offerings to cater to the changing needs. For example, the company introduced new menu items and beverages that emphasized health and well-being, in response to the growing consumer focus on health-conscious choices during the pandemic (Birtus &amp; </w:t>
      </w:r>
      <w:r>
        <w:rPr>
          <w:rFonts w:ascii="Times New Roman" w:hAnsi="Times New Roman" w:cs="Times New Roman"/>
          <w:sz w:val="24"/>
          <w:szCs w:val="24"/>
          <w:shd w:val="clear" w:color="auto" w:fill="FFFFFF"/>
        </w:rPr>
        <w:t>Lăzăroiu</w:t>
      </w:r>
      <w:r>
        <w:rPr>
          <w:rFonts w:ascii="Times New Roman" w:hAnsi="Times New Roman" w:cs="Times New Roman"/>
          <w:sz w:val="24"/>
          <w:szCs w:val="24"/>
        </w:rPr>
        <w:t>, 2021).</w:t>
      </w:r>
    </w:p>
    <w:p>
      <w:pPr>
        <w:spacing w:line="480" w:lineRule="auto"/>
        <w:rPr>
          <w:rFonts w:ascii="Times New Roman" w:hAnsi="Times New Roman" w:cs="Times New Roman"/>
          <w:sz w:val="24"/>
          <w:szCs w:val="24"/>
        </w:rPr>
      </w:pPr>
      <w:r>
        <w:rPr>
          <w:rFonts w:ascii="Times New Roman" w:hAnsi="Times New Roman" w:cs="Times New Roman"/>
          <w:sz w:val="24"/>
          <w:szCs w:val="24"/>
        </w:rPr>
        <w:t>4.6 Strengthening the Supply Chain</w:t>
      </w:r>
    </w:p>
    <w:p>
      <w:pPr>
        <w:spacing w:line="480" w:lineRule="auto"/>
        <w:rPr>
          <w:rFonts w:ascii="Times New Roman" w:hAnsi="Times New Roman" w:cs="Times New Roman"/>
          <w:sz w:val="24"/>
          <w:szCs w:val="24"/>
        </w:rPr>
      </w:pPr>
      <w:r>
        <w:rPr>
          <w:rFonts w:ascii="Times New Roman" w:hAnsi="Times New Roman" w:cs="Times New Roman"/>
          <w:sz w:val="24"/>
          <w:szCs w:val="24"/>
        </w:rPr>
        <w:t>The COVID-19 pandemic exposed vulnerabilities in many companies' supply chains, prompting them to re-evaluate and strengthen their operations (Pujawan &amp; Bah, 2022). Seesaw Coffee was no exception, as it took proactive measures to ensure a steady supply of raw materials and ingredients during the pandemic. The company diversified its supplier base, implemented contingency plans, and built strong relationships with local suppliers to reduce dependency on international sources. This not only ensured business continuity but also enhanced the company's ability to respond to future supply chain disruptions.</w:t>
      </w:r>
    </w:p>
    <w:p>
      <w:pPr>
        <w:spacing w:line="480" w:lineRule="auto"/>
        <w:rPr>
          <w:rFonts w:ascii="Times New Roman" w:hAnsi="Times New Roman" w:cs="Times New Roman"/>
          <w:sz w:val="24"/>
          <w:szCs w:val="24"/>
        </w:rPr>
      </w:pPr>
      <w:r>
        <w:rPr>
          <w:rFonts w:ascii="Times New Roman" w:hAnsi="Times New Roman" w:cs="Times New Roman"/>
          <w:sz w:val="24"/>
          <w:szCs w:val="24"/>
        </w:rPr>
        <w:t>4.7 Community Engagement and Social Responsibility</w:t>
      </w:r>
    </w:p>
    <w:p>
      <w:pPr>
        <w:spacing w:line="480" w:lineRule="auto"/>
        <w:rPr>
          <w:rFonts w:ascii="Times New Roman" w:hAnsi="Times New Roman" w:cs="Times New Roman"/>
          <w:sz w:val="24"/>
          <w:szCs w:val="24"/>
        </w:rPr>
      </w:pPr>
      <w:r>
        <w:rPr>
          <w:rFonts w:ascii="Times New Roman" w:hAnsi="Times New Roman" w:cs="Times New Roman"/>
          <w:sz w:val="24"/>
          <w:szCs w:val="24"/>
        </w:rPr>
        <w:t>Seesaw Coffee demonstrated its commitment to social responsibility during the pandemic by engaging in community support initiatives. These efforts included offering discounts to frontline workers, donating a portion of their profits to COVID-19 relief efforts, and partnering with local non-profit organizations to help vulnerable populations. By being an active and responsible member of the community, Seesaw Coffee was able to strengthen its brand image and foster customer loyalty.</w:t>
      </w:r>
    </w:p>
    <w:p>
      <w:pPr>
        <w:spacing w:line="480" w:lineRule="auto"/>
        <w:rPr>
          <w:rFonts w:ascii="Times New Roman" w:hAnsi="Times New Roman" w:cs="Times New Roman"/>
          <w:sz w:val="24"/>
          <w:szCs w:val="24"/>
        </w:rPr>
      </w:pPr>
      <w:r>
        <w:rPr>
          <w:rFonts w:ascii="Times New Roman" w:hAnsi="Times New Roman" w:cs="Times New Roman"/>
          <w:sz w:val="24"/>
          <w:szCs w:val="24"/>
        </w:rPr>
        <w:t>4.5 Conclusion</w:t>
      </w:r>
    </w:p>
    <w:p>
      <w:pPr>
        <w:spacing w:line="480" w:lineRule="auto"/>
        <w:rPr>
          <w:rFonts w:ascii="Times New Roman" w:hAnsi="Times New Roman" w:cs="Times New Roman"/>
          <w:sz w:val="24"/>
          <w:szCs w:val="24"/>
        </w:rPr>
      </w:pPr>
      <w:r>
        <w:rPr>
          <w:rFonts w:ascii="Times New Roman" w:hAnsi="Times New Roman" w:cs="Times New Roman"/>
          <w:sz w:val="24"/>
          <w:szCs w:val="24"/>
        </w:rPr>
        <w:t>Seesaw Coffee's ability to adapt and drive business growth during the COVID-19 pandemic serves as a testament to the company's resilience and strategic thinking. By embracing digital transformation, enhancing the customer experience, adapting to changing consumer preferences, strengthening the supply chain, and demonstrating social responsibility, Seesaw Coffee has successfully navigated the challenges of the pandemic and emerged as a stronger, more agile organization. This case study provides valuable insights for other SMEs seeking to learn from the experiences of successful organizations during times of crisis.</w:t>
      </w:r>
    </w:p>
    <w:p>
      <w:pPr>
        <w:pStyle w:val="2"/>
        <w:spacing w:line="480" w:lineRule="auto"/>
        <w:rPr>
          <w:rFonts w:ascii="Times New Roman" w:hAnsi="Times New Roman" w:cs="Times New Roman"/>
          <w:color w:val="auto"/>
        </w:rPr>
      </w:pPr>
      <w:r>
        <w:rPr>
          <w:rFonts w:ascii="Times New Roman" w:hAnsi="Times New Roman" w:cs="Times New Roman"/>
          <w:color w:val="auto"/>
        </w:rPr>
        <w:t>Application of Change Management Models to the Organization</w:t>
      </w:r>
    </w:p>
    <w:p>
      <w:pPr>
        <w:pStyle w:val="3"/>
        <w:spacing w:line="480" w:lineRule="auto"/>
        <w:rPr>
          <w:rFonts w:ascii="Times New Roman" w:hAnsi="Times New Roman" w:cs="Times New Roman"/>
          <w:color w:val="auto"/>
        </w:rPr>
      </w:pPr>
      <w:r>
        <w:rPr>
          <w:rFonts w:ascii="Times New Roman" w:hAnsi="Times New Roman" w:cs="Times New Roman"/>
          <w:color w:val="auto"/>
        </w:rPr>
        <w:t>Selection of appropriate change management model(s)</w:t>
      </w:r>
    </w:p>
    <w:p>
      <w:pPr>
        <w:spacing w:line="480" w:lineRule="auto"/>
        <w:rPr>
          <w:rFonts w:ascii="Times New Roman" w:hAnsi="Times New Roman" w:cs="Times New Roman"/>
          <w:sz w:val="24"/>
          <w:szCs w:val="24"/>
        </w:rPr>
      </w:pPr>
      <w:r>
        <w:rPr>
          <w:rFonts w:ascii="Times New Roman" w:hAnsi="Times New Roman" w:cs="Times New Roman"/>
          <w:sz w:val="24"/>
          <w:szCs w:val="24"/>
        </w:rPr>
        <w:t>Organizations need to select the most suitable change management models to implement organizational changes successfully. In this case, Kotter's 8-Step Process has been chosen due to its proven effectiveness in driving change and transforming organizations (Tang &amp; Tang, 2019). Kotter's model is an action-oriented approach that provides a clear roadmap for executing the change process.</w:t>
      </w:r>
    </w:p>
    <w:p>
      <w:pPr>
        <w:pStyle w:val="3"/>
        <w:spacing w:line="480" w:lineRule="auto"/>
        <w:rPr>
          <w:rFonts w:ascii="Times New Roman" w:hAnsi="Times New Roman" w:cs="Times New Roman"/>
          <w:color w:val="auto"/>
        </w:rPr>
      </w:pPr>
      <w:r>
        <w:rPr>
          <w:rFonts w:ascii="Times New Roman" w:hAnsi="Times New Roman" w:cs="Times New Roman"/>
          <w:color w:val="auto"/>
        </w:rPr>
        <w:t>Implementation plan for the change program</w:t>
      </w:r>
    </w:p>
    <w:p>
      <w:pPr>
        <w:pStyle w:val="4"/>
        <w:spacing w:line="480" w:lineRule="auto"/>
        <w:rPr>
          <w:rFonts w:ascii="Times New Roman" w:hAnsi="Times New Roman" w:cs="Times New Roman"/>
          <w:color w:val="auto"/>
        </w:rPr>
      </w:pPr>
      <w:r>
        <w:rPr>
          <w:rFonts w:ascii="Times New Roman" w:hAnsi="Times New Roman" w:cs="Times New Roman"/>
          <w:color w:val="auto"/>
        </w:rPr>
        <w:t xml:space="preserve">Steps  </w:t>
      </w:r>
    </w:p>
    <w:p>
      <w:pPr>
        <w:spacing w:line="480" w:lineRule="auto"/>
        <w:rPr>
          <w:rFonts w:ascii="Times New Roman" w:hAnsi="Times New Roman" w:cs="Times New Roman"/>
          <w:sz w:val="24"/>
          <w:szCs w:val="24"/>
        </w:rPr>
      </w:pPr>
      <w:r>
        <w:rPr>
          <w:rFonts w:ascii="Times New Roman" w:hAnsi="Times New Roman" w:cs="Times New Roman"/>
          <w:sz w:val="24"/>
          <w:szCs w:val="24"/>
        </w:rPr>
        <w:t>Change management is a critical process that organizations, including small and medium-sized enterprises (SMEs), must undergo to remain competitive and adapt to new market demands (Fabrizio et al., 2022). The COVID-19 pandemic has highlighted the significance of change management as SMEs have been forced to restructure their operations and business models to survive. Seesaw Coffee, a Chinese SME in the specialty coffee industry, is one such company that has had to navigate the challenges of the pandemic. In this chapter, we will discuss how Seesaw Coffee can implement Kotter's 8-Step Process to effectively manage change and overcome resistance to change.</w:t>
      </w:r>
    </w:p>
    <w:p>
      <w:pPr>
        <w:spacing w:line="480" w:lineRule="auto"/>
        <w:rPr>
          <w:rFonts w:ascii="Times New Roman" w:hAnsi="Times New Roman" w:cs="Times New Roman"/>
          <w:sz w:val="24"/>
          <w:szCs w:val="24"/>
        </w:rPr>
      </w:pPr>
      <w:r>
        <w:rPr>
          <w:rFonts w:ascii="Times New Roman" w:hAnsi="Times New Roman" w:cs="Times New Roman"/>
          <w:sz w:val="24"/>
          <w:szCs w:val="24"/>
        </w:rPr>
        <w:t>The first step in the Kotter's 8-Step Process is to establish a sense of urgency. This entails involves creating understanding of the necessity for change within the organization and highlighting the consequences of inaction (Mitcheltree, 2023). Seesaw Coffee should communicate the importance of the change to employees and stakeholders to build momentum and commitment to the process. The COVID-19 pandemic has created a sense of urgency for Seesaw Coffee to adapt its operations to the changing market conditions. The company can leverage this urgency to generate momentum and support for the change program.</w:t>
      </w:r>
    </w:p>
    <w:p>
      <w:pPr>
        <w:spacing w:line="480" w:lineRule="auto"/>
        <w:rPr>
          <w:rFonts w:ascii="Times New Roman" w:hAnsi="Times New Roman" w:cs="Times New Roman"/>
          <w:sz w:val="24"/>
          <w:szCs w:val="24"/>
        </w:rPr>
      </w:pPr>
      <w:r>
        <w:rPr>
          <w:rFonts w:ascii="Times New Roman" w:hAnsi="Times New Roman" w:cs="Times New Roman"/>
          <w:sz w:val="24"/>
          <w:szCs w:val="24"/>
        </w:rPr>
        <w:t>The second step is to form a powerful guiding coalition (Tang &amp; Tang, 2019). Seesaw Coffee should assemble a team of influential individuals who are committed to leading the change effort. This coalition should include members from several divisions and levels of the organization to make sure a varied and comprehensive viewpoint on the change process. The guiding coalition should have the authority and credibility to implement the change program effectively. The coalition members should also have the necessary skills and knowledge to identify and address any challenges that may arise during the change process.</w:t>
      </w:r>
    </w:p>
    <w:p>
      <w:pPr>
        <w:spacing w:line="480" w:lineRule="auto"/>
        <w:rPr>
          <w:rFonts w:ascii="Times New Roman" w:hAnsi="Times New Roman" w:cs="Times New Roman"/>
          <w:sz w:val="24"/>
          <w:szCs w:val="24"/>
        </w:rPr>
      </w:pPr>
      <w:r>
        <w:rPr>
          <w:rFonts w:ascii="Times New Roman" w:hAnsi="Times New Roman" w:cs="Times New Roman"/>
          <w:sz w:val="24"/>
          <w:szCs w:val="24"/>
        </w:rPr>
        <w:t>Creating a vision and strategy is the third step in the Kotter's 8-Step Process. A clear vision and plan for the change process should be developed to guide the organization towards its desired future state. Seesaw Coffee's vision should be inspiring, easy to understand, and aligned with the organization's overall mission and values. The vision should provide direction and focus for the change program, and it should be communicated to employees and stakeholders regularly (Men et al., 2020).</w:t>
      </w:r>
    </w:p>
    <w:p>
      <w:pPr>
        <w:spacing w:line="480" w:lineRule="auto"/>
        <w:rPr>
          <w:rFonts w:ascii="Times New Roman" w:hAnsi="Times New Roman" w:cs="Times New Roman"/>
          <w:sz w:val="24"/>
          <w:szCs w:val="24"/>
        </w:rPr>
      </w:pPr>
      <w:r>
        <w:rPr>
          <w:rFonts w:ascii="Times New Roman" w:hAnsi="Times New Roman" w:cs="Times New Roman"/>
          <w:sz w:val="24"/>
          <w:szCs w:val="24"/>
        </w:rPr>
        <w:t>The fourth step is to communicate the change vision. The guiding coalition should actively and consistently communicate the change vision to stakeholders and employees (Errida &amp; Lotfi, 2021). This can involve using various platforms, such as newsletters, meetings, and social media, to ensure that everyone understands and supports the vision. Effective communication is critical to building support for the change program and overcoming resistance to change.</w:t>
      </w:r>
    </w:p>
    <w:p>
      <w:pPr>
        <w:spacing w:line="480" w:lineRule="auto"/>
        <w:rPr>
          <w:rFonts w:ascii="Times New Roman" w:hAnsi="Times New Roman" w:cs="Times New Roman"/>
          <w:sz w:val="24"/>
          <w:szCs w:val="24"/>
        </w:rPr>
      </w:pPr>
      <w:r>
        <w:rPr>
          <w:rFonts w:ascii="Times New Roman" w:hAnsi="Times New Roman" w:cs="Times New Roman"/>
          <w:sz w:val="24"/>
          <w:szCs w:val="24"/>
        </w:rPr>
        <w:t>Empowering employees for broad-based action is the fifth step in the Kotter's 8-Step Process. Seesaw Coffee should remove barriers to change and empower employees to take action (Tang &amp; Tang, 2019). This may include providing the necessary resources, training, and support for employees to embrace and drive the change initiatives. Empowering employees can help build ownership and commitment to the change program and increase the likelihood of success.</w:t>
      </w:r>
    </w:p>
    <w:p>
      <w:pPr>
        <w:spacing w:line="480" w:lineRule="auto"/>
        <w:rPr>
          <w:rFonts w:ascii="Times New Roman" w:hAnsi="Times New Roman" w:cs="Times New Roman"/>
          <w:sz w:val="24"/>
          <w:szCs w:val="24"/>
        </w:rPr>
      </w:pPr>
      <w:r>
        <w:rPr>
          <w:rFonts w:ascii="Times New Roman" w:hAnsi="Times New Roman" w:cs="Times New Roman"/>
          <w:sz w:val="24"/>
          <w:szCs w:val="24"/>
        </w:rPr>
        <w:t>Creating short-term wins is the sixth step in the Kotter's 8-Step Process. Seesaw Coffee should detect and observe short-term wins to maintain momentum and motivate employees during the change process (Adelman-Mullally et al., 2013). These wins should be visible, measurable, and directly linked to the change effort. Celebrating short-term wins can help build confidence and momentum towards achieving the long-term goals of the change program.</w:t>
      </w:r>
    </w:p>
    <w:p>
      <w:pPr>
        <w:spacing w:line="480" w:lineRule="auto"/>
        <w:rPr>
          <w:rFonts w:ascii="Times New Roman" w:hAnsi="Times New Roman" w:cs="Times New Roman"/>
          <w:sz w:val="24"/>
          <w:szCs w:val="24"/>
        </w:rPr>
      </w:pPr>
      <w:r>
        <w:rPr>
          <w:rFonts w:ascii="Times New Roman" w:hAnsi="Times New Roman" w:cs="Times New Roman"/>
          <w:sz w:val="24"/>
          <w:szCs w:val="24"/>
        </w:rPr>
        <w:t>Consolidating gains and producing more change is the seventh step in the Kotter's 8-Step Process. After reaching short-term wins, Seesaw Coffee should consolidate gains and produce more change. This step involves building on the success of the short-term wins by continuously improving processes and driving further change (Adelman-Mullally et al., 2013). The organization should not become complacent after achieving initial successes. Instead, it should maintain the momentum by identifying new opportunities for improvement and exploring new ways to enhance its operations.</w:t>
      </w:r>
    </w:p>
    <w:p>
      <w:pPr>
        <w:spacing w:line="480" w:lineRule="auto"/>
        <w:rPr>
          <w:rFonts w:ascii="Times New Roman" w:hAnsi="Times New Roman" w:cs="Times New Roman"/>
          <w:sz w:val="24"/>
          <w:szCs w:val="24"/>
        </w:rPr>
      </w:pPr>
      <w:r>
        <w:rPr>
          <w:rFonts w:ascii="Times New Roman" w:hAnsi="Times New Roman" w:cs="Times New Roman"/>
          <w:sz w:val="24"/>
          <w:szCs w:val="24"/>
        </w:rPr>
        <w:t>One way to consolidate gains is by building a culture of continuous improvement. This can be achieved by encouraging employees to provide feedback and suggestions for improvement, fostering a culture of innovation, and investing in employee training and development (Azevedo et al., 2021). By doing so, Seesaw Coffee can empower its employees to drive change and make a meaningful contribution to the organization's success.</w:t>
      </w:r>
    </w:p>
    <w:p>
      <w:pPr>
        <w:spacing w:line="480" w:lineRule="auto"/>
        <w:rPr>
          <w:rFonts w:ascii="Times New Roman" w:hAnsi="Times New Roman" w:cs="Times New Roman"/>
          <w:sz w:val="24"/>
          <w:szCs w:val="24"/>
        </w:rPr>
      </w:pPr>
      <w:r>
        <w:rPr>
          <w:rFonts w:ascii="Times New Roman" w:hAnsi="Times New Roman" w:cs="Times New Roman"/>
          <w:sz w:val="24"/>
          <w:szCs w:val="24"/>
        </w:rPr>
        <w:t>The final step in Kotter's 8-step process is to anchor new approaches in the culture. Seesaw Coffee should ensure that the new behaviors and processes are ingrained in the organization's culture to sustain the change. This may involve reinforcing the new values through leadership, performance management, and employee recognition programs (Stahl et al., 2020). By embedding the changes in the culture, Seesaw Coffee can ensure that they become part of the organization's DNA and are sustained over the long term.</w:t>
      </w:r>
    </w:p>
    <w:p>
      <w:pPr>
        <w:spacing w:line="480" w:lineRule="auto"/>
        <w:rPr>
          <w:rFonts w:ascii="Times New Roman" w:hAnsi="Times New Roman" w:cs="Times New Roman"/>
          <w:sz w:val="24"/>
          <w:szCs w:val="24"/>
        </w:rPr>
      </w:pPr>
      <w:r>
        <w:rPr>
          <w:rFonts w:ascii="Times New Roman" w:hAnsi="Times New Roman" w:cs="Times New Roman"/>
          <w:sz w:val="24"/>
          <w:szCs w:val="24"/>
        </w:rPr>
        <w:t>Implementing change in an organization like Seesaw Coffee requires a structured approach that involves following a change management model. Kotter's 8-step process is a well-established framework that provides a roadmap for successfully managing change in organizations (Neto et al., 2022). By following this process, Seesaw Coffee can overcome resistance to change, align its employees with a shared vision, and create a culture of continuous improvement. The organization can emerge from the COVID-19 pandemic stronger and more resilient, with a clear direction for the future.</w:t>
      </w:r>
    </w:p>
    <w:p>
      <w:pPr>
        <w:pStyle w:val="4"/>
        <w:spacing w:line="480" w:lineRule="auto"/>
        <w:rPr>
          <w:rFonts w:ascii="Times New Roman" w:hAnsi="Times New Roman" w:cs="Times New Roman"/>
          <w:color w:val="auto"/>
        </w:rPr>
      </w:pPr>
      <w:r>
        <w:rPr>
          <w:rFonts w:ascii="Times New Roman" w:hAnsi="Times New Roman" w:cs="Times New Roman"/>
          <w:color w:val="auto"/>
        </w:rPr>
        <w:t>Timelines, roles and responsibilities</w:t>
      </w:r>
    </w:p>
    <w:p>
      <w:pPr>
        <w:spacing w:line="480" w:lineRule="auto"/>
        <w:rPr>
          <w:rFonts w:ascii="Times New Roman" w:hAnsi="Times New Roman" w:cs="Times New Roman"/>
          <w:sz w:val="24"/>
          <w:szCs w:val="24"/>
        </w:rPr>
      </w:pPr>
      <w:r>
        <w:rPr>
          <w:rFonts w:ascii="Times New Roman" w:hAnsi="Times New Roman" w:cs="Times New Roman"/>
          <w:sz w:val="24"/>
          <w:szCs w:val="24"/>
        </w:rPr>
        <w:t>The timeline for the change program should be outlined, including setting milestones, establishing deadlines, and assigning tasks to specific individuals or teams. The timeline should be realistic and achievable, taking into account any potential roadblocks or unforeseen circumstances that may arise. Seesaw Coffee should also allocate resources, including budget, staff, and technology, to ensure the successful implementation of the change program.</w:t>
      </w:r>
    </w:p>
    <w:p>
      <w:pPr>
        <w:spacing w:line="480" w:lineRule="auto"/>
        <w:rPr>
          <w:rFonts w:ascii="Times New Roman" w:hAnsi="Times New Roman" w:cs="Times New Roman"/>
          <w:sz w:val="24"/>
          <w:szCs w:val="24"/>
        </w:rPr>
      </w:pPr>
      <w:r>
        <w:rPr>
          <w:rFonts w:ascii="Times New Roman" w:hAnsi="Times New Roman" w:cs="Times New Roman"/>
          <w:sz w:val="24"/>
          <w:szCs w:val="24"/>
        </w:rPr>
        <w:t>To ensure the effectiveness of the implementation plan, Seesaw Coffee should establish a change management team to oversee the entire process. The team should include members from various departments and levels of the organization to ensure a comprehensive and diverse perspective on the change process. The team should be responsible for monitoring the progress of the implementation plan, identifying any issues, and making adjustments as necessary. The team should also provide regular updates to employees and stakeholders to maintain transparency and communication throughout the process.</w:t>
      </w:r>
    </w:p>
    <w:p>
      <w:pPr>
        <w:spacing w:line="480" w:lineRule="auto"/>
        <w:rPr>
          <w:rFonts w:ascii="Times New Roman" w:hAnsi="Times New Roman" w:cs="Times New Roman"/>
          <w:sz w:val="24"/>
          <w:szCs w:val="24"/>
        </w:rPr>
      </w:pPr>
      <w:r>
        <w:rPr>
          <w:rFonts w:ascii="Times New Roman" w:hAnsi="Times New Roman" w:cs="Times New Roman"/>
          <w:sz w:val="24"/>
          <w:szCs w:val="24"/>
        </w:rPr>
        <w:t>In addition to the implementation plan, Seesaw Coffee should conduct a case study analysis to evaluate the effectiveness of its change management approach. The analysis should focus on the drivers of change, resistance factors, and the effectiveness of the implemented strategies. By conducting a thorough analysis of the change program, Seesaw Coffee can identify areas of improvement and develop more effective change management strategies in the future.</w:t>
      </w:r>
    </w:p>
    <w:p>
      <w:pPr>
        <w:pStyle w:val="2"/>
        <w:spacing w:line="480" w:lineRule="auto"/>
        <w:rPr>
          <w:rFonts w:ascii="Times New Roman" w:hAnsi="Times New Roman" w:cs="Times New Roman"/>
          <w:color w:val="auto"/>
        </w:rPr>
      </w:pPr>
      <w:r>
        <w:rPr>
          <w:rFonts w:ascii="Times New Roman" w:hAnsi="Times New Roman" w:cs="Times New Roman"/>
          <w:color w:val="auto"/>
        </w:rPr>
        <w:t>Assessment of Change Program Effectiveness</w:t>
      </w:r>
    </w:p>
    <w:p>
      <w:pPr>
        <w:pStyle w:val="3"/>
        <w:spacing w:line="480" w:lineRule="auto"/>
        <w:rPr>
          <w:rFonts w:ascii="Times New Roman" w:hAnsi="Times New Roman" w:cs="Times New Roman"/>
          <w:color w:val="auto"/>
        </w:rPr>
      </w:pPr>
      <w:r>
        <w:rPr>
          <w:rFonts w:ascii="Times New Roman" w:hAnsi="Times New Roman" w:cs="Times New Roman"/>
          <w:color w:val="auto"/>
        </w:rPr>
        <w:t>Criteria for success</w:t>
      </w:r>
    </w:p>
    <w:p>
      <w:pPr>
        <w:spacing w:line="480" w:lineRule="auto"/>
        <w:rPr>
          <w:rFonts w:ascii="Times New Roman" w:hAnsi="Times New Roman" w:cs="Times New Roman"/>
          <w:sz w:val="24"/>
          <w:szCs w:val="24"/>
        </w:rPr>
      </w:pPr>
      <w:r>
        <w:rPr>
          <w:rFonts w:ascii="Times New Roman" w:hAnsi="Times New Roman" w:cs="Times New Roman"/>
          <w:sz w:val="24"/>
          <w:szCs w:val="24"/>
        </w:rPr>
        <w:t>To evaluate the effectiveness of the change program implemented in Seesaw Coffee, it is essential to establish clear and specific criteria for success. These criteria should be aligned with the objectives of the change program and should be measurable, achievable, relevant, and time-bound (SMART). By defining these criteria, Seesaw Coffee can determine whether the change program has been successful in achieving its goals.</w:t>
      </w:r>
    </w:p>
    <w:p>
      <w:pPr>
        <w:spacing w:line="480" w:lineRule="auto"/>
        <w:rPr>
          <w:rFonts w:ascii="Times New Roman" w:hAnsi="Times New Roman" w:cs="Times New Roman"/>
          <w:sz w:val="24"/>
          <w:szCs w:val="24"/>
        </w:rPr>
      </w:pPr>
      <w:r>
        <w:rPr>
          <w:rFonts w:ascii="Times New Roman" w:hAnsi="Times New Roman" w:cs="Times New Roman"/>
          <w:sz w:val="24"/>
          <w:szCs w:val="24"/>
        </w:rPr>
        <w:t>One of the objectives of the change program was to increase revenue. Therefore, an increase in revenue can be used as a criterion for success. Measuring revenue growth is a straightforward way to determine the success of the change program. By comparing revenue figures before and after the change program implementation, Seesaw Coffee can determine whether the program has been effective in generating more revenue for the organization.</w:t>
      </w:r>
    </w:p>
    <w:p>
      <w:pPr>
        <w:spacing w:line="480" w:lineRule="auto"/>
        <w:rPr>
          <w:rFonts w:ascii="Times New Roman" w:hAnsi="Times New Roman" w:cs="Times New Roman"/>
          <w:sz w:val="24"/>
          <w:szCs w:val="24"/>
        </w:rPr>
      </w:pPr>
      <w:r>
        <w:rPr>
          <w:rFonts w:ascii="Times New Roman" w:hAnsi="Times New Roman" w:cs="Times New Roman"/>
          <w:sz w:val="24"/>
          <w:szCs w:val="24"/>
        </w:rPr>
        <w:t>Another objective of the change program was to improve the customer experience. Therefore, an improvement in customer satisfaction can be used as a criterion for success. Measuring customer satisfaction can be done through surveys, feedback forms, and online reviews. By comparing customer satisfaction levels before and after the implementation of the change program, Seesaw Coffee can determine whether the program has been successful in enhancing the customer experience.</w:t>
      </w:r>
    </w:p>
    <w:p>
      <w:pPr>
        <w:spacing w:line="480" w:lineRule="auto"/>
        <w:rPr>
          <w:rFonts w:ascii="Times New Roman" w:hAnsi="Times New Roman" w:cs="Times New Roman"/>
          <w:sz w:val="24"/>
          <w:szCs w:val="24"/>
        </w:rPr>
      </w:pPr>
      <w:r>
        <w:rPr>
          <w:rFonts w:ascii="Times New Roman" w:hAnsi="Times New Roman" w:cs="Times New Roman"/>
          <w:sz w:val="24"/>
          <w:szCs w:val="24"/>
        </w:rPr>
        <w:t>Employee engagement is another key area that the change program aimed to improve. Therefore, an increase in employee engagement can be used as a criterion for success. Employee engagement can be measured through surveys, feedback forms, and other metrics that assess employee satisfaction and commitment. By comparing employee engagement levels before and after the implementation of the change program, Seesaw Coffee can determine whether the program has been successful in improving employee engagement.</w:t>
      </w:r>
    </w:p>
    <w:p>
      <w:pPr>
        <w:spacing w:line="480" w:lineRule="auto"/>
        <w:rPr>
          <w:rFonts w:ascii="Times New Roman" w:hAnsi="Times New Roman" w:cs="Times New Roman"/>
          <w:sz w:val="24"/>
          <w:szCs w:val="24"/>
        </w:rPr>
      </w:pPr>
      <w:r>
        <w:rPr>
          <w:rFonts w:ascii="Times New Roman" w:hAnsi="Times New Roman" w:cs="Times New Roman"/>
          <w:sz w:val="24"/>
          <w:szCs w:val="24"/>
        </w:rPr>
        <w:t>In addition to these criteria, other factors that can be used to evaluate the effectiveness of the change program include the level of employee resistance and the speed and efficiency of the implementation process. By assessing these factors, Seesaw Coffee can determine whether the change program was successful in addressing the challenges brought about by the COVID-19 pandemic.</w:t>
      </w:r>
    </w:p>
    <w:p>
      <w:pPr>
        <w:pStyle w:val="3"/>
        <w:spacing w:line="480" w:lineRule="auto"/>
        <w:rPr>
          <w:rFonts w:ascii="Times New Roman" w:hAnsi="Times New Roman" w:cs="Times New Roman"/>
          <w:color w:val="auto"/>
        </w:rPr>
      </w:pPr>
      <w:r>
        <w:rPr>
          <w:rFonts w:ascii="Times New Roman" w:hAnsi="Times New Roman" w:cs="Times New Roman"/>
          <w:color w:val="auto"/>
        </w:rPr>
        <w:t>Methods for measuring change program effectiveness</w:t>
      </w:r>
    </w:p>
    <w:p>
      <w:pPr>
        <w:spacing w:line="480" w:lineRule="auto"/>
        <w:rPr>
          <w:rFonts w:ascii="Times New Roman" w:hAnsi="Times New Roman" w:cs="Times New Roman"/>
          <w:sz w:val="24"/>
          <w:szCs w:val="24"/>
        </w:rPr>
      </w:pPr>
      <w:r>
        <w:rPr>
          <w:rFonts w:ascii="Times New Roman" w:hAnsi="Times New Roman" w:cs="Times New Roman"/>
          <w:sz w:val="24"/>
          <w:szCs w:val="24"/>
        </w:rPr>
        <w:t>To evaluate the effectiveness of the change program at Seesaw Coffee, a combination of quantitative and qualitative methods can be used. Customer feedback surveys can be conducted to gather feedback on their experience before and after the change program. This feedback can be used to assess the effectiveness of the program in enhancing customer satisfaction. Similarly, employee engagement surveys can be conducted to gather feedback from employees on their engagement level before and after the change program. This can help assess the program's effectiveness in improving employee engagement.</w:t>
      </w:r>
    </w:p>
    <w:p>
      <w:pPr>
        <w:spacing w:line="480" w:lineRule="auto"/>
        <w:rPr>
          <w:rFonts w:ascii="Times New Roman" w:hAnsi="Times New Roman" w:cs="Times New Roman"/>
          <w:sz w:val="24"/>
          <w:szCs w:val="24"/>
        </w:rPr>
      </w:pPr>
      <w:r>
        <w:rPr>
          <w:rFonts w:ascii="Times New Roman" w:hAnsi="Times New Roman" w:cs="Times New Roman"/>
          <w:sz w:val="24"/>
          <w:szCs w:val="24"/>
        </w:rPr>
        <w:t>In addition, financial analysis can be conducted to evaluate the impact of the change program on revenue, expenses, and profitability. This can provide a quantitative measure of the program's effectiveness in achieving its objectives. Observation and interviews can also be conducted to gather qualitative data on the impact of the change program on the organization. These methods can provide valuable insights into the success of the change program beyond the quantitative measure</w:t>
      </w:r>
    </w:p>
    <w:p>
      <w:pPr>
        <w:pStyle w:val="3"/>
        <w:spacing w:line="480" w:lineRule="auto"/>
        <w:rPr>
          <w:rFonts w:ascii="Times New Roman" w:hAnsi="Times New Roman" w:cs="Times New Roman"/>
          <w:color w:val="auto"/>
        </w:rPr>
      </w:pPr>
      <w:r>
        <w:rPr>
          <w:rFonts w:ascii="Times New Roman" w:hAnsi="Times New Roman" w:cs="Times New Roman"/>
          <w:color w:val="auto"/>
        </w:rPr>
        <w:t>Evaluation of change program completion</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To evaluate the completion of the change program in Seesaw Coffee, several criteria can be considered. First, the objectives of the change program should be evaluated to determine if they have been achieved. This involves comparing the expected outcomes with the actual results to determine if the change program was successful in achieving its goals. Second, the implementation of the change program should be evaluated to determine if it was executed according to plan. This involves assessing whether the change program was completed on time, within budget, and according to the established milestones. Any deviations from the plan should be analyzed to identify the root causes and make necessary adjustments for future change initiatives. </w:t>
      </w:r>
    </w:p>
    <w:p>
      <w:pPr>
        <w:spacing w:line="480" w:lineRule="auto"/>
        <w:rPr>
          <w:rFonts w:ascii="Times New Roman" w:hAnsi="Times New Roman" w:cs="Times New Roman"/>
          <w:sz w:val="24"/>
          <w:szCs w:val="24"/>
        </w:rPr>
      </w:pPr>
      <w:r>
        <w:rPr>
          <w:rFonts w:ascii="Times New Roman" w:hAnsi="Times New Roman" w:cs="Times New Roman"/>
          <w:sz w:val="24"/>
          <w:szCs w:val="24"/>
        </w:rPr>
        <w:t>Finally, the impact of the change program on the organization should be evaluated to determine if it was positive or negative. This can involve assessing the effect of the change program on key performance indicators, such as revenue, customer satisfaction, and employee engagement. Additionally, the impact on the organization's culture, values, and operations should also be considered. By evaluating these criteria, Seesaw Coffee can determine the effectiveness of the change program and identify areas for improvement. The results of the evaluation can also serve as a basis for making future decisions related to change management and organizational development.</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pPr>
        <w:pStyle w:val="2"/>
        <w:numPr>
          <w:ilvl w:val="0"/>
          <w:numId w:val="0"/>
        </w:numPr>
        <w:spacing w:line="480" w:lineRule="auto"/>
        <w:ind w:left="360" w:hanging="360"/>
        <w:rPr>
          <w:rFonts w:ascii="Times New Roman" w:hAnsi="Times New Roman" w:cs="Times New Roman"/>
          <w:color w:val="auto"/>
        </w:rPr>
      </w:pPr>
      <w:r>
        <w:rPr>
          <w:rFonts w:ascii="Times New Roman" w:hAnsi="Times New Roman" w:cs="Times New Roman"/>
          <w:color w:val="auto"/>
        </w:rPr>
        <w:t xml:space="preserve">References </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Adelman-Mullally, T., Nielsen, S., &amp; Chung, S. Y. (2023). Planned change in modern hierarchical organizations: A three-step model. </w:t>
      </w:r>
      <w:r>
        <w:rPr>
          <w:rFonts w:ascii="Times New Roman" w:hAnsi="Times New Roman" w:cs="Times New Roman"/>
          <w:i/>
          <w:iCs/>
          <w:sz w:val="24"/>
          <w:szCs w:val="24"/>
          <w:shd w:val="clear" w:color="auto" w:fill="FFFFFF"/>
        </w:rPr>
        <w:t>Journal of Professional Nursing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46</w:t>
      </w:r>
      <w:r>
        <w:rPr>
          <w:rFonts w:ascii="Times New Roman" w:hAnsi="Times New Roman" w:cs="Times New Roman"/>
          <w:sz w:val="24"/>
          <w:szCs w:val="24"/>
          <w:shd w:val="clear" w:color="auto" w:fill="FFFFFF"/>
        </w:rPr>
        <w:t>, 1-6.</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Azevedo, M. C. D., Schlosser, F., &amp; McPhee, D. (2021). Building organizational innovation through HRM, employee voice and engagement. </w:t>
      </w:r>
      <w:r>
        <w:rPr>
          <w:rFonts w:ascii="Times New Roman" w:hAnsi="Times New Roman" w:cs="Times New Roman"/>
          <w:i/>
          <w:iCs/>
          <w:sz w:val="24"/>
          <w:szCs w:val="24"/>
          <w:shd w:val="clear" w:color="auto" w:fill="FFFFFF"/>
        </w:rPr>
        <w:t>Personnel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50</w:t>
      </w:r>
      <w:r>
        <w:rPr>
          <w:rFonts w:ascii="Times New Roman" w:hAnsi="Times New Roman" w:cs="Times New Roman"/>
          <w:sz w:val="24"/>
          <w:szCs w:val="24"/>
          <w:shd w:val="clear" w:color="auto" w:fill="FFFFFF"/>
        </w:rPr>
        <w:t>(2), 751-769.</w:t>
      </w:r>
    </w:p>
    <w:p>
      <w:pPr>
        <w:spacing w:line="480" w:lineRule="auto"/>
        <w:ind w:left="993" w:hanging="993"/>
        <w:rPr>
          <w:rFonts w:ascii="Times New Roman" w:hAnsi="Times New Roman" w:cs="Times New Roman"/>
          <w:sz w:val="24"/>
          <w:szCs w:val="24"/>
        </w:rPr>
      </w:pPr>
      <w:r>
        <w:rPr>
          <w:rFonts w:ascii="Times New Roman" w:hAnsi="Times New Roman" w:cs="Times New Roman"/>
          <w:sz w:val="24"/>
          <w:szCs w:val="24"/>
        </w:rPr>
        <w:t>Bharadwaj, A., El Sawy, O. A., Pavlou, P. A., &amp; Venkatraman, N. (2013). Digital business strategy: Toward a next generation of insights</w:t>
      </w:r>
      <w:r>
        <w:rPr>
          <w:rFonts w:ascii="Times New Roman" w:hAnsi="Times New Roman" w:cs="Times New Roman"/>
          <w:i/>
          <w:iCs/>
          <w:sz w:val="24"/>
          <w:szCs w:val="24"/>
        </w:rPr>
        <w:t>. MIS Quarterly</w:t>
      </w:r>
      <w:r>
        <w:rPr>
          <w:rFonts w:ascii="Times New Roman" w:hAnsi="Times New Roman" w:cs="Times New Roman"/>
          <w:sz w:val="24"/>
          <w:szCs w:val="24"/>
        </w:rPr>
        <w:t>, 37(2), 471-482.</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Birtus, M., &amp; Lăzăroiu, G. (2021). The neurobehavioral economics of the covid-19 pandemic: consumer cognition, perception, sentiment, choice, and decision-making. </w:t>
      </w:r>
      <w:r>
        <w:rPr>
          <w:rFonts w:ascii="Times New Roman" w:hAnsi="Times New Roman" w:cs="Times New Roman"/>
          <w:i/>
          <w:iCs/>
          <w:sz w:val="24"/>
          <w:szCs w:val="24"/>
          <w:shd w:val="clear" w:color="auto" w:fill="FFFFFF"/>
        </w:rPr>
        <w:t>Analysis &amp; Metaphysics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20</w:t>
      </w:r>
      <w:r>
        <w:rPr>
          <w:rFonts w:ascii="Times New Roman" w:hAnsi="Times New Roman" w:cs="Times New Roman"/>
          <w:sz w:val="24"/>
          <w:szCs w:val="24"/>
          <w:shd w:val="clear" w:color="auto" w:fill="FFFFFF"/>
        </w:rPr>
        <w:t>.</w:t>
      </w:r>
    </w:p>
    <w:p>
      <w:pPr>
        <w:spacing w:line="480" w:lineRule="auto"/>
        <w:ind w:left="993" w:hanging="993"/>
        <w:rPr>
          <w:rStyle w:val="9"/>
          <w:rFonts w:ascii="Times New Roman" w:hAnsi="Times New Roman" w:cs="Times New Roman"/>
          <w:color w:val="auto"/>
          <w:sz w:val="24"/>
          <w:szCs w:val="24"/>
        </w:rPr>
      </w:pPr>
      <w:r>
        <w:rPr>
          <w:rFonts w:ascii="Times New Roman" w:hAnsi="Times New Roman" w:cs="Times New Roman"/>
          <w:sz w:val="24"/>
          <w:szCs w:val="24"/>
        </w:rPr>
        <w:t xml:space="preserve">Booker, A. (2022). </w:t>
      </w:r>
      <w:r>
        <w:rPr>
          <w:rFonts w:ascii="Times New Roman" w:hAnsi="Times New Roman" w:cs="Times New Roman"/>
          <w:i/>
          <w:iCs/>
          <w:sz w:val="24"/>
          <w:szCs w:val="24"/>
        </w:rPr>
        <w:t>China Marketing Picks: Loewe’s 520 Brand Film, Seesaw’s Self-Collab, Calvin Klein’s Virtual Idols.</w:t>
      </w:r>
      <w:r>
        <w:rPr>
          <w:rFonts w:ascii="Times New Roman" w:hAnsi="Times New Roman" w:cs="Times New Roman"/>
          <w:sz w:val="24"/>
          <w:szCs w:val="24"/>
        </w:rPr>
        <w:t xml:space="preserve"> Jing Daily. </w:t>
      </w:r>
      <w:r>
        <w:fldChar w:fldCharType="begin"/>
      </w:r>
      <w:r>
        <w:instrText xml:space="preserve"> HYPERLINK "https://jingdaily.com/china-marketing-picks-loewes-520-brand-film-seesaws-self-collab-calvin-kleins-virtual-idols/" </w:instrText>
      </w:r>
      <w:r>
        <w:fldChar w:fldCharType="separate"/>
      </w:r>
      <w:r>
        <w:rPr>
          <w:rStyle w:val="9"/>
          <w:rFonts w:ascii="Times New Roman" w:hAnsi="Times New Roman" w:cs="Times New Roman"/>
          <w:color w:val="auto"/>
          <w:sz w:val="24"/>
          <w:szCs w:val="24"/>
        </w:rPr>
        <w:t>https://jingdaily.com/china-marketing-picks-loewes-520-brand-film-seesaws-self-collab-calvin-kleins-virtual-idols/</w:t>
      </w:r>
      <w:r>
        <w:rPr>
          <w:rStyle w:val="9"/>
          <w:rFonts w:ascii="Times New Roman" w:hAnsi="Times New Roman" w:cs="Times New Roman"/>
          <w:color w:val="auto"/>
          <w:sz w:val="24"/>
          <w:szCs w:val="24"/>
        </w:rPr>
        <w:fldChar w:fldCharType="end"/>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Carracedo, P., Puertas, R., &amp; Marti, L. (2021). Research lines on the impact of the COVID-19 pandemic on business. A text mining analysis. </w:t>
      </w:r>
      <w:r>
        <w:rPr>
          <w:rFonts w:ascii="Times New Roman" w:hAnsi="Times New Roman" w:cs="Times New Roman"/>
          <w:i/>
          <w:iCs/>
          <w:sz w:val="24"/>
          <w:szCs w:val="24"/>
          <w:shd w:val="clear" w:color="auto" w:fill="FFFFFF"/>
        </w:rPr>
        <w:t>Journal of Business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132</w:t>
      </w:r>
      <w:r>
        <w:rPr>
          <w:rFonts w:ascii="Times New Roman" w:hAnsi="Times New Roman" w:cs="Times New Roman"/>
          <w:sz w:val="24"/>
          <w:szCs w:val="24"/>
          <w:shd w:val="clear" w:color="auto" w:fill="FFFFFF"/>
        </w:rPr>
        <w:t>, 586-593.</w:t>
      </w:r>
    </w:p>
    <w:p>
      <w:pPr>
        <w:spacing w:line="480" w:lineRule="auto"/>
        <w:ind w:left="993" w:hanging="993"/>
        <w:rPr>
          <w:rFonts w:ascii="Times New Roman" w:hAnsi="Times New Roman" w:cs="Times New Roman"/>
          <w:i/>
          <w:iCs/>
          <w:sz w:val="24"/>
          <w:szCs w:val="24"/>
        </w:rPr>
      </w:pPr>
      <w:r>
        <w:rPr>
          <w:rFonts w:ascii="Times New Roman" w:hAnsi="Times New Roman" w:cs="Times New Roman"/>
          <w:sz w:val="24"/>
          <w:szCs w:val="24"/>
        </w:rPr>
        <w:t>Cavish, C. (2018). [Made in China]: Seesaw Coffee's Tom Zong. Smart Shanghai</w:t>
      </w:r>
      <w:r>
        <w:rPr>
          <w:rFonts w:ascii="Times New Roman" w:hAnsi="Times New Roman" w:cs="Times New Roman"/>
          <w:i/>
          <w:iCs/>
          <w:sz w:val="24"/>
          <w:szCs w:val="24"/>
        </w:rPr>
        <w:t xml:space="preserve">. </w:t>
      </w:r>
      <w:r>
        <w:rPr>
          <w:rFonts w:ascii="Times New Roman" w:hAnsi="Times New Roman" w:cs="Times New Roman"/>
          <w:sz w:val="24"/>
          <w:szCs w:val="24"/>
        </w:rPr>
        <w:t>Retrieved on April 6, 2023 from</w:t>
      </w:r>
      <w:r>
        <w:rPr>
          <w:rFonts w:ascii="Times New Roman" w:hAnsi="Times New Roman" w:cs="Times New Roman"/>
          <w:sz w:val="24"/>
          <w:szCs w:val="24"/>
          <w:u w:val="single"/>
        </w:rPr>
        <w:t xml:space="preserve"> https://www.smartshanghai.com/articles/business/made-in-china-seesaw-coffees-tom-zong</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Chen, C. J. (2019). Developing a model for supply chain agility and innovativeness to enhance firms’ competitive advantage. </w:t>
      </w:r>
      <w:r>
        <w:rPr>
          <w:rFonts w:ascii="Times New Roman" w:hAnsi="Times New Roman" w:cs="Times New Roman"/>
          <w:i/>
          <w:iCs/>
          <w:sz w:val="24"/>
          <w:szCs w:val="24"/>
          <w:shd w:val="clear" w:color="auto" w:fill="FFFFFF"/>
        </w:rPr>
        <w:t>Management Decision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57</w:t>
      </w:r>
      <w:r>
        <w:rPr>
          <w:rFonts w:ascii="Times New Roman" w:hAnsi="Times New Roman" w:cs="Times New Roman"/>
          <w:sz w:val="24"/>
          <w:szCs w:val="24"/>
          <w:shd w:val="clear" w:color="auto" w:fill="FFFFFF"/>
        </w:rPr>
        <w:t>(7), 1511-1534.</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Dubbelink, S. I., Herrando, C., &amp; Constantinides, E. (2021). Social media marketing as a branding strategy in extraordinary times: Lessons from the COVID-19 pandemic. </w:t>
      </w:r>
      <w:r>
        <w:rPr>
          <w:rFonts w:ascii="Times New Roman" w:hAnsi="Times New Roman" w:cs="Times New Roman"/>
          <w:i/>
          <w:iCs/>
          <w:sz w:val="24"/>
          <w:szCs w:val="24"/>
          <w:shd w:val="clear" w:color="auto" w:fill="FFFFFF"/>
        </w:rPr>
        <w:t>Sustainability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13</w:t>
      </w:r>
      <w:r>
        <w:rPr>
          <w:rFonts w:ascii="Times New Roman" w:hAnsi="Times New Roman" w:cs="Times New Roman"/>
          <w:sz w:val="24"/>
          <w:szCs w:val="24"/>
          <w:shd w:val="clear" w:color="auto" w:fill="FFFFFF"/>
        </w:rPr>
        <w:t>(18), 10310.</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Elshaer, I. A., &amp; Saad, S. K. (2022). Learning from Failure: Building Resilience in Small-and Medium-Sized Tourism Enterprises, the Role of Servant Leadership and Transparent Communication. </w:t>
      </w:r>
      <w:r>
        <w:rPr>
          <w:rFonts w:ascii="Times New Roman" w:hAnsi="Times New Roman" w:cs="Times New Roman"/>
          <w:i/>
          <w:iCs/>
          <w:sz w:val="24"/>
          <w:szCs w:val="24"/>
          <w:shd w:val="clear" w:color="auto" w:fill="FFFFFF"/>
        </w:rPr>
        <w:t>Sustainability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14</w:t>
      </w:r>
      <w:r>
        <w:rPr>
          <w:rFonts w:ascii="Times New Roman" w:hAnsi="Times New Roman" w:cs="Times New Roman"/>
          <w:sz w:val="24"/>
          <w:szCs w:val="24"/>
          <w:shd w:val="clear" w:color="auto" w:fill="FFFFFF"/>
        </w:rPr>
        <w:t>(22), 15199.</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Errida, A., &amp; Lotfi, B. (2021). The determinants of organizational change management success: Literature review and case study. </w:t>
      </w:r>
      <w:r>
        <w:rPr>
          <w:rFonts w:ascii="Times New Roman" w:hAnsi="Times New Roman" w:cs="Times New Roman"/>
          <w:i/>
          <w:iCs/>
          <w:sz w:val="24"/>
          <w:szCs w:val="24"/>
          <w:shd w:val="clear" w:color="auto" w:fill="FFFFFF"/>
        </w:rPr>
        <w:t>International Journal of Engineering Business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13</w:t>
      </w:r>
      <w:r>
        <w:rPr>
          <w:rFonts w:ascii="Times New Roman" w:hAnsi="Times New Roman" w:cs="Times New Roman"/>
          <w:sz w:val="24"/>
          <w:szCs w:val="24"/>
          <w:shd w:val="clear" w:color="auto" w:fill="FFFFFF"/>
        </w:rPr>
        <w:t>, 18479790211016273</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Fabrizio, C. M., Kaczam, F., de Moura, G. L., da Silva, L. S. C. V., da Silva, W. V., &amp; da Veiga, C. P. (2022). Competitive advantage and dynamic capability in small and medium-sized enterprises: A systematic literature review and future research directions. </w:t>
      </w:r>
      <w:r>
        <w:rPr>
          <w:rFonts w:ascii="Times New Roman" w:hAnsi="Times New Roman" w:cs="Times New Roman"/>
          <w:i/>
          <w:iCs/>
          <w:sz w:val="24"/>
          <w:szCs w:val="24"/>
          <w:shd w:val="clear" w:color="auto" w:fill="FFFFFF"/>
        </w:rPr>
        <w:t>Review of Managerial Science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16</w:t>
      </w:r>
      <w:r>
        <w:rPr>
          <w:rFonts w:ascii="Times New Roman" w:hAnsi="Times New Roman" w:cs="Times New Roman"/>
          <w:sz w:val="24"/>
          <w:szCs w:val="24"/>
          <w:shd w:val="clear" w:color="auto" w:fill="FFFFFF"/>
        </w:rPr>
        <w:t>(3), 617-648.</w:t>
      </w:r>
    </w:p>
    <w:p>
      <w:pPr>
        <w:spacing w:line="480" w:lineRule="auto"/>
        <w:ind w:left="993" w:hanging="993"/>
        <w:rPr>
          <w:rFonts w:ascii="Times New Roman" w:hAnsi="Times New Roman" w:cs="Times New Roman"/>
          <w:sz w:val="24"/>
          <w:szCs w:val="24"/>
        </w:rPr>
      </w:pPr>
      <w:r>
        <w:rPr>
          <w:rFonts w:ascii="Times New Roman" w:hAnsi="Times New Roman" w:cs="Times New Roman"/>
          <w:sz w:val="24"/>
          <w:szCs w:val="24"/>
          <w:shd w:val="clear" w:color="auto" w:fill="FFFFFF"/>
        </w:rPr>
        <w:t>Ferreira, J., &amp; Ferreira, C. (2018). Challenges and opportunities of new retail horizons in emerging markets: The case of a rising coffee culture in China. </w:t>
      </w:r>
      <w:r>
        <w:rPr>
          <w:rFonts w:ascii="Times New Roman" w:hAnsi="Times New Roman" w:cs="Times New Roman"/>
          <w:i/>
          <w:iCs/>
          <w:sz w:val="24"/>
          <w:szCs w:val="24"/>
          <w:shd w:val="clear" w:color="auto" w:fill="FFFFFF"/>
        </w:rPr>
        <w:t>Business Horizons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61</w:t>
      </w:r>
      <w:r>
        <w:rPr>
          <w:rFonts w:ascii="Times New Roman" w:hAnsi="Times New Roman" w:cs="Times New Roman"/>
          <w:sz w:val="24"/>
          <w:szCs w:val="24"/>
          <w:shd w:val="clear" w:color="auto" w:fill="FFFFFF"/>
        </w:rPr>
        <w:t xml:space="preserve">(5), 783-796. </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Georgiades, S., &amp; Georgiades, S. (2015). Employee engagement and organizational change. </w:t>
      </w:r>
      <w:r>
        <w:rPr>
          <w:rFonts w:ascii="Times New Roman" w:hAnsi="Times New Roman" w:cs="Times New Roman"/>
          <w:i/>
          <w:iCs/>
          <w:sz w:val="24"/>
          <w:szCs w:val="24"/>
          <w:shd w:val="clear" w:color="auto" w:fill="FFFFFF"/>
        </w:rPr>
        <w:t>Employee Engagement in Media Management: Creativeness and Organizational Development</w:t>
      </w:r>
      <w:r>
        <w:rPr>
          <w:rFonts w:ascii="Times New Roman" w:hAnsi="Times New Roman" w:cs="Times New Roman"/>
          <w:sz w:val="24"/>
          <w:szCs w:val="24"/>
          <w:shd w:val="clear" w:color="auto" w:fill="FFFFFF"/>
        </w:rPr>
        <w:t>, 9-37.</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Gorjian Khanzad, Z., &amp; Gooyabadi, A. A. (2021). Development of strategic resilience framework for small businesses Post-COVID-19. </w:t>
      </w:r>
      <w:r>
        <w:rPr>
          <w:rFonts w:ascii="Times New Roman" w:hAnsi="Times New Roman" w:cs="Times New Roman"/>
          <w:i/>
          <w:iCs/>
          <w:sz w:val="24"/>
          <w:szCs w:val="24"/>
          <w:shd w:val="clear" w:color="auto" w:fill="FFFFFF"/>
        </w:rPr>
        <w:t>Businesses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w:t>
      </w:r>
      <w:r>
        <w:rPr>
          <w:rFonts w:ascii="Times New Roman" w:hAnsi="Times New Roman" w:cs="Times New Roman"/>
          <w:sz w:val="24"/>
          <w:szCs w:val="24"/>
          <w:shd w:val="clear" w:color="auto" w:fill="FFFFFF"/>
        </w:rPr>
        <w:t>(3), 127-141.</w:t>
      </w:r>
    </w:p>
    <w:p>
      <w:pPr>
        <w:spacing w:line="480" w:lineRule="auto"/>
        <w:ind w:left="993" w:hanging="993"/>
        <w:rPr>
          <w:rFonts w:ascii="Times New Roman" w:hAnsi="Times New Roman" w:cs="Times New Roman"/>
          <w:sz w:val="24"/>
          <w:szCs w:val="24"/>
        </w:rPr>
      </w:pPr>
      <w:r>
        <w:rPr>
          <w:rFonts w:ascii="Times New Roman" w:hAnsi="Times New Roman" w:cs="Times New Roman"/>
          <w:sz w:val="24"/>
          <w:szCs w:val="24"/>
          <w:shd w:val="clear" w:color="auto" w:fill="FFFFFF"/>
        </w:rPr>
        <w:t>Hartmann, P.M., Zaki, M., Feldmann, N. and Neely, A. (2016). Capturing value from big data – a taxonomy of data-driven business models used by start-up firms. </w:t>
      </w:r>
      <w:r>
        <w:rPr>
          <w:rFonts w:ascii="Times New Roman" w:hAnsi="Times New Roman" w:cs="Times New Roman"/>
          <w:i/>
          <w:iCs/>
          <w:sz w:val="24"/>
          <w:szCs w:val="24"/>
          <w:shd w:val="clear" w:color="auto" w:fill="FFFFFF"/>
        </w:rPr>
        <w:t>International Journal of Operations &amp; Production Management</w:t>
      </w:r>
      <w:r>
        <w:rPr>
          <w:rFonts w:ascii="Times New Roman" w:hAnsi="Times New Roman" w:cs="Times New Roman"/>
          <w:sz w:val="24"/>
          <w:szCs w:val="24"/>
          <w:shd w:val="clear" w:color="auto" w:fill="FFFFFF"/>
        </w:rPr>
        <w:t>, Vol. 36 No. 10, pp. 1382-1406. </w:t>
      </w:r>
      <w:r>
        <w:fldChar w:fldCharType="begin"/>
      </w:r>
      <w:r>
        <w:instrText xml:space="preserve"> HYPERLINK "https://doi.org/10.1108/IJOPM-02-2014-0098" \o "DOI: https://doi.org/10.1108/IJOPM-02-2014-0098" </w:instrText>
      </w:r>
      <w:r>
        <w:fldChar w:fldCharType="separate"/>
      </w:r>
      <w:r>
        <w:rPr>
          <w:rStyle w:val="9"/>
          <w:rFonts w:ascii="Times New Roman" w:hAnsi="Times New Roman" w:cs="Times New Roman"/>
          <w:color w:val="auto"/>
          <w:sz w:val="24"/>
          <w:szCs w:val="24"/>
          <w:shd w:val="clear" w:color="auto" w:fill="FFFFFF"/>
        </w:rPr>
        <w:t>https://doi.org/10.1108/IJOPM-02-2014-0098</w:t>
      </w:r>
      <w:r>
        <w:rPr>
          <w:rStyle w:val="9"/>
          <w:rFonts w:ascii="Times New Roman" w:hAnsi="Times New Roman" w:cs="Times New Roman"/>
          <w:color w:val="auto"/>
          <w:sz w:val="24"/>
          <w:szCs w:val="24"/>
          <w:shd w:val="clear" w:color="auto" w:fill="FFFFFF"/>
        </w:rPr>
        <w:fldChar w:fldCharType="end"/>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Kalogiannidis, S. (2020). Covid impact on small business. </w:t>
      </w:r>
      <w:r>
        <w:rPr>
          <w:rFonts w:ascii="Times New Roman" w:hAnsi="Times New Roman" w:cs="Times New Roman"/>
          <w:i/>
          <w:iCs/>
          <w:sz w:val="24"/>
          <w:szCs w:val="24"/>
          <w:shd w:val="clear" w:color="auto" w:fill="FFFFFF"/>
        </w:rPr>
        <w:t>International Journal of Social Science and Economics Invention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w:t>
      </w:r>
      <w:r>
        <w:rPr>
          <w:rFonts w:ascii="Times New Roman" w:hAnsi="Times New Roman" w:cs="Times New Roman"/>
          <w:sz w:val="24"/>
          <w:szCs w:val="24"/>
          <w:shd w:val="clear" w:color="auto" w:fill="FFFFFF"/>
        </w:rPr>
        <w:t xml:space="preserve">(12), 387. </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Klein, V. B., &amp; Todesco, J. L. (2021). COVID‐19 crisis and SMEs responses: The role of digital transformation. </w:t>
      </w:r>
      <w:r>
        <w:rPr>
          <w:rFonts w:ascii="Times New Roman" w:hAnsi="Times New Roman" w:cs="Times New Roman"/>
          <w:i/>
          <w:iCs/>
          <w:sz w:val="24"/>
          <w:szCs w:val="24"/>
          <w:shd w:val="clear" w:color="auto" w:fill="FFFFFF"/>
        </w:rPr>
        <w:t>Knowledge and Process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28</w:t>
      </w:r>
      <w:r>
        <w:rPr>
          <w:rFonts w:ascii="Times New Roman" w:hAnsi="Times New Roman" w:cs="Times New Roman"/>
          <w:sz w:val="24"/>
          <w:szCs w:val="24"/>
          <w:shd w:val="clear" w:color="auto" w:fill="FFFFFF"/>
        </w:rPr>
        <w:t>(2), 117-133.</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Koirala, S. (2019). SMEs: Key drivers of green and inclusive growth. </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Men, L. R., Yue, C. A., &amp; Liu, Y. (2020). “Vision, passion, and care:” The impact of charismatic executive leadership communication on employee trust and support for organizational change. </w:t>
      </w:r>
      <w:r>
        <w:rPr>
          <w:rFonts w:ascii="Times New Roman" w:hAnsi="Times New Roman" w:cs="Times New Roman"/>
          <w:i/>
          <w:iCs/>
          <w:sz w:val="24"/>
          <w:szCs w:val="24"/>
          <w:shd w:val="clear" w:color="auto" w:fill="FFFFFF"/>
        </w:rPr>
        <w:t>Public Relations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46</w:t>
      </w:r>
      <w:r>
        <w:rPr>
          <w:rFonts w:ascii="Times New Roman" w:hAnsi="Times New Roman" w:cs="Times New Roman"/>
          <w:sz w:val="24"/>
          <w:szCs w:val="24"/>
          <w:shd w:val="clear" w:color="auto" w:fill="FFFFFF"/>
        </w:rPr>
        <w:t>(3), 101927.</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Min, S., &amp; Kim, J. (2022). Effect of opportunity seizing capability on new market development and small and medium-sized enterprise performance: Role of environmental uncertainty in the IT industry. </w:t>
      </w:r>
      <w:r>
        <w:rPr>
          <w:rFonts w:ascii="Times New Roman" w:hAnsi="Times New Roman" w:cs="Times New Roman"/>
          <w:i/>
          <w:iCs/>
          <w:sz w:val="24"/>
          <w:szCs w:val="24"/>
          <w:shd w:val="clear" w:color="auto" w:fill="FFFFFF"/>
        </w:rPr>
        <w:t>Asia Pacific Management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27</w:t>
      </w:r>
      <w:r>
        <w:rPr>
          <w:rFonts w:ascii="Times New Roman" w:hAnsi="Times New Roman" w:cs="Times New Roman"/>
          <w:sz w:val="24"/>
          <w:szCs w:val="24"/>
          <w:shd w:val="clear" w:color="auto" w:fill="FFFFFF"/>
        </w:rPr>
        <w:t>(2), 69-79.</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Mitcheltree, C. M. (2023). Towards a sense of urgency for innovation realization: a case study on complacency asymmetries in interorganizational relations. </w:t>
      </w:r>
      <w:r>
        <w:rPr>
          <w:rFonts w:ascii="Times New Roman" w:hAnsi="Times New Roman" w:cs="Times New Roman"/>
          <w:i/>
          <w:iCs/>
          <w:sz w:val="24"/>
          <w:szCs w:val="24"/>
          <w:shd w:val="clear" w:color="auto" w:fill="FFFFFF"/>
        </w:rPr>
        <w:t>Journal of Innovation and Entrepreneurship</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12</w:t>
      </w:r>
      <w:r>
        <w:rPr>
          <w:rFonts w:ascii="Times New Roman" w:hAnsi="Times New Roman" w:cs="Times New Roman"/>
          <w:sz w:val="24"/>
          <w:szCs w:val="24"/>
          <w:shd w:val="clear" w:color="auto" w:fill="FFFFFF"/>
        </w:rPr>
        <w:t>(1), 1-37.</w:t>
      </w:r>
    </w:p>
    <w:p>
      <w:pPr>
        <w:spacing w:line="480" w:lineRule="auto"/>
        <w:ind w:left="993" w:hanging="993"/>
        <w:rPr>
          <w:rFonts w:ascii="Times New Roman" w:hAnsi="Times New Roman" w:cs="Times New Roman"/>
          <w:sz w:val="24"/>
          <w:szCs w:val="24"/>
        </w:rPr>
      </w:pPr>
      <w:r>
        <w:rPr>
          <w:rFonts w:ascii="Times New Roman" w:hAnsi="Times New Roman" w:cs="Times New Roman"/>
          <w:sz w:val="24"/>
          <w:szCs w:val="24"/>
          <w:shd w:val="clear" w:color="auto" w:fill="FFFFFF"/>
        </w:rPr>
        <w:t>Nastasoiu, A., &amp; Vandenbosch, M. (2019). Competing with loyalty: How to design successful customer loyalty reward programs. </w:t>
      </w:r>
      <w:r>
        <w:rPr>
          <w:rFonts w:ascii="Times New Roman" w:hAnsi="Times New Roman" w:cs="Times New Roman"/>
          <w:i/>
          <w:iCs/>
          <w:sz w:val="24"/>
          <w:szCs w:val="24"/>
          <w:shd w:val="clear" w:color="auto" w:fill="FFFFFF"/>
        </w:rPr>
        <w:t>Business Horizons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62</w:t>
      </w:r>
      <w:r>
        <w:rPr>
          <w:rFonts w:ascii="Times New Roman" w:hAnsi="Times New Roman" w:cs="Times New Roman"/>
          <w:sz w:val="24"/>
          <w:szCs w:val="24"/>
          <w:shd w:val="clear" w:color="auto" w:fill="FFFFFF"/>
        </w:rPr>
        <w:t>(2), 207-214.</w:t>
      </w:r>
    </w:p>
    <w:p>
      <w:pPr>
        <w:spacing w:line="480" w:lineRule="auto"/>
        <w:ind w:left="993" w:hanging="993"/>
        <w:rPr>
          <w:rFonts w:ascii="Times New Roman" w:hAnsi="Times New Roman" w:cs="Times New Roman"/>
          <w:sz w:val="24"/>
          <w:szCs w:val="24"/>
        </w:rPr>
      </w:pPr>
      <w:r>
        <w:rPr>
          <w:rFonts w:ascii="Times New Roman" w:hAnsi="Times New Roman" w:cs="Times New Roman"/>
          <w:sz w:val="24"/>
          <w:szCs w:val="24"/>
          <w:shd w:val="clear" w:color="auto" w:fill="FFFFFF"/>
        </w:rPr>
        <w:t>Neto, J. R., Barcellos, P. F. P., &amp; Panizzon, M. (2022). Beyond S&amp;OP Implementation: A maturity model and meta-framework for assessing and managing evolution paths. </w:t>
      </w:r>
      <w:r>
        <w:rPr>
          <w:rFonts w:ascii="Times New Roman" w:hAnsi="Times New Roman" w:cs="Times New Roman"/>
          <w:i/>
          <w:iCs/>
          <w:sz w:val="24"/>
          <w:szCs w:val="24"/>
          <w:shd w:val="clear" w:color="auto" w:fill="FFFFFF"/>
        </w:rPr>
        <w:t>Brazilian Journal of Operations &amp; Production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19</w:t>
      </w:r>
      <w:r>
        <w:rPr>
          <w:rFonts w:ascii="Times New Roman" w:hAnsi="Times New Roman" w:cs="Times New Roman"/>
          <w:sz w:val="24"/>
          <w:szCs w:val="24"/>
          <w:shd w:val="clear" w:color="auto" w:fill="FFFFFF"/>
        </w:rPr>
        <w:t>(3).</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Pujawan, I. N., &amp; Bah, A. U. (2022, January). Supply chains under COVID-19 disruptions: literature review and research agenda. In </w:t>
      </w:r>
      <w:r>
        <w:rPr>
          <w:rFonts w:ascii="Times New Roman" w:hAnsi="Times New Roman" w:cs="Times New Roman"/>
          <w:i/>
          <w:iCs/>
          <w:sz w:val="24"/>
          <w:szCs w:val="24"/>
          <w:shd w:val="clear" w:color="auto" w:fill="FFFFFF"/>
        </w:rPr>
        <w:t>Supply Chain Forum: An International Journal</w:t>
      </w:r>
      <w:r>
        <w:rPr>
          <w:rFonts w:ascii="Times New Roman" w:hAnsi="Times New Roman" w:cs="Times New Roman"/>
          <w:sz w:val="24"/>
          <w:szCs w:val="24"/>
          <w:shd w:val="clear" w:color="auto" w:fill="FFFFFF"/>
        </w:rPr>
        <w:t> (Vol. 23, No. 1, pp. 81-95). Taylor &amp; Francis.</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Pantano, E., Pizzi, G., Scarpi, D., &amp; Dennis, C. (2020). Competing during a pandemic? Retailers’ ups and downs during the COVID-19 outbreak. </w:t>
      </w:r>
      <w:r>
        <w:rPr>
          <w:rFonts w:ascii="Times New Roman" w:hAnsi="Times New Roman" w:cs="Times New Roman"/>
          <w:i/>
          <w:iCs/>
          <w:sz w:val="24"/>
          <w:szCs w:val="24"/>
          <w:shd w:val="clear" w:color="auto" w:fill="FFFFFF"/>
        </w:rPr>
        <w:t>Journal of Business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116</w:t>
      </w:r>
      <w:r>
        <w:rPr>
          <w:rFonts w:ascii="Times New Roman" w:hAnsi="Times New Roman" w:cs="Times New Roman"/>
          <w:sz w:val="24"/>
          <w:szCs w:val="24"/>
          <w:shd w:val="clear" w:color="auto" w:fill="FFFFFF"/>
        </w:rPr>
        <w:t>, 209-213.</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lang w:val="fr-FR"/>
        </w:rPr>
        <w:t xml:space="preserve">Rapaccini, M., Saccani, N., Kowalkowski, C., Paiola, M., &amp; Adrodegari, F. (2020). </w:t>
      </w:r>
      <w:r>
        <w:rPr>
          <w:rFonts w:ascii="Times New Roman" w:hAnsi="Times New Roman" w:cs="Times New Roman"/>
          <w:sz w:val="24"/>
          <w:szCs w:val="24"/>
          <w:shd w:val="clear" w:color="auto" w:fill="FFFFFF"/>
        </w:rPr>
        <w:t>Navigating disruptive crises through service-led growth: The impact of COVID-19 on Italian manufacturing firms. </w:t>
      </w:r>
      <w:r>
        <w:rPr>
          <w:rFonts w:ascii="Times New Roman" w:hAnsi="Times New Roman" w:cs="Times New Roman"/>
          <w:i/>
          <w:iCs/>
          <w:sz w:val="24"/>
          <w:szCs w:val="24"/>
          <w:shd w:val="clear" w:color="auto" w:fill="FFFFFF"/>
        </w:rPr>
        <w:t>Industrial Marketing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88</w:t>
      </w:r>
      <w:r>
        <w:rPr>
          <w:rFonts w:ascii="Times New Roman" w:hAnsi="Times New Roman" w:cs="Times New Roman"/>
          <w:sz w:val="24"/>
          <w:szCs w:val="24"/>
          <w:shd w:val="clear" w:color="auto" w:fill="FFFFFF"/>
        </w:rPr>
        <w:t>, 225-237.</w:t>
      </w:r>
    </w:p>
    <w:p>
      <w:pPr>
        <w:spacing w:line="480" w:lineRule="auto"/>
        <w:ind w:left="993" w:hanging="993"/>
        <w:rPr>
          <w:rFonts w:ascii="Times New Roman" w:hAnsi="Times New Roman" w:cs="Times New Roman"/>
          <w:sz w:val="24"/>
          <w:szCs w:val="24"/>
        </w:rPr>
      </w:pPr>
      <w:r>
        <w:rPr>
          <w:rFonts w:ascii="Times New Roman" w:hAnsi="Times New Roman" w:cs="Times New Roman"/>
          <w:sz w:val="24"/>
          <w:szCs w:val="24"/>
        </w:rPr>
        <w:t xml:space="preserve">Roulet, J. (2022). Seesaw Coffee influenced the change process by shaping how various stakeholders responded to the proposed changes. Retrieved on April 6, 2023 from </w:t>
      </w:r>
      <w:r>
        <w:fldChar w:fldCharType="begin"/>
      </w:r>
      <w:r>
        <w:instrText xml:space="preserve"> HYPERLINK "https://www.linkedin.com/pulse/design-china-e05-seesaw-coffee-brewing-chinas-specialty-joss-roulet/" </w:instrText>
      </w:r>
      <w:r>
        <w:fldChar w:fldCharType="separate"/>
      </w:r>
      <w:r>
        <w:rPr>
          <w:rStyle w:val="9"/>
          <w:rFonts w:ascii="Times New Roman" w:hAnsi="Times New Roman" w:cs="Times New Roman"/>
          <w:color w:val="auto"/>
          <w:sz w:val="24"/>
          <w:szCs w:val="24"/>
        </w:rPr>
        <w:t>https://www.linkedin.com/pulse/design-china-e05-seesaw-coffee-brewing-chinas-specialty-joss-roulet/</w:t>
      </w:r>
      <w:r>
        <w:rPr>
          <w:rStyle w:val="9"/>
          <w:rFonts w:ascii="Times New Roman" w:hAnsi="Times New Roman" w:cs="Times New Roman"/>
          <w:color w:val="auto"/>
          <w:sz w:val="24"/>
          <w:szCs w:val="24"/>
        </w:rPr>
        <w:fldChar w:fldCharType="end"/>
      </w:r>
      <w:r>
        <w:rPr>
          <w:rFonts w:ascii="Times New Roman" w:hAnsi="Times New Roman" w:cs="Times New Roman"/>
          <w:sz w:val="24"/>
          <w:szCs w:val="24"/>
        </w:rPr>
        <w:t xml:space="preserve"> </w:t>
      </w:r>
    </w:p>
    <w:p>
      <w:pPr>
        <w:spacing w:line="480" w:lineRule="auto"/>
        <w:ind w:left="993" w:hanging="993"/>
        <w:rPr>
          <w:rFonts w:ascii="Times New Roman" w:hAnsi="Times New Roman" w:cs="Times New Roman"/>
          <w:sz w:val="24"/>
          <w:szCs w:val="24"/>
        </w:rPr>
      </w:pPr>
      <w:r>
        <w:rPr>
          <w:rFonts w:ascii="Times New Roman" w:hAnsi="Times New Roman" w:cs="Times New Roman"/>
          <w:sz w:val="24"/>
          <w:szCs w:val="24"/>
        </w:rPr>
        <w:t xml:space="preserve">Seesaw Coffee (2022). </w:t>
      </w:r>
      <w:r>
        <w:rPr>
          <w:rFonts w:ascii="Times New Roman" w:hAnsi="Times New Roman" w:cs="Times New Roman"/>
          <w:i/>
          <w:iCs/>
          <w:sz w:val="24"/>
          <w:szCs w:val="24"/>
        </w:rPr>
        <w:t>About Seesaw.</w:t>
      </w:r>
      <w:r>
        <w:rPr>
          <w:rFonts w:ascii="Times New Roman" w:hAnsi="Times New Roman" w:cs="Times New Roman"/>
          <w:sz w:val="24"/>
          <w:szCs w:val="24"/>
        </w:rPr>
        <w:t xml:space="preserve"> </w:t>
      </w:r>
      <w:r>
        <w:fldChar w:fldCharType="begin"/>
      </w:r>
      <w:r>
        <w:instrText xml:space="preserve"> HYPERLINK "https://www.seesawcoffee.com/" </w:instrText>
      </w:r>
      <w:r>
        <w:fldChar w:fldCharType="separate"/>
      </w:r>
      <w:r>
        <w:rPr>
          <w:rStyle w:val="9"/>
          <w:rFonts w:ascii="Times New Roman" w:hAnsi="Times New Roman" w:cs="Times New Roman"/>
          <w:color w:val="auto"/>
          <w:sz w:val="24"/>
          <w:szCs w:val="24"/>
        </w:rPr>
        <w:t>https://www.seesawcoffee.com/</w:t>
      </w:r>
      <w:r>
        <w:rPr>
          <w:rStyle w:val="9"/>
          <w:rFonts w:ascii="Times New Roman" w:hAnsi="Times New Roman" w:cs="Times New Roman"/>
          <w:color w:val="auto"/>
          <w:sz w:val="24"/>
          <w:szCs w:val="24"/>
        </w:rPr>
        <w:fldChar w:fldCharType="end"/>
      </w:r>
      <w:r>
        <w:rPr>
          <w:rFonts w:ascii="Times New Roman" w:hAnsi="Times New Roman" w:cs="Times New Roman"/>
          <w:sz w:val="24"/>
          <w:szCs w:val="24"/>
        </w:rPr>
        <w:t xml:space="preserve">  </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Stahl, G. K., Brewster, C. J., Collings, D. G., &amp; Hajro, A. (2020). Enhancing the role of human resource management in corporate sustainability and social responsibility: A multi-stakeholder, multidimensional approach to HRM. </w:t>
      </w:r>
      <w:r>
        <w:rPr>
          <w:rFonts w:ascii="Times New Roman" w:hAnsi="Times New Roman" w:cs="Times New Roman"/>
          <w:i/>
          <w:iCs/>
          <w:sz w:val="24"/>
          <w:szCs w:val="24"/>
          <w:shd w:val="clear" w:color="auto" w:fill="FFFFFF"/>
        </w:rPr>
        <w:t>Human Resource Management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30</w:t>
      </w:r>
      <w:r>
        <w:rPr>
          <w:rFonts w:ascii="Times New Roman" w:hAnsi="Times New Roman" w:cs="Times New Roman"/>
          <w:sz w:val="24"/>
          <w:szCs w:val="24"/>
          <w:shd w:val="clear" w:color="auto" w:fill="FFFFFF"/>
        </w:rPr>
        <w:t>(3), 100708.</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Tajasom, A., Hung, D. K. M., Nikbin, D., &amp; Hyun, S. S. (2015). The role of transformational leadership in innovation performance of Malaysian SMEs. </w:t>
      </w:r>
      <w:r>
        <w:rPr>
          <w:rFonts w:ascii="Times New Roman" w:hAnsi="Times New Roman" w:cs="Times New Roman"/>
          <w:i/>
          <w:iCs/>
          <w:sz w:val="24"/>
          <w:szCs w:val="24"/>
          <w:shd w:val="clear" w:color="auto" w:fill="FFFFFF"/>
        </w:rPr>
        <w:t>Asian Journal of Technology Innovation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23</w:t>
      </w:r>
      <w:r>
        <w:rPr>
          <w:rFonts w:ascii="Times New Roman" w:hAnsi="Times New Roman" w:cs="Times New Roman"/>
          <w:sz w:val="24"/>
          <w:szCs w:val="24"/>
          <w:shd w:val="clear" w:color="auto" w:fill="FFFFFF"/>
        </w:rPr>
        <w:t>(2), 172-188.</w:t>
      </w:r>
    </w:p>
    <w:p>
      <w:pPr>
        <w:spacing w:line="480" w:lineRule="auto"/>
        <w:ind w:left="993" w:hanging="993"/>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Tang, K. N., &amp; Tang, K. N. (2019). Change management. </w:t>
      </w:r>
      <w:r>
        <w:rPr>
          <w:rFonts w:ascii="Times New Roman" w:hAnsi="Times New Roman" w:cs="Times New Roman"/>
          <w:i/>
          <w:iCs/>
          <w:sz w:val="24"/>
          <w:szCs w:val="24"/>
          <w:shd w:val="clear" w:color="auto" w:fill="FFFFFF"/>
        </w:rPr>
        <w:t>Leadership and change management</w:t>
      </w:r>
      <w:r>
        <w:rPr>
          <w:rFonts w:ascii="Times New Roman" w:hAnsi="Times New Roman" w:cs="Times New Roman"/>
          <w:sz w:val="24"/>
          <w:szCs w:val="24"/>
          <w:shd w:val="clear" w:color="auto" w:fill="FFFFFF"/>
        </w:rPr>
        <w:t>, 47-55.</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Amasis MT Pro Medium">
    <w:altName w:val="Cambria"/>
    <w:panose1 w:val="00000000000000000000"/>
    <w:charset w:val="00"/>
    <w:family w:val="roman"/>
    <w:pitch w:val="default"/>
    <w:sig w:usb0="00000000" w:usb1="00000000" w:usb2="00000000" w:usb3="00000000" w:csb0="00000093" w:csb1="00000000"/>
  </w:font>
  <w:font w:name="等线 Light">
    <w:panose1 w:val="02010600030101010101"/>
    <w:charset w:val="86"/>
    <w:family w:val="auto"/>
    <w:pitch w:val="default"/>
    <w:sig w:usb0="A00002BF" w:usb1="38CF7CFA" w:usb2="00000016" w:usb3="00000000" w:csb0="0004000F" w:csb1="00000000"/>
  </w:font>
  <w:font w:name="Calibri">
    <w:panose1 w:val="020F0502020204030204"/>
    <w:charset w:val="00"/>
    <w:family w:val="auto"/>
    <w:pitch w:val="default"/>
    <w:sig w:usb0="E4002E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1047E61"/>
    <w:multiLevelType w:val="multilevel"/>
    <w:tmpl w:val="11047E61"/>
    <w:lvl w:ilvl="0" w:tentative="0">
      <w:start w:val="1"/>
      <w:numFmt w:val="decimal"/>
      <w:pStyle w:val="2"/>
      <w:lvlText w:val="%1."/>
      <w:lvlJc w:val="left"/>
      <w:pPr>
        <w:ind w:left="360" w:hanging="360"/>
      </w:pPr>
    </w:lvl>
    <w:lvl w:ilvl="1" w:tentative="0">
      <w:start w:val="1"/>
      <w:numFmt w:val="decimal"/>
      <w:pStyle w:val="3"/>
      <w:isLgl/>
      <w:lvlText w:val="%1.%2"/>
      <w:lvlJc w:val="left"/>
      <w:pPr>
        <w:ind w:left="720" w:hanging="720"/>
      </w:pPr>
      <w:rPr>
        <w:rFonts w:hint="default"/>
      </w:rPr>
    </w:lvl>
    <w:lvl w:ilvl="2" w:tentative="0">
      <w:start w:val="1"/>
      <w:numFmt w:val="decimal"/>
      <w:pStyle w:val="4"/>
      <w:isLgl/>
      <w:lvlText w:val="%1.%2.%3"/>
      <w:lvlJc w:val="left"/>
      <w:pPr>
        <w:ind w:left="720" w:hanging="720"/>
      </w:pPr>
      <w:rPr>
        <w:rFonts w:hint="default"/>
      </w:rPr>
    </w:lvl>
    <w:lvl w:ilvl="3" w:tentative="0">
      <w:start w:val="1"/>
      <w:numFmt w:val="decimal"/>
      <w:isLgl/>
      <w:lvlText w:val="%1.%2.%3.%4"/>
      <w:lvlJc w:val="left"/>
      <w:pPr>
        <w:ind w:left="1080" w:hanging="108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440" w:hanging="1440"/>
      </w:pPr>
      <w:rPr>
        <w:rFonts w:hint="default"/>
      </w:rPr>
    </w:lvl>
    <w:lvl w:ilvl="6" w:tentative="0">
      <w:start w:val="1"/>
      <w:numFmt w:val="decimal"/>
      <w:isLgl/>
      <w:lvlText w:val="%1.%2.%3.%4.%5.%6.%7"/>
      <w:lvlJc w:val="left"/>
      <w:pPr>
        <w:ind w:left="1800" w:hanging="1800"/>
      </w:pPr>
      <w:rPr>
        <w:rFonts w:hint="default"/>
      </w:rPr>
    </w:lvl>
    <w:lvl w:ilvl="7" w:tentative="0">
      <w:start w:val="1"/>
      <w:numFmt w:val="decimal"/>
      <w:isLgl/>
      <w:lvlText w:val="%1.%2.%3.%4.%5.%6.%7.%8"/>
      <w:lvlJc w:val="left"/>
      <w:pPr>
        <w:ind w:left="1800" w:hanging="1800"/>
      </w:pPr>
      <w:rPr>
        <w:rFonts w:hint="default"/>
      </w:rPr>
    </w:lvl>
    <w:lvl w:ilvl="8" w:tentative="0">
      <w:start w:val="1"/>
      <w:numFmt w:val="decimal"/>
      <w:isLgl/>
      <w:lvlText w:val="%1.%2.%3.%4.%5.%6.%7.%8.%9"/>
      <w:lvlJc w:val="left"/>
      <w:pPr>
        <w:ind w:left="2160" w:hanging="2160"/>
      </w:pPr>
      <w:rPr>
        <w:rFonts w:hint="default"/>
      </w:rPr>
    </w:lvl>
  </w:abstractNum>
  <w:abstractNum w:abstractNumId="1">
    <w:nsid w:val="700E20AC"/>
    <w:multiLevelType w:val="multilevel"/>
    <w:tmpl w:val="700E20AC"/>
    <w:lvl w:ilvl="0" w:tentative="0">
      <w:start w:val="1"/>
      <w:numFmt w:val="lowerRoman"/>
      <w:lvlText w:val="%1."/>
      <w:lvlJc w:val="righ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UytrQwNTU3sjC1NLFU0lEKTi0uzszPAykwrAUAirCagywAAAA="/>
    <w:docVar w:name="commondata" w:val="eyJoZGlkIjoiNzg4ZTU2NjZkMjM1MzZkOWRmYWNlODRkY2YyYTAwZWMifQ=="/>
  </w:docVars>
  <w:rsids>
    <w:rsidRoot w:val="00A91E19"/>
    <w:rsid w:val="0000769C"/>
    <w:rsid w:val="00032281"/>
    <w:rsid w:val="00040304"/>
    <w:rsid w:val="000417CD"/>
    <w:rsid w:val="00042163"/>
    <w:rsid w:val="00060587"/>
    <w:rsid w:val="00065D8A"/>
    <w:rsid w:val="0009230E"/>
    <w:rsid w:val="000C5C77"/>
    <w:rsid w:val="000E28D7"/>
    <w:rsid w:val="000F028A"/>
    <w:rsid w:val="00102C80"/>
    <w:rsid w:val="0011579F"/>
    <w:rsid w:val="001275F3"/>
    <w:rsid w:val="0014402A"/>
    <w:rsid w:val="001738BF"/>
    <w:rsid w:val="001754CF"/>
    <w:rsid w:val="00192D1F"/>
    <w:rsid w:val="00192EDE"/>
    <w:rsid w:val="001A7D3F"/>
    <w:rsid w:val="001C7448"/>
    <w:rsid w:val="001D60B6"/>
    <w:rsid w:val="002019F0"/>
    <w:rsid w:val="0020727D"/>
    <w:rsid w:val="00211DE0"/>
    <w:rsid w:val="002238A9"/>
    <w:rsid w:val="00231B8E"/>
    <w:rsid w:val="00235F2E"/>
    <w:rsid w:val="002413BB"/>
    <w:rsid w:val="0025155E"/>
    <w:rsid w:val="00283CB7"/>
    <w:rsid w:val="002B3080"/>
    <w:rsid w:val="002B5646"/>
    <w:rsid w:val="002D4F8A"/>
    <w:rsid w:val="002F3A5C"/>
    <w:rsid w:val="0033646C"/>
    <w:rsid w:val="00340630"/>
    <w:rsid w:val="00344815"/>
    <w:rsid w:val="003653F9"/>
    <w:rsid w:val="0039510B"/>
    <w:rsid w:val="003974C8"/>
    <w:rsid w:val="003D2670"/>
    <w:rsid w:val="003E2B3A"/>
    <w:rsid w:val="003E5150"/>
    <w:rsid w:val="00431247"/>
    <w:rsid w:val="00432AC2"/>
    <w:rsid w:val="004346FC"/>
    <w:rsid w:val="0044140B"/>
    <w:rsid w:val="004757C6"/>
    <w:rsid w:val="00485EB3"/>
    <w:rsid w:val="004868E5"/>
    <w:rsid w:val="00486C97"/>
    <w:rsid w:val="004E4DA1"/>
    <w:rsid w:val="004F0DB3"/>
    <w:rsid w:val="004F20A7"/>
    <w:rsid w:val="005004C7"/>
    <w:rsid w:val="0050131D"/>
    <w:rsid w:val="005229C2"/>
    <w:rsid w:val="00524A29"/>
    <w:rsid w:val="00527B91"/>
    <w:rsid w:val="0053270E"/>
    <w:rsid w:val="00536C7E"/>
    <w:rsid w:val="005476F8"/>
    <w:rsid w:val="00547FC1"/>
    <w:rsid w:val="00555ADD"/>
    <w:rsid w:val="005663FC"/>
    <w:rsid w:val="00586541"/>
    <w:rsid w:val="005B5F33"/>
    <w:rsid w:val="005C4DDF"/>
    <w:rsid w:val="005D230E"/>
    <w:rsid w:val="005D339E"/>
    <w:rsid w:val="00600499"/>
    <w:rsid w:val="0061000E"/>
    <w:rsid w:val="00613ACE"/>
    <w:rsid w:val="0062016B"/>
    <w:rsid w:val="00650A71"/>
    <w:rsid w:val="0068217D"/>
    <w:rsid w:val="006D3C49"/>
    <w:rsid w:val="00713AB9"/>
    <w:rsid w:val="007157DC"/>
    <w:rsid w:val="00720E8E"/>
    <w:rsid w:val="007679C3"/>
    <w:rsid w:val="00770C73"/>
    <w:rsid w:val="00774E69"/>
    <w:rsid w:val="00777AD8"/>
    <w:rsid w:val="0078758F"/>
    <w:rsid w:val="007D188A"/>
    <w:rsid w:val="007D7263"/>
    <w:rsid w:val="007E3F13"/>
    <w:rsid w:val="00835587"/>
    <w:rsid w:val="00835E56"/>
    <w:rsid w:val="00871D7A"/>
    <w:rsid w:val="00877C2C"/>
    <w:rsid w:val="00882FE7"/>
    <w:rsid w:val="0089484F"/>
    <w:rsid w:val="008A2FDF"/>
    <w:rsid w:val="008B4B5F"/>
    <w:rsid w:val="008D31FA"/>
    <w:rsid w:val="008F012A"/>
    <w:rsid w:val="008F640F"/>
    <w:rsid w:val="009013D6"/>
    <w:rsid w:val="009114BB"/>
    <w:rsid w:val="0093070F"/>
    <w:rsid w:val="0093287F"/>
    <w:rsid w:val="00963D77"/>
    <w:rsid w:val="00971913"/>
    <w:rsid w:val="00976428"/>
    <w:rsid w:val="00976DDA"/>
    <w:rsid w:val="00987DC0"/>
    <w:rsid w:val="00A02537"/>
    <w:rsid w:val="00A367FD"/>
    <w:rsid w:val="00A37A93"/>
    <w:rsid w:val="00A65DFF"/>
    <w:rsid w:val="00A90D02"/>
    <w:rsid w:val="00A91E19"/>
    <w:rsid w:val="00A9363D"/>
    <w:rsid w:val="00A97265"/>
    <w:rsid w:val="00AA5A64"/>
    <w:rsid w:val="00AB19B1"/>
    <w:rsid w:val="00AB306A"/>
    <w:rsid w:val="00AB4A30"/>
    <w:rsid w:val="00AD2D8F"/>
    <w:rsid w:val="00AF0492"/>
    <w:rsid w:val="00B24544"/>
    <w:rsid w:val="00B476E0"/>
    <w:rsid w:val="00B514EE"/>
    <w:rsid w:val="00B75771"/>
    <w:rsid w:val="00BB2393"/>
    <w:rsid w:val="00BC72AD"/>
    <w:rsid w:val="00BD1AF3"/>
    <w:rsid w:val="00C056FF"/>
    <w:rsid w:val="00C132E6"/>
    <w:rsid w:val="00C145B8"/>
    <w:rsid w:val="00C14A4D"/>
    <w:rsid w:val="00C22BAF"/>
    <w:rsid w:val="00C4019B"/>
    <w:rsid w:val="00C420E7"/>
    <w:rsid w:val="00C44DB5"/>
    <w:rsid w:val="00C72A46"/>
    <w:rsid w:val="00C80D48"/>
    <w:rsid w:val="00CB64B4"/>
    <w:rsid w:val="00CC1C49"/>
    <w:rsid w:val="00CC3610"/>
    <w:rsid w:val="00CD6C88"/>
    <w:rsid w:val="00CE1B32"/>
    <w:rsid w:val="00CE5ED8"/>
    <w:rsid w:val="00D41219"/>
    <w:rsid w:val="00D4596E"/>
    <w:rsid w:val="00DA5C18"/>
    <w:rsid w:val="00DA787B"/>
    <w:rsid w:val="00DD46B5"/>
    <w:rsid w:val="00E0540C"/>
    <w:rsid w:val="00E15F8D"/>
    <w:rsid w:val="00E32F23"/>
    <w:rsid w:val="00E87C27"/>
    <w:rsid w:val="00E9191E"/>
    <w:rsid w:val="00EA4A70"/>
    <w:rsid w:val="00EA5A46"/>
    <w:rsid w:val="00EB7EC0"/>
    <w:rsid w:val="00EC64B1"/>
    <w:rsid w:val="00EF3EEF"/>
    <w:rsid w:val="00EF4F6C"/>
    <w:rsid w:val="00F47353"/>
    <w:rsid w:val="00F9592C"/>
    <w:rsid w:val="00FF6854"/>
    <w:rsid w:val="4A6A21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masis MT Pro Medium" w:hAnsi="Amasis MT Pro Medium"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masis MT Pro Medium" w:hAnsi="Amasis MT Pro Medium" w:eastAsiaTheme="minorHAnsi" w:cstheme="minorBidi"/>
      <w:sz w:val="22"/>
      <w:szCs w:val="22"/>
      <w:lang w:val="en-US" w:eastAsia="en-US" w:bidi="ar-SA"/>
    </w:rPr>
  </w:style>
  <w:style w:type="paragraph" w:styleId="2">
    <w:name w:val="heading 1"/>
    <w:basedOn w:val="1"/>
    <w:next w:val="1"/>
    <w:link w:val="12"/>
    <w:qFormat/>
    <w:uiPriority w:val="9"/>
    <w:pPr>
      <w:keepNext/>
      <w:keepLines/>
      <w:numPr>
        <w:ilvl w:val="0"/>
        <w:numId w:val="1"/>
      </w:numPr>
      <w:spacing w:before="240" w:after="0"/>
      <w:outlineLvl w:val="0"/>
    </w:pPr>
    <w:rPr>
      <w:rFonts w:eastAsiaTheme="majorEastAsia" w:cstheme="majorBidi"/>
      <w:b/>
      <w:bCs/>
      <w:color w:val="2F5597" w:themeColor="accent1" w:themeShade="BF"/>
      <w:sz w:val="24"/>
      <w:szCs w:val="24"/>
    </w:rPr>
  </w:style>
  <w:style w:type="paragraph" w:styleId="3">
    <w:name w:val="heading 2"/>
    <w:basedOn w:val="1"/>
    <w:next w:val="1"/>
    <w:link w:val="13"/>
    <w:unhideWhenUsed/>
    <w:qFormat/>
    <w:uiPriority w:val="9"/>
    <w:pPr>
      <w:keepNext/>
      <w:keepLines/>
      <w:numPr>
        <w:ilvl w:val="1"/>
        <w:numId w:val="1"/>
      </w:numPr>
      <w:spacing w:before="280" w:after="240"/>
      <w:outlineLvl w:val="1"/>
    </w:pPr>
    <w:rPr>
      <w:rFonts w:eastAsiaTheme="majorEastAsia" w:cstheme="majorBidi"/>
      <w:b/>
      <w:bCs/>
      <w:color w:val="2F5597" w:themeColor="accent1" w:themeShade="BF"/>
      <w:sz w:val="24"/>
      <w:szCs w:val="24"/>
    </w:rPr>
  </w:style>
  <w:style w:type="paragraph" w:styleId="4">
    <w:name w:val="heading 3"/>
    <w:basedOn w:val="3"/>
    <w:next w:val="1"/>
    <w:link w:val="14"/>
    <w:unhideWhenUsed/>
    <w:qFormat/>
    <w:uiPriority w:val="9"/>
    <w:pPr>
      <w:numPr>
        <w:ilvl w:val="2"/>
      </w:numPr>
      <w:outlineLvl w:val="2"/>
    </w:pPr>
    <w:rPr>
      <w:b w:val="0"/>
      <w:bCs w:val="0"/>
      <w:i/>
      <w:iCs/>
    </w:rPr>
  </w:style>
  <w:style w:type="character" w:default="1" w:styleId="7">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table" w:styleId="6">
    <w:name w:val="Table Grid"/>
    <w:basedOn w:val="5"/>
    <w:uiPriority w:val="39"/>
    <w:pPr>
      <w:spacing w:after="0" w:line="240" w:lineRule="auto"/>
    </w:pPr>
    <w:rPr>
      <w:rFonts w:ascii="Times New Roman" w:hAnsi="Times New Roman" w:eastAsia="Times New Roman" w:cs="Times New Roman"/>
      <w:sz w:val="20"/>
      <w:szCs w:val="20"/>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FollowedHyperlink"/>
    <w:basedOn w:val="7"/>
    <w:semiHidden/>
    <w:unhideWhenUsed/>
    <w:qFormat/>
    <w:uiPriority w:val="99"/>
    <w:rPr>
      <w:color w:val="954F72" w:themeColor="followedHyperlink"/>
      <w:u w:val="single"/>
      <w14:textFill>
        <w14:solidFill>
          <w14:schemeClr w14:val="folHlink"/>
        </w14:solidFill>
      </w14:textFill>
    </w:rPr>
  </w:style>
  <w:style w:type="character" w:styleId="9">
    <w:name w:val="Hyperlink"/>
    <w:basedOn w:val="7"/>
    <w:unhideWhenUsed/>
    <w:uiPriority w:val="99"/>
    <w:rPr>
      <w:color w:val="0563C1" w:themeColor="hyperlink"/>
      <w:u w:val="single"/>
      <w14:textFill>
        <w14:solidFill>
          <w14:schemeClr w14:val="hlink"/>
        </w14:solidFill>
      </w14:textFill>
    </w:rPr>
  </w:style>
  <w:style w:type="paragraph" w:styleId="10">
    <w:name w:val="List Paragraph"/>
    <w:basedOn w:val="1"/>
    <w:link w:val="11"/>
    <w:qFormat/>
    <w:uiPriority w:val="34"/>
    <w:pPr>
      <w:spacing w:after="0" w:line="240" w:lineRule="auto"/>
      <w:ind w:left="720"/>
      <w:contextualSpacing/>
    </w:pPr>
    <w:rPr>
      <w:rFonts w:ascii="Times New Roman" w:hAnsi="Times New Roman" w:eastAsia="Times New Roman" w:cs="Times New Roman"/>
      <w:sz w:val="20"/>
      <w:szCs w:val="20"/>
      <w:lang w:val="en-GB" w:eastAsia="en-GB"/>
    </w:rPr>
  </w:style>
  <w:style w:type="character" w:customStyle="1" w:styleId="11">
    <w:name w:val="List Paragraph Char"/>
    <w:link w:val="10"/>
    <w:locked/>
    <w:uiPriority w:val="34"/>
    <w:rPr>
      <w:rFonts w:ascii="Times New Roman" w:hAnsi="Times New Roman" w:eastAsia="Times New Roman" w:cs="Times New Roman"/>
      <w:sz w:val="20"/>
      <w:szCs w:val="20"/>
      <w:lang w:val="en-GB" w:eastAsia="en-GB"/>
    </w:rPr>
  </w:style>
  <w:style w:type="character" w:customStyle="1" w:styleId="12">
    <w:name w:val="Heading 1 Char"/>
    <w:basedOn w:val="7"/>
    <w:link w:val="2"/>
    <w:uiPriority w:val="9"/>
    <w:rPr>
      <w:rFonts w:eastAsiaTheme="majorEastAsia" w:cstheme="majorBidi"/>
      <w:b/>
      <w:bCs/>
      <w:color w:val="2F5597" w:themeColor="accent1" w:themeShade="BF"/>
      <w:sz w:val="24"/>
      <w:szCs w:val="24"/>
    </w:rPr>
  </w:style>
  <w:style w:type="character" w:customStyle="1" w:styleId="13">
    <w:name w:val="Heading 2 Char"/>
    <w:basedOn w:val="7"/>
    <w:link w:val="3"/>
    <w:uiPriority w:val="9"/>
    <w:rPr>
      <w:rFonts w:eastAsiaTheme="majorEastAsia" w:cstheme="majorBidi"/>
      <w:b/>
      <w:bCs/>
      <w:color w:val="2F5597" w:themeColor="accent1" w:themeShade="BF"/>
      <w:sz w:val="24"/>
      <w:szCs w:val="24"/>
    </w:rPr>
  </w:style>
  <w:style w:type="character" w:customStyle="1" w:styleId="14">
    <w:name w:val="Heading 3 Char"/>
    <w:basedOn w:val="7"/>
    <w:link w:val="4"/>
    <w:uiPriority w:val="9"/>
    <w:rPr>
      <w:rFonts w:eastAsiaTheme="majorEastAsia" w:cstheme="majorBidi"/>
      <w:i/>
      <w:iCs/>
      <w:color w:val="2F5597" w:themeColor="accent1" w:themeShade="BF"/>
      <w:sz w:val="24"/>
      <w:szCs w:val="24"/>
    </w:rPr>
  </w:style>
  <w:style w:type="character" w:customStyle="1" w:styleId="15">
    <w:name w:val="Unresolved Mention"/>
    <w:basedOn w:val="7"/>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21</Pages>
  <Words>4436</Words>
  <Characters>26726</Characters>
  <Lines>223</Lines>
  <Paragraphs>63</Paragraphs>
  <TotalTime>338</TotalTime>
  <ScaleCrop>false</ScaleCrop>
  <LinksUpToDate>false</LinksUpToDate>
  <CharactersWithSpaces>31050</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2023-04-06T08:20:00Z</dcterms:created>
  <dc:creator>Isaac Kanda (Dr., R. Geol)</dc:creator>
  <cp:lastModifiedBy>小杨</cp:lastModifiedBy>
  <dcterms:modified xsi:type="dcterms:W3CDTF">2023-04-28T13:19:45Z</dcterms:modified>
  <cp:revision>141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AD25A7D6BF114768B0EAF57573F76DB0_12</vt:lpwstr>
  </property>
</Properties>
</file>