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553DB" w14:textId="77777777" w:rsidR="005E207C" w:rsidRDefault="005E207C" w:rsidP="005E207C">
      <w:pPr>
        <w:jc w:val="right"/>
        <w:rPr>
          <w:rFonts w:ascii="Arial" w:hAnsi="Arial" w:cs="Arial"/>
          <w:b/>
          <w:bCs/>
        </w:rPr>
      </w:pPr>
      <w:r w:rsidRPr="000F0A90">
        <w:rPr>
          <w:rFonts w:ascii="Arial" w:hAnsi="Arial" w:cs="Arial"/>
          <w:b/>
          <w:bCs/>
          <w:noProof/>
          <w:sz w:val="32"/>
          <w:szCs w:val="32"/>
        </w:rPr>
        <mc:AlternateContent>
          <mc:Choice Requires="wps">
            <w:drawing>
              <wp:anchor distT="45720" distB="45720" distL="114300" distR="114300" simplePos="0" relativeHeight="251659264" behindDoc="0" locked="0" layoutInCell="1" allowOverlap="1" wp14:anchorId="6EAB12BE" wp14:editId="33FAECF9">
                <wp:simplePos x="0" y="0"/>
                <wp:positionH relativeFrom="column">
                  <wp:posOffset>6554470</wp:posOffset>
                </wp:positionH>
                <wp:positionV relativeFrom="paragraph">
                  <wp:posOffset>335279</wp:posOffset>
                </wp:positionV>
                <wp:extent cx="654050" cy="45719"/>
                <wp:effectExtent l="0" t="0" r="12700" b="1206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flipV="1">
                          <a:off x="0" y="0"/>
                          <a:ext cx="654050" cy="45719"/>
                        </a:xfrm>
                        <a:prstGeom prst="rect">
                          <a:avLst/>
                        </a:prstGeom>
                        <a:solidFill>
                          <a:srgbClr val="FFFFFF"/>
                        </a:solidFill>
                        <a:ln w="9525">
                          <a:solidFill>
                            <a:sysClr val="window" lastClr="FFFFFF"/>
                          </a:solidFill>
                          <a:miter lim="800000"/>
                          <a:headEnd/>
                          <a:tailEnd/>
                        </a:ln>
                      </wps:spPr>
                      <wps:txbx>
                        <w:txbxContent>
                          <w:p w14:paraId="747A64C7" w14:textId="77777777" w:rsidR="005E207C" w:rsidRDefault="005E207C" w:rsidP="005E207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AB12BE" id="_x0000_t202" coordsize="21600,21600" o:spt="202" path="m,l,21600r21600,l21600,xe">
                <v:stroke joinstyle="miter"/>
                <v:path gradientshapeok="t" o:connecttype="rect"/>
              </v:shapetype>
              <v:shape id="Text Box 2" o:spid="_x0000_s1026" type="#_x0000_t202" style="position:absolute;left:0;text-align:left;margin-left:516.1pt;margin-top:26.4pt;width:51.5pt;height:3.6pt;flip:x y;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" strokecolor="window">
                <v:textbox>
                  <w:txbxContent>
                    <w:p w14:paraId="747A64C7" w14:textId="77777777" w:rsidR="005E207C" w:rsidRDefault="005E207C" w:rsidP="005E207C"/>
                  </w:txbxContent>
                </v:textbox>
              </v:shape>
            </w:pict>
          </mc:Fallback>
        </mc:AlternateContent>
      </w:r>
      <w:r w:rsidRPr="000F0A90">
        <w:rPr>
          <w:rFonts w:ascii="Arial" w:hAnsi="Arial" w:cs="Arial"/>
          <w:b/>
          <w:bCs/>
          <w:sz w:val="32"/>
          <w:szCs w:val="32"/>
        </w:rPr>
        <w:t xml:space="preserve">    </w:t>
      </w:r>
    </w:p>
    <w:p w14:paraId="2A9EC6A3" w14:textId="77777777" w:rsidR="005E207C" w:rsidRDefault="005E207C" w:rsidP="005E207C">
      <w:pPr>
        <w:jc w:val="center"/>
      </w:pPr>
      <w:r>
        <w:rPr>
          <w:noProof/>
        </w:rPr>
        <w:drawing>
          <wp:inline distT="0" distB="0" distL="0" distR="0" wp14:anchorId="3C61E04D" wp14:editId="11E6CDA1">
            <wp:extent cx="3359150" cy="1548765"/>
            <wp:effectExtent l="0" t="0" r="0" b="0"/>
            <wp:docPr id="1179258247" name="Picture 2"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58247" name="Picture 2" descr="A logo of a university of wale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9150" cy="1548765"/>
                    </a:xfrm>
                    <a:prstGeom prst="rect">
                      <a:avLst/>
                    </a:prstGeom>
                    <a:noFill/>
                  </pic:spPr>
                </pic:pic>
              </a:graphicData>
            </a:graphic>
          </wp:inline>
        </w:drawing>
      </w:r>
    </w:p>
    <w:p w14:paraId="28371908" w14:textId="77777777" w:rsidR="005E207C" w:rsidRDefault="005E207C" w:rsidP="005E207C">
      <w:pPr>
        <w:jc w:val="center"/>
      </w:pPr>
    </w:p>
    <w:p w14:paraId="64C81C20" w14:textId="77777777" w:rsidR="005E207C" w:rsidRDefault="005E207C" w:rsidP="005E207C">
      <w:pPr>
        <w:jc w:val="center"/>
      </w:pPr>
    </w:p>
    <w:p w14:paraId="6BEBD7C1" w14:textId="77777777" w:rsidR="005E207C" w:rsidRDefault="005E207C" w:rsidP="005E207C">
      <w:pPr>
        <w:jc w:val="center"/>
      </w:pPr>
    </w:p>
    <w:p w14:paraId="51C1090A" w14:textId="77777777" w:rsidR="005E207C" w:rsidRPr="00370546" w:rsidRDefault="005E207C" w:rsidP="005E207C">
      <w:pPr>
        <w:jc w:val="center"/>
        <w:rPr>
          <w:b/>
          <w:bCs/>
          <w:sz w:val="32"/>
          <w:szCs w:val="32"/>
        </w:rPr>
      </w:pPr>
      <w:r w:rsidRPr="00370546">
        <w:rPr>
          <w:b/>
          <w:bCs/>
          <w:sz w:val="32"/>
          <w:szCs w:val="32"/>
        </w:rPr>
        <w:t>INDIVIDUAL REPORT</w:t>
      </w:r>
    </w:p>
    <w:p w14:paraId="75849D45" w14:textId="77777777" w:rsidR="005E207C" w:rsidRPr="00370546" w:rsidRDefault="005E207C" w:rsidP="005E207C">
      <w:pPr>
        <w:jc w:val="center"/>
        <w:rPr>
          <w:b/>
          <w:bCs/>
          <w:sz w:val="32"/>
          <w:szCs w:val="32"/>
        </w:rPr>
      </w:pPr>
      <w:r w:rsidRPr="00370546">
        <w:rPr>
          <w:b/>
          <w:bCs/>
          <w:sz w:val="32"/>
          <w:szCs w:val="32"/>
        </w:rPr>
        <w:t>Evaluating 'The Toyota Way': Organisational Culture as an Enabler and Barrier to Global Performance</w:t>
      </w:r>
    </w:p>
    <w:p w14:paraId="7B925BB2" w14:textId="77777777" w:rsidR="005E207C" w:rsidRDefault="005E207C" w:rsidP="005E207C">
      <w:pPr>
        <w:jc w:val="center"/>
        <w:rPr>
          <w:b/>
          <w:bCs/>
          <w:sz w:val="32"/>
          <w:szCs w:val="32"/>
        </w:rPr>
      </w:pPr>
    </w:p>
    <w:p w14:paraId="38D4B0C7" w14:textId="77777777" w:rsidR="005E207C" w:rsidRDefault="005E207C" w:rsidP="005E207C">
      <w:pPr>
        <w:jc w:val="center"/>
        <w:rPr>
          <w:b/>
          <w:bCs/>
          <w:sz w:val="32"/>
          <w:szCs w:val="32"/>
        </w:rPr>
      </w:pPr>
    </w:p>
    <w:p w14:paraId="528E9889" w14:textId="77777777" w:rsidR="005E207C" w:rsidRPr="00370546" w:rsidRDefault="005E207C" w:rsidP="005E207C">
      <w:pPr>
        <w:jc w:val="center"/>
        <w:rPr>
          <w:b/>
          <w:bCs/>
          <w:sz w:val="32"/>
          <w:szCs w:val="32"/>
        </w:rPr>
      </w:pPr>
      <w:r w:rsidRPr="00370546">
        <w:rPr>
          <w:b/>
          <w:bCs/>
          <w:sz w:val="32"/>
          <w:szCs w:val="32"/>
        </w:rPr>
        <w:t>Student name: CONSTANTIN SAFTA</w:t>
      </w:r>
    </w:p>
    <w:p w14:paraId="437E9C3B" w14:textId="77777777" w:rsidR="005E207C" w:rsidRPr="00370546" w:rsidRDefault="005E207C" w:rsidP="005E207C">
      <w:pPr>
        <w:jc w:val="center"/>
        <w:rPr>
          <w:b/>
          <w:bCs/>
          <w:sz w:val="32"/>
          <w:szCs w:val="32"/>
        </w:rPr>
      </w:pPr>
      <w:r w:rsidRPr="00370546">
        <w:rPr>
          <w:b/>
          <w:bCs/>
          <w:sz w:val="32"/>
          <w:szCs w:val="32"/>
        </w:rPr>
        <w:t>Student number:2325737</w:t>
      </w:r>
    </w:p>
    <w:p w14:paraId="6B3C62D1" w14:textId="77777777" w:rsidR="005E207C" w:rsidRPr="00370546" w:rsidRDefault="005E207C" w:rsidP="005E207C">
      <w:pPr>
        <w:jc w:val="center"/>
        <w:rPr>
          <w:b/>
          <w:bCs/>
          <w:sz w:val="32"/>
          <w:szCs w:val="32"/>
        </w:rPr>
      </w:pPr>
      <w:r w:rsidRPr="00370546">
        <w:rPr>
          <w:b/>
          <w:bCs/>
          <w:sz w:val="32"/>
          <w:szCs w:val="32"/>
        </w:rPr>
        <w:t>Module code: LCLM5005</w:t>
      </w:r>
    </w:p>
    <w:p w14:paraId="06A7CE89" w14:textId="77777777" w:rsidR="005E207C" w:rsidRPr="00370546" w:rsidRDefault="005E207C" w:rsidP="005E207C">
      <w:pPr>
        <w:jc w:val="center"/>
        <w:rPr>
          <w:rFonts w:ascii="Arial" w:hAnsi="Arial" w:cs="Arial"/>
          <w:b/>
          <w:bCs/>
          <w:sz w:val="32"/>
          <w:szCs w:val="32"/>
        </w:rPr>
      </w:pPr>
      <w:r w:rsidRPr="00370546">
        <w:rPr>
          <w:b/>
          <w:bCs/>
          <w:sz w:val="32"/>
          <w:szCs w:val="32"/>
        </w:rPr>
        <w:t xml:space="preserve">Lecture name: </w:t>
      </w:r>
      <w:r>
        <w:rPr>
          <w:b/>
          <w:bCs/>
          <w:sz w:val="32"/>
          <w:szCs w:val="32"/>
        </w:rPr>
        <w:t xml:space="preserve">Dr </w:t>
      </w:r>
      <w:r w:rsidRPr="00370546">
        <w:rPr>
          <w:b/>
          <w:bCs/>
          <w:sz w:val="32"/>
          <w:szCs w:val="32"/>
        </w:rPr>
        <w:t>Mustakkima Afri</w:t>
      </w:r>
      <w:r>
        <w:rPr>
          <w:b/>
          <w:bCs/>
          <w:sz w:val="32"/>
          <w:szCs w:val="32"/>
        </w:rPr>
        <w:t>n</w:t>
      </w:r>
    </w:p>
    <w:p w14:paraId="06C780B5" w14:textId="61237BCA" w:rsidR="005E207C" w:rsidRDefault="005E207C" w:rsidP="005E207C">
      <w:pPr>
        <w:jc w:val="center"/>
      </w:pPr>
    </w:p>
    <w:p w14:paraId="2950EA66" w14:textId="77777777" w:rsidR="005E207C" w:rsidRDefault="005E207C">
      <w:r>
        <w:br w:type="page"/>
      </w:r>
    </w:p>
    <w:sdt>
      <w:sdtPr>
        <w:id w:val="1806586882"/>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6FC29E0" w14:textId="0F9A8471" w:rsidR="00C02C7B" w:rsidRDefault="00C02C7B">
          <w:pPr>
            <w:pStyle w:val="TOCHeading"/>
          </w:pPr>
          <w:r>
            <w:t>Contents</w:t>
          </w:r>
        </w:p>
        <w:p w14:paraId="5C06CA3E" w14:textId="5F80A652" w:rsidR="00C02C7B" w:rsidRPr="00C02C7B" w:rsidRDefault="00C02C7B">
          <w:pPr>
            <w:pStyle w:val="TOC1"/>
            <w:tabs>
              <w:tab w:val="right" w:leader="dot" w:pos="9016"/>
            </w:tabs>
            <w:rPr>
              <w:rFonts w:eastAsiaTheme="minorEastAsia"/>
              <w:noProof/>
              <w:sz w:val="24"/>
              <w:szCs w:val="24"/>
              <w:lang w:eastAsia="en-GB"/>
            </w:rPr>
          </w:pPr>
          <w:r w:rsidRPr="00C02C7B">
            <w:rPr>
              <w:sz w:val="24"/>
              <w:szCs w:val="24"/>
            </w:rPr>
            <w:fldChar w:fldCharType="begin"/>
          </w:r>
          <w:r w:rsidRPr="00C02C7B">
            <w:rPr>
              <w:sz w:val="24"/>
              <w:szCs w:val="24"/>
            </w:rPr>
            <w:instrText xml:space="preserve"> TOC \o "1-3" \h \z \u </w:instrText>
          </w:r>
          <w:r w:rsidRPr="00C02C7B">
            <w:rPr>
              <w:sz w:val="24"/>
              <w:szCs w:val="24"/>
            </w:rPr>
            <w:fldChar w:fldCharType="separate"/>
          </w:r>
          <w:hyperlink w:anchor="_Toc236334618" w:history="1">
            <w:r w:rsidRPr="00C02C7B">
              <w:rPr>
                <w:rStyle w:val="Hyperlink"/>
                <w:noProof/>
                <w:sz w:val="24"/>
                <w:szCs w:val="24"/>
              </w:rPr>
              <w:t>Introduction</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_Toc236334618 \h </w:instrText>
            </w:r>
            <w:r w:rsidRPr="00C02C7B">
              <w:rPr>
                <w:noProof/>
                <w:webHidden/>
                <w:sz w:val="24"/>
                <w:szCs w:val="24"/>
              </w:rPr>
            </w:r>
            <w:r w:rsidRPr="00C02C7B">
              <w:rPr>
                <w:noProof/>
                <w:webHidden/>
                <w:sz w:val="24"/>
                <w:szCs w:val="24"/>
              </w:rPr>
              <w:fldChar w:fldCharType="separate"/>
            </w:r>
            <w:r w:rsidRPr="00C02C7B">
              <w:rPr>
                <w:noProof/>
                <w:webHidden/>
                <w:sz w:val="24"/>
                <w:szCs w:val="24"/>
              </w:rPr>
              <w:t>3</w:t>
            </w:r>
            <w:r w:rsidRPr="00C02C7B">
              <w:rPr>
                <w:noProof/>
                <w:webHidden/>
                <w:sz w:val="24"/>
                <w:szCs w:val="24"/>
              </w:rPr>
              <w:fldChar w:fldCharType="end"/>
            </w:r>
          </w:hyperlink>
        </w:p>
        <w:p w14:paraId="0B898312" w14:textId="45B0CE91" w:rsidR="00C02C7B" w:rsidRPr="00C02C7B" w:rsidRDefault="00C02C7B">
          <w:pPr>
            <w:pStyle w:val="TOC1"/>
            <w:tabs>
              <w:tab w:val="right" w:leader="dot" w:pos="9016"/>
            </w:tabs>
            <w:rPr>
              <w:rFonts w:eastAsiaTheme="minorEastAsia"/>
              <w:noProof/>
              <w:sz w:val="24"/>
              <w:szCs w:val="24"/>
              <w:lang w:eastAsia="en-GB"/>
            </w:rPr>
          </w:pPr>
          <w:hyperlink w:anchor="_Toc236334619" w:history="1">
            <w:r w:rsidRPr="00C02C7B">
              <w:rPr>
                <w:rStyle w:val="Hyperlink"/>
                <w:noProof/>
                <w:sz w:val="24"/>
                <w:szCs w:val="24"/>
              </w:rPr>
              <w:t>The Influence of Organisational Culture on Structure and Decision Making</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_Toc236334619 \h </w:instrText>
            </w:r>
            <w:r w:rsidRPr="00C02C7B">
              <w:rPr>
                <w:noProof/>
                <w:webHidden/>
                <w:sz w:val="24"/>
                <w:szCs w:val="24"/>
              </w:rPr>
            </w:r>
            <w:r w:rsidRPr="00C02C7B">
              <w:rPr>
                <w:noProof/>
                <w:webHidden/>
                <w:sz w:val="24"/>
                <w:szCs w:val="24"/>
              </w:rPr>
              <w:fldChar w:fldCharType="separate"/>
            </w:r>
            <w:r w:rsidRPr="00C02C7B">
              <w:rPr>
                <w:noProof/>
                <w:webHidden/>
                <w:sz w:val="24"/>
                <w:szCs w:val="24"/>
              </w:rPr>
              <w:t>4</w:t>
            </w:r>
            <w:r w:rsidRPr="00C02C7B">
              <w:rPr>
                <w:noProof/>
                <w:webHidden/>
                <w:sz w:val="24"/>
                <w:szCs w:val="24"/>
              </w:rPr>
              <w:fldChar w:fldCharType="end"/>
            </w:r>
          </w:hyperlink>
        </w:p>
        <w:p w14:paraId="3575F526" w14:textId="460B47CA" w:rsidR="00C02C7B" w:rsidRPr="00C02C7B" w:rsidRDefault="00C02C7B">
          <w:pPr>
            <w:pStyle w:val="TOC1"/>
            <w:tabs>
              <w:tab w:val="right" w:leader="dot" w:pos="9016"/>
            </w:tabs>
            <w:rPr>
              <w:rFonts w:eastAsiaTheme="minorEastAsia"/>
              <w:noProof/>
              <w:sz w:val="24"/>
              <w:szCs w:val="24"/>
              <w:lang w:eastAsia="en-GB"/>
            </w:rPr>
          </w:pPr>
          <w:hyperlink w:anchor="_Toc236334620" w:history="1">
            <w:r w:rsidRPr="00C02C7B">
              <w:rPr>
                <w:rStyle w:val="Hyperlink"/>
                <w:noProof/>
                <w:sz w:val="24"/>
                <w:szCs w:val="24"/>
              </w:rPr>
              <w:t>Cultural Governance of Decision-Making Processes</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_Toc236334620 \h </w:instrText>
            </w:r>
            <w:r w:rsidRPr="00C02C7B">
              <w:rPr>
                <w:noProof/>
                <w:webHidden/>
                <w:sz w:val="24"/>
                <w:szCs w:val="24"/>
              </w:rPr>
            </w:r>
            <w:r w:rsidRPr="00C02C7B">
              <w:rPr>
                <w:noProof/>
                <w:webHidden/>
                <w:sz w:val="24"/>
                <w:szCs w:val="24"/>
              </w:rPr>
              <w:fldChar w:fldCharType="separate"/>
            </w:r>
            <w:r w:rsidRPr="00C02C7B">
              <w:rPr>
                <w:noProof/>
                <w:webHidden/>
                <w:sz w:val="24"/>
                <w:szCs w:val="24"/>
              </w:rPr>
              <w:t>4</w:t>
            </w:r>
            <w:r w:rsidRPr="00C02C7B">
              <w:rPr>
                <w:noProof/>
                <w:webHidden/>
                <w:sz w:val="24"/>
                <w:szCs w:val="24"/>
              </w:rPr>
              <w:fldChar w:fldCharType="end"/>
            </w:r>
          </w:hyperlink>
        </w:p>
        <w:p w14:paraId="094A81B5" w14:textId="23AF35FE" w:rsidR="00C02C7B" w:rsidRPr="00C02C7B" w:rsidRDefault="00C02C7B">
          <w:pPr>
            <w:pStyle w:val="TOC1"/>
            <w:tabs>
              <w:tab w:val="right" w:leader="dot" w:pos="9016"/>
            </w:tabs>
            <w:rPr>
              <w:rFonts w:eastAsiaTheme="minorEastAsia"/>
              <w:noProof/>
              <w:sz w:val="24"/>
              <w:szCs w:val="24"/>
              <w:lang w:eastAsia="en-GB"/>
            </w:rPr>
          </w:pPr>
          <w:hyperlink w:anchor="_Toc236334621" w:history="1">
            <w:r w:rsidRPr="00C02C7B">
              <w:rPr>
                <w:rStyle w:val="Hyperlink"/>
                <w:noProof/>
                <w:sz w:val="24"/>
                <w:szCs w:val="24"/>
              </w:rPr>
              <w:t>A Hybrid Organisational Structure</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_Toc236334621 \h </w:instrText>
            </w:r>
            <w:r w:rsidRPr="00C02C7B">
              <w:rPr>
                <w:noProof/>
                <w:webHidden/>
                <w:sz w:val="24"/>
                <w:szCs w:val="24"/>
              </w:rPr>
            </w:r>
            <w:r w:rsidRPr="00C02C7B">
              <w:rPr>
                <w:noProof/>
                <w:webHidden/>
                <w:sz w:val="24"/>
                <w:szCs w:val="24"/>
              </w:rPr>
              <w:fldChar w:fldCharType="separate"/>
            </w:r>
            <w:r w:rsidRPr="00C02C7B">
              <w:rPr>
                <w:noProof/>
                <w:webHidden/>
                <w:sz w:val="24"/>
                <w:szCs w:val="24"/>
              </w:rPr>
              <w:t>4</w:t>
            </w:r>
            <w:r w:rsidRPr="00C02C7B">
              <w:rPr>
                <w:noProof/>
                <w:webHidden/>
                <w:sz w:val="24"/>
                <w:szCs w:val="24"/>
              </w:rPr>
              <w:fldChar w:fldCharType="end"/>
            </w:r>
          </w:hyperlink>
        </w:p>
        <w:p w14:paraId="0A5EBA80" w14:textId="1C4C4D63" w:rsidR="00C02C7B" w:rsidRPr="00C02C7B" w:rsidRDefault="00C02C7B">
          <w:pPr>
            <w:pStyle w:val="TOC1"/>
            <w:tabs>
              <w:tab w:val="right" w:leader="dot" w:pos="9016"/>
            </w:tabs>
            <w:rPr>
              <w:rFonts w:eastAsiaTheme="minorEastAsia"/>
              <w:noProof/>
              <w:sz w:val="24"/>
              <w:szCs w:val="24"/>
              <w:lang w:eastAsia="en-GB"/>
            </w:rPr>
          </w:pPr>
          <w:hyperlink w:anchor="_Toc236334622" w:history="1">
            <w:r w:rsidRPr="00C02C7B">
              <w:rPr>
                <w:rStyle w:val="Hyperlink"/>
                <w:noProof/>
                <w:sz w:val="24"/>
                <w:szCs w:val="24"/>
              </w:rPr>
              <w:t>FIG.1 GANT CHART TOYOTA</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_Toc236334622 \h </w:instrText>
            </w:r>
            <w:r w:rsidRPr="00C02C7B">
              <w:rPr>
                <w:noProof/>
                <w:webHidden/>
                <w:sz w:val="24"/>
                <w:szCs w:val="24"/>
              </w:rPr>
            </w:r>
            <w:r w:rsidRPr="00C02C7B">
              <w:rPr>
                <w:noProof/>
                <w:webHidden/>
                <w:sz w:val="24"/>
                <w:szCs w:val="24"/>
              </w:rPr>
              <w:fldChar w:fldCharType="separate"/>
            </w:r>
            <w:r w:rsidRPr="00C02C7B">
              <w:rPr>
                <w:noProof/>
                <w:webHidden/>
                <w:sz w:val="24"/>
                <w:szCs w:val="24"/>
              </w:rPr>
              <w:t>5</w:t>
            </w:r>
            <w:r w:rsidRPr="00C02C7B">
              <w:rPr>
                <w:noProof/>
                <w:webHidden/>
                <w:sz w:val="24"/>
                <w:szCs w:val="24"/>
              </w:rPr>
              <w:fldChar w:fldCharType="end"/>
            </w:r>
          </w:hyperlink>
        </w:p>
        <w:p w14:paraId="6F256763" w14:textId="4DED7E31" w:rsidR="00C02C7B" w:rsidRPr="00C02C7B" w:rsidRDefault="00C02C7B">
          <w:pPr>
            <w:pStyle w:val="TOC1"/>
            <w:tabs>
              <w:tab w:val="right" w:leader="dot" w:pos="9016"/>
            </w:tabs>
            <w:rPr>
              <w:rFonts w:eastAsiaTheme="minorEastAsia"/>
              <w:noProof/>
              <w:sz w:val="24"/>
              <w:szCs w:val="24"/>
              <w:lang w:eastAsia="en-GB"/>
            </w:rPr>
          </w:pPr>
          <w:hyperlink w:anchor="_Toc236334623" w:history="1">
            <w:r w:rsidRPr="00C02C7B">
              <w:rPr>
                <w:rStyle w:val="Hyperlink"/>
                <w:noProof/>
                <w:sz w:val="24"/>
                <w:szCs w:val="24"/>
              </w:rPr>
              <w:t>Hoshin Kanri</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_Toc236334623 \h </w:instrText>
            </w:r>
            <w:r w:rsidRPr="00C02C7B">
              <w:rPr>
                <w:noProof/>
                <w:webHidden/>
                <w:sz w:val="24"/>
                <w:szCs w:val="24"/>
              </w:rPr>
            </w:r>
            <w:r w:rsidRPr="00C02C7B">
              <w:rPr>
                <w:noProof/>
                <w:webHidden/>
                <w:sz w:val="24"/>
                <w:szCs w:val="24"/>
              </w:rPr>
              <w:fldChar w:fldCharType="separate"/>
            </w:r>
            <w:r w:rsidRPr="00C02C7B">
              <w:rPr>
                <w:noProof/>
                <w:webHidden/>
                <w:sz w:val="24"/>
                <w:szCs w:val="24"/>
              </w:rPr>
              <w:t>5</w:t>
            </w:r>
            <w:r w:rsidRPr="00C02C7B">
              <w:rPr>
                <w:noProof/>
                <w:webHidden/>
                <w:sz w:val="24"/>
                <w:szCs w:val="24"/>
              </w:rPr>
              <w:fldChar w:fldCharType="end"/>
            </w:r>
          </w:hyperlink>
        </w:p>
        <w:p w14:paraId="08FC2539" w14:textId="4664738F" w:rsidR="00C02C7B" w:rsidRPr="00C02C7B" w:rsidRDefault="00C02C7B">
          <w:pPr>
            <w:pStyle w:val="TOC1"/>
            <w:tabs>
              <w:tab w:val="right" w:leader="dot" w:pos="9016"/>
            </w:tabs>
            <w:rPr>
              <w:rFonts w:eastAsiaTheme="minorEastAsia"/>
              <w:noProof/>
              <w:sz w:val="24"/>
              <w:szCs w:val="24"/>
              <w:lang w:eastAsia="en-GB"/>
            </w:rPr>
          </w:pPr>
          <w:hyperlink w:anchor="_Toc236334624" w:history="1">
            <w:r w:rsidRPr="00C02C7B">
              <w:rPr>
                <w:rStyle w:val="Hyperlink"/>
                <w:noProof/>
                <w:sz w:val="24"/>
                <w:szCs w:val="24"/>
              </w:rPr>
              <w:t>Catchball</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_Toc236334624 \h </w:instrText>
            </w:r>
            <w:r w:rsidRPr="00C02C7B">
              <w:rPr>
                <w:noProof/>
                <w:webHidden/>
                <w:sz w:val="24"/>
                <w:szCs w:val="24"/>
              </w:rPr>
            </w:r>
            <w:r w:rsidRPr="00C02C7B">
              <w:rPr>
                <w:noProof/>
                <w:webHidden/>
                <w:sz w:val="24"/>
                <w:szCs w:val="24"/>
              </w:rPr>
              <w:fldChar w:fldCharType="separate"/>
            </w:r>
            <w:r w:rsidRPr="00C02C7B">
              <w:rPr>
                <w:noProof/>
                <w:webHidden/>
                <w:sz w:val="24"/>
                <w:szCs w:val="24"/>
              </w:rPr>
              <w:t>6</w:t>
            </w:r>
            <w:r w:rsidRPr="00C02C7B">
              <w:rPr>
                <w:noProof/>
                <w:webHidden/>
                <w:sz w:val="24"/>
                <w:szCs w:val="24"/>
              </w:rPr>
              <w:fldChar w:fldCharType="end"/>
            </w:r>
          </w:hyperlink>
        </w:p>
        <w:p w14:paraId="4C2CB0AE" w14:textId="7391E50A" w:rsidR="00C02C7B" w:rsidRPr="00C02C7B" w:rsidRDefault="00C02C7B">
          <w:pPr>
            <w:pStyle w:val="TOC1"/>
            <w:tabs>
              <w:tab w:val="right" w:leader="dot" w:pos="9016"/>
            </w:tabs>
            <w:rPr>
              <w:rFonts w:eastAsiaTheme="minorEastAsia"/>
              <w:noProof/>
              <w:sz w:val="24"/>
              <w:szCs w:val="24"/>
              <w:lang w:eastAsia="en-GB"/>
            </w:rPr>
          </w:pPr>
          <w:hyperlink w:anchor="_Toc236334625" w:history="1">
            <w:r w:rsidRPr="00C02C7B">
              <w:rPr>
                <w:rStyle w:val="Hyperlink"/>
                <w:noProof/>
                <w:sz w:val="24"/>
                <w:szCs w:val="24"/>
              </w:rPr>
              <w:t>Application of Theoretical Frameworks to Identify Toyota’s Organisational Culture</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_Toc236334625 \h </w:instrText>
            </w:r>
            <w:r w:rsidRPr="00C02C7B">
              <w:rPr>
                <w:noProof/>
                <w:webHidden/>
                <w:sz w:val="24"/>
                <w:szCs w:val="24"/>
              </w:rPr>
            </w:r>
            <w:r w:rsidRPr="00C02C7B">
              <w:rPr>
                <w:noProof/>
                <w:webHidden/>
                <w:sz w:val="24"/>
                <w:szCs w:val="24"/>
              </w:rPr>
              <w:fldChar w:fldCharType="separate"/>
            </w:r>
            <w:r w:rsidRPr="00C02C7B">
              <w:rPr>
                <w:noProof/>
                <w:webHidden/>
                <w:sz w:val="24"/>
                <w:szCs w:val="24"/>
              </w:rPr>
              <w:t>6</w:t>
            </w:r>
            <w:r w:rsidRPr="00C02C7B">
              <w:rPr>
                <w:noProof/>
                <w:webHidden/>
                <w:sz w:val="24"/>
                <w:szCs w:val="24"/>
              </w:rPr>
              <w:fldChar w:fldCharType="end"/>
            </w:r>
          </w:hyperlink>
        </w:p>
        <w:p w14:paraId="6982ED28" w14:textId="4F167DA9" w:rsidR="00C02C7B" w:rsidRPr="00C02C7B" w:rsidRDefault="00C02C7B">
          <w:pPr>
            <w:pStyle w:val="TOC1"/>
            <w:tabs>
              <w:tab w:val="right" w:leader="dot" w:pos="9016"/>
            </w:tabs>
            <w:rPr>
              <w:rFonts w:eastAsiaTheme="minorEastAsia"/>
              <w:noProof/>
              <w:sz w:val="24"/>
              <w:szCs w:val="24"/>
              <w:lang w:eastAsia="en-GB"/>
            </w:rPr>
          </w:pPr>
          <w:hyperlink w:anchor="_Toc236334626" w:history="1">
            <w:r w:rsidRPr="00C02C7B">
              <w:rPr>
                <w:rStyle w:val="Hyperlink"/>
                <w:noProof/>
                <w:sz w:val="24"/>
                <w:szCs w:val="24"/>
              </w:rPr>
              <w:t>Schein’s Three Levels of Culture</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_Toc236334626 \h </w:instrText>
            </w:r>
            <w:r w:rsidRPr="00C02C7B">
              <w:rPr>
                <w:noProof/>
                <w:webHidden/>
                <w:sz w:val="24"/>
                <w:szCs w:val="24"/>
              </w:rPr>
            </w:r>
            <w:r w:rsidRPr="00C02C7B">
              <w:rPr>
                <w:noProof/>
                <w:webHidden/>
                <w:sz w:val="24"/>
                <w:szCs w:val="24"/>
              </w:rPr>
              <w:fldChar w:fldCharType="separate"/>
            </w:r>
            <w:r w:rsidRPr="00C02C7B">
              <w:rPr>
                <w:noProof/>
                <w:webHidden/>
                <w:sz w:val="24"/>
                <w:szCs w:val="24"/>
              </w:rPr>
              <w:t>6</w:t>
            </w:r>
            <w:r w:rsidRPr="00C02C7B">
              <w:rPr>
                <w:noProof/>
                <w:webHidden/>
                <w:sz w:val="24"/>
                <w:szCs w:val="24"/>
              </w:rPr>
              <w:fldChar w:fldCharType="end"/>
            </w:r>
          </w:hyperlink>
        </w:p>
        <w:p w14:paraId="5ED11196" w14:textId="1AA0FEC8" w:rsidR="00C02C7B" w:rsidRPr="00C02C7B" w:rsidRDefault="00C02C7B">
          <w:pPr>
            <w:pStyle w:val="TOC1"/>
            <w:tabs>
              <w:tab w:val="right" w:leader="dot" w:pos="9016"/>
            </w:tabs>
            <w:rPr>
              <w:rFonts w:eastAsiaTheme="minorEastAsia"/>
              <w:noProof/>
              <w:sz w:val="24"/>
              <w:szCs w:val="24"/>
              <w:lang w:eastAsia="en-GB"/>
            </w:rPr>
          </w:pPr>
          <w:hyperlink w:anchor="_Toc236334627" w:history="1">
            <w:r w:rsidRPr="00C02C7B">
              <w:rPr>
                <w:rStyle w:val="Hyperlink"/>
                <w:noProof/>
                <w:sz w:val="24"/>
                <w:szCs w:val="24"/>
              </w:rPr>
              <w:t>PESTLE Analysis of Toyota’s External Environment</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_Toc236334627 \h </w:instrText>
            </w:r>
            <w:r w:rsidRPr="00C02C7B">
              <w:rPr>
                <w:noProof/>
                <w:webHidden/>
                <w:sz w:val="24"/>
                <w:szCs w:val="24"/>
              </w:rPr>
            </w:r>
            <w:r w:rsidRPr="00C02C7B">
              <w:rPr>
                <w:noProof/>
                <w:webHidden/>
                <w:sz w:val="24"/>
                <w:szCs w:val="24"/>
              </w:rPr>
              <w:fldChar w:fldCharType="separate"/>
            </w:r>
            <w:r w:rsidRPr="00C02C7B">
              <w:rPr>
                <w:noProof/>
                <w:webHidden/>
                <w:sz w:val="24"/>
                <w:szCs w:val="24"/>
              </w:rPr>
              <w:t>8</w:t>
            </w:r>
            <w:r w:rsidRPr="00C02C7B">
              <w:rPr>
                <w:noProof/>
                <w:webHidden/>
                <w:sz w:val="24"/>
                <w:szCs w:val="24"/>
              </w:rPr>
              <w:fldChar w:fldCharType="end"/>
            </w:r>
          </w:hyperlink>
        </w:p>
        <w:p w14:paraId="159CA394" w14:textId="0416426E" w:rsidR="00C02C7B" w:rsidRPr="00C02C7B" w:rsidRDefault="00C02C7B">
          <w:pPr>
            <w:pStyle w:val="TOC1"/>
            <w:tabs>
              <w:tab w:val="right" w:leader="dot" w:pos="9016"/>
            </w:tabs>
            <w:rPr>
              <w:rFonts w:eastAsiaTheme="minorEastAsia"/>
              <w:noProof/>
              <w:sz w:val="24"/>
              <w:szCs w:val="24"/>
              <w:lang w:eastAsia="en-GB"/>
            </w:rPr>
          </w:pPr>
          <w:hyperlink w:anchor="_Toc236334628" w:history="1">
            <w:r w:rsidRPr="00C02C7B">
              <w:rPr>
                <w:rStyle w:val="Hyperlink"/>
                <w:noProof/>
                <w:sz w:val="24"/>
                <w:szCs w:val="24"/>
              </w:rPr>
              <w:t>Economic Factors</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_Toc236334628 \h </w:instrText>
            </w:r>
            <w:r w:rsidRPr="00C02C7B">
              <w:rPr>
                <w:noProof/>
                <w:webHidden/>
                <w:sz w:val="24"/>
                <w:szCs w:val="24"/>
              </w:rPr>
            </w:r>
            <w:r w:rsidRPr="00C02C7B">
              <w:rPr>
                <w:noProof/>
                <w:webHidden/>
                <w:sz w:val="24"/>
                <w:szCs w:val="24"/>
              </w:rPr>
              <w:fldChar w:fldCharType="separate"/>
            </w:r>
            <w:r w:rsidRPr="00C02C7B">
              <w:rPr>
                <w:noProof/>
                <w:webHidden/>
                <w:sz w:val="24"/>
                <w:szCs w:val="24"/>
              </w:rPr>
              <w:t>9</w:t>
            </w:r>
            <w:r w:rsidRPr="00C02C7B">
              <w:rPr>
                <w:noProof/>
                <w:webHidden/>
                <w:sz w:val="24"/>
                <w:szCs w:val="24"/>
              </w:rPr>
              <w:fldChar w:fldCharType="end"/>
            </w:r>
          </w:hyperlink>
        </w:p>
        <w:p w14:paraId="353C1073" w14:textId="711FEB0F" w:rsidR="00C02C7B" w:rsidRPr="00C02C7B" w:rsidRDefault="00C02C7B">
          <w:pPr>
            <w:pStyle w:val="TOC1"/>
            <w:tabs>
              <w:tab w:val="right" w:leader="dot" w:pos="9016"/>
            </w:tabs>
            <w:rPr>
              <w:rFonts w:eastAsiaTheme="minorEastAsia"/>
              <w:noProof/>
              <w:sz w:val="24"/>
              <w:szCs w:val="24"/>
              <w:lang w:eastAsia="en-GB"/>
            </w:rPr>
          </w:pPr>
          <w:hyperlink w:anchor="_Toc236334629" w:history="1">
            <w:r w:rsidRPr="00C02C7B">
              <w:rPr>
                <w:rStyle w:val="Hyperlink"/>
                <w:noProof/>
                <w:sz w:val="24"/>
                <w:szCs w:val="24"/>
              </w:rPr>
              <w:t>Social Factors</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_Toc236334629 \h </w:instrText>
            </w:r>
            <w:r w:rsidRPr="00C02C7B">
              <w:rPr>
                <w:noProof/>
                <w:webHidden/>
                <w:sz w:val="24"/>
                <w:szCs w:val="24"/>
              </w:rPr>
            </w:r>
            <w:r w:rsidRPr="00C02C7B">
              <w:rPr>
                <w:noProof/>
                <w:webHidden/>
                <w:sz w:val="24"/>
                <w:szCs w:val="24"/>
              </w:rPr>
              <w:fldChar w:fldCharType="separate"/>
            </w:r>
            <w:r w:rsidRPr="00C02C7B">
              <w:rPr>
                <w:noProof/>
                <w:webHidden/>
                <w:sz w:val="24"/>
                <w:szCs w:val="24"/>
              </w:rPr>
              <w:t>9</w:t>
            </w:r>
            <w:r w:rsidRPr="00C02C7B">
              <w:rPr>
                <w:noProof/>
                <w:webHidden/>
                <w:sz w:val="24"/>
                <w:szCs w:val="24"/>
              </w:rPr>
              <w:fldChar w:fldCharType="end"/>
            </w:r>
          </w:hyperlink>
        </w:p>
        <w:p w14:paraId="5C4FE1A5" w14:textId="46F70642" w:rsidR="00C02C7B" w:rsidRPr="00C02C7B" w:rsidRDefault="00C02C7B">
          <w:pPr>
            <w:pStyle w:val="TOC1"/>
            <w:tabs>
              <w:tab w:val="right" w:leader="dot" w:pos="9016"/>
            </w:tabs>
            <w:rPr>
              <w:rFonts w:eastAsiaTheme="minorEastAsia"/>
              <w:noProof/>
              <w:sz w:val="24"/>
              <w:szCs w:val="24"/>
              <w:lang w:eastAsia="en-GB"/>
            </w:rPr>
          </w:pPr>
          <w:hyperlink w:anchor="_Toc236334630" w:history="1">
            <w:r w:rsidRPr="00C02C7B">
              <w:rPr>
                <w:rStyle w:val="Hyperlink"/>
                <w:noProof/>
                <w:sz w:val="24"/>
                <w:szCs w:val="24"/>
              </w:rPr>
              <w:t>Technological Factors</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_Toc236334630 \h </w:instrText>
            </w:r>
            <w:r w:rsidRPr="00C02C7B">
              <w:rPr>
                <w:noProof/>
                <w:webHidden/>
                <w:sz w:val="24"/>
                <w:szCs w:val="24"/>
              </w:rPr>
            </w:r>
            <w:r w:rsidRPr="00C02C7B">
              <w:rPr>
                <w:noProof/>
                <w:webHidden/>
                <w:sz w:val="24"/>
                <w:szCs w:val="24"/>
              </w:rPr>
              <w:fldChar w:fldCharType="separate"/>
            </w:r>
            <w:r w:rsidRPr="00C02C7B">
              <w:rPr>
                <w:noProof/>
                <w:webHidden/>
                <w:sz w:val="24"/>
                <w:szCs w:val="24"/>
              </w:rPr>
              <w:t>9</w:t>
            </w:r>
            <w:r w:rsidRPr="00C02C7B">
              <w:rPr>
                <w:noProof/>
                <w:webHidden/>
                <w:sz w:val="24"/>
                <w:szCs w:val="24"/>
              </w:rPr>
              <w:fldChar w:fldCharType="end"/>
            </w:r>
          </w:hyperlink>
        </w:p>
        <w:p w14:paraId="7F9056EC" w14:textId="274B8DC5" w:rsidR="00C02C7B" w:rsidRPr="00C02C7B" w:rsidRDefault="00C02C7B">
          <w:pPr>
            <w:pStyle w:val="TOC1"/>
            <w:tabs>
              <w:tab w:val="right" w:leader="dot" w:pos="9016"/>
            </w:tabs>
            <w:rPr>
              <w:rFonts w:eastAsiaTheme="minorEastAsia"/>
              <w:noProof/>
              <w:sz w:val="24"/>
              <w:szCs w:val="24"/>
              <w:lang w:eastAsia="en-GB"/>
            </w:rPr>
          </w:pPr>
          <w:hyperlink w:anchor="_Toc236334631" w:history="1">
            <w:r w:rsidRPr="00C02C7B">
              <w:rPr>
                <w:rStyle w:val="Hyperlink"/>
                <w:noProof/>
                <w:sz w:val="24"/>
                <w:szCs w:val="24"/>
              </w:rPr>
              <w:t>Legal Factors</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_Toc236334631 \h </w:instrText>
            </w:r>
            <w:r w:rsidRPr="00C02C7B">
              <w:rPr>
                <w:noProof/>
                <w:webHidden/>
                <w:sz w:val="24"/>
                <w:szCs w:val="24"/>
              </w:rPr>
            </w:r>
            <w:r w:rsidRPr="00C02C7B">
              <w:rPr>
                <w:noProof/>
                <w:webHidden/>
                <w:sz w:val="24"/>
                <w:szCs w:val="24"/>
              </w:rPr>
              <w:fldChar w:fldCharType="separate"/>
            </w:r>
            <w:r w:rsidRPr="00C02C7B">
              <w:rPr>
                <w:noProof/>
                <w:webHidden/>
                <w:sz w:val="24"/>
                <w:szCs w:val="24"/>
              </w:rPr>
              <w:t>9</w:t>
            </w:r>
            <w:r w:rsidRPr="00C02C7B">
              <w:rPr>
                <w:noProof/>
                <w:webHidden/>
                <w:sz w:val="24"/>
                <w:szCs w:val="24"/>
              </w:rPr>
              <w:fldChar w:fldCharType="end"/>
            </w:r>
          </w:hyperlink>
        </w:p>
        <w:p w14:paraId="5F638FB9" w14:textId="1741A177" w:rsidR="00C02C7B" w:rsidRPr="00C02C7B" w:rsidRDefault="00C02C7B">
          <w:pPr>
            <w:pStyle w:val="TOC1"/>
            <w:tabs>
              <w:tab w:val="right" w:leader="dot" w:pos="9016"/>
            </w:tabs>
            <w:rPr>
              <w:rFonts w:eastAsiaTheme="minorEastAsia"/>
              <w:noProof/>
              <w:sz w:val="24"/>
              <w:szCs w:val="24"/>
              <w:lang w:eastAsia="en-GB"/>
            </w:rPr>
          </w:pPr>
          <w:hyperlink w:anchor="_Toc236334632" w:history="1">
            <w:r w:rsidRPr="00C02C7B">
              <w:rPr>
                <w:rStyle w:val="Hyperlink"/>
                <w:noProof/>
                <w:sz w:val="24"/>
                <w:szCs w:val="24"/>
              </w:rPr>
              <w:t>Environmental Factors</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_Toc236334632 \h </w:instrText>
            </w:r>
            <w:r w:rsidRPr="00C02C7B">
              <w:rPr>
                <w:noProof/>
                <w:webHidden/>
                <w:sz w:val="24"/>
                <w:szCs w:val="24"/>
              </w:rPr>
            </w:r>
            <w:r w:rsidRPr="00C02C7B">
              <w:rPr>
                <w:noProof/>
                <w:webHidden/>
                <w:sz w:val="24"/>
                <w:szCs w:val="24"/>
              </w:rPr>
              <w:fldChar w:fldCharType="separate"/>
            </w:r>
            <w:r w:rsidRPr="00C02C7B">
              <w:rPr>
                <w:noProof/>
                <w:webHidden/>
                <w:sz w:val="24"/>
                <w:szCs w:val="24"/>
              </w:rPr>
              <w:t>9</w:t>
            </w:r>
            <w:r w:rsidRPr="00C02C7B">
              <w:rPr>
                <w:noProof/>
                <w:webHidden/>
                <w:sz w:val="24"/>
                <w:szCs w:val="24"/>
              </w:rPr>
              <w:fldChar w:fldCharType="end"/>
            </w:r>
          </w:hyperlink>
        </w:p>
        <w:p w14:paraId="098D8CF1" w14:textId="14554AA5" w:rsidR="00C02C7B" w:rsidRPr="00C02C7B" w:rsidRDefault="00C02C7B">
          <w:pPr>
            <w:pStyle w:val="TOC1"/>
            <w:tabs>
              <w:tab w:val="right" w:leader="dot" w:pos="9016"/>
            </w:tabs>
            <w:rPr>
              <w:rFonts w:eastAsiaTheme="minorEastAsia"/>
              <w:noProof/>
              <w:sz w:val="24"/>
              <w:szCs w:val="24"/>
              <w:lang w:eastAsia="en-GB"/>
            </w:rPr>
          </w:pPr>
          <w:hyperlink w:anchor="_Toc236334633" w:history="1">
            <w:r w:rsidRPr="00C02C7B">
              <w:rPr>
                <w:rStyle w:val="Hyperlink"/>
                <w:noProof/>
                <w:sz w:val="24"/>
                <w:szCs w:val="24"/>
              </w:rPr>
              <w:t>Organisational Culture as an Enabler and a Barrier</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_Toc236334633 \h </w:instrText>
            </w:r>
            <w:r w:rsidRPr="00C02C7B">
              <w:rPr>
                <w:noProof/>
                <w:webHidden/>
                <w:sz w:val="24"/>
                <w:szCs w:val="24"/>
              </w:rPr>
            </w:r>
            <w:r w:rsidRPr="00C02C7B">
              <w:rPr>
                <w:noProof/>
                <w:webHidden/>
                <w:sz w:val="24"/>
                <w:szCs w:val="24"/>
              </w:rPr>
              <w:fldChar w:fldCharType="separate"/>
            </w:r>
            <w:r w:rsidRPr="00C02C7B">
              <w:rPr>
                <w:noProof/>
                <w:webHidden/>
                <w:sz w:val="24"/>
                <w:szCs w:val="24"/>
              </w:rPr>
              <w:t>10</w:t>
            </w:r>
            <w:r w:rsidRPr="00C02C7B">
              <w:rPr>
                <w:noProof/>
                <w:webHidden/>
                <w:sz w:val="24"/>
                <w:szCs w:val="24"/>
              </w:rPr>
              <w:fldChar w:fldCharType="end"/>
            </w:r>
          </w:hyperlink>
        </w:p>
        <w:p w14:paraId="1664C023" w14:textId="5DAA9A0C" w:rsidR="00C02C7B" w:rsidRPr="00C02C7B" w:rsidRDefault="00C02C7B">
          <w:pPr>
            <w:pStyle w:val="TOC1"/>
            <w:tabs>
              <w:tab w:val="right" w:leader="dot" w:pos="9016"/>
            </w:tabs>
            <w:rPr>
              <w:rFonts w:eastAsiaTheme="minorEastAsia"/>
              <w:noProof/>
              <w:sz w:val="24"/>
              <w:szCs w:val="24"/>
              <w:lang w:eastAsia="en-GB"/>
            </w:rPr>
          </w:pPr>
          <w:hyperlink w:anchor="_Toc236334634" w:history="1">
            <w:r w:rsidRPr="00C02C7B">
              <w:rPr>
                <w:rStyle w:val="Hyperlink"/>
                <w:noProof/>
                <w:sz w:val="24"/>
                <w:szCs w:val="24"/>
              </w:rPr>
              <w:t>Organisational Culture as an Enabler</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_Toc236334634 \h </w:instrText>
            </w:r>
            <w:r w:rsidRPr="00C02C7B">
              <w:rPr>
                <w:noProof/>
                <w:webHidden/>
                <w:sz w:val="24"/>
                <w:szCs w:val="24"/>
              </w:rPr>
            </w:r>
            <w:r w:rsidRPr="00C02C7B">
              <w:rPr>
                <w:noProof/>
                <w:webHidden/>
                <w:sz w:val="24"/>
                <w:szCs w:val="24"/>
              </w:rPr>
              <w:fldChar w:fldCharType="separate"/>
            </w:r>
            <w:r w:rsidRPr="00C02C7B">
              <w:rPr>
                <w:noProof/>
                <w:webHidden/>
                <w:sz w:val="24"/>
                <w:szCs w:val="24"/>
              </w:rPr>
              <w:t>10</w:t>
            </w:r>
            <w:r w:rsidRPr="00C02C7B">
              <w:rPr>
                <w:noProof/>
                <w:webHidden/>
                <w:sz w:val="24"/>
                <w:szCs w:val="24"/>
              </w:rPr>
              <w:fldChar w:fldCharType="end"/>
            </w:r>
          </w:hyperlink>
        </w:p>
        <w:p w14:paraId="322BB63D" w14:textId="4D0F4EBB" w:rsidR="00C02C7B" w:rsidRPr="00C02C7B" w:rsidRDefault="00C02C7B">
          <w:pPr>
            <w:pStyle w:val="TOC1"/>
            <w:tabs>
              <w:tab w:val="right" w:leader="dot" w:pos="9016"/>
            </w:tabs>
            <w:rPr>
              <w:rFonts w:eastAsiaTheme="minorEastAsia"/>
              <w:noProof/>
              <w:sz w:val="24"/>
              <w:szCs w:val="24"/>
              <w:lang w:eastAsia="en-GB"/>
            </w:rPr>
          </w:pPr>
          <w:hyperlink w:anchor="_Toc236334635" w:history="1">
            <w:r w:rsidRPr="00C02C7B">
              <w:rPr>
                <w:rStyle w:val="Hyperlink"/>
                <w:noProof/>
                <w:sz w:val="24"/>
                <w:szCs w:val="24"/>
              </w:rPr>
              <w:t>Organisational Culture as a Barrier</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_Toc236334635 \h </w:instrText>
            </w:r>
            <w:r w:rsidRPr="00C02C7B">
              <w:rPr>
                <w:noProof/>
                <w:webHidden/>
                <w:sz w:val="24"/>
                <w:szCs w:val="24"/>
              </w:rPr>
            </w:r>
            <w:r w:rsidRPr="00C02C7B">
              <w:rPr>
                <w:noProof/>
                <w:webHidden/>
                <w:sz w:val="24"/>
                <w:szCs w:val="24"/>
              </w:rPr>
              <w:fldChar w:fldCharType="separate"/>
            </w:r>
            <w:r w:rsidRPr="00C02C7B">
              <w:rPr>
                <w:noProof/>
                <w:webHidden/>
                <w:sz w:val="24"/>
                <w:szCs w:val="24"/>
              </w:rPr>
              <w:t>10</w:t>
            </w:r>
            <w:r w:rsidRPr="00C02C7B">
              <w:rPr>
                <w:noProof/>
                <w:webHidden/>
                <w:sz w:val="24"/>
                <w:szCs w:val="24"/>
              </w:rPr>
              <w:fldChar w:fldCharType="end"/>
            </w:r>
          </w:hyperlink>
        </w:p>
        <w:p w14:paraId="51FB0C7D" w14:textId="02500416" w:rsidR="00C02C7B" w:rsidRPr="00C02C7B" w:rsidRDefault="00C02C7B">
          <w:pPr>
            <w:pStyle w:val="TOC1"/>
            <w:tabs>
              <w:tab w:val="right" w:leader="dot" w:pos="9016"/>
            </w:tabs>
            <w:rPr>
              <w:rFonts w:eastAsiaTheme="minorEastAsia"/>
              <w:noProof/>
              <w:sz w:val="24"/>
              <w:szCs w:val="24"/>
              <w:lang w:eastAsia="en-GB"/>
            </w:rPr>
          </w:pPr>
          <w:hyperlink w:anchor="_Toc236334636" w:history="1">
            <w:r w:rsidRPr="00C02C7B">
              <w:rPr>
                <w:rStyle w:val="Hyperlink"/>
                <w:noProof/>
                <w:sz w:val="24"/>
                <w:szCs w:val="24"/>
              </w:rPr>
              <w:t>Evaluation of the Impact on Organisational Performance</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_Toc236334636 \h </w:instrText>
            </w:r>
            <w:r w:rsidRPr="00C02C7B">
              <w:rPr>
                <w:noProof/>
                <w:webHidden/>
                <w:sz w:val="24"/>
                <w:szCs w:val="24"/>
              </w:rPr>
            </w:r>
            <w:r w:rsidRPr="00C02C7B">
              <w:rPr>
                <w:noProof/>
                <w:webHidden/>
                <w:sz w:val="24"/>
                <w:szCs w:val="24"/>
              </w:rPr>
              <w:fldChar w:fldCharType="separate"/>
            </w:r>
            <w:r w:rsidRPr="00C02C7B">
              <w:rPr>
                <w:noProof/>
                <w:webHidden/>
                <w:sz w:val="24"/>
                <w:szCs w:val="24"/>
              </w:rPr>
              <w:t>11</w:t>
            </w:r>
            <w:r w:rsidRPr="00C02C7B">
              <w:rPr>
                <w:noProof/>
                <w:webHidden/>
                <w:sz w:val="24"/>
                <w:szCs w:val="24"/>
              </w:rPr>
              <w:fldChar w:fldCharType="end"/>
            </w:r>
          </w:hyperlink>
        </w:p>
        <w:p w14:paraId="271AF872" w14:textId="244C171E" w:rsidR="00C02C7B" w:rsidRPr="00C02C7B" w:rsidRDefault="00C02C7B">
          <w:pPr>
            <w:pStyle w:val="TOC1"/>
            <w:tabs>
              <w:tab w:val="right" w:leader="dot" w:pos="9016"/>
            </w:tabs>
            <w:rPr>
              <w:rFonts w:eastAsiaTheme="minorEastAsia"/>
              <w:noProof/>
              <w:sz w:val="24"/>
              <w:szCs w:val="24"/>
              <w:lang w:eastAsia="en-GB"/>
            </w:rPr>
          </w:pPr>
          <w:hyperlink w:anchor="_Toc236334637" w:history="1">
            <w:r w:rsidRPr="00C02C7B">
              <w:rPr>
                <w:rStyle w:val="Hyperlink"/>
                <w:noProof/>
                <w:sz w:val="24"/>
                <w:szCs w:val="24"/>
              </w:rPr>
              <w:t>Recommendations</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_Toc236334637 \h </w:instrText>
            </w:r>
            <w:r w:rsidRPr="00C02C7B">
              <w:rPr>
                <w:noProof/>
                <w:webHidden/>
                <w:sz w:val="24"/>
                <w:szCs w:val="24"/>
              </w:rPr>
            </w:r>
            <w:r w:rsidRPr="00C02C7B">
              <w:rPr>
                <w:noProof/>
                <w:webHidden/>
                <w:sz w:val="24"/>
                <w:szCs w:val="24"/>
              </w:rPr>
              <w:fldChar w:fldCharType="separate"/>
            </w:r>
            <w:r w:rsidRPr="00C02C7B">
              <w:rPr>
                <w:noProof/>
                <w:webHidden/>
                <w:sz w:val="24"/>
                <w:szCs w:val="24"/>
              </w:rPr>
              <w:t>11</w:t>
            </w:r>
            <w:r w:rsidRPr="00C02C7B">
              <w:rPr>
                <w:noProof/>
                <w:webHidden/>
                <w:sz w:val="24"/>
                <w:szCs w:val="24"/>
              </w:rPr>
              <w:fldChar w:fldCharType="end"/>
            </w:r>
          </w:hyperlink>
        </w:p>
        <w:p w14:paraId="50B9E982" w14:textId="31153D85" w:rsidR="00C02C7B" w:rsidRPr="00C02C7B" w:rsidRDefault="00C02C7B">
          <w:pPr>
            <w:pStyle w:val="TOC1"/>
            <w:tabs>
              <w:tab w:val="right" w:leader="dot" w:pos="9016"/>
            </w:tabs>
            <w:rPr>
              <w:rFonts w:eastAsiaTheme="minorEastAsia"/>
              <w:noProof/>
              <w:sz w:val="24"/>
              <w:szCs w:val="24"/>
              <w:lang w:eastAsia="en-GB"/>
            </w:rPr>
          </w:pPr>
          <w:hyperlink w:anchor="_Toc236334638" w:history="1">
            <w:r w:rsidRPr="00C02C7B">
              <w:rPr>
                <w:rStyle w:val="Hyperlink"/>
                <w:noProof/>
                <w:sz w:val="24"/>
                <w:szCs w:val="24"/>
              </w:rPr>
              <w:t>Conclusion</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_Toc236334638 \h </w:instrText>
            </w:r>
            <w:r w:rsidRPr="00C02C7B">
              <w:rPr>
                <w:noProof/>
                <w:webHidden/>
                <w:sz w:val="24"/>
                <w:szCs w:val="24"/>
              </w:rPr>
            </w:r>
            <w:r w:rsidRPr="00C02C7B">
              <w:rPr>
                <w:noProof/>
                <w:webHidden/>
                <w:sz w:val="24"/>
                <w:szCs w:val="24"/>
              </w:rPr>
              <w:fldChar w:fldCharType="separate"/>
            </w:r>
            <w:r w:rsidRPr="00C02C7B">
              <w:rPr>
                <w:noProof/>
                <w:webHidden/>
                <w:sz w:val="24"/>
                <w:szCs w:val="24"/>
              </w:rPr>
              <w:t>11</w:t>
            </w:r>
            <w:r w:rsidRPr="00C02C7B">
              <w:rPr>
                <w:noProof/>
                <w:webHidden/>
                <w:sz w:val="24"/>
                <w:szCs w:val="24"/>
              </w:rPr>
              <w:fldChar w:fldCharType="end"/>
            </w:r>
          </w:hyperlink>
        </w:p>
        <w:p w14:paraId="073FEDA2" w14:textId="2731998E" w:rsidR="00C02C7B" w:rsidRPr="00C02C7B" w:rsidRDefault="00C02C7B">
          <w:pPr>
            <w:pStyle w:val="TOC1"/>
            <w:tabs>
              <w:tab w:val="right" w:leader="dot" w:pos="9016"/>
            </w:tabs>
            <w:rPr>
              <w:rFonts w:eastAsiaTheme="minorEastAsia"/>
              <w:noProof/>
              <w:sz w:val="24"/>
              <w:szCs w:val="24"/>
              <w:lang w:eastAsia="en-GB"/>
            </w:rPr>
          </w:pPr>
          <w:hyperlink w:anchor="_Toc236334639" w:history="1">
            <w:r w:rsidRPr="00C02C7B">
              <w:rPr>
                <w:rStyle w:val="Hyperlink"/>
                <w:noProof/>
                <w:sz w:val="24"/>
                <w:szCs w:val="24"/>
              </w:rPr>
              <w:t>References</w:t>
            </w:r>
            <w:r w:rsidRPr="00C02C7B">
              <w:rPr>
                <w:noProof/>
                <w:webHidden/>
                <w:sz w:val="24"/>
                <w:szCs w:val="24"/>
              </w:rPr>
              <w:tab/>
            </w:r>
            <w:r w:rsidRPr="00C02C7B">
              <w:rPr>
                <w:noProof/>
                <w:webHidden/>
                <w:sz w:val="24"/>
                <w:szCs w:val="24"/>
              </w:rPr>
              <w:fldChar w:fldCharType="begin"/>
            </w:r>
            <w:r w:rsidRPr="00C02C7B">
              <w:rPr>
                <w:noProof/>
                <w:webHidden/>
                <w:sz w:val="24"/>
                <w:szCs w:val="24"/>
              </w:rPr>
              <w:instrText xml:space="preserve"> PAGEREF _Toc236334639 \h </w:instrText>
            </w:r>
            <w:r w:rsidRPr="00C02C7B">
              <w:rPr>
                <w:noProof/>
                <w:webHidden/>
                <w:sz w:val="24"/>
                <w:szCs w:val="24"/>
              </w:rPr>
            </w:r>
            <w:r w:rsidRPr="00C02C7B">
              <w:rPr>
                <w:noProof/>
                <w:webHidden/>
                <w:sz w:val="24"/>
                <w:szCs w:val="24"/>
              </w:rPr>
              <w:fldChar w:fldCharType="separate"/>
            </w:r>
            <w:r w:rsidRPr="00C02C7B">
              <w:rPr>
                <w:noProof/>
                <w:webHidden/>
                <w:sz w:val="24"/>
                <w:szCs w:val="24"/>
              </w:rPr>
              <w:t>12</w:t>
            </w:r>
            <w:r w:rsidRPr="00C02C7B">
              <w:rPr>
                <w:noProof/>
                <w:webHidden/>
                <w:sz w:val="24"/>
                <w:szCs w:val="24"/>
              </w:rPr>
              <w:fldChar w:fldCharType="end"/>
            </w:r>
          </w:hyperlink>
        </w:p>
        <w:p w14:paraId="62DF4160" w14:textId="34DCA45E" w:rsidR="00C02C7B" w:rsidRDefault="00C02C7B">
          <w:r w:rsidRPr="00C02C7B">
            <w:rPr>
              <w:b/>
              <w:bCs/>
              <w:sz w:val="24"/>
              <w:szCs w:val="24"/>
            </w:rPr>
            <w:fldChar w:fldCharType="end"/>
          </w:r>
        </w:p>
      </w:sdtContent>
    </w:sdt>
    <w:p w14:paraId="204615B8" w14:textId="3D739A88" w:rsidR="00C02C7B" w:rsidRDefault="00C02C7B" w:rsidP="00C02C7B">
      <w:pPr>
        <w:pStyle w:val="TOC9"/>
        <w:tabs>
          <w:tab w:val="right" w:leader="dot" w:pos="9016"/>
        </w:tabs>
      </w:pPr>
    </w:p>
    <w:p w14:paraId="5B80394F" w14:textId="7046731E" w:rsidR="005E207C" w:rsidRDefault="005E207C" w:rsidP="005E207C">
      <w:pPr>
        <w:jc w:val="center"/>
      </w:pPr>
    </w:p>
    <w:p w14:paraId="59BB4A72" w14:textId="77777777" w:rsidR="005E207C" w:rsidRDefault="005E207C">
      <w:r>
        <w:br w:type="page"/>
      </w:r>
    </w:p>
    <w:p w14:paraId="0B45C37E" w14:textId="77777777" w:rsidR="005E207C" w:rsidRPr="00C02C7B" w:rsidRDefault="005E207C" w:rsidP="005E207C">
      <w:pPr>
        <w:pStyle w:val="Heading1"/>
        <w:rPr>
          <w:sz w:val="32"/>
          <w:szCs w:val="32"/>
        </w:rPr>
      </w:pPr>
      <w:bookmarkStart w:id="0" w:name="_Toc235867726"/>
      <w:bookmarkStart w:id="1" w:name="_Hlk235873152"/>
      <w:bookmarkStart w:id="2" w:name="_Toc236334010"/>
      <w:bookmarkStart w:id="3" w:name="_Toc236334258"/>
      <w:bookmarkStart w:id="4" w:name="_Toc236334618"/>
      <w:r w:rsidRPr="00C02C7B">
        <w:rPr>
          <w:sz w:val="32"/>
          <w:szCs w:val="32"/>
        </w:rPr>
        <w:lastRenderedPageBreak/>
        <w:t>Introduction</w:t>
      </w:r>
      <w:bookmarkEnd w:id="0"/>
      <w:bookmarkEnd w:id="2"/>
      <w:bookmarkEnd w:id="3"/>
      <w:bookmarkEnd w:id="4"/>
    </w:p>
    <w:bookmarkEnd w:id="1"/>
    <w:p w14:paraId="0992345A" w14:textId="20B62BF8" w:rsidR="00C02C7B" w:rsidRDefault="00B2153A" w:rsidP="0058680E">
      <w:pPr>
        <w:spacing w:line="360" w:lineRule="auto"/>
        <w:rPr>
          <w:rFonts w:ascii="Arial" w:hAnsi="Arial" w:cs="Arial"/>
        </w:rPr>
      </w:pPr>
      <w:r w:rsidRPr="00B2153A">
        <w:rPr>
          <w:rFonts w:ascii="Arial" w:hAnsi="Arial" w:cs="Arial"/>
        </w:rPr>
        <w:t>The culture within an organisation has a substantial impact on its daily operations, the decisions it makes, and its ability to respond effectively to changing circumstances</w:t>
      </w:r>
      <w:r w:rsidR="005E207C" w:rsidRPr="001C2F94">
        <w:rPr>
          <w:rFonts w:ascii="Arial" w:hAnsi="Arial" w:cs="Arial"/>
        </w:rPr>
        <w:t>. It influences employee behaviour, leadership practices and organisational performance by establishing shared values and expectations across the organisation. A strong organisational culture can improve communication, encourage innovation and support long term business success. However, it may also create challenges if established values reduce flexibility or limit an organisation’s ability to respond to changing market conditions.</w:t>
      </w:r>
      <w:r w:rsidR="0058680E" w:rsidRPr="0058680E">
        <w:rPr>
          <w:rFonts w:ascii="Arial" w:hAnsi="Arial" w:cs="Arial"/>
        </w:rPr>
        <w:t xml:space="preserve"> </w:t>
      </w:r>
      <w:r w:rsidR="0058680E" w:rsidRPr="00686C52">
        <w:rPr>
          <w:rFonts w:ascii="Arial" w:hAnsi="Arial" w:cs="Arial"/>
        </w:rPr>
        <w:t xml:space="preserve">In modern corporate environments, organisational culture is rarely just a backdrop. It operates as the fundamental operating system that dictates how a business functions </w:t>
      </w:r>
      <w:r w:rsidR="00A3667C" w:rsidRPr="00686C52">
        <w:rPr>
          <w:rFonts w:ascii="Arial" w:hAnsi="Arial" w:cs="Arial"/>
        </w:rPr>
        <w:t>daily</w:t>
      </w:r>
      <w:r w:rsidR="0058680E" w:rsidRPr="00686C52">
        <w:rPr>
          <w:rFonts w:ascii="Arial" w:hAnsi="Arial" w:cs="Arial"/>
        </w:rPr>
        <w:t>. Mullins and Christy (2016) accurately capture this pervasive influence, defining culture as the way things are done around here. They note that common values and beliefs deeply impact everything from group behaviour to structural design and management control. Furthermore, as globalisation forces companies to operate across borders, managing a diverse workforce under a coherent cultural umbrella has become a critical strategic imperative.</w:t>
      </w:r>
    </w:p>
    <w:p w14:paraId="0E6968F5" w14:textId="3024A9C8" w:rsidR="005E207C" w:rsidRDefault="0058680E" w:rsidP="0058680E">
      <w:pPr>
        <w:spacing w:line="360" w:lineRule="auto"/>
        <w:rPr>
          <w:rFonts w:ascii="Arial" w:hAnsi="Arial" w:cs="Arial"/>
        </w:rPr>
      </w:pPr>
      <w:r w:rsidRPr="00686C52">
        <w:rPr>
          <w:rFonts w:ascii="Arial" w:hAnsi="Arial" w:cs="Arial"/>
        </w:rPr>
        <w:t>This formal report focuses on Toyota Motor Corporation, an organisation whose very identity is synonymous with its cultural framework known globally as The Toyota Way. Unlike many Western corporations where culture is relegated to abstract mission statements produced by human resources, Toyota’s culture is a tangible, measurable force. It directly dictates factory operations, strategic pivots, and global integration. This report will critically evaluate how Toyota’s deeply entrenched values shape its structural architecture and decision-making processes. It applies established theoretical frameworks to diagnose this culture, analyses how it acts as an adaptive mechanism against external macro-environmental pressures and critically assesses whether it functions primarily as an enabler of success or a barrier to necessary change. Finally, the report offers theory-informed recommendations to optimise long-term organisational performance.</w:t>
      </w:r>
    </w:p>
    <w:p w14:paraId="7CEC2A9C" w14:textId="49F40630" w:rsidR="005E207C" w:rsidRPr="007977B0" w:rsidRDefault="005E207C" w:rsidP="005E207C">
      <w:pPr>
        <w:rPr>
          <w:rFonts w:ascii="Arial" w:hAnsi="Arial" w:cs="Arial"/>
          <w:i/>
          <w:iCs/>
        </w:rPr>
      </w:pPr>
      <w:r w:rsidRPr="001C2F94">
        <w:rPr>
          <w:rFonts w:ascii="Arial" w:hAnsi="Arial" w:cs="Arial"/>
        </w:rPr>
        <w:t xml:space="preserve">Toyota Motor Corporation provides a valuable example of how organisational culture influences business performance. Since the development of The Toyota Way, the company has built a global reputation for quality, efficiency and continuous improvement. Cultural principles such as Kaizen, Genchi Genbutsu and respect for people continue to shape Toyota’s management practices and </w:t>
      </w:r>
      <w:r w:rsidR="00CF2954" w:rsidRPr="001C2F94">
        <w:rPr>
          <w:rFonts w:ascii="Arial" w:hAnsi="Arial" w:cs="Arial"/>
        </w:rPr>
        <w:t>decision-making</w:t>
      </w:r>
      <w:r w:rsidRPr="001C2F94">
        <w:rPr>
          <w:rFonts w:ascii="Arial" w:hAnsi="Arial" w:cs="Arial"/>
        </w:rPr>
        <w:t xml:space="preserve"> processes across its international operations.</w:t>
      </w:r>
      <w:r w:rsidRPr="00606909">
        <w:rPr>
          <w:rFonts w:ascii="Arial" w:hAnsi="Arial" w:cs="Arial"/>
          <w:color w:val="EE0000"/>
        </w:rPr>
        <w:t xml:space="preserve"> </w:t>
      </w:r>
      <w:r w:rsidR="007977B0" w:rsidRPr="007977B0">
        <w:rPr>
          <w:rFonts w:ascii="Arial" w:hAnsi="Arial" w:cs="Arial"/>
          <w:i/>
          <w:iCs/>
          <w:color w:val="000000" w:themeColor="text1"/>
        </w:rPr>
        <w:t>(</w:t>
      </w:r>
      <w:r w:rsidR="004D0CFC" w:rsidRPr="004D0CFC">
        <w:rPr>
          <w:rFonts w:ascii="Arial" w:hAnsi="Arial" w:cs="Arial"/>
          <w:i/>
          <w:iCs/>
          <w:color w:val="000000" w:themeColor="text1"/>
        </w:rPr>
        <w:t xml:space="preserve">Mullins, L.J. and Christy, G. (2023) Management and Organisational Behaviour. 13th edn. Harlow: </w:t>
      </w:r>
      <w:r w:rsidR="005C3BD0" w:rsidRPr="004D0CFC">
        <w:rPr>
          <w:rFonts w:ascii="Arial" w:hAnsi="Arial" w:cs="Arial"/>
          <w:i/>
          <w:iCs/>
          <w:color w:val="000000" w:themeColor="text1"/>
        </w:rPr>
        <w:t>Pearson</w:t>
      </w:r>
      <w:r w:rsidR="005C3BD0">
        <w:rPr>
          <w:rFonts w:ascii="Arial" w:hAnsi="Arial" w:cs="Arial"/>
          <w:i/>
          <w:iCs/>
          <w:color w:val="000000" w:themeColor="text1"/>
        </w:rPr>
        <w:t>) (Accessed 24.07.2026)</w:t>
      </w:r>
    </w:p>
    <w:p w14:paraId="22709001" w14:textId="3BAC2A76" w:rsidR="005E207C" w:rsidRPr="001C2F94" w:rsidRDefault="00C83E2D" w:rsidP="005E207C">
      <w:pPr>
        <w:rPr>
          <w:rFonts w:ascii="Arial" w:hAnsi="Arial" w:cs="Arial"/>
        </w:rPr>
      </w:pPr>
      <w:r w:rsidRPr="00C83E2D">
        <w:rPr>
          <w:rFonts w:ascii="Arial" w:hAnsi="Arial" w:cs="Arial"/>
        </w:rPr>
        <w:t>This report examines Toyota’s organisational culture by analysing how it shapes the company’s organisational structure, decision-making processes, and overall business performance. It draws on established organisational behaviour theories, including the frameworks developed by Schein, Hofstede, and Handy, to evaluate the key characteristics of Toyota’s culture. In addition, the report explores the influence of external environmental factors through a PESTLE analysis before assessing how Toyota’s organisational culture can both support and hinder organisational success. Finally, practical recommendations are presented to strengthen Toyota’s future organisational development.</w:t>
      </w:r>
    </w:p>
    <w:p w14:paraId="53514A95" w14:textId="56E5BD98" w:rsidR="005E207C" w:rsidRDefault="00C83E2D" w:rsidP="005E207C">
      <w:pPr>
        <w:rPr>
          <w:rFonts w:ascii="Arial" w:hAnsi="Arial" w:cs="Arial"/>
          <w:b/>
          <w:bCs/>
          <w:i/>
          <w:iCs/>
        </w:rPr>
      </w:pPr>
      <w:r w:rsidRPr="001F3B72">
        <w:rPr>
          <w:noProof/>
        </w:rPr>
        <w:drawing>
          <wp:anchor distT="0" distB="0" distL="114300" distR="114300" simplePos="0" relativeHeight="251642368" behindDoc="0" locked="0" layoutInCell="1" allowOverlap="1" wp14:anchorId="04161BA4" wp14:editId="704B91D3">
            <wp:simplePos x="0" y="0"/>
            <wp:positionH relativeFrom="column">
              <wp:posOffset>992505</wp:posOffset>
            </wp:positionH>
            <wp:positionV relativeFrom="paragraph">
              <wp:posOffset>34290</wp:posOffset>
            </wp:positionV>
            <wp:extent cx="5836920" cy="2113280"/>
            <wp:effectExtent l="0" t="0" r="0" b="1270"/>
            <wp:wrapNone/>
            <wp:docPr id="1965070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36920" cy="2113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A71642" w14:textId="77777777" w:rsidR="005E207C" w:rsidRDefault="005E207C" w:rsidP="005E207C">
      <w:pPr>
        <w:jc w:val="center"/>
        <w:rPr>
          <w:rFonts w:ascii="Arial" w:hAnsi="Arial" w:cs="Arial"/>
          <w:b/>
          <w:bCs/>
          <w:i/>
          <w:iCs/>
        </w:rPr>
      </w:pPr>
    </w:p>
    <w:p w14:paraId="550DE3E7" w14:textId="77777777" w:rsidR="005E207C" w:rsidRDefault="005E207C" w:rsidP="005E207C">
      <w:pPr>
        <w:jc w:val="center"/>
        <w:rPr>
          <w:rFonts w:ascii="Arial" w:hAnsi="Arial" w:cs="Arial"/>
          <w:b/>
          <w:bCs/>
          <w:i/>
          <w:iCs/>
        </w:rPr>
      </w:pPr>
    </w:p>
    <w:p w14:paraId="10ECED90" w14:textId="77777777" w:rsidR="005E207C" w:rsidRDefault="005E207C" w:rsidP="005E207C">
      <w:pPr>
        <w:rPr>
          <w:rFonts w:ascii="Arial" w:hAnsi="Arial" w:cs="Arial"/>
          <w:b/>
          <w:bCs/>
          <w:i/>
          <w:iCs/>
        </w:rPr>
      </w:pPr>
    </w:p>
    <w:p w14:paraId="6C625C37" w14:textId="77777777" w:rsidR="005E207C" w:rsidRDefault="005E207C" w:rsidP="005E207C">
      <w:pPr>
        <w:rPr>
          <w:rFonts w:ascii="Arial" w:hAnsi="Arial" w:cs="Arial"/>
          <w:b/>
          <w:bCs/>
          <w:i/>
          <w:iCs/>
        </w:rPr>
      </w:pPr>
    </w:p>
    <w:p w14:paraId="14789EF2" w14:textId="77777777" w:rsidR="005E207C" w:rsidRDefault="005E207C" w:rsidP="005E207C">
      <w:pPr>
        <w:rPr>
          <w:rFonts w:ascii="Arial" w:hAnsi="Arial" w:cs="Arial"/>
          <w:b/>
          <w:bCs/>
          <w:i/>
          <w:iCs/>
        </w:rPr>
      </w:pPr>
    </w:p>
    <w:p w14:paraId="72767238" w14:textId="77777777" w:rsidR="005E207C" w:rsidRDefault="005E207C" w:rsidP="005E207C">
      <w:pPr>
        <w:rPr>
          <w:rFonts w:ascii="Arial" w:hAnsi="Arial" w:cs="Arial"/>
          <w:b/>
          <w:bCs/>
          <w:i/>
          <w:iCs/>
        </w:rPr>
      </w:pPr>
    </w:p>
    <w:p w14:paraId="4508B30C" w14:textId="77777777" w:rsidR="005E207C" w:rsidRDefault="005E207C" w:rsidP="005E207C">
      <w:pPr>
        <w:rPr>
          <w:rFonts w:ascii="Arial" w:hAnsi="Arial" w:cs="Arial"/>
          <w:b/>
          <w:bCs/>
          <w:i/>
          <w:iCs/>
        </w:rPr>
      </w:pPr>
    </w:p>
    <w:p w14:paraId="79C9B1FE" w14:textId="7479E857" w:rsidR="005E207C" w:rsidRPr="00C02C7B" w:rsidRDefault="005E207C" w:rsidP="00C02C7B">
      <w:pPr>
        <w:pStyle w:val="Heading1"/>
        <w:rPr>
          <w:sz w:val="32"/>
          <w:szCs w:val="32"/>
        </w:rPr>
      </w:pPr>
      <w:bookmarkStart w:id="5" w:name="_Hlk236333640"/>
      <w:bookmarkStart w:id="6" w:name="_Toc236334011"/>
      <w:bookmarkStart w:id="7" w:name="_Toc236334259"/>
      <w:bookmarkStart w:id="8" w:name="_Toc236334619"/>
      <w:r w:rsidRPr="00C02C7B">
        <w:rPr>
          <w:sz w:val="32"/>
          <w:szCs w:val="32"/>
        </w:rPr>
        <w:t xml:space="preserve"> </w:t>
      </w:r>
      <w:bookmarkEnd w:id="6"/>
      <w:bookmarkEnd w:id="7"/>
      <w:bookmarkEnd w:id="8"/>
      <w:r w:rsidR="00EA37E8" w:rsidRPr="00EA37E8">
        <w:rPr>
          <w:sz w:val="32"/>
          <w:szCs w:val="32"/>
        </w:rPr>
        <w:t>How Organisational Culture Shapes Structure and Decision-Making</w:t>
      </w:r>
    </w:p>
    <w:bookmarkEnd w:id="5"/>
    <w:p w14:paraId="7F95CDB5" w14:textId="5F905BFA" w:rsidR="004D0CFC" w:rsidRDefault="000555BC" w:rsidP="005E207C">
      <w:pPr>
        <w:rPr>
          <w:rFonts w:ascii="Arial" w:hAnsi="Arial" w:cs="Arial"/>
          <w:i/>
          <w:iCs/>
          <w:color w:val="000000" w:themeColor="text1"/>
        </w:rPr>
      </w:pPr>
      <w:r w:rsidRPr="000555BC">
        <w:rPr>
          <w:rFonts w:ascii="Arial" w:hAnsi="Arial" w:cs="Arial"/>
        </w:rPr>
        <w:t>Organisational culture plays a central role in determining how a company is structured and how decisions are made throughout the organisation. Within Toyota, shared values influence not only employee behaviour but also communication, problem-solving, and the implementation of organisational change. Instead of relying exclusively on hierarchical authority, the company encourages collaboration and participation in decision-making, creating an environment that supports continuous improvement and long-term organisational effectiveness</w:t>
      </w:r>
      <w:r w:rsidR="007977B0" w:rsidRPr="001C2F94">
        <w:rPr>
          <w:rFonts w:ascii="Arial" w:hAnsi="Arial" w:cs="Arial"/>
        </w:rPr>
        <w:t>.</w:t>
      </w:r>
      <w:r w:rsidR="007977B0">
        <w:rPr>
          <w:rFonts w:ascii="Arial" w:hAnsi="Arial" w:cs="Arial"/>
          <w:color w:val="EE0000"/>
        </w:rPr>
        <w:t xml:space="preserve"> </w:t>
      </w:r>
      <w:r w:rsidR="004D0CFC" w:rsidRPr="004D0CFC">
        <w:rPr>
          <w:rFonts w:ascii="Arial" w:hAnsi="Arial" w:cs="Arial"/>
          <w:i/>
          <w:iCs/>
          <w:color w:val="000000" w:themeColor="text1"/>
        </w:rPr>
        <w:t>(Toyota Motor Corporation (2024) Integrated Report 2024. Available at: https://global.toyota/en/ir/library/annual/)</w:t>
      </w:r>
    </w:p>
    <w:p w14:paraId="3E904251" w14:textId="7EBC1FC8" w:rsidR="005E207C" w:rsidRPr="00C02C7B" w:rsidRDefault="005E207C" w:rsidP="00C02C7B">
      <w:pPr>
        <w:pStyle w:val="Heading1"/>
        <w:rPr>
          <w:sz w:val="32"/>
          <w:szCs w:val="32"/>
        </w:rPr>
      </w:pPr>
      <w:bookmarkStart w:id="9" w:name="_Toc236334012"/>
      <w:bookmarkStart w:id="10" w:name="_Toc236334260"/>
      <w:bookmarkStart w:id="11" w:name="_Toc236334620"/>
      <w:r w:rsidRPr="00C02C7B">
        <w:rPr>
          <w:sz w:val="32"/>
          <w:szCs w:val="32"/>
        </w:rPr>
        <w:t>Cultural Governance of Decision-Making Processes</w:t>
      </w:r>
      <w:bookmarkEnd w:id="9"/>
      <w:bookmarkEnd w:id="10"/>
      <w:bookmarkEnd w:id="11"/>
    </w:p>
    <w:p w14:paraId="3F4CE5BB" w14:textId="4AE8F06C" w:rsidR="005E207C" w:rsidRDefault="005E207C" w:rsidP="005E207C">
      <w:pPr>
        <w:rPr>
          <w:rFonts w:ascii="Arial" w:hAnsi="Arial" w:cs="Arial"/>
        </w:rPr>
      </w:pPr>
      <w:r w:rsidRPr="001C2F94">
        <w:rPr>
          <w:rFonts w:ascii="Arial" w:hAnsi="Arial" w:cs="Arial"/>
        </w:rPr>
        <w:t xml:space="preserve">Toyota’s approach to decision making reflects its commitment to employee involvement and </w:t>
      </w:r>
      <w:r w:rsidR="00CF2954" w:rsidRPr="001C2F94">
        <w:rPr>
          <w:rFonts w:ascii="Arial" w:hAnsi="Arial" w:cs="Arial"/>
        </w:rPr>
        <w:t>long-term</w:t>
      </w:r>
      <w:r w:rsidRPr="001C2F94">
        <w:rPr>
          <w:rFonts w:ascii="Arial" w:hAnsi="Arial" w:cs="Arial"/>
        </w:rPr>
        <w:t xml:space="preserve"> thinking. Important organisational decisions are typically developed through consultation rather than being imposed by senior management. This encourages employees to contribute their knowledge while helping to build commitment before decisions are formally implemented. As a result, decisions often require more time during the planning stage but are generally implemented more effectively because key stakeholders have already been involved in the process.</w:t>
      </w:r>
    </w:p>
    <w:p w14:paraId="58F11001" w14:textId="77777777" w:rsidR="005E207C" w:rsidRPr="00C02C7B" w:rsidRDefault="005E207C" w:rsidP="00C02C7B">
      <w:pPr>
        <w:pStyle w:val="Heading1"/>
        <w:rPr>
          <w:sz w:val="32"/>
          <w:szCs w:val="32"/>
        </w:rPr>
      </w:pPr>
      <w:bookmarkStart w:id="12" w:name="_Toc236334261"/>
      <w:bookmarkStart w:id="13" w:name="_Toc236334621"/>
      <w:r w:rsidRPr="00C02C7B">
        <w:rPr>
          <w:sz w:val="32"/>
          <w:szCs w:val="32"/>
        </w:rPr>
        <w:t>A Hybrid Organisational Structure</w:t>
      </w:r>
      <w:bookmarkEnd w:id="12"/>
      <w:bookmarkEnd w:id="13"/>
    </w:p>
    <w:p w14:paraId="32FFE0EA" w14:textId="77777777" w:rsidR="005E207C" w:rsidRPr="001C2F94" w:rsidRDefault="005E207C" w:rsidP="005E207C">
      <w:pPr>
        <w:rPr>
          <w:rFonts w:ascii="Arial" w:hAnsi="Arial" w:cs="Arial"/>
        </w:rPr>
      </w:pPr>
      <w:r w:rsidRPr="001C2F94">
        <w:rPr>
          <w:rFonts w:ascii="Arial" w:hAnsi="Arial" w:cs="Arial"/>
        </w:rPr>
        <w:t>Toyota’s organisational structure reflects a balance between formal hierarchy and employee empowerment. Although the company operates within a clearly defined organisational framework, its culture encourages employees at different levels to contribute to organisational improvement. This combination supports both operational consistency and continuous learning across the organisation.</w:t>
      </w:r>
    </w:p>
    <w:p w14:paraId="5D8B4B21" w14:textId="4FB25152" w:rsidR="00346783" w:rsidRDefault="005E207C" w:rsidP="00346783">
      <w:pPr>
        <w:pStyle w:val="NormalWeb"/>
      </w:pPr>
      <w:r w:rsidRPr="001C2F94">
        <w:rPr>
          <w:rFonts w:ascii="Arial" w:hAnsi="Arial" w:cs="Arial"/>
        </w:rPr>
        <w:lastRenderedPageBreak/>
        <w:t>Toyota maintains clear reporting structures and standardised procedures to ensure efficiency and quality control. Employees are expected to follow established processes, which contributes to the company’s strong reputation for reliability and operational excellence. Such standardisation is particularly important within large multinational organisations where maintaining consistency across global operations is essential.</w:t>
      </w:r>
      <w:r>
        <w:rPr>
          <w:rFonts w:ascii="Arial" w:hAnsi="Arial" w:cs="Arial"/>
        </w:rPr>
        <w:t xml:space="preserve"> </w:t>
      </w:r>
    </w:p>
    <w:p w14:paraId="1D642FBA" w14:textId="70C842FA" w:rsidR="005E207C" w:rsidRPr="00E70920" w:rsidRDefault="005C3BD0" w:rsidP="005E207C">
      <w:pPr>
        <w:rPr>
          <w:rFonts w:ascii="Arial" w:hAnsi="Arial" w:cs="Arial"/>
          <w:color w:val="EE0000"/>
        </w:rPr>
      </w:pPr>
      <w:bookmarkStart w:id="14" w:name="_Toc236334622"/>
      <w:r w:rsidRPr="00C02C7B">
        <w:rPr>
          <w:rStyle w:val="Heading1Char"/>
          <w:sz w:val="28"/>
          <w:szCs w:val="28"/>
        </w:rPr>
        <w:t>FIG.1 GANT CHART TOYOTA</w:t>
      </w:r>
      <w:bookmarkEnd w:id="14"/>
      <w:r>
        <w:rPr>
          <w:rFonts w:ascii="Arial" w:hAnsi="Arial" w:cs="Arial"/>
          <w:noProof/>
          <w:color w:val="EE0000"/>
        </w:rPr>
        <w:drawing>
          <wp:inline distT="0" distB="0" distL="0" distR="0" wp14:anchorId="7C94D140" wp14:editId="314E994D">
            <wp:extent cx="6155709" cy="2379980"/>
            <wp:effectExtent l="0" t="0" r="0" b="1270"/>
            <wp:docPr id="1714739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8601" cy="2384964"/>
                    </a:xfrm>
                    <a:prstGeom prst="rect">
                      <a:avLst/>
                    </a:prstGeom>
                    <a:noFill/>
                  </pic:spPr>
                </pic:pic>
              </a:graphicData>
            </a:graphic>
          </wp:inline>
        </w:drawing>
      </w:r>
    </w:p>
    <w:p w14:paraId="2787A752" w14:textId="77777777" w:rsidR="005E207C" w:rsidRDefault="005E207C" w:rsidP="005E207C">
      <w:pPr>
        <w:rPr>
          <w:rFonts w:ascii="Arial" w:hAnsi="Arial" w:cs="Arial"/>
        </w:rPr>
      </w:pPr>
      <w:r w:rsidRPr="001C2F94">
        <w:rPr>
          <w:rFonts w:ascii="Arial" w:hAnsi="Arial" w:cs="Arial"/>
        </w:rPr>
        <w:t>Despite its hierarchical structure, Toyota promotes employee involvement through cultural principles that encourage individuals to identify problems and suggest improvements. One important example is Jidoka, which emphasises quality at every stage of production by allowing employees to stop the production process when defects or safety concerns are</w:t>
      </w:r>
    </w:p>
    <w:p w14:paraId="1A2AC9D6" w14:textId="040316A3" w:rsidR="005E207C" w:rsidRPr="007977B0" w:rsidRDefault="005E207C" w:rsidP="005E207C">
      <w:pPr>
        <w:rPr>
          <w:rFonts w:ascii="Arial" w:hAnsi="Arial" w:cs="Arial"/>
          <w:i/>
          <w:iCs/>
          <w:color w:val="000000" w:themeColor="text1"/>
        </w:rPr>
      </w:pPr>
      <w:r w:rsidRPr="001C2F94">
        <w:rPr>
          <w:rFonts w:ascii="Arial" w:hAnsi="Arial" w:cs="Arial"/>
        </w:rPr>
        <w:t xml:space="preserve">identified. Rather than viewing this as a disruption, Toyota considers employee intervention an important contribution to organisational </w:t>
      </w:r>
      <w:r w:rsidR="004D0CFC" w:rsidRPr="001C2F94">
        <w:rPr>
          <w:rFonts w:ascii="Arial" w:hAnsi="Arial" w:cs="Arial"/>
        </w:rPr>
        <w:t>performance.</w:t>
      </w:r>
      <w:r w:rsidR="004D0CFC">
        <w:rPr>
          <w:rFonts w:ascii="Arial" w:hAnsi="Arial" w:cs="Arial"/>
          <w:i/>
          <w:iCs/>
          <w:color w:val="000000" w:themeColor="text1"/>
        </w:rPr>
        <w:t xml:space="preserve"> (</w:t>
      </w:r>
      <w:r w:rsidR="004D0CFC" w:rsidRPr="004D0CFC">
        <w:rPr>
          <w:rFonts w:ascii="Arial" w:hAnsi="Arial" w:cs="Arial"/>
          <w:i/>
          <w:iCs/>
          <w:color w:val="000000" w:themeColor="text1"/>
        </w:rPr>
        <w:t>Robbins, S.P. and Judge, T.A. (2023) Organizational Behaviour. 19th edn. Harlow: Pearson.</w:t>
      </w:r>
      <w:r w:rsidR="004D0CFC">
        <w:rPr>
          <w:rFonts w:ascii="Arial" w:hAnsi="Arial" w:cs="Arial"/>
          <w:i/>
          <w:iCs/>
          <w:color w:val="000000" w:themeColor="text1"/>
        </w:rPr>
        <w:t>)</w:t>
      </w:r>
    </w:p>
    <w:p w14:paraId="768DD06F" w14:textId="57F4E69F" w:rsidR="005E207C" w:rsidRPr="00432B0F" w:rsidRDefault="005E207C" w:rsidP="005E207C">
      <w:pPr>
        <w:rPr>
          <w:rFonts w:ascii="Arial" w:hAnsi="Arial" w:cs="Arial"/>
        </w:rPr>
      </w:pPr>
      <w:r w:rsidRPr="001C2F94">
        <w:rPr>
          <w:rFonts w:ascii="Arial" w:hAnsi="Arial" w:cs="Arial"/>
        </w:rPr>
        <w:t xml:space="preserve">This approach demonstrates how organisational culture can positively influence organisational structure. Employees are given responsibility within clearly defined systems, creating an environment where accountability and collaboration coexist. As a result, Toyota </w:t>
      </w:r>
      <w:r w:rsidR="00CF2954" w:rsidRPr="001C2F94">
        <w:rPr>
          <w:rFonts w:ascii="Arial" w:hAnsi="Arial" w:cs="Arial"/>
        </w:rPr>
        <w:t>can</w:t>
      </w:r>
      <w:r w:rsidRPr="001C2F94">
        <w:rPr>
          <w:rFonts w:ascii="Arial" w:hAnsi="Arial" w:cs="Arial"/>
        </w:rPr>
        <w:t xml:space="preserve"> maintain operational control while encouraging continuous improvement throughout the organisation.</w:t>
      </w:r>
      <w:r w:rsidRPr="00E70920">
        <w:rPr>
          <w:rFonts w:ascii="Arial" w:hAnsi="Arial" w:cs="Arial"/>
          <w:color w:val="EE0000"/>
        </w:rPr>
        <w:t xml:space="preserve"> </w:t>
      </w:r>
      <w:r w:rsidR="004D0CFC">
        <w:rPr>
          <w:rFonts w:ascii="Arial" w:hAnsi="Arial" w:cs="Arial"/>
          <w:color w:val="000000" w:themeColor="text1"/>
        </w:rPr>
        <w:t>(</w:t>
      </w:r>
      <w:r w:rsidR="004D0CFC" w:rsidRPr="004D0CFC">
        <w:rPr>
          <w:rFonts w:ascii="Arial" w:hAnsi="Arial" w:cs="Arial"/>
          <w:i/>
          <w:iCs/>
          <w:color w:val="000000" w:themeColor="text1"/>
        </w:rPr>
        <w:t xml:space="preserve">Toyota Motor Corporation (2024) Integrated Report 2024. </w:t>
      </w:r>
      <w:r w:rsidR="005C3BD0">
        <w:rPr>
          <w:rFonts w:ascii="Arial" w:hAnsi="Arial" w:cs="Arial"/>
          <w:i/>
          <w:iCs/>
          <w:color w:val="000000" w:themeColor="text1"/>
        </w:rPr>
        <w:t>(Accessed:24.07.2026)</w:t>
      </w:r>
    </w:p>
    <w:p w14:paraId="39822D48" w14:textId="77777777" w:rsidR="005E207C" w:rsidRPr="00C02C7B" w:rsidRDefault="005E207C" w:rsidP="00C02C7B">
      <w:pPr>
        <w:pStyle w:val="Heading1"/>
        <w:rPr>
          <w:sz w:val="32"/>
          <w:szCs w:val="32"/>
        </w:rPr>
      </w:pPr>
      <w:bookmarkStart w:id="15" w:name="_Toc236334262"/>
      <w:bookmarkStart w:id="16" w:name="_Toc236334623"/>
      <w:r w:rsidRPr="00C02C7B">
        <w:rPr>
          <w:sz w:val="32"/>
          <w:szCs w:val="32"/>
        </w:rPr>
        <w:t>Hoshin Kanri</w:t>
      </w:r>
      <w:bookmarkEnd w:id="15"/>
      <w:bookmarkEnd w:id="16"/>
    </w:p>
    <w:p w14:paraId="520FFFD7" w14:textId="77777777" w:rsidR="005E207C" w:rsidRPr="001C2F94" w:rsidRDefault="005E207C" w:rsidP="005E207C">
      <w:pPr>
        <w:rPr>
          <w:rFonts w:ascii="Arial" w:hAnsi="Arial" w:cs="Arial"/>
        </w:rPr>
      </w:pPr>
      <w:r w:rsidRPr="001C2F94">
        <w:rPr>
          <w:rFonts w:ascii="Arial" w:hAnsi="Arial" w:cs="Arial"/>
        </w:rPr>
        <w:t>Toyota also uses Hoshin Kanri as a strategic management approach that aligns organisational objectives across different levels of the company. Strategic goals are communicated throughout the organisation and translated into practical objectives for managers and employees. This process helps ensure that daily activities contribute to broader organisational priorities.</w:t>
      </w:r>
    </w:p>
    <w:p w14:paraId="4AD6CF65" w14:textId="4EFF5736" w:rsidR="005E207C" w:rsidRPr="00DC1444" w:rsidRDefault="005E207C" w:rsidP="005E207C">
      <w:pPr>
        <w:rPr>
          <w:rFonts w:ascii="Arial" w:hAnsi="Arial" w:cs="Arial"/>
        </w:rPr>
      </w:pPr>
      <w:r w:rsidRPr="001C2F94">
        <w:rPr>
          <w:rFonts w:ascii="Arial" w:hAnsi="Arial" w:cs="Arial"/>
        </w:rPr>
        <w:t>By aligning strategic objectives with operational practices, Toyota strengthens communication and coordination across departments. Hoshin Kanri therefore supports organisational effectiveness by connecting long term corporate goals with employee performance and continuous improvement initiatives.</w:t>
      </w:r>
    </w:p>
    <w:p w14:paraId="2DDF2BEF" w14:textId="4EFF5736" w:rsidR="005E207C" w:rsidRPr="00C02C7B" w:rsidRDefault="005E207C" w:rsidP="00C02C7B">
      <w:pPr>
        <w:pStyle w:val="Heading1"/>
        <w:rPr>
          <w:sz w:val="32"/>
          <w:szCs w:val="32"/>
        </w:rPr>
      </w:pPr>
      <w:bookmarkStart w:id="17" w:name="_Toc236334263"/>
      <w:bookmarkStart w:id="18" w:name="_Toc236334624"/>
      <w:r w:rsidRPr="00C02C7B">
        <w:rPr>
          <w:sz w:val="32"/>
          <w:szCs w:val="32"/>
        </w:rPr>
        <w:t>Catchball</w:t>
      </w:r>
      <w:bookmarkEnd w:id="17"/>
      <w:bookmarkEnd w:id="18"/>
    </w:p>
    <w:p w14:paraId="65A54C49" w14:textId="77777777" w:rsidR="005E207C" w:rsidRPr="001C2F94" w:rsidRDefault="005E207C" w:rsidP="005E207C">
      <w:pPr>
        <w:rPr>
          <w:rFonts w:ascii="Arial" w:hAnsi="Arial" w:cs="Arial"/>
        </w:rPr>
      </w:pPr>
      <w:r w:rsidRPr="001C2F94">
        <w:rPr>
          <w:rFonts w:ascii="Arial" w:hAnsi="Arial" w:cs="Arial"/>
        </w:rPr>
        <w:t>An important feature of Hoshin Kanri is the Catchball process, which encourages communication between different organisational levels. Rather than imposing targets without consultation, managers and employees exchange feedback to ensure that organisational objectives are realistic and achievable. This collaborative approach strengthens employee engagement and improves the implementation of strategic initiatives.</w:t>
      </w:r>
    </w:p>
    <w:p w14:paraId="116C6BE8" w14:textId="2512A51E" w:rsidR="005E207C" w:rsidRDefault="005E207C" w:rsidP="005E207C">
      <w:pPr>
        <w:rPr>
          <w:rFonts w:ascii="Arial" w:hAnsi="Arial" w:cs="Arial"/>
        </w:rPr>
      </w:pPr>
      <w:r w:rsidRPr="001C2F94">
        <w:rPr>
          <w:rFonts w:ascii="Arial" w:hAnsi="Arial" w:cs="Arial"/>
        </w:rPr>
        <w:t>The Catchball process reflects Toyota’s emphasis on teamwork and shared responsibility. It also supports a more flexible organisational structure by allowing employees to contribute their operational knowledge during strategic planning.</w:t>
      </w:r>
    </w:p>
    <w:p w14:paraId="1000CB4A" w14:textId="7BBBC332" w:rsidR="005E207C" w:rsidRPr="00C02C7B" w:rsidRDefault="005E207C" w:rsidP="00C02C7B">
      <w:pPr>
        <w:pStyle w:val="Heading1"/>
        <w:rPr>
          <w:sz w:val="32"/>
          <w:szCs w:val="32"/>
        </w:rPr>
      </w:pPr>
      <w:bookmarkStart w:id="19" w:name="_Toc236334264"/>
      <w:bookmarkStart w:id="20" w:name="_Toc236334625"/>
      <w:r w:rsidRPr="00C02C7B">
        <w:rPr>
          <w:sz w:val="32"/>
          <w:szCs w:val="32"/>
        </w:rPr>
        <w:t>Application of Theoretical Frameworks to Identify Toyota’s Organisational Culture</w:t>
      </w:r>
      <w:bookmarkEnd w:id="19"/>
      <w:bookmarkEnd w:id="20"/>
    </w:p>
    <w:p w14:paraId="09839C3E" w14:textId="412A2D21" w:rsidR="005E207C" w:rsidRPr="001C2F94" w:rsidRDefault="005E207C" w:rsidP="005E207C">
      <w:pPr>
        <w:rPr>
          <w:rFonts w:ascii="Arial" w:hAnsi="Arial" w:cs="Arial"/>
        </w:rPr>
      </w:pPr>
      <w:r w:rsidRPr="001C2F94">
        <w:rPr>
          <w:rFonts w:ascii="Arial" w:hAnsi="Arial" w:cs="Arial"/>
        </w:rPr>
        <w:t>To better understand Toyota’s organisational culture, it is useful to apply established organisational behaviour theories. The models developed by Schein, Hofstede and Handy provide valuable insights into how Toyota’s cultural values influence employee behaviour, management practices and organisational performance. Applying these frameworks also helps explain how Toyota has maintained a strong organisational culture while operating across different international markets.</w:t>
      </w:r>
    </w:p>
    <w:p w14:paraId="190DBF82" w14:textId="1F5722A7" w:rsidR="005E207C" w:rsidRPr="00C02C7B" w:rsidRDefault="0072560A" w:rsidP="00C02C7B">
      <w:pPr>
        <w:pStyle w:val="Heading1"/>
      </w:pPr>
      <w:bookmarkStart w:id="21" w:name="_Toc236334265"/>
      <w:bookmarkStart w:id="22" w:name="_Toc236334626"/>
      <w:r w:rsidRPr="00C02C7B">
        <w:rPr>
          <w:rStyle w:val="Heading8Char"/>
          <w:i w:val="0"/>
          <w:iCs w:val="0"/>
          <w:color w:val="2F5496" w:themeColor="accent1" w:themeShade="BF"/>
          <w:sz w:val="32"/>
          <w:szCs w:val="32"/>
        </w:rPr>
        <w:drawing>
          <wp:anchor distT="0" distB="0" distL="114300" distR="114300" simplePos="0" relativeHeight="251652608" behindDoc="0" locked="0" layoutInCell="1" allowOverlap="1" wp14:anchorId="60972413" wp14:editId="5DC4A083">
            <wp:simplePos x="0" y="0"/>
            <wp:positionH relativeFrom="column">
              <wp:posOffset>198120</wp:posOffset>
            </wp:positionH>
            <wp:positionV relativeFrom="paragraph">
              <wp:posOffset>209550</wp:posOffset>
            </wp:positionV>
            <wp:extent cx="5418455" cy="1981835"/>
            <wp:effectExtent l="0" t="0" r="0" b="0"/>
            <wp:wrapNone/>
            <wp:docPr id="9200505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18455" cy="1981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207C" w:rsidRPr="00C02C7B">
        <w:rPr>
          <w:rStyle w:val="Heading8Char"/>
          <w:i w:val="0"/>
          <w:iCs w:val="0"/>
          <w:color w:val="2F5496" w:themeColor="accent1" w:themeShade="BF"/>
          <w:sz w:val="32"/>
          <w:szCs w:val="32"/>
        </w:rPr>
        <w:t>Schein’s Three Levels of Cultur</w:t>
      </w:r>
      <w:r w:rsidR="005E207C" w:rsidRPr="00C02C7B">
        <w:rPr>
          <w:sz w:val="32"/>
          <w:szCs w:val="32"/>
        </w:rPr>
        <w:t>e</w:t>
      </w:r>
      <w:bookmarkEnd w:id="21"/>
      <w:bookmarkEnd w:id="22"/>
    </w:p>
    <w:p w14:paraId="5E1B2B25" w14:textId="77777777" w:rsidR="0072560A" w:rsidRDefault="0072560A" w:rsidP="005E207C">
      <w:pPr>
        <w:rPr>
          <w:rFonts w:ascii="Arial" w:hAnsi="Arial" w:cs="Arial"/>
        </w:rPr>
      </w:pPr>
    </w:p>
    <w:p w14:paraId="339E66E8" w14:textId="77777777" w:rsidR="0072560A" w:rsidRDefault="0072560A" w:rsidP="005E207C">
      <w:pPr>
        <w:rPr>
          <w:rFonts w:ascii="Arial" w:hAnsi="Arial" w:cs="Arial"/>
        </w:rPr>
      </w:pPr>
    </w:p>
    <w:p w14:paraId="1D0E2F00" w14:textId="77777777" w:rsidR="0072560A" w:rsidRDefault="0072560A" w:rsidP="005E207C">
      <w:pPr>
        <w:rPr>
          <w:rFonts w:ascii="Arial" w:hAnsi="Arial" w:cs="Arial"/>
        </w:rPr>
      </w:pPr>
    </w:p>
    <w:p w14:paraId="2CDBD435" w14:textId="77777777" w:rsidR="0072560A" w:rsidRDefault="0072560A" w:rsidP="005E207C">
      <w:pPr>
        <w:rPr>
          <w:rFonts w:ascii="Arial" w:hAnsi="Arial" w:cs="Arial"/>
        </w:rPr>
      </w:pPr>
    </w:p>
    <w:p w14:paraId="354B5B02" w14:textId="77777777" w:rsidR="0072560A" w:rsidRDefault="0072560A" w:rsidP="005E207C">
      <w:pPr>
        <w:rPr>
          <w:rFonts w:ascii="Arial" w:hAnsi="Arial" w:cs="Arial"/>
        </w:rPr>
      </w:pPr>
    </w:p>
    <w:p w14:paraId="3F8848A3" w14:textId="77777777" w:rsidR="0072560A" w:rsidRDefault="0072560A" w:rsidP="005E207C">
      <w:pPr>
        <w:rPr>
          <w:rFonts w:ascii="Arial" w:hAnsi="Arial" w:cs="Arial"/>
        </w:rPr>
      </w:pPr>
    </w:p>
    <w:p w14:paraId="012D6B07" w14:textId="5884A43C" w:rsidR="009C1B6D" w:rsidRDefault="009C1B6D" w:rsidP="005E207C">
      <w:pPr>
        <w:rPr>
          <w:rFonts w:ascii="Arial" w:hAnsi="Arial" w:cs="Arial"/>
        </w:rPr>
      </w:pPr>
      <w:r>
        <w:rPr>
          <w:rFonts w:ascii="Arial" w:hAnsi="Arial" w:cs="Arial"/>
        </w:rPr>
        <w:t>FIG.2</w:t>
      </w:r>
    </w:p>
    <w:p w14:paraId="4837487E" w14:textId="77777777" w:rsidR="00076D37" w:rsidRDefault="00076D37" w:rsidP="005E207C">
      <w:pPr>
        <w:rPr>
          <w:rFonts w:ascii="Arial" w:hAnsi="Arial" w:cs="Arial"/>
        </w:rPr>
      </w:pPr>
      <w:r w:rsidRPr="00076D37">
        <w:rPr>
          <w:rFonts w:ascii="Arial" w:hAnsi="Arial" w:cs="Arial"/>
        </w:rPr>
        <w:t>Schein’s Three Levels of Culture offers a valuable framework for analysing Toyota’s organisational culture. The framework explains culture through three interconnected dimensions: artefacts, espoused values, and underlying assumptions. Toyota demonstrates consistency across these dimensions, helping to maintain a strong organisational identity and coherent management practices.</w:t>
      </w:r>
    </w:p>
    <w:p w14:paraId="0F01BD7F" w14:textId="6C7B1090" w:rsidR="005E207C" w:rsidRPr="001C2F94" w:rsidRDefault="005E207C" w:rsidP="005E207C">
      <w:pPr>
        <w:rPr>
          <w:rFonts w:ascii="Arial" w:hAnsi="Arial" w:cs="Arial"/>
        </w:rPr>
      </w:pPr>
      <w:r w:rsidRPr="001C2F94">
        <w:rPr>
          <w:rFonts w:ascii="Arial" w:hAnsi="Arial" w:cs="Arial"/>
        </w:rPr>
        <w:t>At the artefact level, Toyota’s culture is visible through its standardised work practices, visual management systems and collaborative working environments. Employees follow clearly defined procedures that support quality and continuous improvement. These visible elements reinforce the organisation’s commitment to efficiency and operational excellence.</w:t>
      </w:r>
    </w:p>
    <w:p w14:paraId="50CF77CB" w14:textId="04DFF502" w:rsidR="005E207C" w:rsidRDefault="007A15C9" w:rsidP="005E207C">
      <w:pPr>
        <w:rPr>
          <w:rFonts w:ascii="Arial" w:hAnsi="Arial" w:cs="Arial"/>
          <w:i/>
          <w:iCs/>
          <w:color w:val="000000" w:themeColor="text1"/>
        </w:rPr>
      </w:pPr>
      <w:r w:rsidRPr="007A15C9">
        <w:rPr>
          <w:rFonts w:ascii="Arial" w:hAnsi="Arial" w:cs="Arial"/>
          <w:i/>
          <w:iCs/>
          <w:color w:val="000000" w:themeColor="text1"/>
        </w:rPr>
        <w:t xml:space="preserve">Toyota’s core values are reflected in the Toyota Way, which emphasises continuous improvement together with respect for people. Principles such as Kaizen and Genchi </w:t>
      </w:r>
      <w:proofErr w:type="spellStart"/>
      <w:r w:rsidRPr="007A15C9">
        <w:rPr>
          <w:rFonts w:ascii="Arial" w:hAnsi="Arial" w:cs="Arial"/>
          <w:i/>
          <w:iCs/>
          <w:color w:val="000000" w:themeColor="text1"/>
        </w:rPr>
        <w:t>Genbutsu</w:t>
      </w:r>
      <w:proofErr w:type="spellEnd"/>
      <w:r w:rsidRPr="007A15C9">
        <w:rPr>
          <w:rFonts w:ascii="Arial" w:hAnsi="Arial" w:cs="Arial"/>
          <w:i/>
          <w:iCs/>
          <w:color w:val="000000" w:themeColor="text1"/>
        </w:rPr>
        <w:t xml:space="preserve"> encourage employees to solve problems through direct observation, practical learning, and ongoing improvement. These values influence both leadership practices and everyday decision-making throughout the organisation.</w:t>
      </w:r>
      <w:r w:rsidR="00CF2954">
        <w:rPr>
          <w:rFonts w:ascii="Arial" w:hAnsi="Arial" w:cs="Arial"/>
          <w:i/>
          <w:iCs/>
          <w:color w:val="000000" w:themeColor="text1"/>
        </w:rPr>
        <w:t xml:space="preserve"> (</w:t>
      </w:r>
      <w:r w:rsidR="00CF2954" w:rsidRPr="004D0CFC">
        <w:t>Bratton</w:t>
      </w:r>
      <w:r w:rsidR="004D0CFC" w:rsidRPr="004D0CFC">
        <w:rPr>
          <w:rFonts w:ascii="Arial" w:hAnsi="Arial" w:cs="Arial"/>
          <w:i/>
          <w:iCs/>
          <w:color w:val="000000" w:themeColor="text1"/>
        </w:rPr>
        <w:t>, J. (2024) Work and Organizational Behaviour. 4th edn. London: Red Globe Press.</w:t>
      </w:r>
      <w:r w:rsidR="004D0CFC">
        <w:rPr>
          <w:rFonts w:ascii="Arial" w:hAnsi="Arial" w:cs="Arial"/>
          <w:i/>
          <w:iCs/>
          <w:color w:val="000000" w:themeColor="text1"/>
        </w:rPr>
        <w:t>)</w:t>
      </w:r>
    </w:p>
    <w:p w14:paraId="0EF3A36A" w14:textId="41A80501" w:rsidR="0075305E" w:rsidRPr="001C2F94" w:rsidRDefault="0075305E" w:rsidP="005E207C">
      <w:pPr>
        <w:rPr>
          <w:rFonts w:ascii="Arial" w:hAnsi="Arial" w:cs="Arial"/>
        </w:rPr>
      </w:pPr>
      <w:r w:rsidRPr="0075305E">
        <w:rPr>
          <w:rFonts w:ascii="Arial" w:hAnsi="Arial" w:cs="Arial"/>
        </w:rPr>
        <w:t xml:space="preserve">Toyota’s core values are reflected in the Toyota Way, which emphasises continuous improvement together with respect for people. Principles such as Kaizen and Genchi </w:t>
      </w:r>
      <w:proofErr w:type="spellStart"/>
      <w:r w:rsidRPr="0075305E">
        <w:rPr>
          <w:rFonts w:ascii="Arial" w:hAnsi="Arial" w:cs="Arial"/>
        </w:rPr>
        <w:t>Genbutsu</w:t>
      </w:r>
      <w:proofErr w:type="spellEnd"/>
      <w:r w:rsidRPr="0075305E">
        <w:rPr>
          <w:rFonts w:ascii="Arial" w:hAnsi="Arial" w:cs="Arial"/>
        </w:rPr>
        <w:t xml:space="preserve"> encourage employees to solve problems through direct observation, practical learning, and ongoing improvement. These values influence both leadership practices and everyday decision-making throughout the organisation.</w:t>
      </w:r>
    </w:p>
    <w:p w14:paraId="4E7F5927" w14:textId="77777777" w:rsidR="005E207C" w:rsidRPr="00C02C7B" w:rsidRDefault="005E207C" w:rsidP="00C02C7B">
      <w:pPr>
        <w:pStyle w:val="Heading1"/>
        <w:rPr>
          <w:sz w:val="32"/>
          <w:szCs w:val="32"/>
        </w:rPr>
      </w:pPr>
      <w:bookmarkStart w:id="23" w:name="_Toc236334266"/>
      <w:r w:rsidRPr="00C02C7B">
        <w:rPr>
          <w:sz w:val="32"/>
          <w:szCs w:val="32"/>
        </w:rPr>
        <w:t>Hofstede’s Cultural Dimensions</w:t>
      </w:r>
      <w:bookmarkEnd w:id="23"/>
    </w:p>
    <w:p w14:paraId="068C0E94" w14:textId="51F47683" w:rsidR="005E207C" w:rsidRPr="001C2F94" w:rsidRDefault="005E207C" w:rsidP="005E207C">
      <w:pPr>
        <w:rPr>
          <w:rFonts w:ascii="Arial" w:hAnsi="Arial" w:cs="Arial"/>
        </w:rPr>
      </w:pPr>
      <w:r w:rsidRPr="001C2F94">
        <w:rPr>
          <w:rFonts w:ascii="Arial" w:hAnsi="Arial" w:cs="Arial"/>
        </w:rPr>
        <w:t xml:space="preserve">Hofstede’s cultural dimensions provide further insight into the influence of national culture on Toyota’s organisational practices. As a Japanese multinational company, Toyota’s organisational culture reflects several characteristics commonly associated with Japanese business practices while also adapting to international </w:t>
      </w:r>
      <w:r w:rsidR="004D0CFC" w:rsidRPr="001C2F94">
        <w:rPr>
          <w:rFonts w:ascii="Arial" w:hAnsi="Arial" w:cs="Arial"/>
        </w:rPr>
        <w:t>contexts.</w:t>
      </w:r>
      <w:r w:rsidR="004D0CFC">
        <w:rPr>
          <w:rFonts w:ascii="Arial" w:hAnsi="Arial" w:cs="Arial"/>
          <w:color w:val="EE0000"/>
        </w:rPr>
        <w:t xml:space="preserve"> </w:t>
      </w:r>
      <w:r w:rsidR="004D0CFC" w:rsidRPr="004D0CFC">
        <w:rPr>
          <w:rFonts w:ascii="Arial" w:hAnsi="Arial" w:cs="Arial"/>
          <w:i/>
          <w:iCs/>
          <w:color w:val="000000" w:themeColor="text1"/>
        </w:rPr>
        <w:t>(Daft, R.L. (2023) Organization Theory and Design. 14th edn. Boston: Cengage Learning.</w:t>
      </w:r>
      <w:r w:rsidR="004D0CFC">
        <w:rPr>
          <w:rFonts w:ascii="Arial" w:hAnsi="Arial" w:cs="Arial"/>
          <w:i/>
          <w:iCs/>
          <w:color w:val="000000" w:themeColor="text1"/>
        </w:rPr>
        <w:t>)</w:t>
      </w:r>
    </w:p>
    <w:p w14:paraId="4617FC56" w14:textId="77777777" w:rsidR="005E207C" w:rsidRPr="001C2F94" w:rsidRDefault="005E207C" w:rsidP="005E207C">
      <w:pPr>
        <w:rPr>
          <w:rFonts w:ascii="Arial" w:hAnsi="Arial" w:cs="Arial"/>
        </w:rPr>
      </w:pPr>
      <w:r w:rsidRPr="001C2F94">
        <w:rPr>
          <w:rFonts w:ascii="Arial" w:hAnsi="Arial" w:cs="Arial"/>
        </w:rPr>
        <w:t>Toyota places significant emphasis on teamwork and collective responsibility. Decision making processes often involve consultation and collaboration, which reflects collectivist cultural values. This approach contributes to employee engagement and supports effective communication across organisational levels.</w:t>
      </w:r>
    </w:p>
    <w:p w14:paraId="21384E67" w14:textId="35096C16" w:rsidR="005E207C" w:rsidRPr="001C2F94" w:rsidRDefault="005E207C" w:rsidP="005E207C">
      <w:pPr>
        <w:rPr>
          <w:rFonts w:ascii="Arial" w:hAnsi="Arial" w:cs="Arial"/>
        </w:rPr>
      </w:pPr>
      <w:r w:rsidRPr="001C2F94">
        <w:rPr>
          <w:rFonts w:ascii="Arial" w:hAnsi="Arial" w:cs="Arial"/>
        </w:rPr>
        <w:t>Toyota also demonstrates high levels of uncertainty avoidance through its commitment to standardised procedures and quality management systems. Detailed operational processes help minimise risks and ensure consistency across global manufacturing operations. Although this approach supports reliability, it may also reduce organisational flexibility in rapidly changing environments.</w:t>
      </w:r>
      <w:r w:rsidRPr="0098764A">
        <w:rPr>
          <w:rFonts w:ascii="Arial" w:hAnsi="Arial" w:cs="Arial"/>
          <w:color w:val="EE0000"/>
        </w:rPr>
        <w:t xml:space="preserve"> </w:t>
      </w:r>
      <w:r w:rsidR="004D0CFC">
        <w:rPr>
          <w:rFonts w:ascii="Arial" w:hAnsi="Arial" w:cs="Arial"/>
          <w:i/>
          <w:iCs/>
          <w:color w:val="000000" w:themeColor="text1"/>
        </w:rPr>
        <w:t>(</w:t>
      </w:r>
      <w:r w:rsidR="004D0CFC" w:rsidRPr="004D0CFC">
        <w:rPr>
          <w:rFonts w:ascii="Arial" w:hAnsi="Arial" w:cs="Arial"/>
          <w:i/>
          <w:iCs/>
          <w:color w:val="000000" w:themeColor="text1"/>
        </w:rPr>
        <w:t>Daft, R.L. (2023) Organization Theory and Design. 14th edn. Boston: Cengage Learning.</w:t>
      </w:r>
      <w:r w:rsidR="004D0CFC">
        <w:rPr>
          <w:rFonts w:ascii="Arial" w:hAnsi="Arial" w:cs="Arial"/>
          <w:i/>
          <w:iCs/>
          <w:color w:val="000000" w:themeColor="text1"/>
        </w:rPr>
        <w:t>)</w:t>
      </w:r>
      <w:r w:rsidR="00D0099C">
        <w:rPr>
          <w:rFonts w:ascii="Arial" w:hAnsi="Arial" w:cs="Arial"/>
          <w:i/>
          <w:iCs/>
          <w:color w:val="000000" w:themeColor="text1"/>
        </w:rPr>
        <w:t>(</w:t>
      </w:r>
      <w:proofErr w:type="spellStart"/>
      <w:r w:rsidR="00D0099C">
        <w:rPr>
          <w:rFonts w:ascii="Arial" w:hAnsi="Arial" w:cs="Arial"/>
          <w:i/>
          <w:iCs/>
          <w:color w:val="000000" w:themeColor="text1"/>
        </w:rPr>
        <w:t>Accesset</w:t>
      </w:r>
      <w:proofErr w:type="spellEnd"/>
      <w:r w:rsidR="00D0099C">
        <w:rPr>
          <w:rFonts w:ascii="Arial" w:hAnsi="Arial" w:cs="Arial"/>
          <w:i/>
          <w:iCs/>
          <w:color w:val="000000" w:themeColor="text1"/>
        </w:rPr>
        <w:t xml:space="preserve"> 24.07.2026)</w:t>
      </w:r>
    </w:p>
    <w:p w14:paraId="17D84F69" w14:textId="391292B2" w:rsidR="005E207C" w:rsidRPr="001C2F94" w:rsidRDefault="005E207C" w:rsidP="005E207C">
      <w:pPr>
        <w:rPr>
          <w:rFonts w:ascii="Arial" w:hAnsi="Arial" w:cs="Arial"/>
        </w:rPr>
      </w:pPr>
      <w:r w:rsidRPr="001C2F94">
        <w:rPr>
          <w:rFonts w:ascii="Arial" w:hAnsi="Arial" w:cs="Arial"/>
        </w:rPr>
        <w:t>Toyota combines high performance expectations with strong employee support systems. While the organisation promotes efficiency and continuous improvement, it also emphasises long term employee development and teamwork. This balance has contributed to Toyota’s ability to maintain both productivity and organisational stability.</w:t>
      </w:r>
    </w:p>
    <w:p w14:paraId="606B271D" w14:textId="77777777" w:rsidR="005E207C" w:rsidRPr="00C02C7B" w:rsidRDefault="005E207C" w:rsidP="00C02C7B">
      <w:pPr>
        <w:pStyle w:val="Heading1"/>
        <w:rPr>
          <w:sz w:val="32"/>
          <w:szCs w:val="32"/>
        </w:rPr>
      </w:pPr>
      <w:bookmarkStart w:id="24" w:name="_Toc236334267"/>
      <w:r w:rsidRPr="00C02C7B">
        <w:rPr>
          <w:sz w:val="32"/>
          <w:szCs w:val="32"/>
        </w:rPr>
        <w:t>Handy’s Cultural Types</w:t>
      </w:r>
      <w:bookmarkEnd w:id="24"/>
    </w:p>
    <w:p w14:paraId="09C877AD" w14:textId="77777777" w:rsidR="005E207C" w:rsidRDefault="005E207C" w:rsidP="005E207C">
      <w:pPr>
        <w:rPr>
          <w:rFonts w:ascii="Arial" w:hAnsi="Arial" w:cs="Arial"/>
        </w:rPr>
      </w:pPr>
      <w:r w:rsidRPr="001C2F94">
        <w:rPr>
          <w:rFonts w:ascii="Arial" w:hAnsi="Arial" w:cs="Arial"/>
        </w:rPr>
        <w:t>Handy’s cultural typology suggests that organisations may exhibit characteristics of different cultural types depending on their structure and management practices. Toyota demonstrates elements of both Role Culture and Task Culture.</w:t>
      </w:r>
    </w:p>
    <w:p w14:paraId="6AA3F027" w14:textId="39EDACC6" w:rsidR="005E207C" w:rsidRPr="001C2F94" w:rsidRDefault="005E207C" w:rsidP="005E207C">
      <w:pPr>
        <w:rPr>
          <w:rFonts w:ascii="Arial" w:hAnsi="Arial" w:cs="Arial"/>
        </w:rPr>
      </w:pPr>
      <w:r w:rsidRPr="001C2F94">
        <w:rPr>
          <w:rFonts w:ascii="Arial" w:hAnsi="Arial" w:cs="Arial"/>
        </w:rPr>
        <w:t>Toyota largely reflects the characteristics of a Role Culture through its formal organisational structures, clearly defined responsibilities and standardised procedures. Employees understand their roles and are expected to follow established processes that support organisational consistency and quality management.</w:t>
      </w:r>
      <w:r w:rsidRPr="0098764A">
        <w:rPr>
          <w:rFonts w:ascii="Arial" w:hAnsi="Arial" w:cs="Arial"/>
          <w:color w:val="EE0000"/>
        </w:rPr>
        <w:t xml:space="preserve"> </w:t>
      </w:r>
      <w:r w:rsidR="004D0CFC">
        <w:rPr>
          <w:rFonts w:ascii="Arial" w:hAnsi="Arial" w:cs="Arial"/>
          <w:i/>
          <w:iCs/>
          <w:color w:val="000000" w:themeColor="text1"/>
        </w:rPr>
        <w:t>(</w:t>
      </w:r>
      <w:r w:rsidR="004D0CFC" w:rsidRPr="004D0CFC">
        <w:rPr>
          <w:rFonts w:ascii="Arial" w:hAnsi="Arial" w:cs="Arial"/>
          <w:i/>
          <w:iCs/>
          <w:color w:val="000000" w:themeColor="text1"/>
        </w:rPr>
        <w:t>Johnson, G., Scholes, K., Whittington, R. and Angwin, D. (2023) Exploring Strategy. 13th edn. Harlow: Pearson.</w:t>
      </w:r>
      <w:r w:rsidR="004D0CFC">
        <w:rPr>
          <w:rFonts w:ascii="Arial" w:hAnsi="Arial" w:cs="Arial"/>
          <w:i/>
          <w:iCs/>
          <w:color w:val="000000" w:themeColor="text1"/>
        </w:rPr>
        <w:t>)</w:t>
      </w:r>
      <w:r w:rsidR="00D0099C">
        <w:rPr>
          <w:rFonts w:ascii="Arial" w:hAnsi="Arial" w:cs="Arial"/>
          <w:i/>
          <w:iCs/>
          <w:color w:val="000000" w:themeColor="text1"/>
        </w:rPr>
        <w:t>(Accessed24.07.2026)</w:t>
      </w:r>
    </w:p>
    <w:p w14:paraId="2E40ECDF" w14:textId="33D33357" w:rsidR="005E207C" w:rsidRPr="001C2F94" w:rsidRDefault="005E207C" w:rsidP="005E207C">
      <w:pPr>
        <w:rPr>
          <w:rFonts w:ascii="Arial" w:hAnsi="Arial" w:cs="Arial"/>
        </w:rPr>
      </w:pPr>
      <w:r w:rsidRPr="001C2F94">
        <w:rPr>
          <w:rFonts w:ascii="Arial" w:hAnsi="Arial" w:cs="Arial"/>
        </w:rPr>
        <w:t>At the same time, Toyota demonstrates aspects of a Task Culture when addressing organisational problems or developing new projects. Cross functional collaboration allows employees from different departments to work together to improve products and operational processes. This flexibility supports innovation while maintaining organisational stability.</w:t>
      </w:r>
      <w:r w:rsidRPr="0098764A">
        <w:rPr>
          <w:rFonts w:ascii="Arial" w:hAnsi="Arial" w:cs="Arial"/>
          <w:color w:val="EE0000"/>
        </w:rPr>
        <w:t xml:space="preserve"> </w:t>
      </w:r>
      <w:r w:rsidR="004D0CFC" w:rsidRPr="0072560A">
        <w:rPr>
          <w:rFonts w:ascii="Arial" w:hAnsi="Arial" w:cs="Arial"/>
          <w:i/>
          <w:iCs/>
          <w:color w:val="000000" w:themeColor="text1"/>
        </w:rPr>
        <w:t>(</w:t>
      </w:r>
      <w:r w:rsidR="0072560A" w:rsidRPr="0072560A">
        <w:rPr>
          <w:rFonts w:ascii="Arial" w:hAnsi="Arial" w:cs="Arial"/>
          <w:i/>
          <w:iCs/>
          <w:color w:val="000000" w:themeColor="text1"/>
        </w:rPr>
        <w:t>Toyota Motor Corporation (2024) Integrated Report 2024. Available at: https://global.toyota/en/ir/library/annual/</w:t>
      </w:r>
      <w:r w:rsidR="0072560A">
        <w:rPr>
          <w:rFonts w:ascii="Arial" w:hAnsi="Arial" w:cs="Arial"/>
          <w:i/>
          <w:iCs/>
          <w:color w:val="000000" w:themeColor="text1"/>
        </w:rPr>
        <w:t>)</w:t>
      </w:r>
    </w:p>
    <w:p w14:paraId="0BCC05A6" w14:textId="77777777" w:rsidR="005E207C" w:rsidRDefault="005E207C" w:rsidP="005E207C">
      <w:pPr>
        <w:rPr>
          <w:rFonts w:ascii="Arial" w:hAnsi="Arial" w:cs="Arial"/>
        </w:rPr>
      </w:pPr>
      <w:r w:rsidRPr="001C2F94">
        <w:rPr>
          <w:rFonts w:ascii="Arial" w:hAnsi="Arial" w:cs="Arial"/>
        </w:rPr>
        <w:lastRenderedPageBreak/>
        <w:t>The application of these theoretical frameworks demonstrates that Toyota’s organisational culture is both highly structured and adaptable. The organisation’s cultural strength has contributed significantly to its global success. However, some of its cultural characteristics, particularly its preference for consensus and standardisation, may create challenges when rapid organisational change is required.</w:t>
      </w:r>
    </w:p>
    <w:p w14:paraId="2D017497" w14:textId="69F64E2C" w:rsidR="005E207C" w:rsidRDefault="005E207C" w:rsidP="005E207C">
      <w:pPr>
        <w:rPr>
          <w:rFonts w:ascii="Arial" w:hAnsi="Arial" w:cs="Arial"/>
        </w:rPr>
      </w:pPr>
      <w:r w:rsidRPr="001F3B72">
        <w:rPr>
          <w:noProof/>
        </w:rPr>
        <w:drawing>
          <wp:anchor distT="0" distB="0" distL="114300" distR="114300" simplePos="0" relativeHeight="251653632" behindDoc="0" locked="0" layoutInCell="1" allowOverlap="1" wp14:anchorId="0EAD3FFF" wp14:editId="11BF0706">
            <wp:simplePos x="0" y="0"/>
            <wp:positionH relativeFrom="column">
              <wp:posOffset>-266700</wp:posOffset>
            </wp:positionH>
            <wp:positionV relativeFrom="paragraph">
              <wp:posOffset>0</wp:posOffset>
            </wp:positionV>
            <wp:extent cx="5731510" cy="2301240"/>
            <wp:effectExtent l="0" t="0" r="2540" b="3810"/>
            <wp:wrapTopAndBottom/>
            <wp:docPr id="17058166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301240"/>
                    </a:xfrm>
                    <a:prstGeom prst="rect">
                      <a:avLst/>
                    </a:prstGeom>
                    <a:noFill/>
                    <a:ln>
                      <a:noFill/>
                    </a:ln>
                  </pic:spPr>
                </pic:pic>
              </a:graphicData>
            </a:graphic>
            <wp14:sizeRelV relativeFrom="margin">
              <wp14:pctHeight>0</wp14:pctHeight>
            </wp14:sizeRelV>
          </wp:anchor>
        </w:drawing>
      </w:r>
    </w:p>
    <w:p w14:paraId="30959CD6" w14:textId="0FC23CF7" w:rsidR="005E207C" w:rsidRDefault="005E207C" w:rsidP="00C02C7B">
      <w:pPr>
        <w:pStyle w:val="Heading9"/>
      </w:pPr>
      <w:r>
        <w:tab/>
      </w:r>
    </w:p>
    <w:p w14:paraId="76AE8E49" w14:textId="5A1B33A3" w:rsidR="005E207C" w:rsidRPr="00C02C7B" w:rsidRDefault="005E207C" w:rsidP="00C02C7B">
      <w:pPr>
        <w:pStyle w:val="Heading1"/>
        <w:rPr>
          <w:sz w:val="32"/>
          <w:szCs w:val="32"/>
        </w:rPr>
      </w:pPr>
      <w:bookmarkStart w:id="25" w:name="_Toc236334627"/>
      <w:r w:rsidRPr="00C02C7B">
        <w:rPr>
          <w:sz w:val="32"/>
          <w:szCs w:val="32"/>
        </w:rPr>
        <w:t>PESTLE Analysis of Toyota’s External Environment</w:t>
      </w:r>
      <w:bookmarkEnd w:id="25"/>
    </w:p>
    <w:p w14:paraId="219590D7" w14:textId="28BB70D3" w:rsidR="005E207C" w:rsidRDefault="00E54BAF" w:rsidP="005E207C">
      <w:pPr>
        <w:rPr>
          <w:rFonts w:ascii="Arial" w:hAnsi="Arial" w:cs="Arial"/>
          <w:i/>
          <w:iCs/>
          <w:color w:val="000000" w:themeColor="text1"/>
        </w:rPr>
      </w:pPr>
      <w:r w:rsidRPr="00E54BAF">
        <w:rPr>
          <w:rFonts w:ascii="Arial" w:hAnsi="Arial" w:cs="Arial"/>
          <w:color w:val="000000" w:themeColor="text1"/>
        </w:rPr>
        <w:t>The PESTLE framework helps evaluate the external forces that shape organisational performance and strategic choices. Toyota conducts its business across diverse international markets, meaning its operations are influenced by political, economic, social, technological, legal, and environmental developments. Its organisational culture enables the company to respond effectively to these external pressures by promoting adaptability, innovation, and well-informed decision-making.</w:t>
      </w:r>
      <w:r w:rsidR="005E207C" w:rsidRPr="00E54BAF">
        <w:rPr>
          <w:rFonts w:ascii="Arial" w:hAnsi="Arial" w:cs="Arial"/>
          <w:color w:val="000000" w:themeColor="text1"/>
        </w:rPr>
        <w:t xml:space="preserve"> </w:t>
      </w:r>
      <w:r w:rsidR="0072560A" w:rsidRPr="0072560A">
        <w:rPr>
          <w:rFonts w:ascii="Arial" w:hAnsi="Arial" w:cs="Arial"/>
          <w:color w:val="000000" w:themeColor="text1"/>
        </w:rPr>
        <w:t xml:space="preserve">(Johnson, G., </w:t>
      </w:r>
      <w:r w:rsidR="0072560A" w:rsidRPr="0072560A">
        <w:rPr>
          <w:rFonts w:ascii="Arial" w:hAnsi="Arial" w:cs="Arial"/>
          <w:i/>
          <w:iCs/>
          <w:color w:val="000000" w:themeColor="text1"/>
        </w:rPr>
        <w:t>Scholes, K., Whittington, R. and Angwin, D. (2023) Exploring Strategy. 13th edn. Harlow: Pearson.)</w:t>
      </w:r>
    </w:p>
    <w:p w14:paraId="6DC1B083" w14:textId="4929CD8C" w:rsidR="00346783" w:rsidRDefault="00C02C7B" w:rsidP="005E207C">
      <w:pPr>
        <w:rPr>
          <w:rFonts w:ascii="Arial" w:hAnsi="Arial" w:cs="Arial"/>
          <w:i/>
          <w:iCs/>
          <w:color w:val="000000" w:themeColor="text1"/>
        </w:rPr>
      </w:pPr>
      <w:r>
        <w:rPr>
          <w:rFonts w:ascii="Arial" w:hAnsi="Arial" w:cs="Arial"/>
          <w:i/>
          <w:iCs/>
          <w:noProof/>
          <w:color w:val="000000" w:themeColor="text1"/>
        </w:rPr>
        <mc:AlternateContent>
          <mc:Choice Requires="wpi">
            <w:drawing>
              <wp:anchor distT="0" distB="0" distL="114300" distR="114300" simplePos="0" relativeHeight="251663872" behindDoc="0" locked="0" layoutInCell="1" allowOverlap="1" wp14:anchorId="74BA2FA9" wp14:editId="389B3B75">
                <wp:simplePos x="0" y="0"/>
                <wp:positionH relativeFrom="column">
                  <wp:posOffset>-205740</wp:posOffset>
                </wp:positionH>
                <wp:positionV relativeFrom="paragraph">
                  <wp:posOffset>303230</wp:posOffset>
                </wp:positionV>
                <wp:extent cx="360" cy="360"/>
                <wp:effectExtent l="38100" t="38100" r="38100" b="38100"/>
                <wp:wrapNone/>
                <wp:docPr id="672941276"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691D703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6.7pt;margin-top:23.4pt;width:1.05pt;height:1.05pt;z-index:251663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">
                <v:imagedata r:id="rId13" o:title=""/>
              </v:shape>
            </w:pict>
          </mc:Fallback>
        </mc:AlternateContent>
      </w:r>
      <w:r w:rsidRPr="00346783">
        <w:rPr>
          <w:rFonts w:ascii="Arial" w:hAnsi="Arial" w:cs="Arial"/>
          <w:i/>
          <w:iCs/>
          <w:color w:val="000000" w:themeColor="text1"/>
        </w:rPr>
        <w:drawing>
          <wp:anchor distT="0" distB="0" distL="114300" distR="114300" simplePos="0" relativeHeight="251662848" behindDoc="0" locked="0" layoutInCell="1" allowOverlap="1" wp14:anchorId="79B44C18" wp14:editId="17DAE6D8">
            <wp:simplePos x="0" y="0"/>
            <wp:positionH relativeFrom="column">
              <wp:posOffset>-906780</wp:posOffset>
            </wp:positionH>
            <wp:positionV relativeFrom="paragraph">
              <wp:posOffset>379730</wp:posOffset>
            </wp:positionV>
            <wp:extent cx="7602855" cy="3299460"/>
            <wp:effectExtent l="0" t="0" r="0" b="0"/>
            <wp:wrapNone/>
            <wp:docPr id="718895127" name="Picture 1" descr="A diagram of a company's company's company's company's company's company's company's company's company's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895127" name="Picture 1" descr="A diagram of a company's company's company's company's company's company's company's company's company's company's company's compan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7602855" cy="3299460"/>
                    </a:xfrm>
                    <a:prstGeom prst="rect">
                      <a:avLst/>
                    </a:prstGeom>
                  </pic:spPr>
                </pic:pic>
              </a:graphicData>
            </a:graphic>
            <wp14:sizeRelH relativeFrom="margin">
              <wp14:pctWidth>0</wp14:pctWidth>
            </wp14:sizeRelH>
            <wp14:sizeRelV relativeFrom="margin">
              <wp14:pctHeight>0</wp14:pctHeight>
            </wp14:sizeRelV>
          </wp:anchor>
        </w:drawing>
      </w:r>
    </w:p>
    <w:p w14:paraId="04975D6A" w14:textId="23F049F9" w:rsidR="00346783" w:rsidRDefault="00C02C7B" w:rsidP="005E207C">
      <w:pPr>
        <w:rPr>
          <w:rFonts w:ascii="Arial" w:hAnsi="Arial" w:cs="Arial"/>
          <w:i/>
          <w:iCs/>
          <w:color w:val="000000" w:themeColor="text1"/>
        </w:rPr>
      </w:pPr>
      <w:r>
        <w:rPr>
          <w:rFonts w:ascii="Arial" w:hAnsi="Arial" w:cs="Arial"/>
          <w:i/>
          <w:iCs/>
          <w:noProof/>
          <w:color w:val="000000" w:themeColor="text1"/>
        </w:rPr>
        <mc:AlternateContent>
          <mc:Choice Requires="wpi">
            <w:drawing>
              <wp:anchor distT="0" distB="0" distL="114300" distR="114300" simplePos="0" relativeHeight="251685888" behindDoc="0" locked="0" layoutInCell="1" allowOverlap="1" wp14:anchorId="30A72FEF" wp14:editId="5176560A">
                <wp:simplePos x="0" y="0"/>
                <wp:positionH relativeFrom="column">
                  <wp:posOffset>2750580</wp:posOffset>
                </wp:positionH>
                <wp:positionV relativeFrom="paragraph">
                  <wp:posOffset>97035</wp:posOffset>
                </wp:positionV>
                <wp:extent cx="3909060" cy="635"/>
                <wp:effectExtent l="133350" t="133350" r="91440" b="132715"/>
                <wp:wrapNone/>
                <wp:docPr id="699721092" name="Ink 24"/>
                <wp:cNvGraphicFramePr/>
                <a:graphic xmlns:a="http://schemas.openxmlformats.org/drawingml/2006/main">
                  <a:graphicData uri="http://schemas.microsoft.com/office/word/2010/wordprocessingInk">
                    <w14:contentPart bwMode="auto" r:id="rId15">
                      <w14:nvContentPartPr>
                        <w14:cNvContentPartPr/>
                      </w14:nvContentPartPr>
                      <w14:xfrm>
                        <a:off x="0" y="0"/>
                        <a:ext cx="3909060" cy="635"/>
                      </w14:xfrm>
                    </w14:contentPart>
                  </a:graphicData>
                </a:graphic>
                <wp14:sizeRelH relativeFrom="margin">
                  <wp14:pctWidth>0</wp14:pctWidth>
                </wp14:sizeRelH>
                <wp14:sizeRelV relativeFrom="margin">
                  <wp14:pctHeight>0</wp14:pctHeight>
                </wp14:sizeRelV>
              </wp:anchor>
            </w:drawing>
          </mc:Choice>
          <mc:Fallback>
            <w:pict>
              <v:shape w14:anchorId="25AE3F30" id="Ink 24" o:spid="_x0000_s1026" type="#_x0000_t75" style="position:absolute;margin-left:211.65pt;margin-top:-1.1pt;width:317.7pt;height: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">
                <v:imagedata r:id="rId16" o:title=""/>
              </v:shape>
            </w:pict>
          </mc:Fallback>
        </mc:AlternateContent>
      </w:r>
      <w:r>
        <w:rPr>
          <w:rFonts w:ascii="Arial" w:hAnsi="Arial" w:cs="Arial"/>
          <w:i/>
          <w:iCs/>
          <w:noProof/>
          <w:color w:val="000000" w:themeColor="text1"/>
        </w:rPr>
        <mc:AlternateContent>
          <mc:Choice Requires="wpi">
            <w:drawing>
              <wp:anchor distT="0" distB="0" distL="114300" distR="114300" simplePos="0" relativeHeight="251683840" behindDoc="0" locked="0" layoutInCell="1" allowOverlap="1" wp14:anchorId="504D86AF" wp14:editId="233EB410">
                <wp:simplePos x="0" y="0"/>
                <wp:positionH relativeFrom="column">
                  <wp:posOffset>1523365</wp:posOffset>
                </wp:positionH>
                <wp:positionV relativeFrom="paragraph">
                  <wp:posOffset>50800</wp:posOffset>
                </wp:positionV>
                <wp:extent cx="1135380" cy="114300"/>
                <wp:effectExtent l="133350" t="133350" r="83820" b="76200"/>
                <wp:wrapNone/>
                <wp:docPr id="124316043" name="Ink 22"/>
                <wp:cNvGraphicFramePr/>
                <a:graphic xmlns:a="http://schemas.openxmlformats.org/drawingml/2006/main">
                  <a:graphicData uri="http://schemas.microsoft.com/office/word/2010/wordprocessingInk">
                    <w14:contentPart bwMode="auto" r:id="rId17">
                      <w14:nvContentPartPr>
                        <w14:cNvContentPartPr/>
                      </w14:nvContentPartPr>
                      <w14:xfrm>
                        <a:off x="0" y="0"/>
                        <a:ext cx="1135380" cy="114300"/>
                      </w14:xfrm>
                    </w14:contentPart>
                  </a:graphicData>
                </a:graphic>
                <wp14:sizeRelH relativeFrom="margin">
                  <wp14:pctWidth>0</wp14:pctWidth>
                </wp14:sizeRelH>
                <wp14:sizeRelV relativeFrom="margin">
                  <wp14:pctHeight>0</wp14:pctHeight>
                </wp14:sizeRelV>
              </wp:anchor>
            </w:drawing>
          </mc:Choice>
          <mc:Fallback>
            <w:pict>
              <v:shape w14:anchorId="3201650F" id="Ink 22" o:spid="_x0000_s1026" type="#_x0000_t75" style="position:absolute;margin-left:115pt;margin-top:-5.85pt;width:99.3pt;height:28.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">
                <v:imagedata r:id="rId18" o:title=""/>
              </v:shape>
            </w:pict>
          </mc:Fallback>
        </mc:AlternateContent>
      </w:r>
      <w:r>
        <w:rPr>
          <w:rFonts w:ascii="Arial" w:hAnsi="Arial" w:cs="Arial"/>
          <w:i/>
          <w:iCs/>
          <w:noProof/>
          <w:color w:val="000000" w:themeColor="text1"/>
        </w:rPr>
        <mc:AlternateContent>
          <mc:Choice Requires="wpi">
            <w:drawing>
              <wp:anchor distT="0" distB="0" distL="114300" distR="114300" simplePos="0" relativeHeight="251681792" behindDoc="0" locked="0" layoutInCell="1" allowOverlap="1" wp14:anchorId="71CFCB75" wp14:editId="68647B50">
                <wp:simplePos x="0" y="0"/>
                <wp:positionH relativeFrom="column">
                  <wp:posOffset>-959485</wp:posOffset>
                </wp:positionH>
                <wp:positionV relativeFrom="paragraph">
                  <wp:posOffset>-299720</wp:posOffset>
                </wp:positionV>
                <wp:extent cx="1149120" cy="942340"/>
                <wp:effectExtent l="133350" t="133350" r="0" b="124460"/>
                <wp:wrapNone/>
                <wp:docPr id="787974806" name="Ink 20"/>
                <wp:cNvGraphicFramePr/>
                <a:graphic xmlns:a="http://schemas.openxmlformats.org/drawingml/2006/main">
                  <a:graphicData uri="http://schemas.microsoft.com/office/word/2010/wordprocessingInk">
                    <w14:contentPart bwMode="auto" r:id="rId19">
                      <w14:nvContentPartPr>
                        <w14:cNvContentPartPr/>
                      </w14:nvContentPartPr>
                      <w14:xfrm>
                        <a:off x="0" y="0"/>
                        <a:ext cx="1149120" cy="942340"/>
                      </w14:xfrm>
                    </w14:contentPart>
                  </a:graphicData>
                </a:graphic>
              </wp:anchor>
            </w:drawing>
          </mc:Choice>
          <mc:Fallback>
            <w:pict>
              <v:shape w14:anchorId="569CD95A" id="Ink 20" o:spid="_x0000_s1026" type="#_x0000_t75" style="position:absolute;margin-left:-80.5pt;margin-top:-28.55pt;width:100.4pt;height:84.1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">
                <v:imagedata r:id="rId20" o:title=""/>
              </v:shape>
            </w:pict>
          </mc:Fallback>
        </mc:AlternateContent>
      </w:r>
      <w:r>
        <w:rPr>
          <w:rFonts w:ascii="Arial" w:hAnsi="Arial" w:cs="Arial"/>
          <w:i/>
          <w:iCs/>
          <w:noProof/>
          <w:color w:val="000000" w:themeColor="text1"/>
        </w:rPr>
        <mc:AlternateContent>
          <mc:Choice Requires="wpi">
            <w:drawing>
              <wp:anchor distT="0" distB="0" distL="114300" distR="114300" simplePos="0" relativeHeight="251678208" behindDoc="0" locked="0" layoutInCell="1" allowOverlap="1" wp14:anchorId="0752E254" wp14:editId="5F8684C7">
                <wp:simplePos x="0" y="0"/>
                <wp:positionH relativeFrom="column">
                  <wp:posOffset>-536580</wp:posOffset>
                </wp:positionH>
                <wp:positionV relativeFrom="paragraph">
                  <wp:posOffset>13875</wp:posOffset>
                </wp:positionV>
                <wp:extent cx="1862280" cy="254880"/>
                <wp:effectExtent l="133350" t="133350" r="138430" b="126365"/>
                <wp:wrapNone/>
                <wp:docPr id="1978821304" name="Ink 19"/>
                <wp:cNvGraphicFramePr/>
                <a:graphic xmlns:a="http://schemas.openxmlformats.org/drawingml/2006/main">
                  <a:graphicData uri="http://schemas.microsoft.com/office/word/2010/wordprocessingInk">
                    <w14:contentPart bwMode="auto" r:id="rId21">
                      <w14:nvContentPartPr>
                        <w14:cNvContentPartPr/>
                      </w14:nvContentPartPr>
                      <w14:xfrm>
                        <a:off x="0" y="0"/>
                        <a:ext cx="1862280" cy="254880"/>
                      </w14:xfrm>
                    </w14:contentPart>
                  </a:graphicData>
                </a:graphic>
              </wp:anchor>
            </w:drawing>
          </mc:Choice>
          <mc:Fallback>
            <w:pict>
              <v:shape w14:anchorId="5BBD8C36" id="Ink 19" o:spid="_x0000_s1026" type="#_x0000_t75" style="position:absolute;margin-left:-47.2pt;margin-top:-3.85pt;width:156.6pt;height:29.95pt;z-index:251678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">
                <v:imagedata r:id="rId22" o:title=""/>
              </v:shape>
            </w:pict>
          </mc:Fallback>
        </mc:AlternateContent>
      </w:r>
    </w:p>
    <w:p w14:paraId="6F5F04C9" w14:textId="12E9502F" w:rsidR="00346783" w:rsidRDefault="00346783" w:rsidP="005E207C">
      <w:pPr>
        <w:rPr>
          <w:rFonts w:ascii="Arial" w:hAnsi="Arial" w:cs="Arial"/>
          <w:i/>
          <w:iCs/>
          <w:color w:val="000000" w:themeColor="text1"/>
        </w:rPr>
      </w:pPr>
    </w:p>
    <w:p w14:paraId="763E7EE4" w14:textId="38DBAD91" w:rsidR="00346783" w:rsidRDefault="00346783" w:rsidP="005E207C">
      <w:pPr>
        <w:rPr>
          <w:rFonts w:ascii="Arial" w:hAnsi="Arial" w:cs="Arial"/>
          <w:i/>
          <w:iCs/>
          <w:color w:val="000000" w:themeColor="text1"/>
        </w:rPr>
      </w:pPr>
    </w:p>
    <w:p w14:paraId="3D2F581C" w14:textId="5098B980" w:rsidR="00C02C7B" w:rsidRDefault="00C02C7B" w:rsidP="005E207C">
      <w:pPr>
        <w:rPr>
          <w:rFonts w:ascii="Arial" w:hAnsi="Arial" w:cs="Arial"/>
          <w:i/>
          <w:iCs/>
          <w:color w:val="000000" w:themeColor="text1"/>
        </w:rPr>
      </w:pPr>
    </w:p>
    <w:p w14:paraId="1C1CB06E" w14:textId="77777777" w:rsidR="00C02C7B" w:rsidRDefault="00C02C7B" w:rsidP="005E207C">
      <w:pPr>
        <w:rPr>
          <w:rFonts w:ascii="Arial" w:hAnsi="Arial" w:cs="Arial"/>
          <w:i/>
          <w:iCs/>
          <w:color w:val="000000" w:themeColor="text1"/>
        </w:rPr>
      </w:pPr>
    </w:p>
    <w:p w14:paraId="5DDF528D" w14:textId="77777777" w:rsidR="00C02C7B" w:rsidRDefault="00C02C7B" w:rsidP="005E207C">
      <w:pPr>
        <w:rPr>
          <w:rFonts w:ascii="Arial" w:hAnsi="Arial" w:cs="Arial"/>
          <w:i/>
          <w:iCs/>
          <w:color w:val="000000" w:themeColor="text1"/>
        </w:rPr>
      </w:pPr>
    </w:p>
    <w:p w14:paraId="46060BE7" w14:textId="77777777" w:rsidR="00C02C7B" w:rsidRDefault="00C02C7B" w:rsidP="005E207C">
      <w:pPr>
        <w:rPr>
          <w:rFonts w:ascii="Arial" w:hAnsi="Arial" w:cs="Arial"/>
          <w:i/>
          <w:iCs/>
          <w:color w:val="000000" w:themeColor="text1"/>
        </w:rPr>
      </w:pPr>
    </w:p>
    <w:p w14:paraId="2E5CD1BA" w14:textId="77777777" w:rsidR="00C02C7B" w:rsidRDefault="00C02C7B" w:rsidP="005E207C">
      <w:pPr>
        <w:rPr>
          <w:rFonts w:ascii="Arial" w:hAnsi="Arial" w:cs="Arial"/>
          <w:i/>
          <w:iCs/>
          <w:color w:val="000000" w:themeColor="text1"/>
        </w:rPr>
      </w:pPr>
    </w:p>
    <w:p w14:paraId="5CCAC703" w14:textId="77777777" w:rsidR="00C02C7B" w:rsidRDefault="00C02C7B" w:rsidP="005E207C">
      <w:pPr>
        <w:rPr>
          <w:rFonts w:ascii="Arial" w:hAnsi="Arial" w:cs="Arial"/>
          <w:i/>
          <w:iCs/>
          <w:color w:val="000000" w:themeColor="text1"/>
        </w:rPr>
      </w:pPr>
    </w:p>
    <w:p w14:paraId="70AADFED" w14:textId="77777777" w:rsidR="00C02C7B" w:rsidRDefault="00C02C7B" w:rsidP="005E207C">
      <w:pPr>
        <w:rPr>
          <w:rFonts w:ascii="Arial" w:hAnsi="Arial" w:cs="Arial"/>
          <w:i/>
          <w:iCs/>
          <w:color w:val="000000" w:themeColor="text1"/>
        </w:rPr>
      </w:pPr>
    </w:p>
    <w:p w14:paraId="290BD58A" w14:textId="77777777" w:rsidR="00C02C7B" w:rsidRDefault="00C02C7B" w:rsidP="005E207C">
      <w:pPr>
        <w:rPr>
          <w:rFonts w:ascii="Arial" w:hAnsi="Arial" w:cs="Arial"/>
          <w:i/>
          <w:iCs/>
          <w:color w:val="000000" w:themeColor="text1"/>
        </w:rPr>
      </w:pPr>
    </w:p>
    <w:p w14:paraId="766D5FE0" w14:textId="665D6C2D" w:rsidR="00346783" w:rsidRDefault="009C1B6D" w:rsidP="005E207C">
      <w:pPr>
        <w:rPr>
          <w:rFonts w:ascii="Arial" w:hAnsi="Arial" w:cs="Arial"/>
          <w:i/>
          <w:iCs/>
          <w:color w:val="000000" w:themeColor="text1"/>
        </w:rPr>
      </w:pPr>
      <w:r>
        <w:rPr>
          <w:rFonts w:ascii="Arial" w:hAnsi="Arial" w:cs="Arial"/>
          <w:i/>
          <w:iCs/>
          <w:color w:val="000000" w:themeColor="text1"/>
        </w:rPr>
        <w:t>FIG.4</w:t>
      </w:r>
    </w:p>
    <w:p w14:paraId="01E24793" w14:textId="4A072EDB" w:rsidR="005E207C" w:rsidRPr="00C02C7B" w:rsidRDefault="005E207C" w:rsidP="00C02C7B">
      <w:pPr>
        <w:pStyle w:val="Heading1"/>
        <w:rPr>
          <w:sz w:val="32"/>
          <w:szCs w:val="32"/>
        </w:rPr>
      </w:pPr>
      <w:r w:rsidRPr="00C02C7B">
        <w:rPr>
          <w:sz w:val="32"/>
          <w:szCs w:val="32"/>
        </w:rPr>
        <w:t>Political Factors</w:t>
      </w:r>
    </w:p>
    <w:p w14:paraId="60E0801B" w14:textId="7B4C1727" w:rsidR="005E207C" w:rsidRPr="001C2F94" w:rsidRDefault="005E207C" w:rsidP="005E207C">
      <w:pPr>
        <w:rPr>
          <w:rFonts w:ascii="Arial" w:hAnsi="Arial" w:cs="Arial"/>
        </w:rPr>
      </w:pPr>
      <w:r w:rsidRPr="001C2F94">
        <w:rPr>
          <w:rFonts w:ascii="Arial" w:hAnsi="Arial" w:cs="Arial"/>
        </w:rPr>
        <w:t xml:space="preserve">Political factors continue to influence Toyota’s global operations. Government policies, international trade regulations and incentives for sustainable technologies affect manufacturing decisions and </w:t>
      </w:r>
      <w:r w:rsidR="00CF2954" w:rsidRPr="001C2F94">
        <w:rPr>
          <w:rFonts w:ascii="Arial" w:hAnsi="Arial" w:cs="Arial"/>
        </w:rPr>
        <w:t>long-term</w:t>
      </w:r>
      <w:r w:rsidRPr="001C2F94">
        <w:rPr>
          <w:rFonts w:ascii="Arial" w:hAnsi="Arial" w:cs="Arial"/>
        </w:rPr>
        <w:t xml:space="preserve"> investment strategies. In response to changing political priorities, Toyota has expanded production in several international markets while increasing investment in electric vehicle manufacturing. The company’s strong organisational culture supports these changes by aligning strategic decisions with external political requirements.</w:t>
      </w:r>
    </w:p>
    <w:p w14:paraId="1F9F845F" w14:textId="77777777" w:rsidR="005E207C" w:rsidRPr="00C02C7B" w:rsidRDefault="005E207C" w:rsidP="00C02C7B">
      <w:pPr>
        <w:pStyle w:val="Heading1"/>
        <w:rPr>
          <w:sz w:val="32"/>
          <w:szCs w:val="32"/>
        </w:rPr>
      </w:pPr>
      <w:bookmarkStart w:id="26" w:name="_Toc236334628"/>
      <w:r w:rsidRPr="00C02C7B">
        <w:rPr>
          <w:sz w:val="32"/>
          <w:szCs w:val="32"/>
        </w:rPr>
        <w:lastRenderedPageBreak/>
        <w:t>Economic Factors</w:t>
      </w:r>
      <w:bookmarkEnd w:id="26"/>
    </w:p>
    <w:p w14:paraId="45A604F5" w14:textId="0C76C269" w:rsidR="005E207C" w:rsidRPr="0072560A" w:rsidRDefault="005E207C" w:rsidP="005E207C">
      <w:pPr>
        <w:rPr>
          <w:rFonts w:ascii="Arial" w:hAnsi="Arial" w:cs="Arial"/>
          <w:i/>
          <w:iCs/>
          <w:color w:val="000000" w:themeColor="text1"/>
        </w:rPr>
      </w:pPr>
      <w:r w:rsidRPr="001C2F94">
        <w:rPr>
          <w:rFonts w:ascii="Arial" w:hAnsi="Arial" w:cs="Arial"/>
        </w:rPr>
        <w:t>Economic conditions such as inflation, fluctuations in production costs and supply chain disruptions create ongoing challenges for global manufacturers. Toyota addresses these pressures through efficient production systems, waste reduction and long-term relationships with suppliers. Its commitment to continuous improvement enables the organisation to maintain operational stability even during periods of economic uncertainty. However, recent disruptions have demonstrated that Toyota must continue adapting its production strategies to remain competitive in an increasingly volatile global economy.</w:t>
      </w:r>
      <w:r w:rsidRPr="003C1093">
        <w:rPr>
          <w:rFonts w:ascii="Arial" w:hAnsi="Arial" w:cs="Arial"/>
          <w:color w:val="EE0000"/>
        </w:rPr>
        <w:t xml:space="preserve"> </w:t>
      </w:r>
      <w:r w:rsidR="0072560A" w:rsidRPr="0072560A">
        <w:rPr>
          <w:rFonts w:ascii="Arial" w:hAnsi="Arial" w:cs="Arial"/>
          <w:i/>
          <w:iCs/>
          <w:color w:val="000000" w:themeColor="text1"/>
        </w:rPr>
        <w:t>(Toyota Motor Corporation (2024) Sustainability Data Book 2024. Available at: https://global.toyota/en/sustainability/report/sdb/)</w:t>
      </w:r>
    </w:p>
    <w:p w14:paraId="0D18F9AF" w14:textId="77777777" w:rsidR="005E207C" w:rsidRPr="00C02C7B" w:rsidRDefault="005E207C" w:rsidP="00C02C7B">
      <w:pPr>
        <w:pStyle w:val="Heading1"/>
        <w:rPr>
          <w:sz w:val="32"/>
          <w:szCs w:val="32"/>
        </w:rPr>
      </w:pPr>
      <w:bookmarkStart w:id="27" w:name="_Toc236334629"/>
      <w:r w:rsidRPr="00C02C7B">
        <w:rPr>
          <w:sz w:val="32"/>
          <w:szCs w:val="32"/>
        </w:rPr>
        <w:t>Social Factors</w:t>
      </w:r>
      <w:bookmarkEnd w:id="27"/>
    </w:p>
    <w:p w14:paraId="122F576A" w14:textId="0C9F8000" w:rsidR="005E207C" w:rsidRPr="0072560A" w:rsidRDefault="005E207C" w:rsidP="005E207C">
      <w:pPr>
        <w:rPr>
          <w:rFonts w:ascii="Arial" w:hAnsi="Arial" w:cs="Arial"/>
          <w:b/>
          <w:bCs/>
          <w:i/>
          <w:iCs/>
        </w:rPr>
      </w:pPr>
      <w:r w:rsidRPr="001C2F94">
        <w:rPr>
          <w:rFonts w:ascii="Arial" w:hAnsi="Arial" w:cs="Arial"/>
        </w:rPr>
        <w:t>Changing consumer expectations continue to influence the automotive industry. Growing environmental awareness and changing attitudes towards vehicle ownership have encouraged Toyota to invest in sustainable mobility solutions alongside traditional vehicle manufacturing. These developments demonstrate the company’s ability to adapt its products while remaining consistent with its long-term organisational values.</w:t>
      </w:r>
      <w:r w:rsidR="0072560A" w:rsidRPr="0072560A">
        <w:t xml:space="preserve"> </w:t>
      </w:r>
      <w:r w:rsidR="0072560A">
        <w:t>(</w:t>
      </w:r>
      <w:r w:rsidR="0072560A" w:rsidRPr="0072560A">
        <w:rPr>
          <w:rFonts w:ascii="Arial" w:hAnsi="Arial" w:cs="Arial"/>
          <w:i/>
          <w:iCs/>
        </w:rPr>
        <w:t>Toyota Motor Corporation (2024) Integrated Report 2024. Available at: https://global.toyota/en/ir/library/annual/)</w:t>
      </w:r>
    </w:p>
    <w:p w14:paraId="3D3930C2" w14:textId="77777777" w:rsidR="005E207C" w:rsidRPr="00C02C7B" w:rsidRDefault="005E207C" w:rsidP="00C02C7B">
      <w:pPr>
        <w:pStyle w:val="Heading1"/>
        <w:rPr>
          <w:sz w:val="32"/>
          <w:szCs w:val="32"/>
        </w:rPr>
      </w:pPr>
      <w:bookmarkStart w:id="28" w:name="_Toc236334630"/>
      <w:r w:rsidRPr="00C02C7B">
        <w:rPr>
          <w:sz w:val="32"/>
          <w:szCs w:val="32"/>
        </w:rPr>
        <w:t>Technological Factors</w:t>
      </w:r>
      <w:bookmarkEnd w:id="28"/>
    </w:p>
    <w:p w14:paraId="5610659B" w14:textId="70B26C7D" w:rsidR="005E207C" w:rsidRPr="001C2F94" w:rsidRDefault="00F2713B" w:rsidP="005E207C">
      <w:pPr>
        <w:rPr>
          <w:rFonts w:ascii="Arial" w:hAnsi="Arial" w:cs="Arial"/>
        </w:rPr>
      </w:pPr>
      <w:r w:rsidRPr="00F2713B">
        <w:rPr>
          <w:rFonts w:ascii="Arial" w:hAnsi="Arial" w:cs="Arial"/>
          <w:color w:val="000000" w:themeColor="text1"/>
        </w:rPr>
        <w:t>Rapid technological developments present significant challenges for Toyota. Progress in areas such as electric vehicles, battery innovation, and artificial intelligence requires the company to adapt and invest in continuous innovation. Although Toyota’s long-standing focus on quality and risk management has supported dependable product development, this careful approach can sometimes slow the company’s response to fast-changing technologies within the automotive sector.</w:t>
      </w:r>
      <w:r w:rsidR="005E207C" w:rsidRPr="00F2713B">
        <w:rPr>
          <w:rFonts w:ascii="Arial" w:hAnsi="Arial" w:cs="Arial"/>
          <w:color w:val="000000" w:themeColor="text1"/>
        </w:rPr>
        <w:t xml:space="preserve"> </w:t>
      </w:r>
      <w:r w:rsidR="0072560A" w:rsidRPr="0072560A">
        <w:rPr>
          <w:rFonts w:ascii="Arial" w:hAnsi="Arial" w:cs="Arial"/>
          <w:i/>
          <w:iCs/>
          <w:color w:val="000000" w:themeColor="text1"/>
        </w:rPr>
        <w:t>(Toyota Motor Corporation (2024) Corporate Governance. Available at: https://global.toyota/en/company/governance/)</w:t>
      </w:r>
    </w:p>
    <w:p w14:paraId="4E16D110" w14:textId="77777777" w:rsidR="005E207C" w:rsidRPr="00C02C7B" w:rsidRDefault="005E207C" w:rsidP="00C02C7B">
      <w:pPr>
        <w:pStyle w:val="Heading1"/>
        <w:rPr>
          <w:sz w:val="32"/>
          <w:szCs w:val="32"/>
        </w:rPr>
      </w:pPr>
      <w:bookmarkStart w:id="29" w:name="_Toc236334631"/>
      <w:r w:rsidRPr="00C02C7B">
        <w:rPr>
          <w:sz w:val="32"/>
          <w:szCs w:val="32"/>
        </w:rPr>
        <w:t>Legal Factors</w:t>
      </w:r>
      <w:bookmarkEnd w:id="29"/>
    </w:p>
    <w:p w14:paraId="5C5F1FEA" w14:textId="77859D05" w:rsidR="005E207C" w:rsidRPr="001C2F94" w:rsidRDefault="00CB7A32" w:rsidP="005E207C">
      <w:pPr>
        <w:rPr>
          <w:rFonts w:ascii="Arial" w:hAnsi="Arial" w:cs="Arial"/>
        </w:rPr>
      </w:pPr>
      <w:r w:rsidRPr="00CB7A32">
        <w:rPr>
          <w:rFonts w:ascii="Arial" w:hAnsi="Arial" w:cs="Arial"/>
        </w:rPr>
        <w:t>As a global manufacturer, Toyota is required to comply with numerous international laws and regulations covering product safety, environmental protection, and employment practices. Its emphasis on standardised processes and quality management helps maintain legal compliance. However, recent certification and regulatory issues have demonstrated the importance of strengthening governance, improving oversight, and responding quickly to evolving legal requirements</w:t>
      </w:r>
      <w:r w:rsidR="005E207C" w:rsidRPr="001C2F94">
        <w:rPr>
          <w:rFonts w:ascii="Arial" w:hAnsi="Arial" w:cs="Arial"/>
        </w:rPr>
        <w:t>.</w:t>
      </w:r>
      <w:r w:rsidR="005E207C" w:rsidRPr="003C1093">
        <w:rPr>
          <w:rFonts w:ascii="Arial" w:hAnsi="Arial" w:cs="Arial"/>
          <w:color w:val="EE0000"/>
        </w:rPr>
        <w:t xml:space="preserve"> </w:t>
      </w:r>
      <w:r w:rsidR="0072560A" w:rsidRPr="0072560A">
        <w:rPr>
          <w:rFonts w:ascii="Arial" w:hAnsi="Arial" w:cs="Arial"/>
          <w:i/>
          <w:iCs/>
          <w:color w:val="000000" w:themeColor="text1"/>
        </w:rPr>
        <w:t>(Toyota Motor Corporation (2024) Corporate Governance. Available at: https://global.toyota/en/company/governance/)</w:t>
      </w:r>
    </w:p>
    <w:p w14:paraId="48582A53" w14:textId="77777777" w:rsidR="005E207C" w:rsidRPr="001C2F94" w:rsidRDefault="005E207C" w:rsidP="00C02C7B">
      <w:pPr>
        <w:pStyle w:val="Heading1"/>
      </w:pPr>
      <w:bookmarkStart w:id="30" w:name="_Toc236334632"/>
      <w:r w:rsidRPr="00C02C7B">
        <w:rPr>
          <w:sz w:val="32"/>
          <w:szCs w:val="32"/>
        </w:rPr>
        <w:t>Environmental Factors</w:t>
      </w:r>
      <w:bookmarkEnd w:id="30"/>
    </w:p>
    <w:p w14:paraId="795C9594" w14:textId="5EF9A78E" w:rsidR="005E207C" w:rsidRPr="0072560A" w:rsidRDefault="005E207C" w:rsidP="005E207C">
      <w:pPr>
        <w:rPr>
          <w:rFonts w:ascii="Arial" w:hAnsi="Arial" w:cs="Arial"/>
          <w:i/>
          <w:iCs/>
          <w:color w:val="000000" w:themeColor="text1"/>
        </w:rPr>
      </w:pPr>
      <w:r w:rsidRPr="001C2F94">
        <w:rPr>
          <w:rFonts w:ascii="Arial" w:hAnsi="Arial" w:cs="Arial"/>
        </w:rPr>
        <w:t xml:space="preserve">Environmental sustainability has become a strategic priority for the global automotive industry. Governments and consumers increasingly expect manufacturers to reduce emissions and develop cleaner technologies. Toyota has responded by investing in hybrid, electric and hydrogen powered vehicles. This approach reflects the organisation’s long-term orientation while supporting its commitment to sustainable business </w:t>
      </w:r>
      <w:proofErr w:type="spellStart"/>
      <w:r w:rsidRPr="001C2F94">
        <w:rPr>
          <w:rFonts w:ascii="Arial" w:hAnsi="Arial" w:cs="Arial"/>
        </w:rPr>
        <w:t>practices.Overall</w:t>
      </w:r>
      <w:proofErr w:type="spellEnd"/>
      <w:r w:rsidRPr="001C2F94">
        <w:rPr>
          <w:rFonts w:ascii="Arial" w:hAnsi="Arial" w:cs="Arial"/>
        </w:rPr>
        <w:t xml:space="preserve">, the PESTLE analysis demonstrates that Toyota operates within a rapidly changing external </w:t>
      </w:r>
      <w:r w:rsidRPr="001C2F94">
        <w:rPr>
          <w:rFonts w:ascii="Arial" w:hAnsi="Arial" w:cs="Arial"/>
        </w:rPr>
        <w:lastRenderedPageBreak/>
        <w:t xml:space="preserve">environment. Although its organisational culture provides stability and supports long term planning, maintaining competitiveness will require continuous adaptation to technological, environmental and political </w:t>
      </w:r>
      <w:r w:rsidR="0072560A" w:rsidRPr="001C2F94">
        <w:rPr>
          <w:rFonts w:ascii="Arial" w:hAnsi="Arial" w:cs="Arial"/>
        </w:rPr>
        <w:t>change.</w:t>
      </w:r>
      <w:r w:rsidR="0072560A">
        <w:rPr>
          <w:rFonts w:ascii="Arial" w:hAnsi="Arial" w:cs="Arial"/>
          <w:color w:val="EE0000"/>
        </w:rPr>
        <w:t xml:space="preserve"> </w:t>
      </w:r>
      <w:r w:rsidR="0072560A" w:rsidRPr="0072560A">
        <w:rPr>
          <w:rFonts w:ascii="Arial" w:hAnsi="Arial" w:cs="Arial"/>
          <w:i/>
          <w:iCs/>
          <w:color w:val="000000" w:themeColor="text1"/>
        </w:rPr>
        <w:t>(</w:t>
      </w:r>
      <w:r w:rsidR="0072560A" w:rsidRPr="0072560A">
        <w:rPr>
          <w:i/>
          <w:iCs/>
          <w:color w:val="000000" w:themeColor="text1"/>
        </w:rPr>
        <w:t xml:space="preserve"> </w:t>
      </w:r>
      <w:proofErr w:type="spellStart"/>
      <w:r w:rsidR="0072560A" w:rsidRPr="0072560A">
        <w:rPr>
          <w:rFonts w:ascii="Arial" w:hAnsi="Arial" w:cs="Arial"/>
          <w:i/>
          <w:iCs/>
          <w:color w:val="000000" w:themeColor="text1"/>
        </w:rPr>
        <w:t>oyota</w:t>
      </w:r>
      <w:proofErr w:type="spellEnd"/>
      <w:r w:rsidR="0072560A" w:rsidRPr="0072560A">
        <w:rPr>
          <w:rFonts w:ascii="Arial" w:hAnsi="Arial" w:cs="Arial"/>
          <w:i/>
          <w:iCs/>
          <w:color w:val="000000" w:themeColor="text1"/>
        </w:rPr>
        <w:t xml:space="preserve"> Motor Corporation (2024) Sustainability Data)</w:t>
      </w:r>
    </w:p>
    <w:p w14:paraId="6FE35064" w14:textId="77777777" w:rsidR="005E207C" w:rsidRPr="001C2F94" w:rsidRDefault="005E207C" w:rsidP="00C02C7B">
      <w:pPr>
        <w:pStyle w:val="Heading1"/>
      </w:pPr>
      <w:bookmarkStart w:id="31" w:name="_Toc236334633"/>
      <w:r w:rsidRPr="00C02C7B">
        <w:rPr>
          <w:sz w:val="32"/>
          <w:szCs w:val="32"/>
        </w:rPr>
        <w:t>Organisational Culture as an Enabler and a Barrier</w:t>
      </w:r>
      <w:bookmarkEnd w:id="31"/>
    </w:p>
    <w:p w14:paraId="7E8FEF74" w14:textId="77777777" w:rsidR="005E207C" w:rsidRDefault="005E207C" w:rsidP="005E207C">
      <w:pPr>
        <w:rPr>
          <w:rFonts w:ascii="Arial" w:hAnsi="Arial" w:cs="Arial"/>
        </w:rPr>
      </w:pPr>
      <w:r w:rsidRPr="001C2F94">
        <w:rPr>
          <w:rFonts w:ascii="Arial" w:hAnsi="Arial" w:cs="Arial"/>
        </w:rPr>
        <w:t>Organisational culture can significantly influence organisational performance by improving communication, employee engagement and operational efficiency. At the same time, strong organisational cultures may also create barriers when organisations need to adapt quickly to changing market conditions. Toyota demonstrates both the strengths and potential limitations of a well-established organisational culture.</w:t>
      </w:r>
    </w:p>
    <w:p w14:paraId="72E24154" w14:textId="77777777" w:rsidR="005E207C" w:rsidRPr="00C02C7B" w:rsidRDefault="005E207C" w:rsidP="00C02C7B">
      <w:pPr>
        <w:pStyle w:val="Heading1"/>
        <w:rPr>
          <w:sz w:val="32"/>
          <w:szCs w:val="32"/>
        </w:rPr>
      </w:pPr>
      <w:bookmarkStart w:id="32" w:name="_Toc236334634"/>
      <w:r w:rsidRPr="00C02C7B">
        <w:rPr>
          <w:sz w:val="32"/>
          <w:szCs w:val="32"/>
        </w:rPr>
        <w:t>Organisational Culture as an Enabler</w:t>
      </w:r>
      <w:bookmarkEnd w:id="32"/>
    </w:p>
    <w:p w14:paraId="6CF12E05" w14:textId="02DA5B1D" w:rsidR="005E207C" w:rsidRPr="001C2F94" w:rsidRDefault="005E207C" w:rsidP="005E207C">
      <w:pPr>
        <w:rPr>
          <w:rFonts w:ascii="Arial" w:hAnsi="Arial" w:cs="Arial"/>
        </w:rPr>
      </w:pPr>
      <w:r w:rsidRPr="001C2F94">
        <w:rPr>
          <w:rFonts w:ascii="Arial" w:hAnsi="Arial" w:cs="Arial"/>
        </w:rPr>
        <w:t xml:space="preserve">One of Toyota’s greatest strengths is its commitment to continuous improvement. The principle of Kaizen encourages employees to identify problems and contribute to organisational development. By viewing mistakes as opportunities for learning, Toyota has developed a culture that supports innovation through gradual improvement rather than dramatic organisational change. Toyota also places considerable emphasis on employee involvement and </w:t>
      </w:r>
      <w:r w:rsidR="00CF2954" w:rsidRPr="001C2F94">
        <w:rPr>
          <w:rFonts w:ascii="Arial" w:hAnsi="Arial" w:cs="Arial"/>
        </w:rPr>
        <w:t>long-term</w:t>
      </w:r>
      <w:r w:rsidRPr="001C2F94">
        <w:rPr>
          <w:rFonts w:ascii="Arial" w:hAnsi="Arial" w:cs="Arial"/>
        </w:rPr>
        <w:t xml:space="preserve"> development. Employees are encouraged to participate in decision making processes and contribute to quality management initiatives. This creates stronger organisational commitment while supporting knowledge sharing across different levels of the company.</w:t>
      </w:r>
    </w:p>
    <w:p w14:paraId="7B7F756A" w14:textId="77777777" w:rsidR="005E207C" w:rsidRPr="008A6AC3" w:rsidRDefault="005E207C" w:rsidP="005E207C">
      <w:pPr>
        <w:rPr>
          <w:rFonts w:ascii="Arial" w:hAnsi="Arial" w:cs="Arial"/>
        </w:rPr>
      </w:pPr>
      <w:r w:rsidRPr="001C2F94">
        <w:rPr>
          <w:rFonts w:ascii="Arial" w:hAnsi="Arial" w:cs="Arial"/>
        </w:rPr>
        <w:t>Another important advantage is Toyota’s long-term approach to supplier relationships. Rather than focusing exclusively on short term financial performance, the organisation emphasises collaboration and mutual development. These partnerships strengthen operational resilience and improve supply chain performance during periods of uncertainty.</w:t>
      </w:r>
    </w:p>
    <w:p w14:paraId="63C87099" w14:textId="77777777" w:rsidR="005E207C" w:rsidRPr="00C02C7B" w:rsidRDefault="005E207C" w:rsidP="00C02C7B">
      <w:pPr>
        <w:pStyle w:val="Heading1"/>
        <w:rPr>
          <w:sz w:val="32"/>
          <w:szCs w:val="32"/>
        </w:rPr>
      </w:pPr>
      <w:bookmarkStart w:id="33" w:name="_Toc236334635"/>
      <w:r w:rsidRPr="00C02C7B">
        <w:rPr>
          <w:sz w:val="32"/>
          <w:szCs w:val="32"/>
        </w:rPr>
        <w:t>Organisational Culture as a Barrier</w:t>
      </w:r>
      <w:bookmarkEnd w:id="33"/>
    </w:p>
    <w:p w14:paraId="1B94789F" w14:textId="77777777" w:rsidR="005E207C" w:rsidRPr="001C2F94" w:rsidRDefault="005E207C" w:rsidP="005E207C">
      <w:pPr>
        <w:rPr>
          <w:rFonts w:ascii="Arial" w:hAnsi="Arial" w:cs="Arial"/>
        </w:rPr>
      </w:pPr>
      <w:r w:rsidRPr="001C2F94">
        <w:rPr>
          <w:rFonts w:ascii="Arial" w:hAnsi="Arial" w:cs="Arial"/>
        </w:rPr>
        <w:t>Despite these strengths, Toyota’s organisational culture also presents several challenges. Consensus based decision making contributes to effective implementation but may reduce organisational agility when rapid responses are required. In highly competitive industries, slower decision making can delay innovation and reduce opportunities to respond quickly to changing market conditions.</w:t>
      </w:r>
    </w:p>
    <w:p w14:paraId="29E439D7" w14:textId="77777777" w:rsidR="005E207C" w:rsidRPr="001C2F94" w:rsidRDefault="005E207C" w:rsidP="005E207C">
      <w:pPr>
        <w:rPr>
          <w:rFonts w:ascii="Arial" w:hAnsi="Arial" w:cs="Arial"/>
        </w:rPr>
      </w:pPr>
      <w:r w:rsidRPr="001C2F94">
        <w:rPr>
          <w:rFonts w:ascii="Arial" w:hAnsi="Arial" w:cs="Arial"/>
        </w:rPr>
        <w:t>Toyota has traditionally excelled in continuous improvement through incremental innovation. However, rapid developments in electric vehicles and digital technologies require organisations to respond more quickly than in the past. The company’s cautious approach may occasionally reduce its ability to compete with organisations that adopt more aggressive innovation strategies.</w:t>
      </w:r>
    </w:p>
    <w:p w14:paraId="338BAAEC" w14:textId="77777777" w:rsidR="005E207C" w:rsidRPr="001C2F94" w:rsidRDefault="005E207C" w:rsidP="005E207C">
      <w:pPr>
        <w:rPr>
          <w:rFonts w:ascii="Arial" w:hAnsi="Arial" w:cs="Arial"/>
        </w:rPr>
      </w:pPr>
      <w:r w:rsidRPr="001C2F94">
        <w:rPr>
          <w:rFonts w:ascii="Arial" w:hAnsi="Arial" w:cs="Arial"/>
        </w:rPr>
        <w:t>Toyota’s emphasis on hierarchy and respect for authority may also discourage employees from openly challenging management decisions. Although collaboration remains an important cultural value, organisations with strong internal consensus should continue encouraging constructive criticism and open communication to reduce organisational risk.</w:t>
      </w:r>
    </w:p>
    <w:p w14:paraId="1028F3F5" w14:textId="77777777" w:rsidR="005E207C" w:rsidRPr="006A6B7E" w:rsidRDefault="005E207C" w:rsidP="005E207C">
      <w:pPr>
        <w:rPr>
          <w:rFonts w:ascii="Arial" w:hAnsi="Arial" w:cs="Arial"/>
        </w:rPr>
      </w:pPr>
      <w:r w:rsidRPr="001C2F94">
        <w:rPr>
          <w:rFonts w:ascii="Arial" w:hAnsi="Arial" w:cs="Arial"/>
        </w:rPr>
        <w:t>Overall, Toyota’s organisational culture remains one of its greatest competitive advantages. Nevertheless, maintaining an appropriate balance between cultural stability and organisational flexibility will be essential for future success.</w:t>
      </w:r>
    </w:p>
    <w:p w14:paraId="0E23B7C7" w14:textId="77777777" w:rsidR="005E207C" w:rsidRPr="00C02C7B" w:rsidRDefault="005E207C" w:rsidP="00C02C7B">
      <w:pPr>
        <w:pStyle w:val="Heading1"/>
        <w:rPr>
          <w:sz w:val="32"/>
          <w:szCs w:val="32"/>
        </w:rPr>
      </w:pPr>
      <w:bookmarkStart w:id="34" w:name="_Toc236334636"/>
      <w:r w:rsidRPr="00C02C7B">
        <w:rPr>
          <w:sz w:val="32"/>
          <w:szCs w:val="32"/>
        </w:rPr>
        <w:lastRenderedPageBreak/>
        <w:t>Evaluation of the Impact on Organisational Performance</w:t>
      </w:r>
      <w:bookmarkEnd w:id="34"/>
    </w:p>
    <w:p w14:paraId="0B4E027F" w14:textId="77777777" w:rsidR="005E207C" w:rsidRPr="001C2F94" w:rsidRDefault="005E207C" w:rsidP="005E207C">
      <w:pPr>
        <w:rPr>
          <w:rFonts w:ascii="Arial" w:hAnsi="Arial" w:cs="Arial"/>
        </w:rPr>
      </w:pPr>
      <w:r w:rsidRPr="001C2F94">
        <w:rPr>
          <w:rFonts w:ascii="Arial" w:hAnsi="Arial" w:cs="Arial"/>
        </w:rPr>
        <w:t>Toyota’s organisational culture has made a substantial contribution to the company’s long-term success. The principles of continuous improvement, employee involvement and quality management have strengthened operational efficiency while helping Toyota establish a strong global reputation for reliability and customer satisfaction.</w:t>
      </w:r>
    </w:p>
    <w:p w14:paraId="4AC27443" w14:textId="77777777" w:rsidR="005E207C" w:rsidRPr="001C2F94" w:rsidRDefault="005E207C" w:rsidP="005E207C">
      <w:pPr>
        <w:rPr>
          <w:rFonts w:ascii="Arial" w:hAnsi="Arial" w:cs="Arial"/>
        </w:rPr>
      </w:pPr>
      <w:r w:rsidRPr="001C2F94">
        <w:rPr>
          <w:rFonts w:ascii="Arial" w:hAnsi="Arial" w:cs="Arial"/>
        </w:rPr>
        <w:t>However, long term organisational performance depends not only on maintaining existing strengths but also on adapting to changing business environments. Increasing competition within the electric vehicle market demonstrates that organisations must combine operational excellence with greater strategic flexibility. Toyota’s future competitiveness will therefore depend on its ability to preserve its cultural identity while responding more effectively to technological disruption and changing customer expectations.</w:t>
      </w:r>
    </w:p>
    <w:p w14:paraId="20F31C09" w14:textId="77777777" w:rsidR="005E207C" w:rsidRPr="00C02C7B" w:rsidRDefault="005E207C" w:rsidP="00C02C7B">
      <w:pPr>
        <w:pStyle w:val="Heading1"/>
        <w:rPr>
          <w:sz w:val="32"/>
          <w:szCs w:val="32"/>
        </w:rPr>
      </w:pPr>
      <w:bookmarkStart w:id="35" w:name="_Toc236334637"/>
      <w:r w:rsidRPr="00C02C7B">
        <w:rPr>
          <w:sz w:val="32"/>
          <w:szCs w:val="32"/>
        </w:rPr>
        <w:t>Recommendations</w:t>
      </w:r>
      <w:bookmarkEnd w:id="35"/>
    </w:p>
    <w:p w14:paraId="29875C1D" w14:textId="77777777" w:rsidR="005E207C" w:rsidRPr="001C2F94" w:rsidRDefault="005E207C" w:rsidP="005E207C">
      <w:pPr>
        <w:rPr>
          <w:rFonts w:ascii="Arial" w:hAnsi="Arial" w:cs="Arial"/>
        </w:rPr>
      </w:pPr>
      <w:r w:rsidRPr="001C2F94">
        <w:rPr>
          <w:rFonts w:ascii="Arial" w:hAnsi="Arial" w:cs="Arial"/>
        </w:rPr>
        <w:t>Toyota should increase organisational flexibility within innovation activities by establishing project teams with greater decision-making autonomy. This would allow the organisation to accelerate the development of emerging technologies while maintaining the quality standards associated with The Toyota Way.</w:t>
      </w:r>
    </w:p>
    <w:p w14:paraId="48E58C04" w14:textId="77777777" w:rsidR="005E207C" w:rsidRPr="001C2F94" w:rsidRDefault="005E207C" w:rsidP="005E207C">
      <w:pPr>
        <w:rPr>
          <w:rFonts w:ascii="Arial" w:hAnsi="Arial" w:cs="Arial"/>
        </w:rPr>
      </w:pPr>
      <w:r w:rsidRPr="001C2F94">
        <w:rPr>
          <w:rFonts w:ascii="Arial" w:hAnsi="Arial" w:cs="Arial"/>
        </w:rPr>
        <w:t>Toyota should continue strengthening transparency and open communication across all organisational levels. Encouraging employees to report concerns, challenge existing practices and contribute new ideas would improve organisational learning while reducing operational risk. This recommendation supports Toyota’s commitment to continuous improvement while promoting greater adaptability.</w:t>
      </w:r>
    </w:p>
    <w:p w14:paraId="29395A3C" w14:textId="77777777" w:rsidR="005E207C" w:rsidRPr="001C2F94" w:rsidRDefault="005E207C" w:rsidP="005E207C">
      <w:pPr>
        <w:rPr>
          <w:rFonts w:ascii="Arial" w:hAnsi="Arial" w:cs="Arial"/>
        </w:rPr>
      </w:pPr>
      <w:r w:rsidRPr="001C2F94">
        <w:rPr>
          <w:rFonts w:ascii="Arial" w:hAnsi="Arial" w:cs="Arial"/>
        </w:rPr>
        <w:t>Together, these recommendations would strengthen Toyota’s ability to respond to future challenges without undermining the cultural values that have contributed to its long-term success.</w:t>
      </w:r>
    </w:p>
    <w:p w14:paraId="098471E8" w14:textId="77777777" w:rsidR="00CF2954" w:rsidRDefault="005E207C" w:rsidP="00C02C7B">
      <w:pPr>
        <w:pStyle w:val="Heading1"/>
        <w:rPr>
          <w:sz w:val="32"/>
          <w:szCs w:val="32"/>
        </w:rPr>
      </w:pPr>
      <w:bookmarkStart w:id="36" w:name="_Toc236334638"/>
      <w:r w:rsidRPr="00C02C7B">
        <w:rPr>
          <w:sz w:val="32"/>
          <w:szCs w:val="32"/>
        </w:rPr>
        <w:t>Conclusion</w:t>
      </w:r>
      <w:bookmarkEnd w:id="36"/>
    </w:p>
    <w:p w14:paraId="51142B51" w14:textId="77777777" w:rsidR="00226A8B" w:rsidRPr="00DD5AA7" w:rsidRDefault="00226A8B" w:rsidP="00226A8B">
      <w:pPr>
        <w:rPr>
          <w:rFonts w:ascii="Arial" w:hAnsi="Arial" w:cs="Arial"/>
        </w:rPr>
      </w:pPr>
      <w:r w:rsidRPr="00DD5AA7">
        <w:rPr>
          <w:rFonts w:ascii="Arial" w:hAnsi="Arial" w:cs="Arial"/>
        </w:rPr>
        <w:t>This report has demonstrated that organisational culture is a key factor influencing organisational structure, decision-making, and long-term business performance. The analysis of Toyota shows that a well-developed organisational culture can strengthen operational efficiency, encourage employee involvement, and support sustainable competitive advantage. Through its emphasis on continuous improvement, teamwork, and quality management, Toyota has established a culture that contributes to consistent organisational performance while maintaining high standards across its global operations.</w:t>
      </w:r>
    </w:p>
    <w:p w14:paraId="0DCEACE7" w14:textId="77777777" w:rsidR="00226A8B" w:rsidRPr="00DD5AA7" w:rsidRDefault="00226A8B" w:rsidP="00226A8B">
      <w:pPr>
        <w:rPr>
          <w:rFonts w:ascii="Arial" w:hAnsi="Arial" w:cs="Arial"/>
        </w:rPr>
      </w:pPr>
    </w:p>
    <w:p w14:paraId="4CCBD1AA" w14:textId="77777777" w:rsidR="00226A8B" w:rsidRPr="00DD5AA7" w:rsidRDefault="00226A8B" w:rsidP="00226A8B">
      <w:pPr>
        <w:rPr>
          <w:rFonts w:ascii="Arial" w:hAnsi="Arial" w:cs="Arial"/>
        </w:rPr>
      </w:pPr>
      <w:r w:rsidRPr="00DD5AA7">
        <w:rPr>
          <w:rFonts w:ascii="Arial" w:hAnsi="Arial" w:cs="Arial"/>
        </w:rPr>
        <w:t>The application of Schein’s Three Levels of Culture, Hofstede’s Cultural Dimensions, and Handy’s Cultural Types provided a comprehensive understanding of the factors shaping Toyota’s organisational culture. These frameworks highlight that Toyota’s success is not based solely on technology or manufacturing expertise but also on shared values, leadership practices, employee commitment, and a strong organisational identity. The company’s collaborative approach to decision-making and continuous learning has enabled it to remain competitive in an increasingly demanding global market.</w:t>
      </w:r>
    </w:p>
    <w:p w14:paraId="423745FE" w14:textId="77777777" w:rsidR="00226A8B" w:rsidRPr="00DD5AA7" w:rsidRDefault="00226A8B" w:rsidP="00226A8B">
      <w:pPr>
        <w:rPr>
          <w:rFonts w:ascii="Arial" w:hAnsi="Arial" w:cs="Arial"/>
        </w:rPr>
      </w:pPr>
    </w:p>
    <w:p w14:paraId="5D84F5F1" w14:textId="77777777" w:rsidR="00226A8B" w:rsidRPr="00DD5AA7" w:rsidRDefault="00226A8B" w:rsidP="00226A8B">
      <w:pPr>
        <w:rPr>
          <w:rFonts w:ascii="Arial" w:hAnsi="Arial" w:cs="Arial"/>
        </w:rPr>
      </w:pPr>
      <w:r w:rsidRPr="00DD5AA7">
        <w:rPr>
          <w:rFonts w:ascii="Arial" w:hAnsi="Arial" w:cs="Arial"/>
        </w:rPr>
        <w:t>The PESTLE analysis further demonstrated that external factors, including political, economic, social, technological, legal, and environmental changes, continue to influence Toyota’s strategic decisions. Rapid technological innovation, evolving environmental expectations, and increasingly complex legal requirements require the organisation to remain flexible while preserving the core values that have supported its long-term success. Although Toyota’s structured management approach provides stability and reliability, maintaining an appropriate balance between standardisation and adaptability will become increasingly important as the automotive industry continues to evolve.</w:t>
      </w:r>
    </w:p>
    <w:p w14:paraId="50DC0221" w14:textId="77777777" w:rsidR="00226A8B" w:rsidRPr="00DD5AA7" w:rsidRDefault="00226A8B" w:rsidP="00226A8B">
      <w:pPr>
        <w:rPr>
          <w:rFonts w:ascii="Arial" w:hAnsi="Arial" w:cs="Arial"/>
        </w:rPr>
      </w:pPr>
    </w:p>
    <w:p w14:paraId="02ACF50D" w14:textId="234A9531" w:rsidR="00226A8B" w:rsidRPr="00DD5AA7" w:rsidRDefault="00226A8B" w:rsidP="00226A8B">
      <w:pPr>
        <w:rPr>
          <w:rFonts w:ascii="Arial" w:hAnsi="Arial" w:cs="Arial"/>
        </w:rPr>
      </w:pPr>
      <w:r w:rsidRPr="00DD5AA7">
        <w:rPr>
          <w:rFonts w:ascii="Arial" w:hAnsi="Arial" w:cs="Arial"/>
        </w:rPr>
        <w:t>Overall, Toyota’s organisational culture remains one of its greatest strategic strengths. However, future success will depend on the company’s ability to combine its traditional commitment to quality, efficiency, and continuous improvement with greater organisational flexibility, innovation, and responsiveness to change. By maintaining this balance, Toyota will be well positioned to sustain its competitive advantage, strengthen stakeholder confidence, and achieve long-term organisational growth in an increasingly dynamic global business environment.</w:t>
      </w:r>
    </w:p>
    <w:p w14:paraId="5D0231B5" w14:textId="0DE629B3" w:rsidR="005E207C" w:rsidRPr="00C02C7B" w:rsidRDefault="005E207C" w:rsidP="00C02C7B">
      <w:pPr>
        <w:pStyle w:val="Heading1"/>
        <w:rPr>
          <w:sz w:val="32"/>
          <w:szCs w:val="32"/>
        </w:rPr>
      </w:pPr>
      <w:bookmarkStart w:id="37" w:name="_Toc236334639"/>
      <w:r w:rsidRPr="00C02C7B">
        <w:rPr>
          <w:sz w:val="32"/>
          <w:szCs w:val="32"/>
        </w:rPr>
        <w:t>References</w:t>
      </w:r>
      <w:bookmarkEnd w:id="37"/>
    </w:p>
    <w:p w14:paraId="3839C47F" w14:textId="4CE3647D" w:rsidR="005E207C" w:rsidRPr="003E432E" w:rsidRDefault="005E207C" w:rsidP="005E207C">
      <w:pPr>
        <w:rPr>
          <w:rFonts w:ascii="Arial" w:hAnsi="Arial" w:cs="Arial"/>
        </w:rPr>
      </w:pPr>
      <w:r w:rsidRPr="003E432E">
        <w:rPr>
          <w:rFonts w:ascii="Arial" w:hAnsi="Arial" w:cs="Arial"/>
        </w:rPr>
        <w:t xml:space="preserve">1. Mullins, L.J. and Christy, G. (2023) Management and Organisational Behaviour. 13th edn. Harlow: </w:t>
      </w:r>
      <w:r w:rsidR="009C1B6D" w:rsidRPr="003E432E">
        <w:rPr>
          <w:rFonts w:ascii="Arial" w:hAnsi="Arial" w:cs="Arial"/>
        </w:rPr>
        <w:t>Pearson</w:t>
      </w:r>
      <w:r w:rsidR="009C1B6D">
        <w:rPr>
          <w:rFonts w:ascii="Arial" w:hAnsi="Arial" w:cs="Arial"/>
        </w:rPr>
        <w:t xml:space="preserve"> (Accessed:24.07.2026)</w:t>
      </w:r>
    </w:p>
    <w:p w14:paraId="1B340A84" w14:textId="355E1507" w:rsidR="005E207C" w:rsidRPr="003E432E" w:rsidRDefault="005E207C" w:rsidP="005E207C">
      <w:pPr>
        <w:rPr>
          <w:rFonts w:ascii="Arial" w:hAnsi="Arial" w:cs="Arial"/>
        </w:rPr>
      </w:pPr>
      <w:r w:rsidRPr="003E432E">
        <w:rPr>
          <w:rFonts w:ascii="Arial" w:hAnsi="Arial" w:cs="Arial"/>
        </w:rPr>
        <w:t xml:space="preserve">2. Robbins, S.P. and Judge, T.A. (2023) Organizational Behaviour. 19th edn. Harlow: </w:t>
      </w:r>
      <w:r w:rsidR="009C1B6D" w:rsidRPr="003E432E">
        <w:rPr>
          <w:rFonts w:ascii="Arial" w:hAnsi="Arial" w:cs="Arial"/>
        </w:rPr>
        <w:t>Pearson.</w:t>
      </w:r>
      <w:r w:rsidR="009C1B6D">
        <w:rPr>
          <w:rFonts w:ascii="Arial" w:hAnsi="Arial" w:cs="Arial"/>
        </w:rPr>
        <w:t xml:space="preserve"> (Accessed:24.07.2026)</w:t>
      </w:r>
    </w:p>
    <w:p w14:paraId="36841D48" w14:textId="755988F4" w:rsidR="005E207C" w:rsidRDefault="005E207C" w:rsidP="005E207C">
      <w:pPr>
        <w:rPr>
          <w:rFonts w:ascii="Arial" w:hAnsi="Arial" w:cs="Arial"/>
        </w:rPr>
      </w:pPr>
      <w:r w:rsidRPr="003E432E">
        <w:rPr>
          <w:rFonts w:ascii="Arial" w:hAnsi="Arial" w:cs="Arial"/>
        </w:rPr>
        <w:t>3. Daft, R.L. (2023) Organization Theory and Design. 14th edn. Boston: Cengage Learning</w:t>
      </w:r>
    </w:p>
    <w:p w14:paraId="09F7E29A" w14:textId="15D67127" w:rsidR="009C1B6D" w:rsidRPr="003E432E" w:rsidRDefault="009C1B6D" w:rsidP="005E207C">
      <w:pPr>
        <w:rPr>
          <w:rFonts w:ascii="Arial" w:hAnsi="Arial" w:cs="Arial"/>
        </w:rPr>
      </w:pPr>
      <w:r>
        <w:rPr>
          <w:rFonts w:ascii="Arial" w:hAnsi="Arial" w:cs="Arial"/>
        </w:rPr>
        <w:t>(Accessed:24.07.2026)</w:t>
      </w:r>
    </w:p>
    <w:p w14:paraId="056416E5" w14:textId="2E9EFF59" w:rsidR="005E207C" w:rsidRDefault="005E207C" w:rsidP="005E207C">
      <w:pPr>
        <w:rPr>
          <w:rFonts w:ascii="Arial" w:hAnsi="Arial" w:cs="Arial"/>
        </w:rPr>
      </w:pPr>
      <w:r w:rsidRPr="003E432E">
        <w:rPr>
          <w:rFonts w:ascii="Arial" w:hAnsi="Arial" w:cs="Arial"/>
        </w:rPr>
        <w:t xml:space="preserve">4. Johnson, G., Scholes, K., Whittington, R. and Angwin, D. (2023) Exploring Strategy. 13th edn. Harlow: </w:t>
      </w:r>
      <w:r w:rsidR="009C1B6D" w:rsidRPr="003E432E">
        <w:rPr>
          <w:rFonts w:ascii="Arial" w:hAnsi="Arial" w:cs="Arial"/>
        </w:rPr>
        <w:t>Pearson.</w:t>
      </w:r>
      <w:r w:rsidR="009C1B6D">
        <w:rPr>
          <w:rFonts w:ascii="Arial" w:hAnsi="Arial" w:cs="Arial"/>
        </w:rPr>
        <w:t xml:space="preserve"> (Accessed:24.07.2026)</w:t>
      </w:r>
    </w:p>
    <w:p w14:paraId="2E536D36" w14:textId="7EA535C6" w:rsidR="009C1B6D" w:rsidRDefault="005E207C" w:rsidP="005E207C">
      <w:pPr>
        <w:rPr>
          <w:rFonts w:ascii="Arial" w:hAnsi="Arial" w:cs="Arial"/>
        </w:rPr>
      </w:pPr>
      <w:r w:rsidRPr="003E432E">
        <w:rPr>
          <w:rFonts w:ascii="Arial" w:hAnsi="Arial" w:cs="Arial"/>
        </w:rPr>
        <w:t xml:space="preserve">5. Bratton, J. (2024) Work and Organizational Behaviour. 4th edn. London: Red Globe </w:t>
      </w:r>
      <w:r w:rsidR="009C1B6D" w:rsidRPr="003E432E">
        <w:rPr>
          <w:rFonts w:ascii="Arial" w:hAnsi="Arial" w:cs="Arial"/>
        </w:rPr>
        <w:t>Press.</w:t>
      </w:r>
      <w:r w:rsidR="009C1B6D">
        <w:rPr>
          <w:rFonts w:ascii="Arial" w:hAnsi="Arial" w:cs="Arial"/>
        </w:rPr>
        <w:t xml:space="preserve"> (Accessed:24.07.2026)</w:t>
      </w:r>
    </w:p>
    <w:p w14:paraId="00D11E59" w14:textId="792AF7F9" w:rsidR="005E207C" w:rsidRPr="003E432E" w:rsidRDefault="005E207C" w:rsidP="005E207C">
      <w:pPr>
        <w:rPr>
          <w:rFonts w:ascii="Arial" w:hAnsi="Arial" w:cs="Arial"/>
        </w:rPr>
      </w:pPr>
      <w:r w:rsidRPr="003E432E">
        <w:rPr>
          <w:rFonts w:ascii="Arial" w:hAnsi="Arial" w:cs="Arial"/>
        </w:rPr>
        <w:t xml:space="preserve"> Toyota Motor Corporation (2024) Integrated Report 2024. </w:t>
      </w:r>
      <w:r w:rsidR="009C1B6D">
        <w:rPr>
          <w:rFonts w:ascii="Arial" w:hAnsi="Arial" w:cs="Arial"/>
        </w:rPr>
        <w:t>(Accessed:24.07.2026)</w:t>
      </w:r>
    </w:p>
    <w:p w14:paraId="7185E8E9" w14:textId="0F060378" w:rsidR="005E207C" w:rsidRPr="003E432E" w:rsidRDefault="005E207C" w:rsidP="005E207C">
      <w:pPr>
        <w:rPr>
          <w:rFonts w:ascii="Arial" w:hAnsi="Arial" w:cs="Arial"/>
        </w:rPr>
      </w:pPr>
      <w:r w:rsidRPr="003E432E">
        <w:rPr>
          <w:rFonts w:ascii="Arial" w:hAnsi="Arial" w:cs="Arial"/>
        </w:rPr>
        <w:t xml:space="preserve">7. Toyota Motor Corporation (2024) Corporate Governance. </w:t>
      </w:r>
      <w:r w:rsidR="009C1B6D">
        <w:rPr>
          <w:rFonts w:ascii="Arial" w:hAnsi="Arial" w:cs="Arial"/>
        </w:rPr>
        <w:t>(Accessed:24.07.2026)</w:t>
      </w:r>
    </w:p>
    <w:p w14:paraId="394535C5" w14:textId="389FDC22" w:rsidR="005E207C" w:rsidRPr="003E432E" w:rsidRDefault="005E207C" w:rsidP="005E207C">
      <w:pPr>
        <w:rPr>
          <w:rFonts w:ascii="Arial" w:hAnsi="Arial" w:cs="Arial"/>
        </w:rPr>
      </w:pPr>
      <w:r w:rsidRPr="003E432E">
        <w:rPr>
          <w:rFonts w:ascii="Arial" w:hAnsi="Arial" w:cs="Arial"/>
        </w:rPr>
        <w:t xml:space="preserve">8. Toyota Motor Corporation (2024) Sustainability Data Book 2024. </w:t>
      </w:r>
      <w:r w:rsidR="009C1B6D">
        <w:rPr>
          <w:rFonts w:ascii="Arial" w:hAnsi="Arial" w:cs="Arial"/>
        </w:rPr>
        <w:t>(Accessed:24.07.2026)</w:t>
      </w:r>
    </w:p>
    <w:p w14:paraId="3D225E98" w14:textId="77777777" w:rsidR="00C02C7B" w:rsidRDefault="005E207C" w:rsidP="005E207C">
      <w:pPr>
        <w:rPr>
          <w:rFonts w:ascii="Arial" w:hAnsi="Arial" w:cs="Arial"/>
        </w:rPr>
      </w:pPr>
      <w:r w:rsidRPr="003E432E">
        <w:rPr>
          <w:rFonts w:ascii="Arial" w:hAnsi="Arial" w:cs="Arial"/>
        </w:rPr>
        <w:t xml:space="preserve">9. Toyota Motor Corporation (2024) Diversity, Equity and Inclusion. </w:t>
      </w:r>
      <w:r w:rsidR="009C1B6D">
        <w:rPr>
          <w:rFonts w:ascii="Arial" w:hAnsi="Arial" w:cs="Arial"/>
        </w:rPr>
        <w:t xml:space="preserve"> (Accessed:24.07.2026)</w:t>
      </w:r>
    </w:p>
    <w:p w14:paraId="5F0F7C12" w14:textId="7B245D75" w:rsidR="005E207C" w:rsidRPr="003E432E" w:rsidRDefault="005E207C" w:rsidP="005E207C">
      <w:pPr>
        <w:rPr>
          <w:rFonts w:ascii="Arial" w:hAnsi="Arial" w:cs="Arial"/>
        </w:rPr>
      </w:pPr>
      <w:r w:rsidRPr="003E432E">
        <w:rPr>
          <w:rFonts w:ascii="Arial" w:hAnsi="Arial" w:cs="Arial"/>
        </w:rPr>
        <w:t xml:space="preserve">10. Chartered Institute of Personnel and Development (CIPD) (2024) People Profession and Knowledge Hub. </w:t>
      </w:r>
      <w:r w:rsidR="009C1B6D">
        <w:rPr>
          <w:rFonts w:ascii="Arial" w:hAnsi="Arial" w:cs="Arial"/>
        </w:rPr>
        <w:t xml:space="preserve"> (Accessed:24.07.2026)</w:t>
      </w:r>
    </w:p>
    <w:p w14:paraId="10205815" w14:textId="74BFBF8C" w:rsidR="00CF2954" w:rsidRDefault="005E207C" w:rsidP="009C1B6D">
      <w:pPr>
        <w:rPr>
          <w:rFonts w:ascii="Arial" w:hAnsi="Arial" w:cs="Arial"/>
        </w:rPr>
      </w:pPr>
      <w:r w:rsidRPr="003E432E">
        <w:rPr>
          <w:rFonts w:ascii="Arial" w:hAnsi="Arial" w:cs="Arial"/>
        </w:rPr>
        <w:t xml:space="preserve">11. Chartered Management Institute (CMI) (2024) Management </w:t>
      </w:r>
      <w:r w:rsidR="009C1B6D" w:rsidRPr="003E432E">
        <w:rPr>
          <w:rFonts w:ascii="Arial" w:hAnsi="Arial" w:cs="Arial"/>
        </w:rPr>
        <w:t>Insights.</w:t>
      </w:r>
      <w:r w:rsidR="009C1B6D">
        <w:rPr>
          <w:rFonts w:ascii="Arial" w:hAnsi="Arial" w:cs="Arial"/>
        </w:rPr>
        <w:t xml:space="preserve"> (Accessed:24.07.2026</w:t>
      </w:r>
      <w:r w:rsidR="00C02C7B">
        <w:rPr>
          <w:rFonts w:ascii="Arial" w:hAnsi="Arial" w:cs="Arial"/>
        </w:rPr>
        <w:t>)</w:t>
      </w:r>
    </w:p>
    <w:p w14:paraId="7008FEE2" w14:textId="2D15D132" w:rsidR="009C1B6D" w:rsidRDefault="005E207C" w:rsidP="009C1B6D">
      <w:pPr>
        <w:rPr>
          <w:rFonts w:ascii="Arial" w:hAnsi="Arial" w:cs="Arial"/>
        </w:rPr>
      </w:pPr>
      <w:r w:rsidRPr="003E432E">
        <w:rPr>
          <w:rFonts w:ascii="Arial" w:hAnsi="Arial" w:cs="Arial"/>
        </w:rPr>
        <w:t xml:space="preserve">12. Muniz Jr, J., Popadiuk, S., Batistela, G.C., Nakanishi, F.K. and Rodriguez, I.A. (2024) ‘Toyota’s knowledge sharing intention in Brazil and Japan: Does organisational cross culture matter?’, Knowledge Management Research and Practice, 22(2), pp. 133–147.  </w:t>
      </w:r>
      <w:r w:rsidR="009C1B6D">
        <w:rPr>
          <w:rFonts w:ascii="Arial" w:hAnsi="Arial" w:cs="Arial"/>
        </w:rPr>
        <w:t>(Accessed:24.07.2026)</w:t>
      </w:r>
    </w:p>
    <w:p w14:paraId="4A1705CD" w14:textId="77777777" w:rsidR="00CC588F" w:rsidRDefault="00CC588F" w:rsidP="005E207C"/>
    <w:sectPr w:rsidR="00CC58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C4B0B" w14:textId="77777777" w:rsidR="006961BA" w:rsidRDefault="006961BA" w:rsidP="005C3BD0">
      <w:pPr>
        <w:spacing w:after="0" w:line="240" w:lineRule="auto"/>
      </w:pPr>
      <w:r>
        <w:separator/>
      </w:r>
    </w:p>
  </w:endnote>
  <w:endnote w:type="continuationSeparator" w:id="0">
    <w:p w14:paraId="2CD1553E" w14:textId="77777777" w:rsidR="006961BA" w:rsidRDefault="006961BA" w:rsidP="005C3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358C2" w14:textId="77777777" w:rsidR="006961BA" w:rsidRDefault="006961BA" w:rsidP="005C3BD0">
      <w:pPr>
        <w:spacing w:after="0" w:line="240" w:lineRule="auto"/>
      </w:pPr>
      <w:r>
        <w:separator/>
      </w:r>
    </w:p>
  </w:footnote>
  <w:footnote w:type="continuationSeparator" w:id="0">
    <w:p w14:paraId="6453D380" w14:textId="77777777" w:rsidR="006961BA" w:rsidRDefault="006961BA" w:rsidP="005C3B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07C"/>
    <w:rsid w:val="000555BC"/>
    <w:rsid w:val="00076D37"/>
    <w:rsid w:val="000C668F"/>
    <w:rsid w:val="00167950"/>
    <w:rsid w:val="002149F7"/>
    <w:rsid w:val="00226A8B"/>
    <w:rsid w:val="00235D0E"/>
    <w:rsid w:val="00340B7E"/>
    <w:rsid w:val="00346783"/>
    <w:rsid w:val="004D0CFC"/>
    <w:rsid w:val="0058680E"/>
    <w:rsid w:val="005C3BD0"/>
    <w:rsid w:val="005D069F"/>
    <w:rsid w:val="005E207C"/>
    <w:rsid w:val="006364C3"/>
    <w:rsid w:val="006961BA"/>
    <w:rsid w:val="006965ED"/>
    <w:rsid w:val="00716413"/>
    <w:rsid w:val="0072560A"/>
    <w:rsid w:val="0075305E"/>
    <w:rsid w:val="007977B0"/>
    <w:rsid w:val="007A15C9"/>
    <w:rsid w:val="008D6122"/>
    <w:rsid w:val="008F1670"/>
    <w:rsid w:val="009B480E"/>
    <w:rsid w:val="009C1B6D"/>
    <w:rsid w:val="00A30F25"/>
    <w:rsid w:val="00A3667C"/>
    <w:rsid w:val="00B2153A"/>
    <w:rsid w:val="00C02C7B"/>
    <w:rsid w:val="00C51603"/>
    <w:rsid w:val="00C83E2D"/>
    <w:rsid w:val="00CB7A32"/>
    <w:rsid w:val="00CC588F"/>
    <w:rsid w:val="00CE32B9"/>
    <w:rsid w:val="00CF2954"/>
    <w:rsid w:val="00D0099C"/>
    <w:rsid w:val="00DB4BD1"/>
    <w:rsid w:val="00DD5AA7"/>
    <w:rsid w:val="00E54BAF"/>
    <w:rsid w:val="00EA37E8"/>
    <w:rsid w:val="00F27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0458A"/>
  <w15:chartTrackingRefBased/>
  <w15:docId w15:val="{0ED4A48B-958B-4F12-A176-5DCF80848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B6D"/>
  </w:style>
  <w:style w:type="paragraph" w:styleId="Heading1">
    <w:name w:val="heading 1"/>
    <w:basedOn w:val="Normal"/>
    <w:next w:val="Normal"/>
    <w:link w:val="Heading1Char"/>
    <w:uiPriority w:val="9"/>
    <w:qFormat/>
    <w:rsid w:val="005E20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E20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E20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E20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5E20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5E2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5E2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5E2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5E2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0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E20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E20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5E20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5E207C"/>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5E2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5E207C"/>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5E2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5E207C"/>
    <w:rPr>
      <w:rFonts w:eastAsiaTheme="majorEastAsia" w:cstheme="majorBidi"/>
      <w:color w:val="272727" w:themeColor="text1" w:themeTint="D8"/>
    </w:rPr>
  </w:style>
  <w:style w:type="paragraph" w:styleId="Title">
    <w:name w:val="Title"/>
    <w:basedOn w:val="Normal"/>
    <w:next w:val="Normal"/>
    <w:link w:val="TitleChar"/>
    <w:uiPriority w:val="10"/>
    <w:qFormat/>
    <w:rsid w:val="005E2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07C"/>
    <w:pPr>
      <w:spacing w:before="160"/>
      <w:jc w:val="center"/>
    </w:pPr>
    <w:rPr>
      <w:i/>
      <w:iCs/>
      <w:color w:val="404040" w:themeColor="text1" w:themeTint="BF"/>
    </w:rPr>
  </w:style>
  <w:style w:type="character" w:customStyle="1" w:styleId="QuoteChar">
    <w:name w:val="Quote Char"/>
    <w:basedOn w:val="DefaultParagraphFont"/>
    <w:link w:val="Quote"/>
    <w:uiPriority w:val="29"/>
    <w:rsid w:val="005E207C"/>
    <w:rPr>
      <w:i/>
      <w:iCs/>
      <w:color w:val="404040" w:themeColor="text1" w:themeTint="BF"/>
    </w:rPr>
  </w:style>
  <w:style w:type="paragraph" w:styleId="ListParagraph">
    <w:name w:val="List Paragraph"/>
    <w:basedOn w:val="Normal"/>
    <w:uiPriority w:val="34"/>
    <w:qFormat/>
    <w:rsid w:val="005E207C"/>
    <w:pPr>
      <w:ind w:left="720"/>
      <w:contextualSpacing/>
    </w:pPr>
  </w:style>
  <w:style w:type="character" w:styleId="IntenseEmphasis">
    <w:name w:val="Intense Emphasis"/>
    <w:basedOn w:val="DefaultParagraphFont"/>
    <w:uiPriority w:val="21"/>
    <w:qFormat/>
    <w:rsid w:val="005E207C"/>
    <w:rPr>
      <w:i/>
      <w:iCs/>
      <w:color w:val="2F5496" w:themeColor="accent1" w:themeShade="BF"/>
    </w:rPr>
  </w:style>
  <w:style w:type="paragraph" w:styleId="IntenseQuote">
    <w:name w:val="Intense Quote"/>
    <w:basedOn w:val="Normal"/>
    <w:next w:val="Normal"/>
    <w:link w:val="IntenseQuoteChar"/>
    <w:uiPriority w:val="30"/>
    <w:qFormat/>
    <w:rsid w:val="005E20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207C"/>
    <w:rPr>
      <w:i/>
      <w:iCs/>
      <w:color w:val="2F5496" w:themeColor="accent1" w:themeShade="BF"/>
    </w:rPr>
  </w:style>
  <w:style w:type="character" w:styleId="IntenseReference">
    <w:name w:val="Intense Reference"/>
    <w:basedOn w:val="DefaultParagraphFont"/>
    <w:uiPriority w:val="32"/>
    <w:qFormat/>
    <w:rsid w:val="005E207C"/>
    <w:rPr>
      <w:b/>
      <w:bCs/>
      <w:smallCaps/>
      <w:color w:val="2F5496" w:themeColor="accent1" w:themeShade="BF"/>
      <w:spacing w:val="5"/>
    </w:rPr>
  </w:style>
  <w:style w:type="character" w:styleId="Hyperlink">
    <w:name w:val="Hyperlink"/>
    <w:basedOn w:val="DefaultParagraphFont"/>
    <w:uiPriority w:val="99"/>
    <w:unhideWhenUsed/>
    <w:rsid w:val="005E207C"/>
    <w:rPr>
      <w:color w:val="0563C1" w:themeColor="hyperlink"/>
      <w:u w:val="single"/>
    </w:rPr>
  </w:style>
  <w:style w:type="paragraph" w:styleId="TOCHeading">
    <w:name w:val="TOC Heading"/>
    <w:basedOn w:val="Heading1"/>
    <w:next w:val="Normal"/>
    <w:uiPriority w:val="39"/>
    <w:unhideWhenUsed/>
    <w:qFormat/>
    <w:rsid w:val="005E207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02C7B"/>
    <w:pPr>
      <w:spacing w:after="100"/>
    </w:pPr>
  </w:style>
  <w:style w:type="paragraph" w:styleId="NormalWeb">
    <w:name w:val="Normal (Web)"/>
    <w:basedOn w:val="Normal"/>
    <w:uiPriority w:val="99"/>
    <w:semiHidden/>
    <w:unhideWhenUsed/>
    <w:rsid w:val="003467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C3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BD0"/>
  </w:style>
  <w:style w:type="paragraph" w:styleId="Footer">
    <w:name w:val="footer"/>
    <w:basedOn w:val="Normal"/>
    <w:link w:val="FooterChar"/>
    <w:uiPriority w:val="99"/>
    <w:unhideWhenUsed/>
    <w:rsid w:val="005C3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BD0"/>
  </w:style>
  <w:style w:type="paragraph" w:styleId="TOC2">
    <w:name w:val="toc 2"/>
    <w:basedOn w:val="Normal"/>
    <w:next w:val="Normal"/>
    <w:autoRedefine/>
    <w:uiPriority w:val="39"/>
    <w:unhideWhenUsed/>
    <w:rsid w:val="00A3667C"/>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A3667C"/>
    <w:pPr>
      <w:spacing w:after="100"/>
      <w:ind w:left="440"/>
    </w:pPr>
    <w:rPr>
      <w:rFonts w:eastAsiaTheme="minorEastAsia" w:cs="Times New Roman"/>
      <w:kern w:val="0"/>
      <w:lang w:eastAsia="en-GB"/>
      <w14:ligatures w14:val="none"/>
    </w:rPr>
  </w:style>
  <w:style w:type="paragraph" w:styleId="TOC4">
    <w:name w:val="toc 4"/>
    <w:basedOn w:val="Normal"/>
    <w:next w:val="Normal"/>
    <w:autoRedefine/>
    <w:uiPriority w:val="39"/>
    <w:unhideWhenUsed/>
    <w:rsid w:val="00C02C7B"/>
    <w:pPr>
      <w:spacing w:after="100"/>
      <w:ind w:left="660"/>
    </w:pPr>
  </w:style>
  <w:style w:type="paragraph" w:styleId="TOC5">
    <w:name w:val="toc 5"/>
    <w:basedOn w:val="Normal"/>
    <w:next w:val="Normal"/>
    <w:autoRedefine/>
    <w:uiPriority w:val="39"/>
    <w:unhideWhenUsed/>
    <w:rsid w:val="00C02C7B"/>
    <w:pPr>
      <w:spacing w:after="100"/>
      <w:ind w:left="880"/>
    </w:pPr>
  </w:style>
  <w:style w:type="paragraph" w:styleId="TOC6">
    <w:name w:val="toc 6"/>
    <w:basedOn w:val="Normal"/>
    <w:next w:val="Normal"/>
    <w:autoRedefine/>
    <w:uiPriority w:val="39"/>
    <w:unhideWhenUsed/>
    <w:rsid w:val="00C02C7B"/>
    <w:pPr>
      <w:spacing w:after="100"/>
      <w:ind w:left="1100"/>
    </w:pPr>
  </w:style>
  <w:style w:type="paragraph" w:styleId="TOC7">
    <w:name w:val="toc 7"/>
    <w:basedOn w:val="Normal"/>
    <w:next w:val="Normal"/>
    <w:autoRedefine/>
    <w:uiPriority w:val="39"/>
    <w:unhideWhenUsed/>
    <w:rsid w:val="00C02C7B"/>
    <w:pPr>
      <w:spacing w:after="100"/>
      <w:ind w:left="1320"/>
    </w:pPr>
  </w:style>
  <w:style w:type="paragraph" w:styleId="TOC8">
    <w:name w:val="toc 8"/>
    <w:basedOn w:val="Normal"/>
    <w:next w:val="Normal"/>
    <w:autoRedefine/>
    <w:uiPriority w:val="39"/>
    <w:unhideWhenUsed/>
    <w:rsid w:val="00C02C7B"/>
    <w:pPr>
      <w:spacing w:after="100"/>
      <w:ind w:left="1540"/>
    </w:pPr>
  </w:style>
  <w:style w:type="paragraph" w:styleId="TOC9">
    <w:name w:val="toc 9"/>
    <w:basedOn w:val="Normal"/>
    <w:next w:val="Normal"/>
    <w:autoRedefine/>
    <w:uiPriority w:val="39"/>
    <w:unhideWhenUsed/>
    <w:rsid w:val="00C02C7B"/>
    <w:pPr>
      <w:spacing w:after="100"/>
      <w:ind w:left="1760"/>
    </w:pPr>
  </w:style>
  <w:style w:type="character" w:styleId="UnresolvedMention">
    <w:name w:val="Unresolved Mention"/>
    <w:basedOn w:val="DefaultParagraphFont"/>
    <w:uiPriority w:val="99"/>
    <w:semiHidden/>
    <w:unhideWhenUsed/>
    <w:rsid w:val="00C02C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1793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customXml" Target="ink/ink5.xml"/><Relationship Id="rId7" Type="http://schemas.openxmlformats.org/officeDocument/2006/relationships/image" Target="media/image1.png"/><Relationship Id="rId12" Type="http://schemas.openxmlformats.org/officeDocument/2006/relationships/customXml" Target="ink/ink1.xml"/><Relationship Id="rId17" Type="http://schemas.openxmlformats.org/officeDocument/2006/relationships/customXml" Target="ink/ink3.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ustomXml" Target="ink/ink2.xml"/><Relationship Id="rId23"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customXml" Target="ink/ink4.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0T19:20:06.809"/>
    </inkml:context>
    <inkml:brush xml:id="br0">
      <inkml:brushProperty name="width" value="0.035" units="cm"/>
      <inkml:brushProperty name="height" value="0.035" units="cm"/>
      <inkml:brushProperty name="color" value="#FFFFFF"/>
    </inkml:brush>
  </inkml:definitions>
  <inkml:trace contextRef="#ctx0" brushRef="#br0">0 1 24575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0T19:22:32.723"/>
    </inkml:context>
    <inkml:brush xml:id="br0">
      <inkml:brushProperty name="width" value="0.35" units="cm"/>
      <inkml:brushProperty name="height" value="0.35" units="cm"/>
      <inkml:brushProperty name="color" value="#FFFFFF"/>
    </inkml:brush>
  </inkml:definitions>
  <inkml:trace contextRef="#ctx0" brushRef="#br0">1 0 24487,'10859'0'0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0T19:22:21.342"/>
    </inkml:context>
    <inkml:brush xml:id="br0">
      <inkml:brushProperty name="width" value="0.35" units="cm"/>
      <inkml:brushProperty name="height" value="0.35" units="cm"/>
      <inkml:brushProperty name="color" value="#FFFFFF"/>
    </inkml:brush>
  </inkml:definitions>
  <inkml:trace contextRef="#ctx0" brushRef="#br0">3147 0 24575,'-3146'160'0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30T19:22:05.939"/>
    </inkml:context>
    <inkml:brush xml:id="br0">
      <inkml:brushProperty name="width" value="0.35" units="cm"/>
      <inkml:brushProperty name="height" value="0.35" units="cm"/>
      <inkml:brushProperty name="color" value="#FFFFFF"/>
      <inkml:brushProperty name="ignorePressure" value="1"/>
    </inkml:brush>
    <inkml:context xml:id="ctx1">
      <inkml:inkSource xml:id="inkSrc2">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1" timeString="2026-07-30T19:22:10.410"/>
    </inkml:context>
    <inkml:brush xml:id="br1">
      <inkml:brushProperty name="width" value="0.35" units="cm"/>
      <inkml:brushProperty name="height" value="0.35" units="cm"/>
      <inkml:brushProperty name="color" value="#FFFFFF"/>
    </inkml:brush>
  </inkml:definitions>
  <inkml:trace contextRef="#ctx0" brushRef="#br0">1108 1602,'-105'-105,"1226"1226,-2833-2833,2364 2364,-1117-1117,1294 1294,-1405-1404,1504 1502,-1172-1171,232 232</inkml:trace>
  <inkml:trace contextRef="#ctx0" brushRef="#br0" timeOffset="2186.56">1034 1528,'0'0</inkml:trace>
  <inkml:trace contextRef="#ctx1" brushRef="#br1">1714 530 24575,'299'71'0,"-96"-21"0,-89-25 0,-28-8 0,0 4 0,126 48 0,-206-66 0,0 0 0,0 1 0,0-1 0,11 10 0,-16-13 0,-1 0 0,1 1 0,0-1 0,-1 1 0,1-1 0,-1 0 0,1 1 0,-1-1 0,1 1 0,-1 0 0,0-1 0,1 1 0,-1-1 0,0 1 0,1 0 0,-1-1 0,0 1 0,0 0 0,1-1 0,-1 1 0,0 0 0,0-1 0,0 1 0,0 0 0,0 0 0,0-1 0,0 1 0,0 0 0,0-1 0,-1 1 0,1 0 0,0-1 0,0 1 0,0 0 0,-1-1 0,1 1 0,0 0 0,-1-1 0,1 1 0,-1-1 0,1 1 0,-1-1 0,1 1 0,-1-1 0,1 1 0,-1-1 0,1 1 0,-1-1 0,0 0 0,1 1 0,-1-1 0,1 0 0,-1 0 0,0 1 0,1-1 0,-1 0 0,0 0 0,0 0 0,1 0 0,-2 0 0,-9 3 0,0-1 0,0 0 0,0-1 0,0 0 0,-12-1 0,11 1 0,-684 1-1002,385-4 612,-874-56 269,1080 47-73</inkml:trace>
  <inkml:trace contextRef="#ctx1" brushRef="#br1" timeOffset="1565.89">1 403 24575,'40'-16'-139,"490"-169"-698,-289 124 356,3 10 0,494-36 0,-688 84 429,0 3 1,0 2-1,86 14 1,-120-13 122,-1 1 1,1 0 0,-1 1-1,0 0 1,-1 2 0,1-1 0,-1 2-1,-1 0 1,1 0 0,-1 2 0,-1-1-1,0 2 1,0-1 0,-1 2-1,17 21 1,-25-29-23,0 1-1,-1 0 1,1 0-1,-1 0 0,0 0 1,0 1-1,-1-1 1,0 1-1,0-1 1,0 1-1,0-1 1,-1 10-1,-1 1 181,-1 0 0,-7 31 0,-1 2-68,-2 13-161,-3-1 0,-2-1 0,-37 87 0,-92 161 0,144-304 0,-29 59 0,-33 63 0,52-106 0,0-1 0,-1-1 0,-1 0 0,-18 18 0,29-33 0,0 0 0,0 1 0,0 0 0,0 0 0,1 0 0,-1 0 0,1 0 0,0 0 0,0 0 0,1 1 0,-1-1 0,1 1 0,0 0 0,0-1 0,1 1 0,-1 0 0,1-1 0,0 8 0,2 5 0,1-1 0,1 0 0,0 0 0,7 16 0,-5-15 0,-1 0 0,5 31 0,-8-35 0,-1-2 0,0-1 0,0 1 0,-1 12 0,0-20 0,0-1 0,-1 0 0,1 0 0,0 0 0,-1 0 0,1 0 0,-1-1 0,0 1 0,1 0 0,-1 0 0,0 0 0,0 0 0,0-1 0,0 1 0,-1 0 0,1-1 0,0 1 0,-1-1 0,1 0 0,-1 1 0,1-1 0,-1 0 0,-2 2 0,-6-1 0,1 1 0,-1-1 0,0 0 0,0-1 0,0-1 0,0 1 0,0-1 0,-18-3 0,-21-3 0,1-2 0,-1-2 0,-92-32 0,48 6 0,-88-47 0,155 70 0,0 0 0,1-2 0,0 0 0,2-2 0,-1 0 0,-30-32 0,52 48 0,1-1 0,0 1 0,-1 0 0,1-1 0,0 1 0,0 0 0,0-1 0,0 0 0,0 1 0,0-1 0,1 1 0,-1-1 0,0 0 0,1 0 0,-1 1 0,1-1 0,0 0 0,0 0 0,-1 1 0,1-1 0,0 0 0,1-3 0,0 3 0,1 0 0,0 1 0,-1-1 0,1 1 0,0-1 0,0 1 0,0-1 0,0 1 0,0 0 0,0 0 0,0 0 0,0 0 0,0 1 0,0-1 0,1 1 0,-1-1 0,0 1 0,0-1 0,1 1 0,4 1 0,35-2 0,1 2 0,0 2 0,-1 2 0,49 12 0,649 163-710,-6 49-75,-672-209 744,10 3 36,124 56 0,-194-78 19,21 12 580,-24-13-585,1 0 1,0 0 0,0 0 0,-1 0 0,1 0 0,0 0 0,0 0 0,-1 0 0,1 0 0,0 0 0,0 0 0,-1 1 0,1-1 0,0 0 0,0 0 0,-1 0 0,1 0 0,0 0 0,0 0 0,0 1 0,-1-1 0,1 0 0,0 0 0,0 0 0,0 1 0,0-1 0,0 0 0,-1 0 0,1 1 0,0-1 0,0 0 0,0 0 0,0 1 0,0-1 0,0 0 0,0 0 0,0 1 0,0-1 0,0 0 0,0 0 0,0 1 0,0-1 0,0 0 0,0 0 0,0 1 0,0-1 0,0 0 0,0 0 0,0 1 0,1-1-1,-1 0 1,0 0 0,0 0 0,0 1 0,0-1 0,0 0 0,1 0 0,-1 0 0,0 0 0,0 1 0,0-1 0,1 0 0,-25 2 61,0-2-1,1-1 0,-40-5 0,5-1-41,-1022-140-829,1079 146 800,-89-15-23,-130-42-1,179 41 24,30 8-16,11 3 0,25-2 180,23 3 74,1 1-1,72 4 1,105 19-334,-194-16 136,390 57-23,-33-4 10,-282-45-20,172-5 0,-549-7-7,136-1 0,-1182-46-1564,1124 37 1564</inkml:trace>
  <inkml:trace contextRef="#ctx1" brushRef="#br1" timeOffset="1859.92">1312 1713 24575,'67'13'-127,"926"190"-1090,-969-197 1217,3-1 0,-1 2 0,-1 0 0,1 2 0,-1 1 0,29 16 0,-50-23 56,1 0 0,-1 0 0,-1 1 0,1-1 0,0 1 0,-1 0 0,0 0 0,0 0 0,0 1 0,0-1 0,3 9 0,-5-11-39,0-1-1,-1 1 0,1-1 1,-1 1-1,1-1 1,-1 1-1,0 0 0,1-1 1,-1 1-1,0 0 1,0-1-1,0 1 0,0 0 1,-1-1-1,1 1 0,0 0 1,-1-1-1,1 1 1,-1-1-1,1 1 0,-1-1 1,0 1-1,0-1 1,0 1-1,0-1 0,0 0 1,0 0-1,0 1 1,0-1-1,0 0 0,-1 0 1,1 0-1,0 0 1,-1 0-1,1 0 0,-1-1 1,1 1-1,-1 0 0,1-1 1,-3 1-1,-16 5-16,0-1 0,-36 3 0,16-2 0,-487 70-164,404-59-655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0T19:22:16.713"/>
    </inkml:context>
    <inkml:brush xml:id="br0">
      <inkml:brushProperty name="width" value="0.35" units="cm"/>
      <inkml:brushProperty name="height" value="0.35" units="cm"/>
      <inkml:brushProperty name="color" value="#FFFFFF"/>
    </inkml:brush>
  </inkml:definitions>
  <inkml:trace contextRef="#ctx0" brushRef="#br0">1 707 24575,'74'-34'0,"2"3"0,113-30 0,-79 29 0,162-68 0,135-67 0,-284 124 0,178-38 0,-148 40 0,-105 26 0,0 2 0,78-11 0,-96 21 0,0-2 0,0-1 0,-1-1 0,36-14 0,13-2 0,-155 25 0,-330 40-262,-228 20-641,-2-39 358,577-23 916,-74-4 968,133 4-1339,1 0 0,0 0 0,-1 0 0,1 0 0,0 0 0,-1 0 0,1 0 0,-1 1 0,1-1 0,0 0 0,-1-1 0,1 1 0,0 0 0,-1 0 0,1 0 0,0 0 0,-1 0 0,1 0 0,0 0 0,-1 0 0,1-1 0,0 1 0,-1 0 0,1 0 0,0 0 0,-1-1 0,1 1 0,0 0 0,0 0 0,-1-1 0,1 1 0,0 0 0,0-1 0,0 1 0,0 0 0,-1-1 0,1 1 0,0 0 0,0-1 0,0 1 0,0 0 0,0-1 0,0 1 0,0 0 0,0-1 0,0 1 0,0 0 0,0-1 0,1 0 0,0 0 0,0 0 0,0 0 0,0 0 0,0 0 0,0 0 0,0 0 0,0 0 0,1 1 0,-1-1 0,0 1 0,0-1 0,2 0 0,41-10 0,0 2 0,1 1 0,64-1 0,-87 7 0,349-3 0,-206 7 0,-98-2 0,44-2 0,1 6 0,160 25 0,191 86-380,-223-50 71,131 25 161,291 79 158,-638-162 24,-8-1 54,1-1 0,-1-1 0,1 0 1,-1-1-1,1-1 0,0 0 0,0-2 0,18-1 0,6-4-88,-1-2 0,0-2 0,0-1 0,-1-3 0,71-32 0,-35 13 0,-39 17 0,43-24 0,-63 30 0,0 1 0,1 1 0,0 1 0,0 0 0,1 1 0,-1 1 0,35-3 0,7 3 0,65 6 0,-43-1 0,504 0 0,-581-1 0,0 0 0,-1-1 0,1 2 0,0-1 0,-1 0 0,1 1 0,0-1 0,-1 1 0,1 0 0,-1 0 0,1 1 0,-1-1 0,0 1 0,1 0 0,5 4 0,-9-6 0,0 1 0,0-1 0,0 1 0,0-1 0,0 1 0,0 0 0,0-1 0,0 1 0,0-1 0,0 1 0,0-1 0,0 1 0,0-1 0,-1 1 0,1-1 0,0 1 0,0-1 0,-1 1 0,1-1 0,0 1 0,-1-1 0,1 1 0,0-1 0,-1 0 0,1 1 0,-1-1 0,1 0 0,0 1 0,-1-1 0,1 0 0,-1 0 0,1 1 0,-1-1 0,1 0 0,-1 0 0,1 0 0,-1 0 0,0 1 0,1-1 0,-1 0 0,1 0 0,-1 0 0,-30 8 0,29-8 0,-55 10 0,-112 5 0,-62-15 0,130-1 0,-97 2 0,-141-4 0,249-2 0,-154-28 0,181 20 0,-298-54 0,-208-44 0,565 110 0,-1 0 0,1 0 0,-1-1 0,1 0 0,0 0 0,-1 0 0,1 0 0,0-1 0,0 1 0,1-1 0,-5-4 0,8 7 0,0 0 0,0 0 0,0-1 0,0 1 0,0 0 0,0 0 0,0-1 0,0 1 0,0 0 0,0 0 0,0-1 0,0 1 0,0 0 0,0-1 0,0 1 0,0 0 0,1 0 0,-1-1 0,0 1 0,0 0 0,0 0 0,0 0 0,0-1 0,1 1 0,-1 0 0,0 0 0,0 0 0,0-1 0,1 1 0,-1 0 0,0 0 0,0 0 0,1 0 0,-1 0 0,0-1 0,0 1 0,1 0 0,-1 0 0,0 0 0,0 0 0,1 0 0,-1 0 0,0 0 0,0 0 0,1 0 0,-1 0 0,0 0 0,0 0 0,1 0 0,-1 0 0,1 1 0,20-5 0,0 1 0,1 1 0,27 2 0,-10-1 0,1123-2 0,-598 5 0,-530 0 0,44 7 0,-44-4 0,48 2 0,381-8 0,-2116 1 0,1526-11 0,15 1 0,-274 9 0,204 2 0,174-2 0,0 2 0,-1-1 0,1 1 0,0 1 0,0-1 0,0 2 0,0-1 0,0 1 0,0 0 0,-8 4 0,12-4 0,0 0 0,0 0 0,-1 0 0,2 1 0,-1-1 0,0 1 0,1 0 0,0 0 0,0 0 0,0 1 0,0-1 0,1 1 0,-1-1 0,1 1 0,1 0 0,-1 0 0,-1 5 0,3-8 0,-4 14 0,0 0 0,1 1 0,0 29 0,3-41 0,0-1 0,0 0 0,0 1 0,1-1 0,0 0 0,0 0 0,0 1 0,1-1 0,-1 0 0,1 0 0,0-1 0,0 1 0,0 0 0,1-1 0,-1 1 0,1-1 0,0 1 0,0-1 0,0 0 0,5 4 0,26 14 0,2 0 0,47 19 0,82 26 0,-129-52 0,-25-10 0,150 53 0,-130-48 0,1-1 0,-1-2 0,42 3 0,-67-9 0,0 0 0,1-1 0,-1 1 0,0-1 0,0 0 0,0-1 0,0 0 0,0 0 0,10-5 0,48-32 0,-2 1 0,307-105 0,-91 40 0,-242 88 0,41-24 0,-70 36 0,0 0 0,1-1 0,-1 2 0,1-1 0,-1 1 0,1 1 0,0-1 0,11 1 0,68 2 0,-46 0 0,-14 0-1365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A4DA0A-24AD-4F66-9C56-F43AA8430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4329</Words>
  <Characters>24681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Safta (2325737)</dc:creator>
  <cp:keywords/>
  <dc:description/>
  <cp:lastModifiedBy>Constantin Safta (2325737)</cp:lastModifiedBy>
  <cp:revision>2</cp:revision>
  <dcterms:created xsi:type="dcterms:W3CDTF">2026-07-30T20:01:00Z</dcterms:created>
  <dcterms:modified xsi:type="dcterms:W3CDTF">2026-07-30T20:01:00Z</dcterms:modified>
</cp:coreProperties>
</file>