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6A26" w:rsidRPr="000E2DEF" w:rsidRDefault="00275F51" w:rsidP="00275F51">
      <w:pPr>
        <w:spacing w:after="0" w:line="259" w:lineRule="auto"/>
        <w:ind w:left="0" w:firstLine="0"/>
        <w:jc w:val="center"/>
        <w:rPr>
          <w:b/>
          <w:sz w:val="28"/>
          <w:szCs w:val="28"/>
          <w:u w:val="single"/>
        </w:rPr>
      </w:pPr>
      <w:r w:rsidRPr="000E2DEF">
        <w:rPr>
          <w:b/>
          <w:sz w:val="28"/>
          <w:szCs w:val="28"/>
          <w:u w:val="single"/>
        </w:rPr>
        <w:t xml:space="preserve">Ecad60012 </w:t>
      </w:r>
      <w:r w:rsidR="00740F44" w:rsidRPr="000E2DEF">
        <w:rPr>
          <w:b/>
          <w:sz w:val="28"/>
          <w:szCs w:val="28"/>
          <w:u w:val="single"/>
        </w:rPr>
        <w:t>Cross-Curricular Respo</w:t>
      </w:r>
      <w:bookmarkStart w:id="0" w:name="_GoBack"/>
      <w:bookmarkEnd w:id="0"/>
      <w:r w:rsidR="00740F44" w:rsidRPr="000E2DEF">
        <w:rPr>
          <w:b/>
          <w:sz w:val="28"/>
          <w:szCs w:val="28"/>
          <w:u w:val="single"/>
        </w:rPr>
        <w:t>nsibilities: Literacy, Numeracy and Digital Competence</w:t>
      </w:r>
    </w:p>
    <w:p w:rsidR="003B7EDB" w:rsidRPr="000E2DEF" w:rsidRDefault="003B7EDB">
      <w:pPr>
        <w:spacing w:after="0" w:line="259" w:lineRule="auto"/>
        <w:ind w:left="0" w:firstLine="0"/>
        <w:rPr>
          <w:sz w:val="22"/>
          <w:szCs w:val="22"/>
        </w:rPr>
      </w:pPr>
    </w:p>
    <w:p w:rsidR="00596A26" w:rsidRPr="000E2DEF" w:rsidRDefault="00740F44">
      <w:pPr>
        <w:ind w:left="-5"/>
        <w:rPr>
          <w:sz w:val="22"/>
          <w:szCs w:val="22"/>
        </w:rPr>
      </w:pPr>
      <w:r w:rsidRPr="000E2DEF">
        <w:rPr>
          <w:sz w:val="22"/>
          <w:szCs w:val="22"/>
        </w:rPr>
        <w:t xml:space="preserve">During this assignment, I will be focusing on cross-curricular learning across all aspects of its practice making note of key points along the way. These include the importance of cross-curricular learning, the responsibilities set </w:t>
      </w:r>
      <w:proofErr w:type="gramStart"/>
      <w:r w:rsidRPr="000E2DEF">
        <w:rPr>
          <w:sz w:val="22"/>
          <w:szCs w:val="22"/>
        </w:rPr>
        <w:t>our</w:t>
      </w:r>
      <w:proofErr w:type="gramEnd"/>
      <w:r w:rsidRPr="000E2DEF">
        <w:rPr>
          <w:sz w:val="22"/>
          <w:szCs w:val="22"/>
        </w:rPr>
        <w:t xml:space="preserve"> within the new curriculum reformation, including the importance of them and how they link to the new curriculum and areas of learning and experience. I will also discuss the benefits of cross-curricular learning and what I believe to be the best way to conduct cross-curricular learning, making recommendations for educators and personal targets for myself.  </w:t>
      </w:r>
    </w:p>
    <w:p w:rsidR="00596A26" w:rsidRPr="000E2DEF" w:rsidRDefault="00596A26">
      <w:pPr>
        <w:spacing w:after="0" w:line="259" w:lineRule="auto"/>
        <w:ind w:left="0" w:firstLine="0"/>
        <w:rPr>
          <w:sz w:val="22"/>
          <w:szCs w:val="22"/>
        </w:rPr>
      </w:pPr>
    </w:p>
    <w:p w:rsidR="00596A26" w:rsidRPr="000E2DEF" w:rsidRDefault="00740F44">
      <w:pPr>
        <w:ind w:left="-5"/>
        <w:rPr>
          <w:sz w:val="22"/>
          <w:szCs w:val="22"/>
        </w:rPr>
      </w:pPr>
      <w:r w:rsidRPr="000E2DEF">
        <w:rPr>
          <w:sz w:val="22"/>
          <w:szCs w:val="22"/>
        </w:rPr>
        <w:t>Cross-curricular learning</w:t>
      </w:r>
    </w:p>
    <w:p w:rsidR="00596A26" w:rsidRPr="000E2DEF" w:rsidRDefault="00596A26">
      <w:pPr>
        <w:spacing w:after="0" w:line="259" w:lineRule="auto"/>
        <w:ind w:left="0" w:firstLine="0"/>
        <w:rPr>
          <w:sz w:val="22"/>
          <w:szCs w:val="22"/>
        </w:rPr>
      </w:pPr>
    </w:p>
    <w:p w:rsidR="00596A26" w:rsidRPr="000E2DEF" w:rsidRDefault="00740F44" w:rsidP="00620395">
      <w:pPr>
        <w:ind w:left="-5"/>
        <w:rPr>
          <w:sz w:val="22"/>
          <w:szCs w:val="22"/>
        </w:rPr>
      </w:pPr>
      <w:r w:rsidRPr="000E2DEF">
        <w:rPr>
          <w:sz w:val="22"/>
          <w:szCs w:val="22"/>
        </w:rPr>
        <w:t>Firstly</w:t>
      </w:r>
      <w:r w:rsidR="00620395" w:rsidRPr="000E2DEF">
        <w:rPr>
          <w:sz w:val="22"/>
          <w:szCs w:val="22"/>
        </w:rPr>
        <w:t>,</w:t>
      </w:r>
      <w:r w:rsidRPr="000E2DEF">
        <w:rPr>
          <w:sz w:val="22"/>
          <w:szCs w:val="22"/>
        </w:rPr>
        <w:t xml:space="preserve"> why must teachers today adapt and change to teach in a cross-curricular manner? </w:t>
      </w:r>
      <w:r w:rsidR="003B7EDB" w:rsidRPr="000E2DEF">
        <w:rPr>
          <w:sz w:val="22"/>
          <w:szCs w:val="22"/>
        </w:rPr>
        <w:t>Within the report created by Donaldson 2015 called Successful Futures from where the proposals introduced</w:t>
      </w:r>
      <w:r w:rsidR="00620395" w:rsidRPr="000E2DEF">
        <w:rPr>
          <w:sz w:val="22"/>
          <w:szCs w:val="22"/>
        </w:rPr>
        <w:t xml:space="preserve"> are</w:t>
      </w:r>
      <w:r w:rsidR="003B7EDB" w:rsidRPr="000E2DEF">
        <w:rPr>
          <w:sz w:val="22"/>
          <w:szCs w:val="22"/>
        </w:rPr>
        <w:t xml:space="preserve"> </w:t>
      </w:r>
      <w:r w:rsidR="00620395" w:rsidRPr="000E2DEF">
        <w:rPr>
          <w:sz w:val="22"/>
          <w:szCs w:val="22"/>
        </w:rPr>
        <w:t>the</w:t>
      </w:r>
      <w:r w:rsidR="003B7EDB" w:rsidRPr="000E2DEF">
        <w:rPr>
          <w:sz w:val="22"/>
          <w:szCs w:val="22"/>
        </w:rPr>
        <w:t xml:space="preserve"> basis for the development of the new curriculum</w:t>
      </w:r>
      <w:r w:rsidR="00620395" w:rsidRPr="000E2DEF">
        <w:rPr>
          <w:sz w:val="22"/>
          <w:szCs w:val="22"/>
        </w:rPr>
        <w:t>.</w:t>
      </w:r>
      <w:r w:rsidR="003B7EDB" w:rsidRPr="000E2DEF">
        <w:rPr>
          <w:sz w:val="22"/>
          <w:szCs w:val="22"/>
        </w:rPr>
        <w:t xml:space="preserve"> </w:t>
      </w:r>
      <w:r w:rsidRPr="000E2DEF">
        <w:rPr>
          <w:sz w:val="22"/>
          <w:szCs w:val="22"/>
        </w:rPr>
        <w:t>The changes are being made by the Welsh government alongside</w:t>
      </w:r>
      <w:r w:rsidR="00620395" w:rsidRPr="000E2DEF">
        <w:rPr>
          <w:sz w:val="22"/>
          <w:szCs w:val="22"/>
        </w:rPr>
        <w:t xml:space="preserve"> selected</w:t>
      </w:r>
      <w:r w:rsidRPr="000E2DEF">
        <w:rPr>
          <w:sz w:val="22"/>
          <w:szCs w:val="22"/>
        </w:rPr>
        <w:t xml:space="preserve"> P</w:t>
      </w:r>
      <w:r w:rsidR="003B7EDB" w:rsidRPr="000E2DEF">
        <w:rPr>
          <w:sz w:val="22"/>
          <w:szCs w:val="22"/>
        </w:rPr>
        <w:t>ioneer schools</w:t>
      </w:r>
      <w:r w:rsidR="00620395" w:rsidRPr="000E2DEF">
        <w:rPr>
          <w:sz w:val="22"/>
          <w:szCs w:val="22"/>
        </w:rPr>
        <w:t xml:space="preserve"> who are both trailing and feeding back information and suggestions</w:t>
      </w:r>
      <w:r w:rsidRPr="000E2DEF">
        <w:rPr>
          <w:sz w:val="22"/>
          <w:szCs w:val="22"/>
        </w:rPr>
        <w:t xml:space="preserve">. </w:t>
      </w:r>
      <w:r w:rsidR="00620395" w:rsidRPr="000E2DEF">
        <w:rPr>
          <w:sz w:val="22"/>
          <w:szCs w:val="22"/>
        </w:rPr>
        <w:t>R</w:t>
      </w:r>
      <w:r w:rsidRPr="000E2DEF">
        <w:rPr>
          <w:sz w:val="22"/>
          <w:szCs w:val="22"/>
        </w:rPr>
        <w:t>ecommendation</w:t>
      </w:r>
      <w:r w:rsidR="00620395" w:rsidRPr="000E2DEF">
        <w:rPr>
          <w:sz w:val="22"/>
          <w:szCs w:val="22"/>
        </w:rPr>
        <w:t xml:space="preserve"> 6 of Successful Futures propose children and young people should develop their learning across the curriculum through three cross-curricular responsibilities. that </w:t>
      </w:r>
      <w:r w:rsidRPr="000E2DEF">
        <w:rPr>
          <w:sz w:val="22"/>
          <w:szCs w:val="22"/>
        </w:rPr>
        <w:t>to be made was for, wider skills to be developed across the curriculum through three cross-curricular responsibilities</w:t>
      </w:r>
      <w:r w:rsidR="00620395" w:rsidRPr="000E2DEF">
        <w:rPr>
          <w:sz w:val="22"/>
          <w:szCs w:val="22"/>
        </w:rPr>
        <w:t>.</w:t>
      </w:r>
      <w:r w:rsidRPr="000E2DEF">
        <w:rPr>
          <w:sz w:val="22"/>
          <w:szCs w:val="22"/>
        </w:rPr>
        <w:t xml:space="preserve"> (Donaldson 2015) These three main responsibilities of Literacy, Numeracy and digital competence are to be the responsibility of all teachers.</w:t>
      </w:r>
    </w:p>
    <w:p w:rsidR="00620395" w:rsidRPr="000E2DEF" w:rsidRDefault="00620395" w:rsidP="00620395">
      <w:pPr>
        <w:ind w:left="-5"/>
        <w:rPr>
          <w:sz w:val="22"/>
          <w:szCs w:val="22"/>
        </w:rPr>
      </w:pPr>
    </w:p>
    <w:p w:rsidR="00596A26" w:rsidRPr="000E2DEF" w:rsidRDefault="00740F44">
      <w:pPr>
        <w:ind w:left="-5"/>
        <w:rPr>
          <w:sz w:val="22"/>
          <w:szCs w:val="22"/>
        </w:rPr>
      </w:pPr>
      <w:r w:rsidRPr="000E2DEF">
        <w:rPr>
          <w:sz w:val="22"/>
          <w:szCs w:val="22"/>
        </w:rPr>
        <w:t xml:space="preserve">Secondly, how does cross-curricular learning aid learners? </w:t>
      </w:r>
      <w:r w:rsidR="006104FD" w:rsidRPr="000E2DEF">
        <w:rPr>
          <w:sz w:val="22"/>
          <w:szCs w:val="22"/>
        </w:rPr>
        <w:t>(</w:t>
      </w:r>
      <w:r w:rsidRPr="000E2DEF">
        <w:rPr>
          <w:sz w:val="22"/>
          <w:szCs w:val="22"/>
        </w:rPr>
        <w:t>Barnes 2015) best describes the need for cross-curricular learning as “It attempts to steer a path between the easy emphasis on separate ‘core’ and ‘foundation’ subject disciplines”</w:t>
      </w:r>
      <w:r w:rsidR="00620395" w:rsidRPr="000E2DEF">
        <w:rPr>
          <w:sz w:val="22"/>
          <w:szCs w:val="22"/>
        </w:rPr>
        <w:t xml:space="preserve"> pg</w:t>
      </w:r>
      <w:proofErr w:type="gramStart"/>
      <w:r w:rsidR="00620395" w:rsidRPr="000E2DEF">
        <w:rPr>
          <w:sz w:val="22"/>
          <w:szCs w:val="22"/>
        </w:rPr>
        <w:t xml:space="preserve">1 </w:t>
      </w:r>
      <w:r w:rsidRPr="000E2DEF">
        <w:rPr>
          <w:sz w:val="22"/>
          <w:szCs w:val="22"/>
        </w:rPr>
        <w:t xml:space="preserve"> (</w:t>
      </w:r>
      <w:proofErr w:type="gramEnd"/>
      <w:r w:rsidRPr="000E2DEF">
        <w:rPr>
          <w:sz w:val="22"/>
          <w:szCs w:val="22"/>
        </w:rPr>
        <w:t xml:space="preserve">Barnes 2015) thus making links between subject areas. However, </w:t>
      </w:r>
      <w:r w:rsidR="006104FD" w:rsidRPr="000E2DEF">
        <w:rPr>
          <w:sz w:val="22"/>
          <w:szCs w:val="22"/>
        </w:rPr>
        <w:t>(</w:t>
      </w:r>
      <w:r w:rsidRPr="000E2DEF">
        <w:rPr>
          <w:sz w:val="22"/>
          <w:szCs w:val="22"/>
        </w:rPr>
        <w:t xml:space="preserve">Howe 2000) would suggest that cross-curricular learning creates a bland broth where neither subject is properly understood as a result. </w:t>
      </w:r>
      <w:r w:rsidR="006104FD" w:rsidRPr="000E2DEF">
        <w:rPr>
          <w:sz w:val="22"/>
          <w:szCs w:val="22"/>
        </w:rPr>
        <w:t>(</w:t>
      </w:r>
      <w:r w:rsidRPr="000E2DEF">
        <w:rPr>
          <w:sz w:val="22"/>
          <w:szCs w:val="22"/>
        </w:rPr>
        <w:t xml:space="preserve">Gardner and Hirsch 2006) would have a similar view entering further detail by adding that cross-curricular learning is </w:t>
      </w:r>
      <w:r w:rsidR="003B7EDB" w:rsidRPr="000E2DEF">
        <w:rPr>
          <w:sz w:val="22"/>
          <w:szCs w:val="22"/>
        </w:rPr>
        <w:t>dependent</w:t>
      </w:r>
      <w:r w:rsidRPr="000E2DEF">
        <w:rPr>
          <w:sz w:val="22"/>
          <w:szCs w:val="22"/>
        </w:rPr>
        <w:t xml:space="preserve"> on the acquisition of distinctive knowledge so that it can be </w:t>
      </w:r>
      <w:r w:rsidR="00E4637E" w:rsidRPr="000E2DEF">
        <w:rPr>
          <w:sz w:val="22"/>
          <w:szCs w:val="22"/>
        </w:rPr>
        <w:t>transferred.</w:t>
      </w:r>
      <w:r w:rsidR="00275F51" w:rsidRPr="000E2DEF">
        <w:rPr>
          <w:sz w:val="22"/>
          <w:szCs w:val="22"/>
        </w:rPr>
        <w:t xml:space="preserve"> (Donaldson 2015)</w:t>
      </w:r>
      <w:r w:rsidRPr="000E2DEF">
        <w:rPr>
          <w:sz w:val="22"/>
          <w:szCs w:val="22"/>
        </w:rPr>
        <w:t xml:space="preserve"> </w:t>
      </w:r>
      <w:r w:rsidR="00275F51" w:rsidRPr="000E2DEF">
        <w:rPr>
          <w:sz w:val="22"/>
          <w:szCs w:val="22"/>
        </w:rPr>
        <w:t xml:space="preserve">believes strongly in the benefits of cross curricular learning even going as far as calling it important as it allows discrete learning in foundation subjects this view is clear on page 35  </w:t>
      </w:r>
      <w:r w:rsidRPr="000E2DEF">
        <w:rPr>
          <w:sz w:val="22"/>
          <w:szCs w:val="22"/>
        </w:rPr>
        <w:t xml:space="preserve"> </w:t>
      </w:r>
    </w:p>
    <w:p w:rsidR="00596A26" w:rsidRPr="000E2DEF" w:rsidRDefault="00596A26">
      <w:pPr>
        <w:spacing w:after="0" w:line="259" w:lineRule="auto"/>
        <w:ind w:left="0" w:firstLine="0"/>
        <w:rPr>
          <w:sz w:val="22"/>
          <w:szCs w:val="22"/>
        </w:rPr>
      </w:pPr>
    </w:p>
    <w:p w:rsidR="00596A26" w:rsidRPr="000E2DEF" w:rsidRDefault="00740F44">
      <w:pPr>
        <w:ind w:left="-5"/>
        <w:rPr>
          <w:sz w:val="22"/>
          <w:szCs w:val="22"/>
        </w:rPr>
      </w:pPr>
      <w:r w:rsidRPr="000E2DEF">
        <w:rPr>
          <w:sz w:val="22"/>
          <w:szCs w:val="22"/>
        </w:rPr>
        <w:t>Furthermore, the many different models/approaches to cross-curricular learning, allow educators to best form their lesson to use a vast majority of known beneficial aspects to learning such as the use of prior knowledge</w:t>
      </w:r>
      <w:r w:rsidR="008745C1" w:rsidRPr="000E2DEF">
        <w:rPr>
          <w:sz w:val="22"/>
          <w:szCs w:val="22"/>
        </w:rPr>
        <w:t>.</w:t>
      </w:r>
      <w:r w:rsidRPr="000E2DEF">
        <w:rPr>
          <w:sz w:val="22"/>
          <w:szCs w:val="22"/>
        </w:rPr>
        <w:t xml:space="preserve"> </w:t>
      </w:r>
      <w:r w:rsidR="006104FD" w:rsidRPr="000E2DEF">
        <w:rPr>
          <w:sz w:val="22"/>
          <w:szCs w:val="22"/>
        </w:rPr>
        <w:t>(</w:t>
      </w:r>
      <w:r w:rsidRPr="000E2DEF">
        <w:rPr>
          <w:sz w:val="22"/>
          <w:szCs w:val="22"/>
        </w:rPr>
        <w:t xml:space="preserve">Rittle-Johnson, Star and Durkin 2009) </w:t>
      </w:r>
      <w:r w:rsidR="008745C1" w:rsidRPr="000E2DEF">
        <w:rPr>
          <w:sz w:val="22"/>
          <w:szCs w:val="22"/>
        </w:rPr>
        <w:t>would suggest</w:t>
      </w:r>
      <w:r w:rsidRPr="000E2DEF">
        <w:rPr>
          <w:sz w:val="22"/>
          <w:szCs w:val="22"/>
        </w:rPr>
        <w:t xml:space="preserve"> the importance of prior knowledge is </w:t>
      </w:r>
      <w:r w:rsidR="008745C1" w:rsidRPr="000E2DEF">
        <w:rPr>
          <w:sz w:val="22"/>
          <w:szCs w:val="22"/>
        </w:rPr>
        <w:t>essential</w:t>
      </w:r>
      <w:r w:rsidRPr="000E2DEF">
        <w:rPr>
          <w:sz w:val="22"/>
          <w:szCs w:val="22"/>
        </w:rPr>
        <w:t xml:space="preserve"> for a full learning experience.</w:t>
      </w:r>
      <w:r w:rsidR="008745C1" w:rsidRPr="000E2DEF">
        <w:rPr>
          <w:sz w:val="22"/>
          <w:szCs w:val="22"/>
        </w:rPr>
        <w:t xml:space="preserve"> This would suggest that cross curricular learning may benefit some learners as </w:t>
      </w:r>
      <w:r w:rsidR="00BF66FB" w:rsidRPr="000E2DEF">
        <w:rPr>
          <w:sz w:val="22"/>
          <w:szCs w:val="22"/>
        </w:rPr>
        <w:t>i</w:t>
      </w:r>
      <w:r w:rsidR="00E4637E" w:rsidRPr="000E2DEF">
        <w:rPr>
          <w:sz w:val="22"/>
          <w:szCs w:val="22"/>
        </w:rPr>
        <w:t>t’s</w:t>
      </w:r>
      <w:r w:rsidR="00BF66FB" w:rsidRPr="000E2DEF">
        <w:rPr>
          <w:sz w:val="22"/>
          <w:szCs w:val="22"/>
        </w:rPr>
        <w:t xml:space="preserve"> more diverse</w:t>
      </w:r>
      <w:r w:rsidR="00E4637E" w:rsidRPr="000E2DEF">
        <w:rPr>
          <w:sz w:val="22"/>
          <w:szCs w:val="22"/>
        </w:rPr>
        <w:t xml:space="preserve"> with potential planning</w:t>
      </w:r>
      <w:r w:rsidR="00BF66FB" w:rsidRPr="000E2DEF">
        <w:rPr>
          <w:sz w:val="22"/>
          <w:szCs w:val="22"/>
        </w:rPr>
        <w:t xml:space="preserve">. </w:t>
      </w:r>
      <w:r w:rsidRPr="000E2DEF">
        <w:rPr>
          <w:sz w:val="22"/>
          <w:szCs w:val="22"/>
        </w:rPr>
        <w:t xml:space="preserve">Despite </w:t>
      </w:r>
      <w:r w:rsidR="00BF66FB" w:rsidRPr="000E2DEF">
        <w:rPr>
          <w:sz w:val="22"/>
          <w:szCs w:val="22"/>
        </w:rPr>
        <w:t xml:space="preserve">this positive </w:t>
      </w:r>
      <w:r w:rsidR="006104FD" w:rsidRPr="000E2DEF">
        <w:rPr>
          <w:sz w:val="22"/>
          <w:szCs w:val="22"/>
        </w:rPr>
        <w:t>(</w:t>
      </w:r>
      <w:proofErr w:type="spellStart"/>
      <w:r w:rsidRPr="000E2DEF">
        <w:rPr>
          <w:sz w:val="22"/>
          <w:szCs w:val="22"/>
        </w:rPr>
        <w:t>Kostons</w:t>
      </w:r>
      <w:proofErr w:type="spellEnd"/>
      <w:r w:rsidRPr="000E2DEF">
        <w:rPr>
          <w:sz w:val="22"/>
          <w:szCs w:val="22"/>
        </w:rPr>
        <w:t xml:space="preserve"> and Van Der </w:t>
      </w:r>
      <w:proofErr w:type="spellStart"/>
      <w:r w:rsidRPr="000E2DEF">
        <w:rPr>
          <w:sz w:val="22"/>
          <w:szCs w:val="22"/>
        </w:rPr>
        <w:t>Werf</w:t>
      </w:r>
      <w:proofErr w:type="spellEnd"/>
      <w:r w:rsidRPr="000E2DEF">
        <w:rPr>
          <w:sz w:val="22"/>
          <w:szCs w:val="22"/>
        </w:rPr>
        <w:t xml:space="preserve"> 2015) </w:t>
      </w:r>
      <w:r w:rsidR="00E4637E" w:rsidRPr="000E2DEF">
        <w:rPr>
          <w:sz w:val="22"/>
          <w:szCs w:val="22"/>
        </w:rPr>
        <w:t>d</w:t>
      </w:r>
      <w:r w:rsidRPr="000E2DEF">
        <w:rPr>
          <w:sz w:val="22"/>
          <w:szCs w:val="22"/>
        </w:rPr>
        <w:t>o bring to light the issue with topic specific prior knowledge not always benefiting the learning process. This perhaps ag</w:t>
      </w:r>
      <w:r w:rsidR="00E4637E" w:rsidRPr="000E2DEF">
        <w:rPr>
          <w:sz w:val="22"/>
          <w:szCs w:val="22"/>
        </w:rPr>
        <w:t>r</w:t>
      </w:r>
      <w:r w:rsidRPr="000E2DEF">
        <w:rPr>
          <w:sz w:val="22"/>
          <w:szCs w:val="22"/>
        </w:rPr>
        <w:t xml:space="preserve">ees with the earlier point of </w:t>
      </w:r>
      <w:r w:rsidR="006104FD" w:rsidRPr="000E2DEF">
        <w:rPr>
          <w:sz w:val="22"/>
          <w:szCs w:val="22"/>
        </w:rPr>
        <w:t>(</w:t>
      </w:r>
      <w:r w:rsidRPr="000E2DEF">
        <w:rPr>
          <w:sz w:val="22"/>
          <w:szCs w:val="22"/>
        </w:rPr>
        <w:t>Gardner and Hirsch 2006)</w:t>
      </w:r>
      <w:r w:rsidR="00BF66FB" w:rsidRPr="000E2DEF">
        <w:rPr>
          <w:sz w:val="22"/>
          <w:szCs w:val="22"/>
        </w:rPr>
        <w:t xml:space="preserve">. </w:t>
      </w:r>
    </w:p>
    <w:p w:rsidR="00596A26" w:rsidRPr="000E2DEF" w:rsidRDefault="00596A26">
      <w:pPr>
        <w:spacing w:after="0" w:line="259" w:lineRule="auto"/>
        <w:ind w:left="0" w:firstLine="0"/>
        <w:rPr>
          <w:sz w:val="22"/>
          <w:szCs w:val="22"/>
        </w:rPr>
      </w:pPr>
    </w:p>
    <w:p w:rsidR="00596A26" w:rsidRPr="000E2DEF" w:rsidRDefault="00740F44">
      <w:pPr>
        <w:ind w:left="-5"/>
        <w:rPr>
          <w:sz w:val="22"/>
          <w:szCs w:val="22"/>
        </w:rPr>
      </w:pPr>
      <w:r w:rsidRPr="000E2DEF">
        <w:rPr>
          <w:sz w:val="22"/>
          <w:szCs w:val="22"/>
        </w:rPr>
        <w:t>However</w:t>
      </w:r>
      <w:r w:rsidR="00E4637E" w:rsidRPr="000E2DEF">
        <w:rPr>
          <w:sz w:val="22"/>
          <w:szCs w:val="22"/>
        </w:rPr>
        <w:t>,</w:t>
      </w:r>
      <w:r w:rsidRPr="000E2DEF">
        <w:rPr>
          <w:sz w:val="22"/>
          <w:szCs w:val="22"/>
        </w:rPr>
        <w:t xml:space="preserve"> there is more, in addition within multiple cross-curricular learning models,</w:t>
      </w:r>
      <w:r w:rsidR="00E4637E" w:rsidRPr="000E2DEF">
        <w:rPr>
          <w:sz w:val="22"/>
          <w:szCs w:val="22"/>
        </w:rPr>
        <w:t xml:space="preserve"> such as a theme based, or multidisciplinary method, </w:t>
      </w:r>
      <w:r w:rsidRPr="000E2DEF">
        <w:rPr>
          <w:sz w:val="22"/>
          <w:szCs w:val="22"/>
        </w:rPr>
        <w:t xml:space="preserve">there are many opportunities for shared experiences. The importance of these experiences is the opinion of </w:t>
      </w:r>
      <w:r w:rsidR="006104FD" w:rsidRPr="000E2DEF">
        <w:rPr>
          <w:sz w:val="22"/>
          <w:szCs w:val="22"/>
        </w:rPr>
        <w:t>(</w:t>
      </w:r>
      <w:r w:rsidRPr="000E2DEF">
        <w:rPr>
          <w:sz w:val="22"/>
          <w:szCs w:val="22"/>
        </w:rPr>
        <w:t>Galton and Williamson 1992). There are some however who do see issues and drawbacks with shared or collaborative learning</w:t>
      </w:r>
      <w:r w:rsidR="006104FD" w:rsidRPr="000E2DEF">
        <w:rPr>
          <w:sz w:val="22"/>
          <w:szCs w:val="22"/>
        </w:rPr>
        <w:t>,</w:t>
      </w:r>
      <w:r w:rsidRPr="000E2DEF">
        <w:rPr>
          <w:sz w:val="22"/>
          <w:szCs w:val="22"/>
        </w:rPr>
        <w:t xml:space="preserve"> </w:t>
      </w:r>
      <w:r w:rsidR="006104FD" w:rsidRPr="000E2DEF">
        <w:rPr>
          <w:sz w:val="22"/>
          <w:szCs w:val="22"/>
        </w:rPr>
        <w:t>(</w:t>
      </w:r>
      <w:r w:rsidRPr="000E2DEF">
        <w:rPr>
          <w:sz w:val="22"/>
          <w:szCs w:val="22"/>
        </w:rPr>
        <w:t xml:space="preserve">Engstrom and Jewett 2005) </w:t>
      </w:r>
      <w:r w:rsidR="00E4637E" w:rsidRPr="000E2DEF">
        <w:rPr>
          <w:sz w:val="22"/>
          <w:szCs w:val="22"/>
        </w:rPr>
        <w:t>b</w:t>
      </w:r>
      <w:r w:rsidRPr="000E2DEF">
        <w:rPr>
          <w:sz w:val="22"/>
          <w:szCs w:val="22"/>
        </w:rPr>
        <w:t xml:space="preserve">ring to light issues </w:t>
      </w:r>
      <w:r w:rsidR="00275F51" w:rsidRPr="000E2DEF">
        <w:rPr>
          <w:sz w:val="22"/>
          <w:szCs w:val="22"/>
        </w:rPr>
        <w:t>in regard to</w:t>
      </w:r>
      <w:r w:rsidRPr="000E2DEF">
        <w:rPr>
          <w:sz w:val="22"/>
          <w:szCs w:val="22"/>
        </w:rPr>
        <w:t xml:space="preserve"> incorrect information being given as </w:t>
      </w:r>
      <w:r w:rsidR="00E4637E" w:rsidRPr="000E2DEF">
        <w:rPr>
          <w:sz w:val="22"/>
          <w:szCs w:val="22"/>
        </w:rPr>
        <w:t>a part</w:t>
      </w:r>
      <w:r w:rsidRPr="000E2DEF">
        <w:rPr>
          <w:sz w:val="22"/>
          <w:szCs w:val="22"/>
        </w:rPr>
        <w:t xml:space="preserve"> of a grouped effort. </w:t>
      </w:r>
    </w:p>
    <w:p w:rsidR="00596A26" w:rsidRPr="000E2DEF" w:rsidRDefault="00596A26">
      <w:pPr>
        <w:spacing w:after="0" w:line="259" w:lineRule="auto"/>
        <w:ind w:left="0" w:firstLine="0"/>
        <w:rPr>
          <w:sz w:val="22"/>
          <w:szCs w:val="22"/>
        </w:rPr>
      </w:pPr>
    </w:p>
    <w:p w:rsidR="00596A26" w:rsidRPr="000E2DEF" w:rsidRDefault="00740F44">
      <w:pPr>
        <w:ind w:left="-5"/>
        <w:rPr>
          <w:sz w:val="22"/>
          <w:szCs w:val="22"/>
        </w:rPr>
      </w:pPr>
      <w:r w:rsidRPr="000E2DEF">
        <w:rPr>
          <w:sz w:val="22"/>
          <w:szCs w:val="22"/>
        </w:rPr>
        <w:t>Responsibilities of educators</w:t>
      </w:r>
    </w:p>
    <w:p w:rsidR="00596A26" w:rsidRPr="000E2DEF" w:rsidRDefault="00596A26">
      <w:pPr>
        <w:spacing w:after="0" w:line="259" w:lineRule="auto"/>
        <w:ind w:left="0" w:firstLine="0"/>
        <w:rPr>
          <w:sz w:val="22"/>
          <w:szCs w:val="22"/>
        </w:rPr>
      </w:pPr>
    </w:p>
    <w:p w:rsidR="00596A26" w:rsidRPr="000E2DEF" w:rsidRDefault="00740F44">
      <w:pPr>
        <w:ind w:left="-5"/>
        <w:rPr>
          <w:sz w:val="22"/>
          <w:szCs w:val="22"/>
        </w:rPr>
      </w:pPr>
      <w:r w:rsidRPr="000E2DEF">
        <w:rPr>
          <w:sz w:val="22"/>
          <w:szCs w:val="22"/>
        </w:rPr>
        <w:t xml:space="preserve">To look further </w:t>
      </w:r>
      <w:r w:rsidR="00086285" w:rsidRPr="000E2DEF">
        <w:rPr>
          <w:sz w:val="22"/>
          <w:szCs w:val="22"/>
        </w:rPr>
        <w:t>at</w:t>
      </w:r>
      <w:r w:rsidRPr="000E2DEF">
        <w:rPr>
          <w:sz w:val="22"/>
          <w:szCs w:val="22"/>
        </w:rPr>
        <w:t xml:space="preserve"> the</w:t>
      </w:r>
      <w:r w:rsidR="00086285" w:rsidRPr="000E2DEF">
        <w:rPr>
          <w:sz w:val="22"/>
          <w:szCs w:val="22"/>
        </w:rPr>
        <w:t xml:space="preserve"> Cross curricular</w:t>
      </w:r>
      <w:r w:rsidRPr="000E2DEF">
        <w:rPr>
          <w:sz w:val="22"/>
          <w:szCs w:val="22"/>
        </w:rPr>
        <w:t xml:space="preserve"> responsibilities</w:t>
      </w:r>
      <w:r w:rsidR="00086285" w:rsidRPr="000E2DEF">
        <w:rPr>
          <w:sz w:val="22"/>
          <w:szCs w:val="22"/>
        </w:rPr>
        <w:t xml:space="preserve"> of Literacy, numeracy and digital competence made</w:t>
      </w:r>
      <w:r w:rsidRPr="000E2DEF">
        <w:rPr>
          <w:sz w:val="22"/>
          <w:szCs w:val="22"/>
        </w:rPr>
        <w:t xml:space="preserve"> by </w:t>
      </w:r>
      <w:r w:rsidR="006104FD" w:rsidRPr="000E2DEF">
        <w:rPr>
          <w:sz w:val="22"/>
          <w:szCs w:val="22"/>
        </w:rPr>
        <w:t>(</w:t>
      </w:r>
      <w:r w:rsidRPr="000E2DEF">
        <w:rPr>
          <w:sz w:val="22"/>
          <w:szCs w:val="22"/>
        </w:rPr>
        <w:t>Donaldson</w:t>
      </w:r>
      <w:r w:rsidR="00E4637E" w:rsidRPr="000E2DEF">
        <w:rPr>
          <w:sz w:val="22"/>
          <w:szCs w:val="22"/>
        </w:rPr>
        <w:t xml:space="preserve"> 2015</w:t>
      </w:r>
      <w:r w:rsidR="006104FD" w:rsidRPr="000E2DEF">
        <w:rPr>
          <w:sz w:val="22"/>
          <w:szCs w:val="22"/>
        </w:rPr>
        <w:t>)</w:t>
      </w:r>
      <w:r w:rsidRPr="000E2DEF">
        <w:rPr>
          <w:sz w:val="22"/>
          <w:szCs w:val="22"/>
        </w:rPr>
        <w:t xml:space="preserve"> </w:t>
      </w:r>
      <w:r w:rsidR="00086285" w:rsidRPr="000E2DEF">
        <w:rPr>
          <w:sz w:val="22"/>
          <w:szCs w:val="22"/>
        </w:rPr>
        <w:t xml:space="preserve">in Successful Futures. </w:t>
      </w:r>
      <w:r w:rsidRPr="000E2DEF">
        <w:rPr>
          <w:sz w:val="22"/>
          <w:szCs w:val="22"/>
        </w:rPr>
        <w:t>We must look at what these three core subject</w:t>
      </w:r>
      <w:r w:rsidR="00086285" w:rsidRPr="000E2DEF">
        <w:rPr>
          <w:sz w:val="22"/>
          <w:szCs w:val="22"/>
        </w:rPr>
        <w:t xml:space="preserve"> areas</w:t>
      </w:r>
      <w:r w:rsidRPr="000E2DEF">
        <w:rPr>
          <w:sz w:val="22"/>
          <w:szCs w:val="22"/>
        </w:rPr>
        <w:t xml:space="preserve"> provide students that allow effective cross-curricular learning. Amongst the three subjects, two frameworks have been created to aid teachers in furthering the learning of their pupils and, to aid educators with a level at which all pupils can be measured. These frameworks the LNF (Literacy and Numeracy Framework) and DCF (Digital Competence Framework) layout essential skills within each area.   </w:t>
      </w:r>
    </w:p>
    <w:p w:rsidR="00E4637E" w:rsidRPr="000E2DEF" w:rsidRDefault="00E4637E">
      <w:pPr>
        <w:spacing w:after="271"/>
        <w:ind w:left="-5"/>
      </w:pPr>
    </w:p>
    <w:p w:rsidR="00596A26" w:rsidRPr="000E2DEF" w:rsidRDefault="00740F44">
      <w:pPr>
        <w:spacing w:after="271"/>
        <w:ind w:left="-5"/>
      </w:pPr>
      <w:r w:rsidRPr="000E2DEF">
        <w:t xml:space="preserve">Donaldson's eighth recommendation refers to wider or essential skills. The importance of these skills is that Donaldson believes the acquisition of these skills will help these pupils to best provide them with a successful future. The wider skills learned will allow pupils to achieve all four of the main purposes of the new curriculum, those purposes are. </w:t>
      </w:r>
    </w:p>
    <w:p w:rsidR="00596A26" w:rsidRPr="000E2DEF" w:rsidRDefault="00740F44">
      <w:pPr>
        <w:ind w:left="-5"/>
      </w:pPr>
      <w:r w:rsidRPr="000E2DEF">
        <w:t xml:space="preserve">“To develop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w:t>
      </w:r>
      <w:r w:rsidR="006104FD" w:rsidRPr="000E2DEF">
        <w:t>(</w:t>
      </w:r>
      <w:r w:rsidRPr="000E2DEF">
        <w:t>Donaldson 2015)</w:t>
      </w:r>
      <w:r w:rsidR="00086285" w:rsidRPr="000E2DEF">
        <w:t xml:space="preserve"> </w:t>
      </w:r>
      <w:proofErr w:type="spellStart"/>
      <w:r w:rsidR="00086285" w:rsidRPr="000E2DEF">
        <w:t>pg</w:t>
      </w:r>
      <w:proofErr w:type="spellEnd"/>
      <w:r w:rsidR="00086285" w:rsidRPr="000E2DEF">
        <w:t xml:space="preserve"> 113</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As aforementioned, there are three main responsibilities concerning cross-curricular learning. These responsibilities </w:t>
      </w:r>
      <w:r w:rsidR="00962070" w:rsidRPr="000E2DEF">
        <w:t>are to be assisted by the development of AoLE’s</w:t>
      </w:r>
      <w:r w:rsidR="00712E0D" w:rsidRPr="000E2DEF">
        <w:t xml:space="preserve"> </w:t>
      </w:r>
      <w:r w:rsidRPr="000E2DEF">
        <w:t>(</w:t>
      </w:r>
      <w:r w:rsidR="00962070" w:rsidRPr="000E2DEF">
        <w:t>A</w:t>
      </w:r>
      <w:r w:rsidRPr="000E2DEF">
        <w:t xml:space="preserve">reas of </w:t>
      </w:r>
      <w:r w:rsidR="00962070" w:rsidRPr="000E2DEF">
        <w:t>L</w:t>
      </w:r>
      <w:r w:rsidRPr="000E2DEF">
        <w:t xml:space="preserve">earning and </w:t>
      </w:r>
      <w:r w:rsidR="00962070" w:rsidRPr="000E2DEF">
        <w:t>E</w:t>
      </w:r>
      <w:r w:rsidRPr="000E2DEF">
        <w:t>xperience). The A</w:t>
      </w:r>
      <w:r w:rsidR="00962070" w:rsidRPr="000E2DEF">
        <w:t>o</w:t>
      </w:r>
      <w:r w:rsidRPr="000E2DEF">
        <w:t>LE’s assist the</w:t>
      </w:r>
      <w:r w:rsidR="00962070" w:rsidRPr="000E2DEF">
        <w:t xml:space="preserve"> development of</w:t>
      </w:r>
      <w:r w:rsidRPr="000E2DEF">
        <w:t xml:space="preserve"> new curriculum underpinning the important aspects of</w:t>
      </w:r>
      <w:r w:rsidR="00712E0D" w:rsidRPr="000E2DEF">
        <w:t xml:space="preserve"> knowledge and skill within</w:t>
      </w:r>
      <w:r w:rsidRPr="000E2DEF">
        <w:t xml:space="preserve"> each responsibility. The</w:t>
      </w:r>
      <w:r w:rsidR="00962070" w:rsidRPr="000E2DEF">
        <w:t>se Cross-Curricular</w:t>
      </w:r>
      <w:r w:rsidRPr="000E2DEF">
        <w:t xml:space="preserve"> responsibilities which if are taught correctly will enrich learning and ensure pupils have a successful future. Th</w:t>
      </w:r>
      <w:r w:rsidR="00962070" w:rsidRPr="000E2DEF">
        <w:t xml:space="preserve">e Welsh </w:t>
      </w:r>
      <w:r w:rsidR="00712E0D" w:rsidRPr="000E2DEF">
        <w:t>governments</w:t>
      </w:r>
      <w:r w:rsidR="00962070" w:rsidRPr="000E2DEF">
        <w:t xml:space="preserve"> </w:t>
      </w:r>
      <w:r w:rsidR="00712E0D" w:rsidRPr="000E2DEF">
        <w:t>belief of this</w:t>
      </w:r>
      <w:r w:rsidRPr="000E2DEF">
        <w:t xml:space="preserve"> is shown by the opening statement within the </w:t>
      </w:r>
      <w:proofErr w:type="spellStart"/>
      <w:r w:rsidRPr="000E2DEF">
        <w:t>A</w:t>
      </w:r>
      <w:r w:rsidR="00712E0D" w:rsidRPr="000E2DEF">
        <w:t>oLE</w:t>
      </w:r>
      <w:proofErr w:type="spellEnd"/>
      <w:r w:rsidRPr="000E2DEF">
        <w:t xml:space="preserve"> for Languages, Literacy, and Communication where </w:t>
      </w:r>
      <w:proofErr w:type="gramStart"/>
      <w:r w:rsidRPr="000E2DEF">
        <w:t>it</w:t>
      </w:r>
      <w:proofErr w:type="gramEnd"/>
      <w:r w:rsidRPr="000E2DEF">
        <w:t xml:space="preserve"> say</w:t>
      </w:r>
      <w:r w:rsidR="006104FD" w:rsidRPr="000E2DEF">
        <w:t>’</w:t>
      </w:r>
      <w:r w:rsidRPr="000E2DEF">
        <w:t xml:space="preserve">s “By supporting learners to become successful in this area of learning and experience, they are therefore also supported to succeed across the whole curriculum.” </w:t>
      </w:r>
      <w:r w:rsidR="006104FD" w:rsidRPr="000E2DEF">
        <w:t>(</w:t>
      </w:r>
      <w:r w:rsidRPr="000E2DEF">
        <w:t>Education Wales 2019)</w:t>
      </w:r>
    </w:p>
    <w:p w:rsidR="004C0E5D" w:rsidRPr="000E2DEF" w:rsidRDefault="004C0E5D" w:rsidP="004C0E5D">
      <w:pPr>
        <w:spacing w:after="0" w:line="259" w:lineRule="auto"/>
        <w:ind w:left="0" w:firstLine="0"/>
      </w:pPr>
    </w:p>
    <w:p w:rsidR="00596A26" w:rsidRPr="000E2DEF" w:rsidRDefault="00712E0D" w:rsidP="004C0E5D">
      <w:pPr>
        <w:spacing w:after="0" w:line="259" w:lineRule="auto"/>
        <w:ind w:left="0" w:firstLine="0"/>
      </w:pPr>
      <w:r w:rsidRPr="000E2DEF">
        <w:t xml:space="preserve">Furthermore, these </w:t>
      </w:r>
      <w:r w:rsidR="00740F44" w:rsidRPr="000E2DEF">
        <w:t>A</w:t>
      </w:r>
      <w:r w:rsidR="00E04CB6" w:rsidRPr="000E2DEF">
        <w:t>o</w:t>
      </w:r>
      <w:r w:rsidR="00740F44" w:rsidRPr="000E2DEF">
        <w:t>LE’s have been created with Donaldson’s four purposes in mind.</w:t>
      </w:r>
      <w:r w:rsidRPr="000E2DEF">
        <w:t xml:space="preserve"> It states</w:t>
      </w:r>
      <w:r w:rsidR="004C0E5D" w:rsidRPr="000E2DEF">
        <w:t xml:space="preserve"> within the recommendations of </w:t>
      </w:r>
      <w:r w:rsidRPr="000E2DEF">
        <w:t>successful futures</w:t>
      </w:r>
      <w:r w:rsidR="004C0E5D" w:rsidRPr="000E2DEF">
        <w:t xml:space="preserve"> on pages 107-108</w:t>
      </w:r>
      <w:r w:rsidRPr="000E2DEF">
        <w:t xml:space="preserve"> that the AoLE’s are to provide distinctive context within which the four curriculum purposes can be pursued.</w:t>
      </w:r>
      <w:r w:rsidR="004C0E5D" w:rsidRPr="000E2DEF">
        <w:t xml:space="preserve"> However, it is added that these AoLE’s are not to designed to outline a timetable for schools to follow but, instead organise the national expectations of learning and experience. From which schools should enable a connected, rigorous, synergetic and disciplined path of study and learning.  </w:t>
      </w:r>
      <w:r w:rsidRPr="000E2DEF">
        <w:t xml:space="preserve"> </w:t>
      </w:r>
    </w:p>
    <w:p w:rsidR="0091156F" w:rsidRPr="000E2DEF" w:rsidRDefault="00740F44" w:rsidP="0091156F">
      <w:pPr>
        <w:pStyle w:val="NormalWeb"/>
      </w:pPr>
      <w:r w:rsidRPr="000E2DEF">
        <w:t xml:space="preserve">But how do the three ALE’s achieve this? Within each document, several statements are made to point out what matters within the ALE. These what matters statement </w:t>
      </w:r>
      <w:proofErr w:type="gramStart"/>
      <w:r w:rsidRPr="000E2DEF">
        <w:t>are</w:t>
      </w:r>
      <w:proofErr w:type="gramEnd"/>
      <w:r w:rsidRPr="000E2DEF">
        <w:t xml:space="preserve"> there to show how Donaldson’s four purposes of the new curriculum will be met.</w:t>
      </w:r>
      <w:r w:rsidR="0091156F" w:rsidRPr="000E2DEF">
        <w:t xml:space="preserve"> T</w:t>
      </w:r>
      <w:r w:rsidRPr="000E2DEF">
        <w:t>he ALE for Language, Literacy, and communication</w:t>
      </w:r>
      <w:r w:rsidR="0091156F" w:rsidRPr="000E2DEF">
        <w:t>,</w:t>
      </w:r>
      <w:r w:rsidRPr="000E2DEF">
        <w:t xml:space="preserve"> </w:t>
      </w:r>
      <w:r w:rsidR="0091156F" w:rsidRPr="000E2DEF">
        <w:t>f</w:t>
      </w:r>
      <w:r w:rsidRPr="000E2DEF">
        <w:t xml:space="preserve">irstly </w:t>
      </w:r>
      <w:r w:rsidR="0091156F" w:rsidRPr="000E2DEF">
        <w:t>shows</w:t>
      </w:r>
      <w:r w:rsidRPr="000E2DEF">
        <w:t xml:space="preserve"> emphasis based on identity and culture through languages. The importance of this statement is that</w:t>
      </w:r>
      <w:r w:rsidR="0091156F" w:rsidRPr="000E2DEF">
        <w:t>,</w:t>
      </w:r>
      <w:r w:rsidRPr="000E2DEF">
        <w:t xml:space="preserve"> English is not the sole language mentioned. Both the importance of Welsh and other international languages </w:t>
      </w:r>
      <w:proofErr w:type="gramStart"/>
      <w:r w:rsidR="0091156F" w:rsidRPr="000E2DEF">
        <w:t>are</w:t>
      </w:r>
      <w:proofErr w:type="gramEnd"/>
      <w:r w:rsidRPr="000E2DEF">
        <w:t xml:space="preserve"> recognised as important factors of identity and culture. Both aiding to meet one of recommendation three’s points of creating ethical, informed citizens of Wales</w:t>
      </w:r>
      <w:r w:rsidR="0091156F" w:rsidRPr="000E2DEF">
        <w:t>.</w:t>
      </w:r>
      <w:r w:rsidRPr="000E2DEF">
        <w:t xml:space="preserve"> </w:t>
      </w:r>
      <w:r w:rsidR="0091156F" w:rsidRPr="000E2DEF">
        <w:t>This further</w:t>
      </w:r>
      <w:r w:rsidRPr="000E2DEF">
        <w:t xml:space="preserve"> aligns with article </w:t>
      </w:r>
      <w:r w:rsidR="0091156F" w:rsidRPr="000E2DEF">
        <w:t>30</w:t>
      </w:r>
      <w:r w:rsidRPr="000E2DEF">
        <w:t xml:space="preserve"> of the UNCRC (United Nation convention on the rights of the child) </w:t>
      </w:r>
      <w:r w:rsidR="0091156F" w:rsidRPr="000E2DEF">
        <w:t>(</w:t>
      </w:r>
      <w:r w:rsidRPr="000E2DEF">
        <w:t>1989).</w:t>
      </w:r>
      <w:r w:rsidR="0091156F" w:rsidRPr="000E2DEF">
        <w:t xml:space="preserve"> Which states Every child has the right to learn and use the language, customs and religion of their family, whether or not these are shared by the majority of the people in the country where they live.</w:t>
      </w:r>
      <w:r w:rsidR="0091156F" w:rsidRPr="000E2DEF">
        <w:rPr>
          <w:sz w:val="20"/>
          <w:szCs w:val="20"/>
        </w:rPr>
        <w:t xml:space="preserve"> </w:t>
      </w:r>
    </w:p>
    <w:p w:rsidR="00596A26" w:rsidRPr="000E2DEF" w:rsidRDefault="00740F44" w:rsidP="007B0DF4">
      <w:pPr>
        <w:spacing w:after="0" w:line="259" w:lineRule="auto"/>
        <w:ind w:left="0" w:firstLine="0"/>
      </w:pPr>
      <w:r w:rsidRPr="000E2DEF">
        <w:t>Furthermore, the second what matters statement states that “learners who listen and read effectively are prepared to learn throughout their lives”. There is cause for the argument that listening and reading</w:t>
      </w:r>
      <w:r w:rsidR="007B0DF4" w:rsidRPr="000E2DEF">
        <w:t xml:space="preserve"> are</w:t>
      </w:r>
      <w:r w:rsidRPr="000E2DEF">
        <w:t xml:space="preserve"> not as important as experiences</w:t>
      </w:r>
      <w:r w:rsidR="007B0DF4" w:rsidRPr="000E2DEF">
        <w:t>.</w:t>
      </w:r>
      <w:r w:rsidRPr="000E2DEF">
        <w:t xml:space="preserve"> </w:t>
      </w:r>
      <w:r w:rsidR="006104FD" w:rsidRPr="000E2DEF">
        <w:t>(</w:t>
      </w:r>
      <w:r w:rsidRPr="000E2DEF">
        <w:t>McAteer 2012) would argue that children learn through context and experience not by firstly mastering skills.</w:t>
      </w:r>
      <w:r w:rsidR="007B0DF4" w:rsidRPr="000E2DEF">
        <w:t xml:space="preserve"> Thus</w:t>
      </w:r>
      <w:r w:rsidR="00C069D5" w:rsidRPr="000E2DEF">
        <w:t>,</w:t>
      </w:r>
      <w:r w:rsidR="007B0DF4" w:rsidRPr="000E2DEF">
        <w:t xml:space="preserve"> suggesting that learning is a process and </w:t>
      </w:r>
      <w:proofErr w:type="spellStart"/>
      <w:r w:rsidR="007B0DF4" w:rsidRPr="000E2DEF">
        <w:t>no</w:t>
      </w:r>
      <w:proofErr w:type="spellEnd"/>
      <w:r w:rsidR="007B0DF4" w:rsidRPr="000E2DEF">
        <w:t xml:space="preserve"> a single point.</w:t>
      </w:r>
      <w:r w:rsidRPr="000E2DEF">
        <w:t xml:space="preserve"> </w:t>
      </w:r>
      <w:r w:rsidR="006104FD" w:rsidRPr="000E2DEF">
        <w:t>(</w:t>
      </w:r>
      <w:r w:rsidRPr="000E2DEF">
        <w:t xml:space="preserve">Kolb 1976) would back this as he believes that </w:t>
      </w:r>
      <w:r w:rsidR="007B0DF4" w:rsidRPr="000E2DEF">
        <w:t>learning</w:t>
      </w:r>
      <w:r w:rsidRPr="000E2DEF">
        <w:t xml:space="preserve"> takes place over four stages. Furthermore, Donaldson’s view of a </w:t>
      </w:r>
      <w:r w:rsidR="0091156F" w:rsidRPr="000E2DEF">
        <w:t>cross curricular</w:t>
      </w:r>
      <w:r w:rsidR="005B14D7" w:rsidRPr="000E2DEF">
        <w:t xml:space="preserve"> learning</w:t>
      </w:r>
      <w:r w:rsidRPr="000E2DEF">
        <w:t xml:space="preserve"> understand</w:t>
      </w:r>
      <w:r w:rsidR="005B14D7" w:rsidRPr="000E2DEF">
        <w:t>s</w:t>
      </w:r>
      <w:r w:rsidRPr="000E2DEF">
        <w:t xml:space="preserve"> th</w:t>
      </w:r>
      <w:r w:rsidR="005B14D7" w:rsidRPr="000E2DEF">
        <w:t>at</w:t>
      </w:r>
      <w:r w:rsidRPr="000E2DEF">
        <w:t xml:space="preserve"> learning is a process this found </w:t>
      </w:r>
      <w:r w:rsidR="005B14D7" w:rsidRPr="000E2DEF">
        <w:t xml:space="preserve">when discussing pedagogy on page 69 where he </w:t>
      </w:r>
      <w:r w:rsidR="006104FD" w:rsidRPr="000E2DEF">
        <w:t>refers</w:t>
      </w:r>
      <w:r w:rsidR="005B14D7" w:rsidRPr="000E2DEF">
        <w:t xml:space="preserve"> to learning as a process.</w:t>
      </w:r>
      <w:r w:rsidR="006104FD" w:rsidRPr="000E2DEF">
        <w:t xml:space="preserve"> (</w:t>
      </w:r>
      <w:r w:rsidRPr="000E2DEF">
        <w:t>Donaldson 2015)</w:t>
      </w:r>
    </w:p>
    <w:p w:rsidR="0091156F" w:rsidRPr="000E2DEF" w:rsidRDefault="00740F44" w:rsidP="0091156F">
      <w:pPr>
        <w:spacing w:after="0" w:line="259" w:lineRule="auto"/>
        <w:ind w:left="0" w:firstLine="0"/>
      </w:pPr>
      <w:r w:rsidRPr="000E2DEF">
        <w:rPr>
          <w:rFonts w:eastAsia="Calibri"/>
        </w:rPr>
        <w:lastRenderedPageBreak/>
        <w:t> </w:t>
      </w:r>
    </w:p>
    <w:p w:rsidR="00596A26" w:rsidRPr="000E2DEF" w:rsidRDefault="00740F44" w:rsidP="0091156F">
      <w:pPr>
        <w:spacing w:after="0" w:line="259" w:lineRule="auto"/>
        <w:ind w:left="0" w:firstLine="0"/>
      </w:pPr>
      <w:r w:rsidRPr="000E2DEF">
        <w:t xml:space="preserve">The third what matters statement “Learners who speak and write effectively are prepared to play a full part in life and work.” can be linked with the first what matters statement regarding language well. However, the oracy aspect of this statement does open up a different avenue to be explored. That avenue is the opinion of </w:t>
      </w:r>
      <w:r w:rsidR="006104FD" w:rsidRPr="000E2DEF">
        <w:t>(</w:t>
      </w:r>
      <w:r w:rsidRPr="000E2DEF">
        <w:t xml:space="preserve">Bernardo, </w:t>
      </w:r>
      <w:proofErr w:type="spellStart"/>
      <w:r w:rsidRPr="000E2DEF">
        <w:t>Gaerlan</w:t>
      </w:r>
      <w:proofErr w:type="spellEnd"/>
      <w:r w:rsidRPr="000E2DEF">
        <w:t xml:space="preserve"> 2011) who would believe that language credentials are essential to gain access to new opportunities. Furthermore, within the </w:t>
      </w:r>
      <w:proofErr w:type="spellStart"/>
      <w:r w:rsidRPr="000E2DEF">
        <w:t>A</w:t>
      </w:r>
      <w:r w:rsidR="00E04CB6" w:rsidRPr="000E2DEF">
        <w:t>o</w:t>
      </w:r>
      <w:r w:rsidRPr="000E2DEF">
        <w:t>LE</w:t>
      </w:r>
      <w:proofErr w:type="spellEnd"/>
      <w:r w:rsidRPr="000E2DEF">
        <w:t xml:space="preserve"> documentation, it is added that though effective speak they can properly express themselves as they experience new opportunities.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The final what matters statement within the Languages, Literacy and Communications </w:t>
      </w:r>
      <w:proofErr w:type="spellStart"/>
      <w:r w:rsidRPr="000E2DEF">
        <w:t>A</w:t>
      </w:r>
      <w:r w:rsidR="00E04CB6" w:rsidRPr="000E2DEF">
        <w:t>o</w:t>
      </w:r>
      <w:r w:rsidRPr="000E2DEF">
        <w:t>LE</w:t>
      </w:r>
      <w:proofErr w:type="spellEnd"/>
      <w:r w:rsidRPr="000E2DEF">
        <w:t xml:space="preserve"> </w:t>
      </w:r>
      <w:r w:rsidR="006104FD" w:rsidRPr="000E2DEF">
        <w:t>t</w:t>
      </w:r>
      <w:r w:rsidRPr="000E2DEF">
        <w:t xml:space="preserve">alks of what literature can do for a student a pupil the belief of literature firing the imagination and inspiring creativity is one held by many. The opinion not followed by </w:t>
      </w:r>
      <w:r w:rsidR="006104FD" w:rsidRPr="000E2DEF">
        <w:t>(</w:t>
      </w:r>
      <w:r w:rsidRPr="000E2DEF">
        <w:t xml:space="preserve">Hutcheon 1986) </w:t>
      </w:r>
      <w:r w:rsidR="00275F51" w:rsidRPr="000E2DEF">
        <w:t xml:space="preserve">believed that </w:t>
      </w:r>
      <w:r w:rsidRPr="000E2DEF">
        <w:t xml:space="preserve">existing literature should be regarded as a </w:t>
      </w:r>
      <w:proofErr w:type="gramStart"/>
      <w:r w:rsidRPr="000E2DEF">
        <w:t>limbo</w:t>
      </w:r>
      <w:r w:rsidR="00275F51" w:rsidRPr="000E2DEF">
        <w:t xml:space="preserve"> </w:t>
      </w:r>
      <w:r w:rsidRPr="000E2DEF">
        <w:t>.The</w:t>
      </w:r>
      <w:proofErr w:type="gramEnd"/>
      <w:r w:rsidRPr="000E2DEF">
        <w:t xml:space="preserve"> importance of this is existing literature should be enjoyed and interest us as readers, listeners and viewers as the </w:t>
      </w:r>
      <w:proofErr w:type="spellStart"/>
      <w:r w:rsidRPr="000E2DEF">
        <w:t>A</w:t>
      </w:r>
      <w:r w:rsidR="00E04CB6" w:rsidRPr="000E2DEF">
        <w:t>o</w:t>
      </w:r>
      <w:r w:rsidRPr="000E2DEF">
        <w:t>LE</w:t>
      </w:r>
      <w:proofErr w:type="spellEnd"/>
      <w:r w:rsidRPr="000E2DEF">
        <w:t xml:space="preserve"> would suggest. However, it should not form our own creativity. </w:t>
      </w:r>
    </w:p>
    <w:p w:rsidR="0091156F" w:rsidRPr="000E2DEF" w:rsidRDefault="00740F44" w:rsidP="0091156F">
      <w:pPr>
        <w:spacing w:after="0" w:line="259" w:lineRule="auto"/>
        <w:ind w:left="0" w:firstLine="0"/>
      </w:pPr>
      <w:r w:rsidRPr="000E2DEF">
        <w:rPr>
          <w:rFonts w:eastAsia="Calibri"/>
        </w:rPr>
        <w:t> </w:t>
      </w:r>
    </w:p>
    <w:p w:rsidR="00596A26" w:rsidRPr="000E2DEF" w:rsidRDefault="00740F44" w:rsidP="0091156F">
      <w:pPr>
        <w:spacing w:after="0" w:line="259" w:lineRule="auto"/>
        <w:ind w:left="0" w:firstLine="0"/>
      </w:pPr>
      <w:r w:rsidRPr="000E2DEF">
        <w:t xml:space="preserve">The second </w:t>
      </w:r>
      <w:proofErr w:type="spellStart"/>
      <w:r w:rsidRPr="000E2DEF">
        <w:t>A</w:t>
      </w:r>
      <w:r w:rsidR="00E04CB6" w:rsidRPr="000E2DEF">
        <w:t>o</w:t>
      </w:r>
      <w:r w:rsidRPr="000E2DEF">
        <w:t>LE</w:t>
      </w:r>
      <w:proofErr w:type="spellEnd"/>
      <w:r w:rsidRPr="000E2DEF">
        <w:t xml:space="preserve"> we will look at is Mathematics and Numeracy. Within the document, there is much reference made to the wider skills</w:t>
      </w:r>
      <w:r w:rsidR="00216C31" w:rsidRPr="000E2DEF">
        <w:t xml:space="preserve"> and knowledge to be</w:t>
      </w:r>
      <w:r w:rsidRPr="000E2DEF">
        <w:t xml:space="preserve"> learned though this topic</w:t>
      </w:r>
      <w:r w:rsidR="00216C31" w:rsidRPr="000E2DEF">
        <w:t>. However, there is less emphasis regarding the importance of it being a cross-</w:t>
      </w:r>
      <w:proofErr w:type="spellStart"/>
      <w:r w:rsidR="00216C31" w:rsidRPr="000E2DEF">
        <w:t>currucular</w:t>
      </w:r>
      <w:proofErr w:type="spellEnd"/>
      <w:r w:rsidR="00216C31" w:rsidRPr="000E2DEF">
        <w:t xml:space="preserve"> responsibility within the document. </w:t>
      </w:r>
      <w:r w:rsidRPr="000E2DEF">
        <w:t xml:space="preserve"> Within the first, what matters statement it is stated that competence in number provides a foundation for further study and work.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Many theorists have contrasting views on cross-curricular learning one such view is the one of </w:t>
      </w:r>
      <w:r w:rsidR="006104FD" w:rsidRPr="000E2DEF">
        <w:t>(</w:t>
      </w:r>
      <w:r w:rsidRPr="000E2DEF">
        <w:t xml:space="preserve">Hayes 2010) who said that cross-curricular learning is shallow, improperly planned and has no focus. I would argue the same with this </w:t>
      </w:r>
      <w:proofErr w:type="spellStart"/>
      <w:r w:rsidRPr="000E2DEF">
        <w:t>A</w:t>
      </w:r>
      <w:r w:rsidR="00E04CB6" w:rsidRPr="000E2DEF">
        <w:t>o</w:t>
      </w:r>
      <w:r w:rsidRPr="000E2DEF">
        <w:t>LE</w:t>
      </w:r>
      <w:proofErr w:type="spellEnd"/>
      <w:r w:rsidRPr="000E2DEF">
        <w:t xml:space="preserve"> th</w:t>
      </w:r>
      <w:r w:rsidR="00216C31" w:rsidRPr="000E2DEF">
        <w:t xml:space="preserve">at it is improperly planned for as it does not follow the aforementioned purposes of the AoLE’s set out by Donaldson. </w:t>
      </w:r>
      <w:r w:rsidRPr="000E2DEF">
        <w:t xml:space="preserve">Donaldson said that literacy must be an integral part of all aspects of the curriculum. I believe that for these responsibilities to be cross-curricular, all three </w:t>
      </w:r>
      <w:r w:rsidR="00216C31" w:rsidRPr="000E2DEF">
        <w:t>responsibilities</w:t>
      </w:r>
      <w:r w:rsidRPr="000E2DEF">
        <w:t xml:space="preserve"> must be treated the same way. </w:t>
      </w:r>
    </w:p>
    <w:p w:rsidR="00596A26" w:rsidRPr="000E2DEF" w:rsidRDefault="00740F44">
      <w:pPr>
        <w:spacing w:after="0" w:line="259" w:lineRule="auto"/>
        <w:ind w:left="0" w:firstLine="0"/>
      </w:pPr>
      <w:r w:rsidRPr="000E2DEF">
        <w:rPr>
          <w:rFonts w:eastAsia="Calibri"/>
        </w:rPr>
        <w:t> </w:t>
      </w:r>
    </w:p>
    <w:p w:rsidR="009A5555" w:rsidRPr="000E2DEF" w:rsidRDefault="00740F44" w:rsidP="009A5555">
      <w:pPr>
        <w:pStyle w:val="NormalWeb"/>
        <w:shd w:val="clear" w:color="auto" w:fill="FFFFFF"/>
      </w:pPr>
      <w:r w:rsidRPr="000E2DEF">
        <w:t>Much of the writing within the document talk about problem-solving and analytical thinking. These are some of the wider skills aforementioned. These skills also make a direct connection with the purposes of the new curriculum. The skills are all essential to ensuring that pupils are creative and ambitious capable learners.</w:t>
      </w:r>
      <w:r w:rsidR="009A5555" w:rsidRPr="000E2DEF">
        <w:t xml:space="preserve"> (</w:t>
      </w:r>
      <w:proofErr w:type="spellStart"/>
      <w:r w:rsidR="009A5555" w:rsidRPr="000E2DEF">
        <w:t>Bacigalupo</w:t>
      </w:r>
      <w:proofErr w:type="spellEnd"/>
      <w:r w:rsidR="009A5555" w:rsidRPr="000E2DEF">
        <w:t xml:space="preserve">, </w:t>
      </w:r>
      <w:proofErr w:type="spellStart"/>
      <w:r w:rsidR="009A5555" w:rsidRPr="000E2DEF">
        <w:t>Kampulis</w:t>
      </w:r>
      <w:proofErr w:type="spellEnd"/>
      <w:r w:rsidR="009A5555" w:rsidRPr="000E2DEF">
        <w:t xml:space="preserve">, </w:t>
      </w:r>
      <w:proofErr w:type="spellStart"/>
      <w:r w:rsidR="009A5555" w:rsidRPr="000E2DEF">
        <w:t>Punie</w:t>
      </w:r>
      <w:proofErr w:type="spellEnd"/>
      <w:r w:rsidR="009A5555" w:rsidRPr="000E2DEF">
        <w:t xml:space="preserve"> and Van Den Brande 2016) writers of the </w:t>
      </w:r>
      <w:proofErr w:type="spellStart"/>
      <w:r w:rsidR="009A5555" w:rsidRPr="000E2DEF">
        <w:t>EntreComp</w:t>
      </w:r>
      <w:proofErr w:type="spellEnd"/>
      <w:r w:rsidR="009A5555" w:rsidRPr="000E2DEF">
        <w:t xml:space="preserve"> </w:t>
      </w:r>
      <w:r w:rsidR="00041F2D" w:rsidRPr="000E2DEF">
        <w:t>framework</w:t>
      </w:r>
      <w:r w:rsidR="009A5555" w:rsidRPr="000E2DEF">
        <w:t xml:space="preserve"> outline in their work a list of essential skills for creativity including problem solving.  </w:t>
      </w:r>
    </w:p>
    <w:p w:rsidR="00596A26" w:rsidRPr="000E2DEF" w:rsidRDefault="00740F44">
      <w:pPr>
        <w:ind w:left="-5"/>
      </w:pPr>
      <w:r w:rsidRPr="000E2DEF">
        <w:t xml:space="preserve"> </w:t>
      </w:r>
    </w:p>
    <w:p w:rsidR="00596A26" w:rsidRPr="000E2DEF" w:rsidRDefault="00740F44" w:rsidP="009A5555">
      <w:pPr>
        <w:spacing w:after="0" w:line="259" w:lineRule="auto"/>
        <w:ind w:left="0" w:firstLine="0"/>
      </w:pPr>
      <w:r w:rsidRPr="000E2DEF">
        <w:t>The final responsibility of digital competence is</w:t>
      </w:r>
      <w:r w:rsidR="009A5555" w:rsidRPr="000E2DEF">
        <w:t xml:space="preserve"> written into</w:t>
      </w:r>
      <w:r w:rsidRPr="000E2DEF">
        <w:t xml:space="preserve"> the science and technology </w:t>
      </w:r>
      <w:proofErr w:type="spellStart"/>
      <w:r w:rsidRPr="000E2DEF">
        <w:t>A</w:t>
      </w:r>
      <w:r w:rsidR="00E04CB6" w:rsidRPr="000E2DEF">
        <w:t>o</w:t>
      </w:r>
      <w:r w:rsidRPr="000E2DEF">
        <w:t>LE</w:t>
      </w:r>
      <w:proofErr w:type="spellEnd"/>
      <w:r w:rsidRPr="000E2DEF">
        <w:t xml:space="preserve"> Despite the DCF being available to see all the skills and progression within the topic it is the </w:t>
      </w:r>
      <w:r w:rsidR="000E2DEF" w:rsidRPr="000E2DEF">
        <w:t>(</w:t>
      </w:r>
      <w:r w:rsidR="000E2DEF" w:rsidRPr="000E2DEF">
        <w:rPr>
          <w:rFonts w:eastAsiaTheme="minorEastAsia"/>
          <w:color w:val="000000"/>
        </w:rPr>
        <w:t xml:space="preserve">Lebrun 2007) </w:t>
      </w:r>
      <w:r w:rsidRPr="000E2DEF">
        <w:t>that science and technology directly link to</w:t>
      </w:r>
      <w:r w:rsidR="000E2DEF" w:rsidRPr="000E2DEF">
        <w:t>gether.</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The importance of digital competence is that regardless of our own opinion pupils of today live digital competency </w:t>
      </w:r>
      <w:r w:rsidR="006104FD" w:rsidRPr="000E2DEF">
        <w:t>(</w:t>
      </w:r>
      <w:r w:rsidRPr="000E2DEF">
        <w:t xml:space="preserve">Prensky 2001) refers to pupils of today as digital natives meaning that they learn to speak a digital language from simply living. With the role of a teacher being to get pupils ready for life, it is evidently a key responsibility. However, </w:t>
      </w:r>
      <w:r w:rsidR="006104FD" w:rsidRPr="000E2DEF">
        <w:t>(</w:t>
      </w:r>
      <w:r w:rsidRPr="000E2DEF">
        <w:t xml:space="preserve">Palmer 2017) would argue that the extended use of media is harming our children caused them to have </w:t>
      </w:r>
      <w:r w:rsidR="009A5555" w:rsidRPr="000E2DEF">
        <w:t>a deluded</w:t>
      </w:r>
      <w:r w:rsidRPr="000E2DEF">
        <w:t xml:space="preserve"> knowledge of the world we live in. If this was true is it correct to have digital competency as a cross-curricular responsibility. </w:t>
      </w:r>
    </w:p>
    <w:p w:rsidR="00596A26" w:rsidRPr="000E2DEF" w:rsidRDefault="00740F44">
      <w:pPr>
        <w:spacing w:after="0" w:line="259" w:lineRule="auto"/>
        <w:ind w:left="0" w:firstLine="0"/>
      </w:pPr>
      <w:r w:rsidRPr="000E2DEF">
        <w:rPr>
          <w:rFonts w:eastAsia="Calibri"/>
        </w:rPr>
        <w:lastRenderedPageBreak/>
        <w:t> </w:t>
      </w:r>
    </w:p>
    <w:p w:rsidR="00596A26" w:rsidRPr="000E2DEF" w:rsidRDefault="00740F44">
      <w:pPr>
        <w:ind w:left="-5"/>
      </w:pPr>
      <w:r w:rsidRPr="000E2DEF">
        <w:t xml:space="preserve">The </w:t>
      </w:r>
      <w:proofErr w:type="spellStart"/>
      <w:r w:rsidRPr="000E2DEF">
        <w:t>A</w:t>
      </w:r>
      <w:r w:rsidR="00E04CB6" w:rsidRPr="000E2DEF">
        <w:t>o</w:t>
      </w:r>
      <w:r w:rsidRPr="000E2DEF">
        <w:t>LE</w:t>
      </w:r>
      <w:proofErr w:type="spellEnd"/>
      <w:r w:rsidRPr="000E2DEF">
        <w:t xml:space="preserve"> for science and technology, however, makes its argument for it being a responsibility. Regardless of skills and ability to have health work lives, there is much to be said about the </w:t>
      </w:r>
      <w:r w:rsidR="00E04CB6" w:rsidRPr="000E2DEF">
        <w:t>opportunities to learn about ethical responsibilities</w:t>
      </w:r>
      <w:r w:rsidRPr="000E2DEF">
        <w:t xml:space="preserve">. For this </w:t>
      </w:r>
      <w:r w:rsidR="00E04CB6" w:rsidRPr="000E2DEF">
        <w:t>reason,</w:t>
      </w:r>
      <w:r w:rsidRPr="000E2DEF">
        <w:t xml:space="preserve"> the what matters statements refer to the environmental responsibilities we as humans have</w:t>
      </w:r>
      <w:r w:rsidR="00E04CB6" w:rsidRPr="000E2DEF">
        <w:t xml:space="preserve"> to each other and the planet. I</w:t>
      </w:r>
      <w:r w:rsidRPr="000E2DEF">
        <w:t>ndeed</w:t>
      </w:r>
      <w:r w:rsidR="00E04CB6" w:rsidRPr="000E2DEF">
        <w:t>,</w:t>
      </w:r>
      <w:r w:rsidRPr="000E2DEF">
        <w:t xml:space="preserve"> these responsibilities</w:t>
      </w:r>
      <w:r w:rsidR="00E04CB6" w:rsidRPr="000E2DEF">
        <w:t xml:space="preserve"> further connect</w:t>
      </w:r>
      <w:r w:rsidRPr="000E2DEF">
        <w:t xml:space="preserve"> directly </w:t>
      </w:r>
      <w:r w:rsidR="00E04CB6" w:rsidRPr="000E2DEF">
        <w:t>to</w:t>
      </w:r>
      <w:r w:rsidRPr="000E2DEF">
        <w:t xml:space="preserve"> two of the four purposes of the new curriculum. Those purposes of being ethically informed citizens, who are ready to be citizens of Wales and the world. This included looking after the world we live in. The second purpose is creating healthy confident individuals who are ready to lead fulfilling lived as valued members of society. Thereby understanding that their actions have consequences that affect others. Another aspect of the </w:t>
      </w:r>
      <w:proofErr w:type="spellStart"/>
      <w:r w:rsidRPr="000E2DEF">
        <w:t>A</w:t>
      </w:r>
      <w:r w:rsidR="00E04CB6" w:rsidRPr="000E2DEF">
        <w:t>o</w:t>
      </w:r>
      <w:r w:rsidRPr="000E2DEF">
        <w:t>LE</w:t>
      </w:r>
      <w:proofErr w:type="spellEnd"/>
      <w:r w:rsidRPr="000E2DEF">
        <w:t xml:space="preserve"> is the use of computational knowledge and technology to solve problems creatively.</w:t>
      </w:r>
      <w:r w:rsidR="00E04CB6" w:rsidRPr="000E2DEF">
        <w:t xml:space="preserve"> Thus, indicating </w:t>
      </w:r>
      <w:proofErr w:type="gramStart"/>
      <w:r w:rsidR="00E04CB6" w:rsidRPr="000E2DEF">
        <w:t>it’s</w:t>
      </w:r>
      <w:proofErr w:type="gramEnd"/>
      <w:r w:rsidR="00E04CB6" w:rsidRPr="000E2DEF">
        <w:t xml:space="preserve"> importance as a responsibility despite the numerous skills associated with the science and technology </w:t>
      </w:r>
      <w:proofErr w:type="spellStart"/>
      <w:r w:rsidR="00E04CB6" w:rsidRPr="000E2DEF">
        <w:t>AoLE</w:t>
      </w:r>
      <w:proofErr w:type="spellEnd"/>
      <w:r w:rsidRPr="000E2DEF">
        <w:t xml:space="preserve">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Within personal experiences, I have not seen many different forms of cross-curricular learning. All models I have seen have used a thematic approach and all are used continuously throughout the class. The main difference I have seen is whether or not the theme is child lead or decided upon beforehand by the teacher. I have never known a child to make links to the reason why they are completing work across two or more areas of learning. Throughout all of my experiences, I have seen varying amounts of digital competency, mathematics, and literacy. However, through all of my experiences, digital competency is always below the other two responsibilities. I myself am already stuck in my ways I plan in advance with the knowledge of expecting every week for my class to learn a new skill in both Mathematics and Literacy. Intervention is always set aside for pupils will learning difficulties in both Mathematics and Literacy. But never is intervention taking place for pupils wi</w:t>
      </w:r>
      <w:r w:rsidR="007427E3" w:rsidRPr="000E2DEF">
        <w:t>th</w:t>
      </w:r>
      <w:r w:rsidRPr="000E2DEF">
        <w:t xml:space="preserve"> difficulty with their digital competency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When planning I make an effort to allow time for developing digital </w:t>
      </w:r>
      <w:r w:rsidR="007427E3" w:rsidRPr="000E2DEF">
        <w:t>skills</w:t>
      </w:r>
      <w:r w:rsidRPr="000E2DEF">
        <w:t xml:space="preserve">. I have used several new technologies within lessons and would say that I myself am digitally competent. I have not yet experienced a professional other than the ICT coordinator within a school who actively tries to develop specific skills within the DCF. For this reason and in this </w:t>
      </w:r>
      <w:r w:rsidR="00E04CB6" w:rsidRPr="000E2DEF">
        <w:t xml:space="preserve">regard, </w:t>
      </w:r>
      <w:r w:rsidRPr="000E2DEF">
        <w:t>I would not say that currently educators within the primary sector are ready and willing for the new curriculum scheduled to roll out in 2022. Despite this I have seen excellent work in many schools</w:t>
      </w:r>
      <w:r w:rsidR="007427E3" w:rsidRPr="000E2DEF">
        <w:t xml:space="preserve"> such as using computer-based learning to support a new pupil with EAL</w:t>
      </w:r>
      <w:r w:rsidRPr="000E2DEF">
        <w:t xml:space="preserve"> and</w:t>
      </w:r>
      <w:r w:rsidR="007427E3" w:rsidRPr="000E2DEF">
        <w:t xml:space="preserve"> written mathematical problem solving. Furthermore,</w:t>
      </w:r>
      <w:r w:rsidRPr="000E2DEF">
        <w:t xml:space="preserve"> have seen </w:t>
      </w:r>
      <w:r w:rsidR="00E04CB6" w:rsidRPr="000E2DEF">
        <w:t>first-hand</w:t>
      </w:r>
      <w:r w:rsidRPr="000E2DEF">
        <w:t xml:space="preserve"> the benefits cross-curricular learning can provide.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Personal targets for myself, I need to ensure that I provide time and opportunities for child lead work and or projects to take place within my classroom. As pointed out in my research of </w:t>
      </w:r>
      <w:proofErr w:type="spellStart"/>
      <w:r w:rsidRPr="000E2DEF">
        <w:t>crosscurricular</w:t>
      </w:r>
      <w:proofErr w:type="spellEnd"/>
      <w:r w:rsidRPr="000E2DEF">
        <w:t xml:space="preserve"> models by </w:t>
      </w:r>
      <w:r w:rsidR="006104FD" w:rsidRPr="000E2DEF">
        <w:t>(</w:t>
      </w:r>
      <w:proofErr w:type="spellStart"/>
      <w:r w:rsidRPr="000E2DEF">
        <w:t>Alfi</w:t>
      </w:r>
      <w:proofErr w:type="spellEnd"/>
      <w:r w:rsidRPr="000E2DEF">
        <w:t xml:space="preserve">, </w:t>
      </w:r>
      <w:proofErr w:type="spellStart"/>
      <w:r w:rsidRPr="000E2DEF">
        <w:t>Assor</w:t>
      </w:r>
      <w:proofErr w:type="spellEnd"/>
      <w:r w:rsidRPr="000E2DEF">
        <w:t xml:space="preserve"> &amp; Katz 2007) who</w:t>
      </w:r>
      <w:r w:rsidR="007427E3" w:rsidRPr="000E2DEF">
        <w:t>se</w:t>
      </w:r>
      <w:r w:rsidRPr="000E2DEF">
        <w:t xml:space="preserve"> research has begun to show me the benefits of temporary failure, of which I do also believe is an opinion shared by Prof Graham Donaldson</w:t>
      </w:r>
      <w:r w:rsidR="00817404" w:rsidRPr="000E2DEF">
        <w:t>. I am led to believe this as temporary failure can be linked directly to problem solving and indeed creativity two skills Donaldson is keen to promote through the new curriculum</w:t>
      </w:r>
      <w:r w:rsidRPr="000E2DEF">
        <w:t xml:space="preserve">. Donaldson also would like his learners to be ambitious and confident. Secondly, I must ensure that digital competence is valued as much as literacy and numeracy. Ensuring that both proper time and intervention is provided for learners who need it. Finally, I must make an improved effort to both learn and use welsh within </w:t>
      </w:r>
      <w:r w:rsidR="00C269B6" w:rsidRPr="000E2DEF">
        <w:t>my</w:t>
      </w:r>
      <w:r w:rsidRPr="000E2DEF">
        <w:t xml:space="preserve"> classroom</w:t>
      </w:r>
      <w:r w:rsidR="00C269B6" w:rsidRPr="000E2DEF">
        <w:t>, W</w:t>
      </w:r>
      <w:r w:rsidRPr="000E2DEF">
        <w:t>elsh</w:t>
      </w:r>
      <w:r w:rsidR="00C269B6" w:rsidRPr="000E2DEF">
        <w:t xml:space="preserve"> language</w:t>
      </w:r>
      <w:r w:rsidRPr="000E2DEF">
        <w:t xml:space="preserve"> and culture surround's</w:t>
      </w:r>
      <w:r w:rsidR="00C269B6" w:rsidRPr="000E2DEF">
        <w:t xml:space="preserve"> those within my class</w:t>
      </w:r>
      <w:r w:rsidRPr="000E2DEF">
        <w:t xml:space="preserve"> every day.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lastRenderedPageBreak/>
        <w:t>Recommendations for those involved in education in wales. Firstly</w:t>
      </w:r>
      <w:r w:rsidR="00C269B6" w:rsidRPr="000E2DEF">
        <w:t>,</w:t>
      </w:r>
      <w:r w:rsidRPr="000E2DEF">
        <w:t xml:space="preserve"> be prepared to change changes within our education system may have started but revisions are already underway and to be expected early in 2020. </w:t>
      </w:r>
    </w:p>
    <w:p w:rsidR="00596A26" w:rsidRPr="000E2DEF" w:rsidRDefault="00740F44">
      <w:pPr>
        <w:spacing w:after="0" w:line="259" w:lineRule="auto"/>
        <w:ind w:left="0" w:firstLine="0"/>
      </w:pPr>
      <w:r w:rsidRPr="000E2DEF">
        <w:rPr>
          <w:rFonts w:eastAsia="Calibri"/>
        </w:rPr>
        <w:t> </w:t>
      </w:r>
    </w:p>
    <w:p w:rsidR="00596A26" w:rsidRPr="000E2DEF" w:rsidRDefault="00740F44">
      <w:pPr>
        <w:ind w:left="-5"/>
      </w:pPr>
      <w:r w:rsidRPr="000E2DEF">
        <w:t xml:space="preserve">Be prepared to learn, from what I have experienced while on school placements, is that teachers don’t like change. I do believe some teachers are only just coming to terms with the last curriculum changes in 2008. Many of the professional educators I have seen believe that they provide the best for their class. However, with changes in technology and the world we live in, we must admit that numeracy and literacy aren’t good enough. </w:t>
      </w:r>
    </w:p>
    <w:p w:rsidR="00596A26" w:rsidRPr="000E2DEF" w:rsidRDefault="00740F44">
      <w:pPr>
        <w:spacing w:after="271"/>
        <w:ind w:left="-5"/>
      </w:pPr>
      <w:r w:rsidRPr="000E2DEF">
        <w:t xml:space="preserve">Lastly and I would argue the most importantly, become digitally competent. For us to best prepare our pupils in this day and age to live healthy lives they must be ambitious, creative, enterprising, confident individuals who are ethically informed and will/ready to become citizens in a new world that is changing every day. They must be able to adapt to change, solve problems, and use the wide technological resources that surround them.  </w:t>
      </w:r>
    </w:p>
    <w:p w:rsidR="00596A26" w:rsidRPr="000E2DEF" w:rsidRDefault="00740F44">
      <w:pPr>
        <w:ind w:left="-5"/>
      </w:pPr>
      <w:r w:rsidRPr="000E2DEF">
        <w:t>To conclude the responsibilities are clearly set with the best interest of pupils within tomorrow's society. Changes are already being made however more are to come and myself and other educators must be prepared to change. There are multiple positives to come from cross-curricular learning however we must be sure to make cross curricular learning apart of learning not forced but a natural authentic learning experience.</w:t>
      </w:r>
    </w:p>
    <w:p w:rsidR="00596A26" w:rsidRPr="000E2DEF" w:rsidRDefault="00740F44">
      <w:pPr>
        <w:spacing w:after="0" w:line="259" w:lineRule="auto"/>
        <w:ind w:left="0" w:firstLine="0"/>
      </w:pPr>
      <w:r w:rsidRPr="000E2DEF">
        <w:rPr>
          <w:rFonts w:eastAsia="Arial"/>
          <w:color w:val="000000"/>
        </w:rPr>
        <w:t xml:space="preserve">  </w:t>
      </w:r>
      <w:r w:rsidRPr="000E2DEF">
        <w:br w:type="page"/>
      </w:r>
    </w:p>
    <w:p w:rsidR="00596A26" w:rsidRPr="000E2DEF" w:rsidRDefault="00740F44">
      <w:pPr>
        <w:spacing w:after="271" w:line="251" w:lineRule="auto"/>
        <w:ind w:left="-5"/>
      </w:pPr>
      <w:r w:rsidRPr="000E2DEF">
        <w:rPr>
          <w:rFonts w:eastAsia="Arial"/>
          <w:color w:val="000000"/>
        </w:rPr>
        <w:lastRenderedPageBreak/>
        <w:t xml:space="preserve">Reference list </w:t>
      </w:r>
    </w:p>
    <w:p w:rsidR="00596A26" w:rsidRPr="000E2DEF" w:rsidRDefault="00740F44">
      <w:pPr>
        <w:spacing w:after="271" w:line="251" w:lineRule="auto"/>
        <w:ind w:left="-5"/>
        <w:rPr>
          <w:rFonts w:eastAsia="Arial"/>
          <w:color w:val="000000"/>
        </w:rPr>
      </w:pPr>
      <w:proofErr w:type="spellStart"/>
      <w:r w:rsidRPr="000E2DEF">
        <w:rPr>
          <w:rFonts w:eastAsia="Arial"/>
          <w:color w:val="000000"/>
        </w:rPr>
        <w:t>Alfi</w:t>
      </w:r>
      <w:proofErr w:type="spellEnd"/>
      <w:r w:rsidRPr="000E2DEF">
        <w:rPr>
          <w:rFonts w:eastAsia="Arial"/>
          <w:color w:val="000000"/>
        </w:rPr>
        <w:t xml:space="preserve">, </w:t>
      </w:r>
      <w:proofErr w:type="spellStart"/>
      <w:r w:rsidRPr="000E2DEF">
        <w:rPr>
          <w:rFonts w:eastAsia="Arial"/>
          <w:color w:val="000000"/>
        </w:rPr>
        <w:t>Assor</w:t>
      </w:r>
      <w:proofErr w:type="spellEnd"/>
      <w:r w:rsidRPr="000E2DEF">
        <w:rPr>
          <w:rFonts w:eastAsia="Arial"/>
          <w:color w:val="000000"/>
        </w:rPr>
        <w:t xml:space="preserve"> &amp; Katz (2007) ‘Learning to allow temporary failure: potential benefits, supportive practices and teacher concerns’ </w:t>
      </w:r>
      <w:r w:rsidRPr="000E2DEF">
        <w:rPr>
          <w:rFonts w:eastAsia="Arial"/>
          <w:i/>
          <w:color w:val="000000"/>
        </w:rPr>
        <w:t>Jet</w:t>
      </w:r>
      <w:r w:rsidRPr="000E2DEF">
        <w:rPr>
          <w:rFonts w:eastAsia="Arial"/>
          <w:color w:val="000000"/>
        </w:rPr>
        <w:t xml:space="preserve">, </w:t>
      </w:r>
      <w:r w:rsidRPr="000E2DEF">
        <w:rPr>
          <w:rFonts w:eastAsia="Arial"/>
          <w:i/>
          <w:color w:val="000000"/>
        </w:rPr>
        <w:t xml:space="preserve">Taylor &amp; Francis </w:t>
      </w:r>
      <w:r w:rsidRPr="000E2DEF">
        <w:rPr>
          <w:rFonts w:eastAsia="Arial"/>
          <w:color w:val="000000"/>
        </w:rPr>
        <w:t xml:space="preserve">Pages 27-41[Online] Available at: </w:t>
      </w:r>
      <w:hyperlink r:id="rId5">
        <w:r w:rsidRPr="000E2DEF">
          <w:rPr>
            <w:rFonts w:eastAsia="Arial"/>
            <w:color w:val="000000"/>
            <w:u w:val="single" w:color="000000"/>
          </w:rPr>
          <w:t>https://www.tandfonline.com/doi/abs/10.1080/0260747032000162299</w:t>
        </w:r>
      </w:hyperlink>
      <w:r w:rsidRPr="000E2DEF">
        <w:rPr>
          <w:rFonts w:eastAsia="Arial"/>
          <w:color w:val="000000"/>
        </w:rPr>
        <w:t xml:space="preserve"> </w:t>
      </w:r>
    </w:p>
    <w:p w:rsidR="009A5555" w:rsidRPr="000E2DEF" w:rsidRDefault="009A5555">
      <w:pPr>
        <w:spacing w:after="271" w:line="251" w:lineRule="auto"/>
        <w:ind w:left="-5"/>
        <w:rPr>
          <w:color w:val="auto"/>
        </w:rPr>
      </w:pPr>
      <w:proofErr w:type="spellStart"/>
      <w:r w:rsidRPr="000E2DEF">
        <w:rPr>
          <w:color w:val="auto"/>
        </w:rPr>
        <w:t>Bacigalupo</w:t>
      </w:r>
      <w:proofErr w:type="spellEnd"/>
      <w:r w:rsidRPr="000E2DEF">
        <w:rPr>
          <w:color w:val="auto"/>
        </w:rPr>
        <w:t xml:space="preserve">, </w:t>
      </w:r>
      <w:proofErr w:type="spellStart"/>
      <w:r w:rsidRPr="000E2DEF">
        <w:rPr>
          <w:color w:val="auto"/>
        </w:rPr>
        <w:t>Kampylis</w:t>
      </w:r>
      <w:proofErr w:type="spellEnd"/>
      <w:r w:rsidRPr="000E2DEF">
        <w:rPr>
          <w:color w:val="auto"/>
        </w:rPr>
        <w:t xml:space="preserve">, </w:t>
      </w:r>
      <w:proofErr w:type="spellStart"/>
      <w:r w:rsidRPr="000E2DEF">
        <w:rPr>
          <w:color w:val="auto"/>
        </w:rPr>
        <w:t>Punie</w:t>
      </w:r>
      <w:proofErr w:type="spellEnd"/>
      <w:r w:rsidRPr="000E2DEF">
        <w:rPr>
          <w:color w:val="auto"/>
        </w:rPr>
        <w:t xml:space="preserve"> and Van Den Brande, 2016. </w:t>
      </w:r>
      <w:proofErr w:type="spellStart"/>
      <w:r w:rsidRPr="000E2DEF">
        <w:rPr>
          <w:color w:val="auto"/>
        </w:rPr>
        <w:t>EntreComp</w:t>
      </w:r>
      <w:proofErr w:type="spellEnd"/>
      <w:r w:rsidRPr="000E2DEF">
        <w:rPr>
          <w:color w:val="auto"/>
        </w:rPr>
        <w:t>: The Entrepreneurship Competence Framework.</w:t>
      </w:r>
    </w:p>
    <w:p w:rsidR="00596A26" w:rsidRPr="000E2DEF" w:rsidRDefault="00740F44">
      <w:pPr>
        <w:spacing w:after="271" w:line="251" w:lineRule="auto"/>
        <w:ind w:left="-5"/>
      </w:pPr>
      <w:r w:rsidRPr="000E2DEF">
        <w:rPr>
          <w:rFonts w:eastAsia="Arial"/>
          <w:color w:val="000000"/>
        </w:rPr>
        <w:t xml:space="preserve">Barnes (2015) ‘Cross-curricular learning 3-14’ SAGE publications ltd, 1 Oliver’s Yard, 55 City Road London EC1Y 1SP </w:t>
      </w:r>
    </w:p>
    <w:p w:rsidR="00596A26" w:rsidRPr="000E2DEF" w:rsidRDefault="00740F44">
      <w:pPr>
        <w:spacing w:after="58" w:line="259" w:lineRule="auto"/>
        <w:ind w:left="-5"/>
      </w:pPr>
      <w:r w:rsidRPr="000E2DEF">
        <w:rPr>
          <w:rFonts w:eastAsia="Arial"/>
          <w:color w:val="212120"/>
        </w:rPr>
        <w:t xml:space="preserve">Bernardo, Allan &amp; </w:t>
      </w:r>
      <w:proofErr w:type="spellStart"/>
      <w:r w:rsidRPr="000E2DEF">
        <w:rPr>
          <w:rFonts w:eastAsia="Arial"/>
          <w:color w:val="212120"/>
        </w:rPr>
        <w:t>Gaerlan</w:t>
      </w:r>
      <w:proofErr w:type="spellEnd"/>
      <w:r w:rsidRPr="000E2DEF">
        <w:rPr>
          <w:rFonts w:eastAsia="Arial"/>
          <w:color w:val="212120"/>
        </w:rPr>
        <w:t xml:space="preserve">, Marianne Jennifer. (2011). Non-native English students learning in English: Reviewing and reflecting on the research. </w:t>
      </w:r>
      <w:r w:rsidRPr="000E2DEF">
        <w:rPr>
          <w:rFonts w:eastAsia="Arial"/>
          <w:i/>
          <w:color w:val="212120"/>
        </w:rPr>
        <w:t xml:space="preserve">Global perspectives, local initiatives: Reflections and practices </w:t>
      </w:r>
      <w:r w:rsidRPr="000E2DEF">
        <w:rPr>
          <w:rFonts w:eastAsia="Arial"/>
          <w:color w:val="212120"/>
        </w:rPr>
        <w:t xml:space="preserve">pp.1-9 </w:t>
      </w:r>
      <w:r w:rsidRPr="000E2DEF">
        <w:rPr>
          <w:rFonts w:eastAsia="Arial"/>
          <w:i/>
          <w:color w:val="212120"/>
        </w:rPr>
        <w:t xml:space="preserve">ResearchGate </w:t>
      </w:r>
      <w:r w:rsidRPr="000E2DEF">
        <w:rPr>
          <w:rFonts w:eastAsia="Arial"/>
          <w:color w:val="212120"/>
        </w:rPr>
        <w:t xml:space="preserve">[Online] Available at: </w:t>
      </w:r>
      <w:hyperlink r:id="rId6">
        <w:r w:rsidRPr="000E2DEF">
          <w:rPr>
            <w:rFonts w:eastAsia="Arial"/>
            <w:color w:val="212120"/>
            <w:u w:val="single" w:color="212120"/>
          </w:rPr>
          <w:t xml:space="preserve">https:// </w:t>
        </w:r>
      </w:hyperlink>
      <w:hyperlink r:id="rId7">
        <w:r w:rsidRPr="000E2DEF">
          <w:rPr>
            <w:rFonts w:eastAsia="Arial"/>
            <w:color w:val="212120"/>
            <w:u w:val="single" w:color="212120"/>
          </w:rPr>
          <w:t>www.researchgate.net/publication/259189280_Non-</w:t>
        </w:r>
      </w:hyperlink>
    </w:p>
    <w:p w:rsidR="00596A26" w:rsidRPr="000E2DEF" w:rsidRDefault="00FF213F">
      <w:pPr>
        <w:spacing w:after="294" w:line="259" w:lineRule="auto"/>
        <w:ind w:left="-5"/>
      </w:pPr>
      <w:hyperlink r:id="rId8">
        <w:r w:rsidR="00740F44" w:rsidRPr="000E2DEF">
          <w:rPr>
            <w:rFonts w:eastAsia="Arial"/>
            <w:color w:val="212120"/>
            <w:u w:val="single" w:color="212120"/>
          </w:rPr>
          <w:t>native_English_students_learning_in_English_Reviewing_and_reflecting_on_the_research</w:t>
        </w:r>
      </w:hyperlink>
      <w:r w:rsidR="00740F44" w:rsidRPr="000E2DEF">
        <w:rPr>
          <w:rFonts w:eastAsia="Arial"/>
          <w:color w:val="212120"/>
        </w:rPr>
        <w:t xml:space="preserve"> (Accessed: 03/12/19) </w:t>
      </w:r>
    </w:p>
    <w:p w:rsidR="00596A26" w:rsidRPr="000E2DEF" w:rsidRDefault="00740F44">
      <w:pPr>
        <w:spacing w:after="294" w:line="259" w:lineRule="auto"/>
        <w:ind w:left="-5"/>
      </w:pPr>
      <w:r w:rsidRPr="000E2DEF">
        <w:rPr>
          <w:rFonts w:eastAsia="Arial"/>
          <w:color w:val="212120"/>
        </w:rPr>
        <w:t xml:space="preserve">Bernardo, Williams (2011) ‘Non-native English students learning in English: Reviewing and reflecting on the research’ </w:t>
      </w:r>
    </w:p>
    <w:p w:rsidR="00596A26" w:rsidRPr="000E2DEF" w:rsidRDefault="00740F44">
      <w:pPr>
        <w:spacing w:after="0" w:line="260" w:lineRule="auto"/>
        <w:ind w:left="-5"/>
      </w:pPr>
      <w:r w:rsidRPr="000E2DEF">
        <w:rPr>
          <w:rFonts w:eastAsia="Arial"/>
          <w:color w:val="000000"/>
        </w:rPr>
        <w:t>Donaldson (2015)</w:t>
      </w:r>
      <w:r w:rsidRPr="000E2DEF">
        <w:rPr>
          <w:rFonts w:eastAsia="Arial"/>
          <w:i/>
          <w:color w:val="000000"/>
        </w:rPr>
        <w:t xml:space="preserve"> Successful futures Independent Review of Curriculum </w:t>
      </w:r>
    </w:p>
    <w:p w:rsidR="00596A26" w:rsidRPr="000E2DEF" w:rsidRDefault="00740F44">
      <w:pPr>
        <w:spacing w:after="280" w:line="243" w:lineRule="auto"/>
        <w:ind w:left="0" w:firstLine="0"/>
      </w:pPr>
      <w:r w:rsidRPr="000E2DEF">
        <w:rPr>
          <w:rFonts w:eastAsia="Arial"/>
          <w:i/>
          <w:color w:val="000000"/>
        </w:rPr>
        <w:t>and Assessment Arrangements in Wales.</w:t>
      </w:r>
      <w:r w:rsidRPr="000E2DEF">
        <w:rPr>
          <w:rFonts w:eastAsia="Arial"/>
          <w:color w:val="000000"/>
        </w:rPr>
        <w:t xml:space="preserve"> [Online] Available at: </w:t>
      </w:r>
      <w:hyperlink r:id="rId9">
        <w:r w:rsidRPr="000E2DEF">
          <w:rPr>
            <w:rFonts w:eastAsia="Arial"/>
            <w:color w:val="000000"/>
            <w:u w:val="single" w:color="000000"/>
          </w:rPr>
          <w:t xml:space="preserve">https://gov.wales/sites/ </w:t>
        </w:r>
      </w:hyperlink>
      <w:hyperlink r:id="rId10">
        <w:r w:rsidRPr="000E2DEF">
          <w:rPr>
            <w:rFonts w:eastAsia="Arial"/>
            <w:color w:val="000000"/>
            <w:u w:val="single" w:color="000000"/>
          </w:rPr>
          <w:t>default/files/publications/2018-03/successful-futures.pdf</w:t>
        </w:r>
      </w:hyperlink>
      <w:r w:rsidRPr="000E2DEF">
        <w:rPr>
          <w:rFonts w:eastAsia="Arial"/>
          <w:color w:val="000000"/>
        </w:rPr>
        <w:t xml:space="preserve"> (Accessed 16th December 201</w:t>
      </w:r>
      <w:r w:rsidR="00041F2D" w:rsidRPr="000E2DEF">
        <w:rPr>
          <w:rFonts w:eastAsia="Arial"/>
          <w:color w:val="000000"/>
        </w:rPr>
        <w:t>6</w:t>
      </w:r>
      <w:r w:rsidRPr="000E2DEF">
        <w:rPr>
          <w:rFonts w:eastAsia="Arial"/>
          <w:color w:val="000000"/>
        </w:rPr>
        <w:t xml:space="preserve">) </w:t>
      </w:r>
    </w:p>
    <w:p w:rsidR="00596A26" w:rsidRPr="000E2DEF" w:rsidRDefault="00740F44">
      <w:pPr>
        <w:spacing w:after="70" w:line="251" w:lineRule="auto"/>
        <w:ind w:left="-5"/>
      </w:pPr>
      <w:r w:rsidRPr="000E2DEF">
        <w:rPr>
          <w:rFonts w:eastAsia="Arial"/>
          <w:color w:val="000000"/>
        </w:rPr>
        <w:t xml:space="preserve">Education Wales (2019) DRAFT STATUTORY GUIDANCE AREA OF LEARNING AND </w:t>
      </w:r>
    </w:p>
    <w:p w:rsidR="00596A26" w:rsidRPr="000E2DEF" w:rsidRDefault="00740F44">
      <w:pPr>
        <w:spacing w:after="240" w:line="313" w:lineRule="auto"/>
        <w:ind w:left="-5"/>
      </w:pPr>
      <w:r w:rsidRPr="000E2DEF">
        <w:rPr>
          <w:rFonts w:eastAsia="Arial"/>
          <w:color w:val="000000"/>
        </w:rPr>
        <w:t xml:space="preserve">EXPERIENCE Languages, Literacy and communication, Welsh Government [Online] Available at: </w:t>
      </w:r>
      <w:hyperlink r:id="rId11">
        <w:r w:rsidRPr="000E2DEF">
          <w:rPr>
            <w:rFonts w:eastAsia="Arial"/>
            <w:color w:val="212120"/>
            <w:u w:val="single" w:color="212120"/>
          </w:rPr>
          <w:t>https://hwb.gov.wales/draft-curriculum-for-wales-2022/languages-literacy</w:t>
        </w:r>
      </w:hyperlink>
      <w:hyperlink r:id="rId12">
        <w:r w:rsidRPr="000E2DEF">
          <w:rPr>
            <w:rFonts w:eastAsia="Arial"/>
            <w:color w:val="212120"/>
            <w:u w:val="single" w:color="212120"/>
          </w:rPr>
          <w:t>and-communication/</w:t>
        </w:r>
      </w:hyperlink>
      <w:r w:rsidRPr="000E2DEF">
        <w:rPr>
          <w:rFonts w:eastAsia="Arial"/>
          <w:color w:val="000000"/>
        </w:rPr>
        <w:t xml:space="preserve"> (Accessed: 12/12/19) </w:t>
      </w:r>
    </w:p>
    <w:p w:rsidR="00596A26" w:rsidRPr="000E2DEF" w:rsidRDefault="00740F44">
      <w:pPr>
        <w:spacing w:after="58" w:line="259" w:lineRule="auto"/>
        <w:ind w:left="-5"/>
      </w:pPr>
      <w:r w:rsidRPr="000E2DEF">
        <w:rPr>
          <w:rFonts w:eastAsia="Arial"/>
          <w:color w:val="000000"/>
        </w:rPr>
        <w:t xml:space="preserve">Education Wales (2019) </w:t>
      </w:r>
      <w:r w:rsidRPr="000E2DEF">
        <w:rPr>
          <w:rFonts w:eastAsia="Arial"/>
          <w:color w:val="212120"/>
        </w:rPr>
        <w:t xml:space="preserve">DRAFT STATUTORY GUIDANCE AREA OF LEARNING AND </w:t>
      </w:r>
    </w:p>
    <w:p w:rsidR="00596A26" w:rsidRPr="000E2DEF" w:rsidRDefault="00740F44">
      <w:pPr>
        <w:spacing w:after="0" w:line="313" w:lineRule="auto"/>
        <w:ind w:left="-5"/>
      </w:pPr>
      <w:r w:rsidRPr="000E2DEF">
        <w:rPr>
          <w:rFonts w:eastAsia="Arial"/>
          <w:color w:val="212120"/>
        </w:rPr>
        <w:t>EXPERIENCE</w:t>
      </w:r>
      <w:r w:rsidRPr="000E2DEF">
        <w:rPr>
          <w:rFonts w:eastAsia="Arial"/>
          <w:color w:val="000000"/>
        </w:rPr>
        <w:t xml:space="preserve"> Science and Technology, Welsh Government [Online] Available at: </w:t>
      </w:r>
      <w:hyperlink r:id="rId13">
        <w:r w:rsidRPr="000E2DEF">
          <w:rPr>
            <w:rFonts w:eastAsia="Arial"/>
            <w:color w:val="212120"/>
            <w:u w:val="single" w:color="212120"/>
          </w:rPr>
          <w:t xml:space="preserve">https:// </w:t>
        </w:r>
      </w:hyperlink>
      <w:hyperlink r:id="rId14">
        <w:r w:rsidRPr="000E2DEF">
          <w:rPr>
            <w:rFonts w:eastAsia="Arial"/>
            <w:color w:val="212120"/>
            <w:u w:val="single" w:color="212120"/>
          </w:rPr>
          <w:t>hwb.gov.wales/draft-curriculum-for-wales-2022/science-and-technology/</w:t>
        </w:r>
      </w:hyperlink>
      <w:r w:rsidRPr="000E2DEF">
        <w:rPr>
          <w:rFonts w:eastAsia="Arial"/>
          <w:color w:val="000000"/>
        </w:rPr>
        <w:t xml:space="preserve"> (Accessed: </w:t>
      </w:r>
    </w:p>
    <w:p w:rsidR="00596A26" w:rsidRPr="000E2DEF" w:rsidRDefault="00740F44">
      <w:pPr>
        <w:spacing w:after="310" w:line="251" w:lineRule="auto"/>
        <w:ind w:left="-5"/>
      </w:pPr>
      <w:r w:rsidRPr="000E2DEF">
        <w:rPr>
          <w:rFonts w:eastAsia="Arial"/>
          <w:color w:val="000000"/>
        </w:rPr>
        <w:t>12/12/19)</w:t>
      </w:r>
      <w:r w:rsidRPr="000E2DEF">
        <w:rPr>
          <w:rFonts w:eastAsia="Arial"/>
          <w:color w:val="212120"/>
        </w:rPr>
        <w:t xml:space="preserve"> </w:t>
      </w:r>
    </w:p>
    <w:p w:rsidR="00596A26" w:rsidRPr="000E2DEF" w:rsidRDefault="00740F44">
      <w:pPr>
        <w:spacing w:after="241" w:line="313" w:lineRule="auto"/>
        <w:ind w:left="-5"/>
      </w:pPr>
      <w:r w:rsidRPr="000E2DEF">
        <w:rPr>
          <w:rFonts w:eastAsia="Arial"/>
          <w:color w:val="000000"/>
        </w:rPr>
        <w:t xml:space="preserve">Education Wales (2019) </w:t>
      </w:r>
      <w:r w:rsidRPr="000E2DEF">
        <w:rPr>
          <w:rFonts w:eastAsia="Arial"/>
          <w:color w:val="212120"/>
        </w:rPr>
        <w:t>DRAFT STATUTORY GUIDANCE AREA OF LEARNING AND EXPERIENCE Mathematics and Numeracy</w:t>
      </w:r>
      <w:r w:rsidRPr="000E2DEF">
        <w:rPr>
          <w:rFonts w:eastAsia="Arial"/>
          <w:color w:val="000000"/>
        </w:rPr>
        <w:t xml:space="preserve">, Welsh Government [Online] Available at: </w:t>
      </w:r>
      <w:hyperlink r:id="rId15">
        <w:r w:rsidRPr="000E2DEF">
          <w:rPr>
            <w:rFonts w:eastAsia="Arial"/>
            <w:color w:val="212120"/>
            <w:u w:val="single" w:color="212120"/>
          </w:rPr>
          <w:t>https://hwb.gov.wales/draft-curriculum-for-wales-2022/mathematics-and-numeracy/</w:t>
        </w:r>
      </w:hyperlink>
      <w:r w:rsidRPr="000E2DEF">
        <w:rPr>
          <w:rFonts w:eastAsia="Arial"/>
          <w:color w:val="000000"/>
        </w:rPr>
        <w:t xml:space="preserve"> (Accessed: 13/12/19)</w:t>
      </w:r>
      <w:r w:rsidRPr="000E2DEF">
        <w:rPr>
          <w:rFonts w:eastAsia="Arial"/>
          <w:color w:val="212120"/>
        </w:rPr>
        <w:t xml:space="preserve"> </w:t>
      </w:r>
    </w:p>
    <w:p w:rsidR="00596A26" w:rsidRPr="000E2DEF" w:rsidRDefault="00740F44">
      <w:pPr>
        <w:spacing w:after="601" w:line="244" w:lineRule="auto"/>
        <w:ind w:left="-5"/>
      </w:pPr>
      <w:r w:rsidRPr="000E2DEF">
        <w:rPr>
          <w:rFonts w:eastAsia="Arial"/>
          <w:color w:val="333333"/>
        </w:rPr>
        <w:t xml:space="preserve">Engstrom and </w:t>
      </w:r>
      <w:proofErr w:type="spellStart"/>
      <w:r w:rsidRPr="000E2DEF">
        <w:rPr>
          <w:rFonts w:eastAsia="Arial"/>
          <w:color w:val="333333"/>
        </w:rPr>
        <w:t>jewett</w:t>
      </w:r>
      <w:proofErr w:type="spellEnd"/>
      <w:r w:rsidRPr="000E2DEF">
        <w:rPr>
          <w:rFonts w:eastAsia="Arial"/>
          <w:color w:val="333333"/>
        </w:rPr>
        <w:t xml:space="preserve"> (2005) ‘Collaborative Learning the Wiki Way’ </w:t>
      </w:r>
      <w:proofErr w:type="spellStart"/>
      <w:r w:rsidRPr="000E2DEF">
        <w:rPr>
          <w:rFonts w:eastAsia="Arial"/>
          <w:i/>
          <w:color w:val="333333"/>
        </w:rPr>
        <w:t>TechTrends</w:t>
      </w:r>
      <w:proofErr w:type="spellEnd"/>
      <w:r w:rsidRPr="000E2DEF">
        <w:rPr>
          <w:rFonts w:eastAsia="Arial"/>
          <w:i/>
          <w:color w:val="333333"/>
        </w:rPr>
        <w:t xml:space="preserve">, </w:t>
      </w:r>
      <w:r w:rsidRPr="000E2DEF">
        <w:rPr>
          <w:rFonts w:eastAsia="Arial"/>
          <w:color w:val="333333"/>
        </w:rPr>
        <w:t xml:space="preserve">Vol 49 (6) </w:t>
      </w:r>
      <w:r w:rsidRPr="000E2DEF">
        <w:rPr>
          <w:rFonts w:eastAsia="Arial"/>
          <w:i/>
          <w:color w:val="333333"/>
        </w:rPr>
        <w:t xml:space="preserve">Career and Technical Education </w:t>
      </w:r>
      <w:r w:rsidRPr="000E2DEF">
        <w:rPr>
          <w:rFonts w:eastAsia="Arial"/>
          <w:color w:val="333333"/>
        </w:rPr>
        <w:t xml:space="preserve">[Online] Available at: </w:t>
      </w:r>
      <w:hyperlink r:id="rId16">
        <w:r w:rsidRPr="000E2DEF">
          <w:rPr>
            <w:rFonts w:eastAsia="Arial"/>
            <w:color w:val="333333"/>
            <w:u w:val="single" w:color="333333"/>
          </w:rPr>
          <w:t>http://educ116e</w:t>
        </w:r>
      </w:hyperlink>
      <w:hyperlink r:id="rId17">
        <w:r w:rsidRPr="000E2DEF">
          <w:rPr>
            <w:rFonts w:eastAsia="Arial"/>
            <w:color w:val="333333"/>
            <w:u w:val="single" w:color="333333"/>
          </w:rPr>
          <w:t>ff</w:t>
        </w:r>
      </w:hyperlink>
      <w:hyperlink r:id="rId18">
        <w:r w:rsidRPr="000E2DEF">
          <w:rPr>
            <w:rFonts w:eastAsia="Arial"/>
            <w:color w:val="333333"/>
            <w:u w:val="single" w:color="333333"/>
          </w:rPr>
          <w:t xml:space="preserve">11.pbworks.com/ </w:t>
        </w:r>
      </w:hyperlink>
      <w:hyperlink r:id="rId19">
        <w:r w:rsidRPr="000E2DEF">
          <w:rPr>
            <w:rFonts w:eastAsia="Arial"/>
            <w:color w:val="333333"/>
            <w:u w:val="single" w:color="333333"/>
          </w:rPr>
          <w:t>w/file/fetch/44828198/engstromwiki.pdf</w:t>
        </w:r>
      </w:hyperlink>
      <w:r w:rsidRPr="000E2DEF">
        <w:rPr>
          <w:rFonts w:eastAsia="Arial"/>
          <w:color w:val="333333"/>
        </w:rPr>
        <w:t xml:space="preserve"> (Accessed: 16//12/2019  </w:t>
      </w:r>
      <w:r w:rsidRPr="000E2DEF">
        <w:rPr>
          <w:rFonts w:eastAsia="Arial"/>
          <w:color w:val="000000"/>
        </w:rPr>
        <w:t xml:space="preserve"> </w:t>
      </w:r>
    </w:p>
    <w:p w:rsidR="00596A26" w:rsidRPr="000E2DEF" w:rsidRDefault="00740F44">
      <w:pPr>
        <w:spacing w:after="70" w:line="251" w:lineRule="auto"/>
        <w:ind w:left="-5"/>
      </w:pPr>
      <w:r w:rsidRPr="000E2DEF">
        <w:rPr>
          <w:rFonts w:eastAsia="Arial"/>
          <w:color w:val="000000"/>
        </w:rPr>
        <w:lastRenderedPageBreak/>
        <w:t xml:space="preserve">Galton, Williamson (1992) ‘Group Work in the Primary Classroom.’ </w:t>
      </w:r>
      <w:r w:rsidRPr="000E2DEF">
        <w:rPr>
          <w:rFonts w:eastAsia="Arial"/>
          <w:i/>
          <w:color w:val="000000"/>
        </w:rPr>
        <w:t xml:space="preserve">Taylor &amp; Francis </w:t>
      </w:r>
    </w:p>
    <w:p w:rsidR="00596A26" w:rsidRPr="000E2DEF" w:rsidRDefault="00740F44">
      <w:pPr>
        <w:spacing w:after="294" w:line="259" w:lineRule="auto"/>
        <w:ind w:left="-5"/>
      </w:pPr>
      <w:r w:rsidRPr="000E2DEF">
        <w:rPr>
          <w:rFonts w:eastAsia="Arial"/>
          <w:color w:val="000000"/>
        </w:rPr>
        <w:t xml:space="preserve">[Online] Available at: </w:t>
      </w:r>
      <w:hyperlink r:id="rId20">
        <w:r w:rsidRPr="000E2DEF">
          <w:rPr>
            <w:rFonts w:eastAsia="Arial"/>
            <w:color w:val="212120"/>
            <w:u w:val="single" w:color="212120"/>
          </w:rPr>
          <w:t>https://www.eBOOKstore.tandf.co.uk</w:t>
        </w:r>
      </w:hyperlink>
      <w:r w:rsidRPr="000E2DEF">
        <w:rPr>
          <w:rFonts w:eastAsia="Arial"/>
          <w:color w:val="000000"/>
        </w:rPr>
        <w:t xml:space="preserve">  </w:t>
      </w:r>
    </w:p>
    <w:p w:rsidR="00596A26" w:rsidRPr="000E2DEF" w:rsidRDefault="00740F44">
      <w:pPr>
        <w:spacing w:after="311" w:line="251" w:lineRule="auto"/>
        <w:ind w:left="-5"/>
      </w:pPr>
      <w:r w:rsidRPr="000E2DEF">
        <w:rPr>
          <w:rFonts w:eastAsia="Arial"/>
          <w:color w:val="000000"/>
        </w:rPr>
        <w:t xml:space="preserve">Gardner, H. (2006) </w:t>
      </w:r>
      <w:r w:rsidRPr="000E2DEF">
        <w:rPr>
          <w:rFonts w:eastAsia="Arial"/>
          <w:i/>
          <w:color w:val="000000"/>
        </w:rPr>
        <w:t>Five Minds for the Future</w:t>
      </w:r>
      <w:r w:rsidRPr="000E2DEF">
        <w:rPr>
          <w:rFonts w:eastAsia="Arial"/>
          <w:color w:val="000000"/>
        </w:rPr>
        <w:t>, Boston: Harvard Business Press.</w:t>
      </w:r>
      <w:r w:rsidRPr="000E2DEF">
        <w:rPr>
          <w:rFonts w:eastAsia="Arial"/>
          <w:color w:val="212120"/>
        </w:rPr>
        <w:t xml:space="preserve"> </w:t>
      </w:r>
    </w:p>
    <w:p w:rsidR="00596A26" w:rsidRPr="000E2DEF" w:rsidRDefault="00740F44">
      <w:pPr>
        <w:spacing w:after="310" w:line="251" w:lineRule="auto"/>
        <w:ind w:left="-5"/>
      </w:pPr>
      <w:r w:rsidRPr="000E2DEF">
        <w:rPr>
          <w:rFonts w:eastAsia="Arial"/>
          <w:color w:val="000000"/>
        </w:rPr>
        <w:t xml:space="preserve">Hirsch, E. (2006) </w:t>
      </w:r>
      <w:r w:rsidRPr="000E2DEF">
        <w:rPr>
          <w:rFonts w:eastAsia="Arial"/>
          <w:i/>
          <w:color w:val="000000"/>
        </w:rPr>
        <w:t>The Knowledge Deficit</w:t>
      </w:r>
      <w:r w:rsidRPr="000E2DEF">
        <w:rPr>
          <w:rFonts w:eastAsia="Arial"/>
          <w:color w:val="000000"/>
        </w:rPr>
        <w:t xml:space="preserve">. New York: Houghton Mifflin </w:t>
      </w:r>
    </w:p>
    <w:p w:rsidR="00596A26" w:rsidRPr="000E2DEF" w:rsidRDefault="00740F44">
      <w:pPr>
        <w:spacing w:after="58" w:line="259" w:lineRule="auto"/>
        <w:ind w:left="-5"/>
      </w:pPr>
      <w:r w:rsidRPr="000E2DEF">
        <w:rPr>
          <w:rFonts w:eastAsia="Arial"/>
          <w:color w:val="212120"/>
        </w:rPr>
        <w:t xml:space="preserve">Hutcheon (1989) ‘Literary Borrowing … and Stealing: Plagiarism, Sources, Influences, and </w:t>
      </w:r>
    </w:p>
    <w:p w:rsidR="00596A26" w:rsidRPr="000E2DEF" w:rsidRDefault="00740F44">
      <w:pPr>
        <w:spacing w:after="241" w:line="313" w:lineRule="auto"/>
        <w:ind w:left="0" w:firstLine="0"/>
      </w:pPr>
      <w:r w:rsidRPr="000E2DEF">
        <w:rPr>
          <w:rFonts w:eastAsia="Arial"/>
          <w:color w:val="212120"/>
        </w:rPr>
        <w:t xml:space="preserve">Intertexts’ </w:t>
      </w:r>
      <w:r w:rsidRPr="000E2DEF">
        <w:rPr>
          <w:rFonts w:eastAsia="Arial"/>
          <w:i/>
          <w:color w:val="212120"/>
        </w:rPr>
        <w:t xml:space="preserve">ESC: English Studies in Canada </w:t>
      </w:r>
      <w:r w:rsidRPr="000E2DEF">
        <w:rPr>
          <w:rFonts w:eastAsia="Arial"/>
          <w:color w:val="212120"/>
        </w:rPr>
        <w:t xml:space="preserve">Vol 12, issue 2 pp. 229-239 </w:t>
      </w:r>
      <w:r w:rsidRPr="000E2DEF">
        <w:rPr>
          <w:rFonts w:eastAsia="Arial"/>
          <w:i/>
          <w:color w:val="212120"/>
        </w:rPr>
        <w:t>Association of Canadian College and University Teachers of English</w:t>
      </w:r>
      <w:r w:rsidRPr="000E2DEF">
        <w:rPr>
          <w:rFonts w:eastAsia="Arial"/>
          <w:color w:val="212120"/>
        </w:rPr>
        <w:t xml:space="preserve">  [Online] Available at: </w:t>
      </w:r>
      <w:hyperlink r:id="rId21">
        <w:r w:rsidRPr="000E2DEF">
          <w:rPr>
            <w:rFonts w:eastAsia="Arial"/>
            <w:color w:val="212120"/>
            <w:u w:val="single" w:color="212120"/>
          </w:rPr>
          <w:t xml:space="preserve">https:// </w:t>
        </w:r>
      </w:hyperlink>
      <w:hyperlink r:id="rId22">
        <w:r w:rsidRPr="000E2DEF">
          <w:rPr>
            <w:rFonts w:eastAsia="Arial"/>
            <w:color w:val="212120"/>
            <w:u w:val="single" w:color="212120"/>
          </w:rPr>
          <w:t>muse.jhu.edu/article/695160/summary</w:t>
        </w:r>
      </w:hyperlink>
      <w:r w:rsidRPr="000E2DEF">
        <w:rPr>
          <w:rFonts w:eastAsia="Arial"/>
          <w:color w:val="212120"/>
        </w:rPr>
        <w:t xml:space="preserve"> (Accessed 18/12/19) </w:t>
      </w:r>
    </w:p>
    <w:p w:rsidR="00596A26" w:rsidRPr="000E2DEF" w:rsidRDefault="00740F44">
      <w:pPr>
        <w:spacing w:after="58" w:line="259" w:lineRule="auto"/>
        <w:ind w:left="-5"/>
      </w:pPr>
      <w:r w:rsidRPr="000E2DEF">
        <w:rPr>
          <w:rFonts w:eastAsia="Arial"/>
          <w:color w:val="212120"/>
        </w:rPr>
        <w:t xml:space="preserve">Kolb (1976) ‘Management and the learning process’ </w:t>
      </w:r>
      <w:r w:rsidRPr="000E2DEF">
        <w:rPr>
          <w:rFonts w:eastAsia="Arial"/>
          <w:i/>
          <w:color w:val="212120"/>
        </w:rPr>
        <w:t xml:space="preserve">Sage Journals </w:t>
      </w:r>
      <w:r w:rsidRPr="000E2DEF">
        <w:rPr>
          <w:rFonts w:eastAsia="Arial"/>
          <w:color w:val="212120"/>
        </w:rPr>
        <w:t>Vol 18 issue 3 pp.</w:t>
      </w:r>
    </w:p>
    <w:p w:rsidR="00596A26" w:rsidRPr="000E2DEF" w:rsidRDefault="00740F44">
      <w:pPr>
        <w:spacing w:after="294" w:line="259" w:lineRule="auto"/>
        <w:ind w:left="-5"/>
      </w:pPr>
      <w:r w:rsidRPr="000E2DEF">
        <w:rPr>
          <w:rFonts w:eastAsia="Arial"/>
          <w:color w:val="212120"/>
        </w:rPr>
        <w:t xml:space="preserve">21-23 </w:t>
      </w:r>
      <w:r w:rsidRPr="000E2DEF">
        <w:rPr>
          <w:rFonts w:eastAsia="Arial"/>
          <w:i/>
          <w:color w:val="212120"/>
        </w:rPr>
        <w:t xml:space="preserve">Sage Journals </w:t>
      </w:r>
      <w:r w:rsidRPr="000E2DEF">
        <w:rPr>
          <w:rFonts w:eastAsia="Arial"/>
          <w:color w:val="212120"/>
        </w:rPr>
        <w:t xml:space="preserve">[Online] Available at: </w:t>
      </w:r>
      <w:hyperlink r:id="rId23">
        <w:r w:rsidRPr="000E2DEF">
          <w:rPr>
            <w:rFonts w:eastAsia="Arial"/>
            <w:color w:val="212120"/>
            <w:u w:val="single" w:color="212120"/>
          </w:rPr>
          <w:t>https://doi.org/10.2307%2F41164649</w:t>
        </w:r>
      </w:hyperlink>
      <w:r w:rsidRPr="000E2DEF">
        <w:rPr>
          <w:rFonts w:eastAsia="Arial"/>
          <w:color w:val="212120"/>
        </w:rPr>
        <w:t xml:space="preserve"> (Accessed: 18/12/19) </w:t>
      </w:r>
    </w:p>
    <w:p w:rsidR="00596A26" w:rsidRPr="000E2DEF" w:rsidRDefault="00740F44">
      <w:pPr>
        <w:spacing w:after="280" w:line="244" w:lineRule="auto"/>
        <w:ind w:left="-5"/>
        <w:rPr>
          <w:rFonts w:eastAsia="Arial"/>
          <w:color w:val="333333"/>
        </w:rPr>
      </w:pPr>
      <w:proofErr w:type="spellStart"/>
      <w:r w:rsidRPr="000E2DEF">
        <w:rPr>
          <w:rFonts w:eastAsia="Arial"/>
          <w:color w:val="333333"/>
        </w:rPr>
        <w:t>Konstons</w:t>
      </w:r>
      <w:proofErr w:type="spellEnd"/>
      <w:r w:rsidRPr="000E2DEF">
        <w:rPr>
          <w:rFonts w:eastAsia="Arial"/>
          <w:color w:val="333333"/>
        </w:rPr>
        <w:t xml:space="preserve"> and Van Der </w:t>
      </w:r>
      <w:proofErr w:type="spellStart"/>
      <w:r w:rsidRPr="000E2DEF">
        <w:rPr>
          <w:rFonts w:eastAsia="Arial"/>
          <w:color w:val="333333"/>
        </w:rPr>
        <w:t>Werf</w:t>
      </w:r>
      <w:proofErr w:type="spellEnd"/>
      <w:r w:rsidRPr="000E2DEF">
        <w:rPr>
          <w:rFonts w:eastAsia="Arial"/>
          <w:color w:val="333333"/>
        </w:rPr>
        <w:t xml:space="preserve"> (2015) ‘The effects of activating prior topic and metacognitive knowledge on text comprehension scores’ </w:t>
      </w:r>
      <w:r w:rsidRPr="000E2DEF">
        <w:rPr>
          <w:rFonts w:eastAsia="Arial"/>
          <w:i/>
          <w:color w:val="333333"/>
        </w:rPr>
        <w:t xml:space="preserve">Wiley Connections </w:t>
      </w:r>
      <w:r w:rsidRPr="000E2DEF">
        <w:rPr>
          <w:rFonts w:eastAsia="Arial"/>
          <w:color w:val="333333"/>
        </w:rPr>
        <w:t xml:space="preserve">[Online] Available at: </w:t>
      </w:r>
      <w:hyperlink r:id="rId24">
        <w:r w:rsidRPr="000E2DEF">
          <w:rPr>
            <w:rFonts w:eastAsia="Arial"/>
            <w:color w:val="333333"/>
            <w:u w:val="single" w:color="333333"/>
          </w:rPr>
          <w:t>https://onlinelibrary.wiley.com/doi/full/10.1111/bjep.12069</w:t>
        </w:r>
      </w:hyperlink>
      <w:r w:rsidRPr="000E2DEF">
        <w:rPr>
          <w:rFonts w:eastAsia="Arial"/>
          <w:color w:val="333333"/>
        </w:rPr>
        <w:t xml:space="preserve"> </w:t>
      </w:r>
    </w:p>
    <w:p w:rsidR="000E2DEF" w:rsidRPr="000E2DEF" w:rsidRDefault="000E2DEF">
      <w:pPr>
        <w:spacing w:after="280" w:line="244" w:lineRule="auto"/>
        <w:ind w:left="-5"/>
      </w:pPr>
      <w:r w:rsidRPr="000E2DEF">
        <w:rPr>
          <w:rFonts w:eastAsiaTheme="minorEastAsia"/>
          <w:color w:val="000000"/>
        </w:rPr>
        <w:t xml:space="preserve">Lebrun (2007) Quality Towards an Expected Harmony: Pedagogy and Technology Speaking Together About Innovation. </w:t>
      </w:r>
      <w:r w:rsidRPr="000E2DEF">
        <w:rPr>
          <w:rFonts w:eastAsiaTheme="minorEastAsia"/>
          <w:i/>
          <w:iCs/>
          <w:color w:val="000000"/>
        </w:rPr>
        <w:t>AACE Journal, 15</w:t>
      </w:r>
      <w:r w:rsidRPr="000E2DEF">
        <w:rPr>
          <w:rFonts w:eastAsiaTheme="minorEastAsia"/>
          <w:color w:val="000000"/>
        </w:rPr>
        <w:t xml:space="preserve">(2), 115-130. Chesapeake, VA: Association for the Advancement of Computing in Education (AACE). [Online] Available at </w:t>
      </w:r>
      <w:hyperlink r:id="rId25" w:history="1">
        <w:r w:rsidRPr="000E2DEF">
          <w:rPr>
            <w:rFonts w:eastAsiaTheme="minorEastAsia"/>
            <w:color w:val="000000"/>
            <w:u w:val="single" w:color="000000"/>
          </w:rPr>
          <w:t>https://www.learntechlib.org/p/21024/</w:t>
        </w:r>
      </w:hyperlink>
      <w:r w:rsidRPr="000E2DEF">
        <w:rPr>
          <w:rFonts w:eastAsiaTheme="minorEastAsia"/>
          <w:color w:val="000000"/>
        </w:rPr>
        <w:t xml:space="preserve"> (Accessed: 03/03/2020)</w:t>
      </w:r>
    </w:p>
    <w:p w:rsidR="00596A26" w:rsidRPr="000E2DEF" w:rsidRDefault="00740F44">
      <w:pPr>
        <w:spacing w:after="280" w:line="243" w:lineRule="auto"/>
        <w:ind w:left="0" w:firstLine="0"/>
      </w:pPr>
      <w:r w:rsidRPr="000E2DEF">
        <w:rPr>
          <w:rFonts w:eastAsia="Arial"/>
          <w:color w:val="333333"/>
        </w:rPr>
        <w:t xml:space="preserve">McAteer (2012) </w:t>
      </w:r>
      <w:r w:rsidRPr="000E2DEF">
        <w:rPr>
          <w:rFonts w:eastAsia="Arial"/>
          <w:i/>
          <w:color w:val="333333"/>
        </w:rPr>
        <w:t xml:space="preserve">Improving Primary Mathematics Teaching and Learning </w:t>
      </w:r>
      <w:r w:rsidRPr="000E2DEF">
        <w:rPr>
          <w:rFonts w:eastAsia="Arial"/>
          <w:color w:val="333333"/>
        </w:rPr>
        <w:t xml:space="preserve">McGraw-Hill Education </w:t>
      </w:r>
    </w:p>
    <w:p w:rsidR="00596A26" w:rsidRPr="000E2DEF" w:rsidRDefault="00740F44">
      <w:pPr>
        <w:spacing w:after="242" w:line="260" w:lineRule="auto"/>
        <w:ind w:left="-5"/>
      </w:pPr>
      <w:r w:rsidRPr="000E2DEF">
        <w:rPr>
          <w:rFonts w:eastAsia="Arial"/>
          <w:color w:val="000000"/>
        </w:rPr>
        <w:t xml:space="preserve">Palmer (2017) </w:t>
      </w:r>
      <w:r w:rsidRPr="000E2DEF">
        <w:rPr>
          <w:rFonts w:eastAsia="Arial"/>
          <w:i/>
          <w:color w:val="000000"/>
        </w:rPr>
        <w:t xml:space="preserve">Toxic Childhood: How </w:t>
      </w:r>
      <w:proofErr w:type="gramStart"/>
      <w:r w:rsidRPr="000E2DEF">
        <w:rPr>
          <w:rFonts w:eastAsia="Arial"/>
          <w:i/>
          <w:color w:val="000000"/>
        </w:rPr>
        <w:t>The</w:t>
      </w:r>
      <w:proofErr w:type="gramEnd"/>
      <w:r w:rsidRPr="000E2DEF">
        <w:rPr>
          <w:rFonts w:eastAsia="Arial"/>
          <w:i/>
          <w:color w:val="000000"/>
        </w:rPr>
        <w:t xml:space="preserve"> Modern World Is Damaging Our Children And What We Can Do About It,</w:t>
      </w:r>
      <w:r w:rsidRPr="000E2DEF">
        <w:rPr>
          <w:rFonts w:eastAsia="Arial"/>
          <w:color w:val="000000"/>
        </w:rPr>
        <w:t xml:space="preserve"> Hachette UK </w:t>
      </w:r>
    </w:p>
    <w:p w:rsidR="00596A26" w:rsidRPr="000E2DEF" w:rsidRDefault="00FF213F">
      <w:pPr>
        <w:spacing w:after="280" w:line="244" w:lineRule="auto"/>
        <w:ind w:left="0" w:firstLine="0"/>
      </w:pPr>
      <w:hyperlink r:id="rId26">
        <w:r w:rsidR="00740F44" w:rsidRPr="000E2DEF">
          <w:rPr>
            <w:rFonts w:eastAsia="Arial"/>
            <w:color w:val="000000"/>
          </w:rPr>
          <w:t>Prensky, M.</w:t>
        </w:r>
      </w:hyperlink>
      <w:r w:rsidR="00740F44" w:rsidRPr="000E2DEF">
        <w:rPr>
          <w:rFonts w:eastAsia="Arial"/>
          <w:color w:val="000000"/>
        </w:rPr>
        <w:t xml:space="preserve"> (2001), ‘Digital Natives, Digital Immigrants Part 1’ </w:t>
      </w:r>
      <w:r w:rsidR="00740F44" w:rsidRPr="000E2DEF">
        <w:rPr>
          <w:rFonts w:eastAsia="Arial"/>
          <w:i/>
          <w:color w:val="000000"/>
        </w:rPr>
        <w:t xml:space="preserve">On the Horizon </w:t>
      </w:r>
      <w:r w:rsidR="00740F44" w:rsidRPr="000E2DEF">
        <w:rPr>
          <w:rFonts w:eastAsia="Arial"/>
          <w:color w:val="000000"/>
        </w:rPr>
        <w:t xml:space="preserve">Vol. 9 No. 5, pp. 1-6 </w:t>
      </w:r>
      <w:r w:rsidR="00740F44" w:rsidRPr="000E2DEF">
        <w:rPr>
          <w:rFonts w:eastAsia="Arial"/>
          <w:i/>
          <w:color w:val="000000"/>
        </w:rPr>
        <w:t xml:space="preserve">Emerald insight </w:t>
      </w:r>
      <w:r w:rsidR="00740F44" w:rsidRPr="000E2DEF">
        <w:rPr>
          <w:rFonts w:eastAsia="Arial"/>
          <w:color w:val="000000"/>
        </w:rPr>
        <w:t xml:space="preserve">[Online] Available at </w:t>
      </w:r>
      <w:hyperlink r:id="rId27">
        <w:r w:rsidR="00740F44" w:rsidRPr="000E2DEF">
          <w:rPr>
            <w:rFonts w:eastAsia="Arial"/>
            <w:color w:val="000000"/>
            <w:u w:val="single" w:color="000000"/>
          </w:rPr>
          <w:t>https://doi.org/10.1108/10748120110424816</w:t>
        </w:r>
      </w:hyperlink>
      <w:r w:rsidR="00740F44" w:rsidRPr="000E2DEF">
        <w:rPr>
          <w:rFonts w:eastAsia="Arial"/>
          <w:color w:val="000000"/>
        </w:rPr>
        <w:t xml:space="preserve"> (Accessed: 14/12/19) </w:t>
      </w:r>
    </w:p>
    <w:p w:rsidR="00596A26" w:rsidRPr="000E2DEF" w:rsidRDefault="00740F44">
      <w:pPr>
        <w:spacing w:after="280" w:line="244" w:lineRule="auto"/>
        <w:ind w:left="-5"/>
      </w:pPr>
      <w:r w:rsidRPr="000E2DEF">
        <w:rPr>
          <w:rFonts w:eastAsia="Arial"/>
          <w:color w:val="333333"/>
        </w:rPr>
        <w:t xml:space="preserve">Rittle-Johnson, B., Star, J. R., &amp; Durkin, K. (2009). The importance of prior knowledge when comparing examples: Influences on conceptual and procedural knowledge of equation solving. </w:t>
      </w:r>
      <w:r w:rsidRPr="000E2DEF">
        <w:rPr>
          <w:rFonts w:eastAsia="Arial"/>
          <w:i/>
          <w:color w:val="333333"/>
        </w:rPr>
        <w:t>Journal of Educational Psychology, 101</w:t>
      </w:r>
      <w:r w:rsidRPr="000E2DEF">
        <w:rPr>
          <w:rFonts w:eastAsia="Arial"/>
          <w:color w:val="333333"/>
        </w:rPr>
        <w:t xml:space="preserve">(4), 836–852. </w:t>
      </w:r>
    </w:p>
    <w:p w:rsidR="00596A26" w:rsidRPr="000E2DEF" w:rsidRDefault="00740F44">
      <w:pPr>
        <w:spacing w:after="58" w:line="259" w:lineRule="auto"/>
        <w:ind w:left="-5"/>
      </w:pPr>
      <w:r w:rsidRPr="000E2DEF">
        <w:rPr>
          <w:rFonts w:eastAsia="Arial"/>
          <w:color w:val="212120"/>
        </w:rPr>
        <w:t xml:space="preserve">UNICEF UK (1989) ‘Convention on the Rights of the Child’  </w:t>
      </w:r>
      <w:r w:rsidRPr="000E2DEF">
        <w:rPr>
          <w:rFonts w:eastAsia="Arial"/>
          <w:i/>
          <w:color w:val="212120"/>
        </w:rPr>
        <w:t xml:space="preserve">UNCRC </w:t>
      </w:r>
      <w:r w:rsidRPr="000E2DEF">
        <w:rPr>
          <w:rFonts w:eastAsia="Arial"/>
          <w:color w:val="212120"/>
        </w:rPr>
        <w:t xml:space="preserve">[Online] Available at: </w:t>
      </w:r>
      <w:hyperlink r:id="rId28">
        <w:r w:rsidRPr="000E2DEF">
          <w:rPr>
            <w:rFonts w:eastAsia="Arial"/>
            <w:color w:val="212120"/>
            <w:u w:val="single" w:color="212120"/>
          </w:rPr>
          <w:t>https://www.unicef.org.uk/what-we-do/un-convention-child-rights/</w:t>
        </w:r>
      </w:hyperlink>
      <w:r w:rsidRPr="000E2DEF">
        <w:rPr>
          <w:rFonts w:eastAsia="Arial"/>
          <w:color w:val="212120"/>
        </w:rPr>
        <w:t xml:space="preserve"> (Accessed: </w:t>
      </w:r>
    </w:p>
    <w:p w:rsidR="00596A26" w:rsidRPr="000E2DEF" w:rsidRDefault="00740F44">
      <w:pPr>
        <w:spacing w:after="58" w:line="259" w:lineRule="auto"/>
        <w:ind w:left="-5"/>
      </w:pPr>
      <w:r w:rsidRPr="000E2DEF">
        <w:rPr>
          <w:rFonts w:eastAsia="Arial"/>
          <w:color w:val="212120"/>
        </w:rPr>
        <w:t>17/12/2019</w:t>
      </w:r>
    </w:p>
    <w:sectPr w:rsidR="00596A26" w:rsidRPr="000E2DEF">
      <w:pgSz w:w="11906" w:h="16838"/>
      <w:pgMar w:top="1129" w:right="1132" w:bottom="1420" w:left="11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EB0ADA"/>
    <w:multiLevelType w:val="multilevel"/>
    <w:tmpl w:val="DC02F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A26"/>
    <w:rsid w:val="00041F2D"/>
    <w:rsid w:val="00086285"/>
    <w:rsid w:val="000E2DEF"/>
    <w:rsid w:val="00216C31"/>
    <w:rsid w:val="00275F51"/>
    <w:rsid w:val="003B7EDB"/>
    <w:rsid w:val="004C0E5D"/>
    <w:rsid w:val="00596A26"/>
    <w:rsid w:val="005B14D7"/>
    <w:rsid w:val="006104FD"/>
    <w:rsid w:val="00620395"/>
    <w:rsid w:val="00712E0D"/>
    <w:rsid w:val="00715F25"/>
    <w:rsid w:val="00740F44"/>
    <w:rsid w:val="007427E3"/>
    <w:rsid w:val="007B0DF4"/>
    <w:rsid w:val="00817404"/>
    <w:rsid w:val="008745C1"/>
    <w:rsid w:val="0091156F"/>
    <w:rsid w:val="00962070"/>
    <w:rsid w:val="009A5555"/>
    <w:rsid w:val="00BF66FB"/>
    <w:rsid w:val="00C069D5"/>
    <w:rsid w:val="00C269B6"/>
    <w:rsid w:val="00E04CB6"/>
    <w:rsid w:val="00E4637E"/>
    <w:rsid w:val="00FF2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593C73A5-D039-6341-9EF5-61208DDAD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0" w:lineRule="auto"/>
      <w:ind w:left="10" w:hanging="10"/>
    </w:pPr>
    <w:rPr>
      <w:rFonts w:ascii="Times New Roman" w:eastAsia="Times New Roman" w:hAnsi="Times New Roman" w:cs="Times New Roman"/>
      <w:color w:val="1B1E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2E0D"/>
    <w:pPr>
      <w:spacing w:before="100" w:beforeAutospacing="1" w:after="100" w:afterAutospacing="1" w:line="240" w:lineRule="auto"/>
      <w:ind w:left="0" w:firstLine="0"/>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779558">
      <w:bodyDiv w:val="1"/>
      <w:marLeft w:val="0"/>
      <w:marRight w:val="0"/>
      <w:marTop w:val="0"/>
      <w:marBottom w:val="0"/>
      <w:divBdr>
        <w:top w:val="none" w:sz="0" w:space="0" w:color="auto"/>
        <w:left w:val="none" w:sz="0" w:space="0" w:color="auto"/>
        <w:bottom w:val="none" w:sz="0" w:space="0" w:color="auto"/>
        <w:right w:val="none" w:sz="0" w:space="0" w:color="auto"/>
      </w:divBdr>
      <w:divsChild>
        <w:div w:id="1944415520">
          <w:marLeft w:val="0"/>
          <w:marRight w:val="0"/>
          <w:marTop w:val="0"/>
          <w:marBottom w:val="0"/>
          <w:divBdr>
            <w:top w:val="none" w:sz="0" w:space="0" w:color="auto"/>
            <w:left w:val="none" w:sz="0" w:space="0" w:color="auto"/>
            <w:bottom w:val="none" w:sz="0" w:space="0" w:color="auto"/>
            <w:right w:val="none" w:sz="0" w:space="0" w:color="auto"/>
          </w:divBdr>
          <w:divsChild>
            <w:div w:id="2132936354">
              <w:marLeft w:val="0"/>
              <w:marRight w:val="0"/>
              <w:marTop w:val="0"/>
              <w:marBottom w:val="0"/>
              <w:divBdr>
                <w:top w:val="none" w:sz="0" w:space="0" w:color="auto"/>
                <w:left w:val="none" w:sz="0" w:space="0" w:color="auto"/>
                <w:bottom w:val="none" w:sz="0" w:space="0" w:color="auto"/>
                <w:right w:val="none" w:sz="0" w:space="0" w:color="auto"/>
              </w:divBdr>
              <w:divsChild>
                <w:div w:id="2059234198">
                  <w:marLeft w:val="0"/>
                  <w:marRight w:val="0"/>
                  <w:marTop w:val="0"/>
                  <w:marBottom w:val="0"/>
                  <w:divBdr>
                    <w:top w:val="none" w:sz="0" w:space="0" w:color="auto"/>
                    <w:left w:val="none" w:sz="0" w:space="0" w:color="auto"/>
                    <w:bottom w:val="none" w:sz="0" w:space="0" w:color="auto"/>
                    <w:right w:val="none" w:sz="0" w:space="0" w:color="auto"/>
                  </w:divBdr>
                  <w:divsChild>
                    <w:div w:id="66443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1543269">
      <w:bodyDiv w:val="1"/>
      <w:marLeft w:val="0"/>
      <w:marRight w:val="0"/>
      <w:marTop w:val="0"/>
      <w:marBottom w:val="0"/>
      <w:divBdr>
        <w:top w:val="none" w:sz="0" w:space="0" w:color="auto"/>
        <w:left w:val="none" w:sz="0" w:space="0" w:color="auto"/>
        <w:bottom w:val="none" w:sz="0" w:space="0" w:color="auto"/>
        <w:right w:val="none" w:sz="0" w:space="0" w:color="auto"/>
      </w:divBdr>
      <w:divsChild>
        <w:div w:id="593248347">
          <w:marLeft w:val="0"/>
          <w:marRight w:val="0"/>
          <w:marTop w:val="0"/>
          <w:marBottom w:val="0"/>
          <w:divBdr>
            <w:top w:val="none" w:sz="0" w:space="0" w:color="auto"/>
            <w:left w:val="none" w:sz="0" w:space="0" w:color="auto"/>
            <w:bottom w:val="none" w:sz="0" w:space="0" w:color="auto"/>
            <w:right w:val="none" w:sz="0" w:space="0" w:color="auto"/>
          </w:divBdr>
          <w:divsChild>
            <w:div w:id="672610566">
              <w:marLeft w:val="0"/>
              <w:marRight w:val="0"/>
              <w:marTop w:val="0"/>
              <w:marBottom w:val="0"/>
              <w:divBdr>
                <w:top w:val="none" w:sz="0" w:space="0" w:color="auto"/>
                <w:left w:val="none" w:sz="0" w:space="0" w:color="auto"/>
                <w:bottom w:val="none" w:sz="0" w:space="0" w:color="auto"/>
                <w:right w:val="none" w:sz="0" w:space="0" w:color="auto"/>
              </w:divBdr>
              <w:divsChild>
                <w:div w:id="1970816523">
                  <w:marLeft w:val="0"/>
                  <w:marRight w:val="0"/>
                  <w:marTop w:val="0"/>
                  <w:marBottom w:val="0"/>
                  <w:divBdr>
                    <w:top w:val="none" w:sz="0" w:space="0" w:color="auto"/>
                    <w:left w:val="none" w:sz="0" w:space="0" w:color="auto"/>
                    <w:bottom w:val="none" w:sz="0" w:space="0" w:color="auto"/>
                    <w:right w:val="none" w:sz="0" w:space="0" w:color="auto"/>
                  </w:divBdr>
                  <w:divsChild>
                    <w:div w:id="5336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367439">
      <w:bodyDiv w:val="1"/>
      <w:marLeft w:val="0"/>
      <w:marRight w:val="0"/>
      <w:marTop w:val="0"/>
      <w:marBottom w:val="0"/>
      <w:divBdr>
        <w:top w:val="none" w:sz="0" w:space="0" w:color="auto"/>
        <w:left w:val="none" w:sz="0" w:space="0" w:color="auto"/>
        <w:bottom w:val="none" w:sz="0" w:space="0" w:color="auto"/>
        <w:right w:val="none" w:sz="0" w:space="0" w:color="auto"/>
      </w:divBdr>
      <w:divsChild>
        <w:div w:id="713889281">
          <w:marLeft w:val="0"/>
          <w:marRight w:val="0"/>
          <w:marTop w:val="0"/>
          <w:marBottom w:val="0"/>
          <w:divBdr>
            <w:top w:val="none" w:sz="0" w:space="0" w:color="auto"/>
            <w:left w:val="none" w:sz="0" w:space="0" w:color="auto"/>
            <w:bottom w:val="none" w:sz="0" w:space="0" w:color="auto"/>
            <w:right w:val="none" w:sz="0" w:space="0" w:color="auto"/>
          </w:divBdr>
          <w:divsChild>
            <w:div w:id="1664502844">
              <w:marLeft w:val="0"/>
              <w:marRight w:val="0"/>
              <w:marTop w:val="0"/>
              <w:marBottom w:val="0"/>
              <w:divBdr>
                <w:top w:val="none" w:sz="0" w:space="0" w:color="auto"/>
                <w:left w:val="none" w:sz="0" w:space="0" w:color="auto"/>
                <w:bottom w:val="none" w:sz="0" w:space="0" w:color="auto"/>
                <w:right w:val="none" w:sz="0" w:space="0" w:color="auto"/>
              </w:divBdr>
              <w:divsChild>
                <w:div w:id="945116135">
                  <w:marLeft w:val="0"/>
                  <w:marRight w:val="0"/>
                  <w:marTop w:val="0"/>
                  <w:marBottom w:val="0"/>
                  <w:divBdr>
                    <w:top w:val="none" w:sz="0" w:space="0" w:color="auto"/>
                    <w:left w:val="none" w:sz="0" w:space="0" w:color="auto"/>
                    <w:bottom w:val="none" w:sz="0" w:space="0" w:color="auto"/>
                    <w:right w:val="none" w:sz="0" w:space="0" w:color="auto"/>
                  </w:divBdr>
                  <w:divsChild>
                    <w:div w:id="187125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444589">
      <w:bodyDiv w:val="1"/>
      <w:marLeft w:val="0"/>
      <w:marRight w:val="0"/>
      <w:marTop w:val="0"/>
      <w:marBottom w:val="0"/>
      <w:divBdr>
        <w:top w:val="none" w:sz="0" w:space="0" w:color="auto"/>
        <w:left w:val="none" w:sz="0" w:space="0" w:color="auto"/>
        <w:bottom w:val="none" w:sz="0" w:space="0" w:color="auto"/>
        <w:right w:val="none" w:sz="0" w:space="0" w:color="auto"/>
      </w:divBdr>
      <w:divsChild>
        <w:div w:id="310063619">
          <w:marLeft w:val="0"/>
          <w:marRight w:val="0"/>
          <w:marTop w:val="0"/>
          <w:marBottom w:val="0"/>
          <w:divBdr>
            <w:top w:val="none" w:sz="0" w:space="0" w:color="auto"/>
            <w:left w:val="none" w:sz="0" w:space="0" w:color="auto"/>
            <w:bottom w:val="none" w:sz="0" w:space="0" w:color="auto"/>
            <w:right w:val="none" w:sz="0" w:space="0" w:color="auto"/>
          </w:divBdr>
          <w:divsChild>
            <w:div w:id="1006251789">
              <w:marLeft w:val="0"/>
              <w:marRight w:val="0"/>
              <w:marTop w:val="0"/>
              <w:marBottom w:val="0"/>
              <w:divBdr>
                <w:top w:val="none" w:sz="0" w:space="0" w:color="auto"/>
                <w:left w:val="none" w:sz="0" w:space="0" w:color="auto"/>
                <w:bottom w:val="none" w:sz="0" w:space="0" w:color="auto"/>
                <w:right w:val="none" w:sz="0" w:space="0" w:color="auto"/>
              </w:divBdr>
              <w:divsChild>
                <w:div w:id="127162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895654">
      <w:bodyDiv w:val="1"/>
      <w:marLeft w:val="0"/>
      <w:marRight w:val="0"/>
      <w:marTop w:val="0"/>
      <w:marBottom w:val="0"/>
      <w:divBdr>
        <w:top w:val="none" w:sz="0" w:space="0" w:color="auto"/>
        <w:left w:val="none" w:sz="0" w:space="0" w:color="auto"/>
        <w:bottom w:val="none" w:sz="0" w:space="0" w:color="auto"/>
        <w:right w:val="none" w:sz="0" w:space="0" w:color="auto"/>
      </w:divBdr>
      <w:divsChild>
        <w:div w:id="1285191843">
          <w:marLeft w:val="0"/>
          <w:marRight w:val="0"/>
          <w:marTop w:val="0"/>
          <w:marBottom w:val="0"/>
          <w:divBdr>
            <w:top w:val="none" w:sz="0" w:space="0" w:color="auto"/>
            <w:left w:val="none" w:sz="0" w:space="0" w:color="auto"/>
            <w:bottom w:val="none" w:sz="0" w:space="0" w:color="auto"/>
            <w:right w:val="none" w:sz="0" w:space="0" w:color="auto"/>
          </w:divBdr>
          <w:divsChild>
            <w:div w:id="311447466">
              <w:marLeft w:val="0"/>
              <w:marRight w:val="0"/>
              <w:marTop w:val="0"/>
              <w:marBottom w:val="0"/>
              <w:divBdr>
                <w:top w:val="none" w:sz="0" w:space="0" w:color="auto"/>
                <w:left w:val="none" w:sz="0" w:space="0" w:color="auto"/>
                <w:bottom w:val="none" w:sz="0" w:space="0" w:color="auto"/>
                <w:right w:val="none" w:sz="0" w:space="0" w:color="auto"/>
              </w:divBdr>
              <w:divsChild>
                <w:div w:id="1348561811">
                  <w:marLeft w:val="0"/>
                  <w:marRight w:val="0"/>
                  <w:marTop w:val="0"/>
                  <w:marBottom w:val="0"/>
                  <w:divBdr>
                    <w:top w:val="none" w:sz="0" w:space="0" w:color="auto"/>
                    <w:left w:val="none" w:sz="0" w:space="0" w:color="auto"/>
                    <w:bottom w:val="none" w:sz="0" w:space="0" w:color="auto"/>
                    <w:right w:val="none" w:sz="0" w:space="0" w:color="auto"/>
                  </w:divBdr>
                  <w:divsChild>
                    <w:div w:id="101017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496995">
      <w:bodyDiv w:val="1"/>
      <w:marLeft w:val="0"/>
      <w:marRight w:val="0"/>
      <w:marTop w:val="0"/>
      <w:marBottom w:val="0"/>
      <w:divBdr>
        <w:top w:val="none" w:sz="0" w:space="0" w:color="auto"/>
        <w:left w:val="none" w:sz="0" w:space="0" w:color="auto"/>
        <w:bottom w:val="none" w:sz="0" w:space="0" w:color="auto"/>
        <w:right w:val="none" w:sz="0" w:space="0" w:color="auto"/>
      </w:divBdr>
      <w:divsChild>
        <w:div w:id="591013886">
          <w:marLeft w:val="0"/>
          <w:marRight w:val="0"/>
          <w:marTop w:val="0"/>
          <w:marBottom w:val="0"/>
          <w:divBdr>
            <w:top w:val="none" w:sz="0" w:space="0" w:color="auto"/>
            <w:left w:val="none" w:sz="0" w:space="0" w:color="auto"/>
            <w:bottom w:val="none" w:sz="0" w:space="0" w:color="auto"/>
            <w:right w:val="none" w:sz="0" w:space="0" w:color="auto"/>
          </w:divBdr>
          <w:divsChild>
            <w:div w:id="825049981">
              <w:marLeft w:val="0"/>
              <w:marRight w:val="0"/>
              <w:marTop w:val="0"/>
              <w:marBottom w:val="0"/>
              <w:divBdr>
                <w:top w:val="none" w:sz="0" w:space="0" w:color="auto"/>
                <w:left w:val="none" w:sz="0" w:space="0" w:color="auto"/>
                <w:bottom w:val="none" w:sz="0" w:space="0" w:color="auto"/>
                <w:right w:val="none" w:sz="0" w:space="0" w:color="auto"/>
              </w:divBdr>
              <w:divsChild>
                <w:div w:id="1315065981">
                  <w:marLeft w:val="0"/>
                  <w:marRight w:val="0"/>
                  <w:marTop w:val="0"/>
                  <w:marBottom w:val="0"/>
                  <w:divBdr>
                    <w:top w:val="none" w:sz="0" w:space="0" w:color="auto"/>
                    <w:left w:val="none" w:sz="0" w:space="0" w:color="auto"/>
                    <w:bottom w:val="none" w:sz="0" w:space="0" w:color="auto"/>
                    <w:right w:val="none" w:sz="0" w:space="0" w:color="auto"/>
                  </w:divBdr>
                  <w:divsChild>
                    <w:div w:id="1768187943">
                      <w:marLeft w:val="0"/>
                      <w:marRight w:val="0"/>
                      <w:marTop w:val="0"/>
                      <w:marBottom w:val="0"/>
                      <w:divBdr>
                        <w:top w:val="none" w:sz="0" w:space="0" w:color="auto"/>
                        <w:left w:val="none" w:sz="0" w:space="0" w:color="auto"/>
                        <w:bottom w:val="none" w:sz="0" w:space="0" w:color="auto"/>
                        <w:right w:val="none" w:sz="0" w:space="0" w:color="auto"/>
                      </w:divBdr>
                    </w:div>
                  </w:divsChild>
                </w:div>
                <w:div w:id="158273275">
                  <w:marLeft w:val="0"/>
                  <w:marRight w:val="0"/>
                  <w:marTop w:val="0"/>
                  <w:marBottom w:val="0"/>
                  <w:divBdr>
                    <w:top w:val="none" w:sz="0" w:space="0" w:color="auto"/>
                    <w:left w:val="none" w:sz="0" w:space="0" w:color="auto"/>
                    <w:bottom w:val="none" w:sz="0" w:space="0" w:color="auto"/>
                    <w:right w:val="none" w:sz="0" w:space="0" w:color="auto"/>
                  </w:divBdr>
                  <w:divsChild>
                    <w:div w:id="194591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092581">
          <w:marLeft w:val="0"/>
          <w:marRight w:val="0"/>
          <w:marTop w:val="0"/>
          <w:marBottom w:val="0"/>
          <w:divBdr>
            <w:top w:val="none" w:sz="0" w:space="0" w:color="auto"/>
            <w:left w:val="none" w:sz="0" w:space="0" w:color="auto"/>
            <w:bottom w:val="none" w:sz="0" w:space="0" w:color="auto"/>
            <w:right w:val="none" w:sz="0" w:space="0" w:color="auto"/>
          </w:divBdr>
          <w:divsChild>
            <w:div w:id="1770007692">
              <w:marLeft w:val="0"/>
              <w:marRight w:val="0"/>
              <w:marTop w:val="0"/>
              <w:marBottom w:val="0"/>
              <w:divBdr>
                <w:top w:val="none" w:sz="0" w:space="0" w:color="auto"/>
                <w:left w:val="none" w:sz="0" w:space="0" w:color="auto"/>
                <w:bottom w:val="none" w:sz="0" w:space="0" w:color="auto"/>
                <w:right w:val="none" w:sz="0" w:space="0" w:color="auto"/>
              </w:divBdr>
              <w:divsChild>
                <w:div w:id="1166241092">
                  <w:marLeft w:val="0"/>
                  <w:marRight w:val="0"/>
                  <w:marTop w:val="0"/>
                  <w:marBottom w:val="0"/>
                  <w:divBdr>
                    <w:top w:val="none" w:sz="0" w:space="0" w:color="auto"/>
                    <w:left w:val="none" w:sz="0" w:space="0" w:color="auto"/>
                    <w:bottom w:val="none" w:sz="0" w:space="0" w:color="auto"/>
                    <w:right w:val="none" w:sz="0" w:space="0" w:color="auto"/>
                  </w:divBdr>
                </w:div>
              </w:divsChild>
            </w:div>
            <w:div w:id="1925531172">
              <w:marLeft w:val="0"/>
              <w:marRight w:val="0"/>
              <w:marTop w:val="0"/>
              <w:marBottom w:val="0"/>
              <w:divBdr>
                <w:top w:val="none" w:sz="0" w:space="0" w:color="auto"/>
                <w:left w:val="none" w:sz="0" w:space="0" w:color="auto"/>
                <w:bottom w:val="none" w:sz="0" w:space="0" w:color="auto"/>
                <w:right w:val="none" w:sz="0" w:space="0" w:color="auto"/>
              </w:divBdr>
              <w:divsChild>
                <w:div w:id="13291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9189280_Non-native_English_students_learning_in_English_Reviewing_and_reflecting_on_the_research" TargetMode="External"/><Relationship Id="rId13" Type="http://schemas.openxmlformats.org/officeDocument/2006/relationships/hyperlink" Target="https://hwb.gov.wales/draft-curriculum-for-wales-2022/science-and-technology/" TargetMode="External"/><Relationship Id="rId18" Type="http://schemas.openxmlformats.org/officeDocument/2006/relationships/hyperlink" Target="http://educ116eff11.pbworks.com/w/file/fetch/44828198/engstromwiki.pdf" TargetMode="External"/><Relationship Id="rId26" Type="http://schemas.openxmlformats.org/officeDocument/2006/relationships/hyperlink" Target="https://www.emerald.com/insight/search?q=Marc%20Prensky" TargetMode="External"/><Relationship Id="rId3" Type="http://schemas.openxmlformats.org/officeDocument/2006/relationships/settings" Target="settings.xml"/><Relationship Id="rId21" Type="http://schemas.openxmlformats.org/officeDocument/2006/relationships/hyperlink" Target="https://muse.jhu.edu/article/695160/summary" TargetMode="External"/><Relationship Id="rId7" Type="http://schemas.openxmlformats.org/officeDocument/2006/relationships/hyperlink" Target="https://www.researchgate.net/publication/259189280_Non-native_English_students_learning_in_English_Reviewing_and_reflecting_on_the_research" TargetMode="External"/><Relationship Id="rId12" Type="http://schemas.openxmlformats.org/officeDocument/2006/relationships/hyperlink" Target="https://hwb.gov.wales/draft-curriculum-for-wales-2022/languages-literacy-and-communication/" TargetMode="External"/><Relationship Id="rId17" Type="http://schemas.openxmlformats.org/officeDocument/2006/relationships/hyperlink" Target="http://educ116eff11.pbworks.com/w/file/fetch/44828198/engstromwiki.pdf" TargetMode="External"/><Relationship Id="rId25" Type="http://schemas.openxmlformats.org/officeDocument/2006/relationships/hyperlink" Target="https://www.learntechlib.org/p/21024/" TargetMode="External"/><Relationship Id="rId2" Type="http://schemas.openxmlformats.org/officeDocument/2006/relationships/styles" Target="styles.xml"/><Relationship Id="rId16" Type="http://schemas.openxmlformats.org/officeDocument/2006/relationships/hyperlink" Target="http://educ116eff11.pbworks.com/w/file/fetch/44828198/engstromwiki.pdf" TargetMode="External"/><Relationship Id="rId20" Type="http://schemas.openxmlformats.org/officeDocument/2006/relationships/hyperlink" Target="https://www.eBOOKstore.tandf.co.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researchgate.net/publication/259189280_Non-native_English_students_learning_in_English_Reviewing_and_reflecting_on_the_research" TargetMode="External"/><Relationship Id="rId11" Type="http://schemas.openxmlformats.org/officeDocument/2006/relationships/hyperlink" Target="https://hwb.gov.wales/draft-curriculum-for-wales-2022/languages-literacy-and-communication/" TargetMode="External"/><Relationship Id="rId24" Type="http://schemas.openxmlformats.org/officeDocument/2006/relationships/hyperlink" Target="https://onlinelibrary.wiley.com/doi/full/10.1111/bjep.12069" TargetMode="External"/><Relationship Id="rId5" Type="http://schemas.openxmlformats.org/officeDocument/2006/relationships/hyperlink" Target="https://www.tandfonline.com/doi/abs/10.1080/0260747032000162299" TargetMode="External"/><Relationship Id="rId15" Type="http://schemas.openxmlformats.org/officeDocument/2006/relationships/hyperlink" Target="https://hwb.gov.wales/draft-curriculum-for-wales-2022/mathematics-and-numeracy/" TargetMode="External"/><Relationship Id="rId23" Type="http://schemas.openxmlformats.org/officeDocument/2006/relationships/hyperlink" Target="https://doi.org/10.2307%2F41164649"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educ116eff11.pbworks.com/w/file/fetch/44828198/engstromwiki.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hwb.gov.wales/draft-curriculum-for-wales-2022/science-and-technology/" TargetMode="External"/><Relationship Id="rId22" Type="http://schemas.openxmlformats.org/officeDocument/2006/relationships/hyperlink" Target="https://muse.jhu.edu/article/695160/summary" TargetMode="External"/><Relationship Id="rId27" Type="http://schemas.openxmlformats.org/officeDocument/2006/relationships/hyperlink" Target="https://doi.org/10.1108/1074812011042481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3523</Words>
  <Characters>20086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ECAD6012 Essay</vt:lpstr>
    </vt:vector>
  </TitlesOfParts>
  <Company/>
  <LinksUpToDate>false</LinksUpToDate>
  <CharactersWithSpaces>23562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ECAD6012 Essay</dc:title>
  <dc:subject/>
  <dc:creator>Timothy Davies</dc:creator>
  <cp:keywords/>
  <cp:lastModifiedBy>Timothy Davies</cp:lastModifiedBy>
  <cp:revision>2</cp:revision>
  <dcterms:created xsi:type="dcterms:W3CDTF">2020-04-17T21:41:00Z</dcterms:created>
  <dcterms:modified xsi:type="dcterms:W3CDTF">2020-04-17T21:41:00Z</dcterms:modified>
</cp:coreProperties>
</file>