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C1A7CB" w14:textId="1943630C" w:rsidR="004648E7" w:rsidRPr="000C3D8D" w:rsidRDefault="002203A1" w:rsidP="0026200C">
      <w:pPr>
        <w:spacing w:line="360" w:lineRule="auto"/>
        <w:jc w:val="center"/>
        <w:rPr>
          <w:rFonts w:ascii="Arial" w:hAnsi="Arial" w:cs="Arial"/>
          <w:b/>
          <w:sz w:val="32"/>
          <w:u w:val="single"/>
        </w:rPr>
      </w:pPr>
      <w:r w:rsidRPr="000C3D8D">
        <w:rPr>
          <w:rFonts w:ascii="Arial" w:hAnsi="Arial" w:cs="Arial"/>
          <w:b/>
          <w:sz w:val="32"/>
          <w:u w:val="single"/>
        </w:rPr>
        <w:t>A comparison of the economic impacts relating to local and major events</w:t>
      </w:r>
    </w:p>
    <w:p w14:paraId="493B72B7" w14:textId="7811A82A" w:rsidR="00BC49CD" w:rsidRPr="000C3D8D" w:rsidRDefault="00B110E3" w:rsidP="0026200C">
      <w:pPr>
        <w:spacing w:line="360" w:lineRule="auto"/>
        <w:rPr>
          <w:rFonts w:ascii="Arial" w:hAnsi="Arial" w:cs="Arial"/>
          <w:sz w:val="24"/>
        </w:rPr>
      </w:pPr>
      <w:r w:rsidRPr="000C3D8D">
        <w:rPr>
          <w:rFonts w:ascii="Arial" w:hAnsi="Arial" w:cs="Arial"/>
          <w:sz w:val="24"/>
        </w:rPr>
        <w:t xml:space="preserve">The purpose of this essay is to compare and contrast two articles that provide detailed information regarding the management of a sector within the LETS industry. </w:t>
      </w:r>
      <w:r w:rsidR="00BC49CD" w:rsidRPr="000C3D8D">
        <w:rPr>
          <w:rFonts w:ascii="Arial" w:hAnsi="Arial" w:cs="Arial"/>
          <w:sz w:val="24"/>
        </w:rPr>
        <w:t>The two articles chosen to discuss in this essay are based upon the economic impacts relating to two types of events: local and major.</w:t>
      </w:r>
      <w:r w:rsidR="00387F45" w:rsidRPr="000C3D8D">
        <w:rPr>
          <w:rFonts w:ascii="Arial" w:hAnsi="Arial" w:cs="Arial"/>
          <w:sz w:val="24"/>
        </w:rPr>
        <w:t xml:space="preserve"> Economic impacts of events have been widely discussed for decades, with the two articles examined within this essay detailing valid and important points worth highlighting. The articles that are being examined are: </w:t>
      </w:r>
    </w:p>
    <w:p w14:paraId="586D4A2B" w14:textId="6CC769E3" w:rsidR="00387F45" w:rsidRPr="000C3D8D" w:rsidRDefault="00387F45" w:rsidP="0026200C">
      <w:pPr>
        <w:pStyle w:val="ListParagraph"/>
        <w:numPr>
          <w:ilvl w:val="0"/>
          <w:numId w:val="1"/>
        </w:numPr>
        <w:spacing w:line="360" w:lineRule="auto"/>
        <w:rPr>
          <w:rFonts w:ascii="Arial" w:hAnsi="Arial" w:cs="Arial"/>
          <w:sz w:val="24"/>
        </w:rPr>
      </w:pPr>
      <w:r w:rsidRPr="000C3D8D">
        <w:rPr>
          <w:rFonts w:ascii="Arial" w:hAnsi="Arial" w:cs="Arial"/>
          <w:i/>
          <w:sz w:val="24"/>
        </w:rPr>
        <w:t>The economic impact of local sport events: significant, limited or otherwise? A case study of four swimming events</w:t>
      </w:r>
      <w:r w:rsidRPr="000C3D8D">
        <w:rPr>
          <w:rFonts w:ascii="Arial" w:hAnsi="Arial" w:cs="Arial"/>
          <w:sz w:val="24"/>
        </w:rPr>
        <w:t xml:space="preserve"> – Wilson, R. (2006)</w:t>
      </w:r>
    </w:p>
    <w:p w14:paraId="6616C1FF" w14:textId="1E8EBA6B" w:rsidR="00124614" w:rsidRPr="000C3D8D" w:rsidRDefault="00387F45" w:rsidP="0026200C">
      <w:pPr>
        <w:pStyle w:val="ListParagraph"/>
        <w:numPr>
          <w:ilvl w:val="0"/>
          <w:numId w:val="1"/>
        </w:numPr>
        <w:spacing w:line="360" w:lineRule="auto"/>
        <w:rPr>
          <w:rFonts w:ascii="Arial" w:hAnsi="Arial" w:cs="Arial"/>
          <w:sz w:val="24"/>
        </w:rPr>
      </w:pPr>
      <w:r w:rsidRPr="000C3D8D">
        <w:rPr>
          <w:rFonts w:ascii="Arial" w:hAnsi="Arial" w:cs="Arial"/>
          <w:i/>
          <w:sz w:val="24"/>
        </w:rPr>
        <w:t>The economic impact of major sports events: a review of ten events in the UK</w:t>
      </w:r>
      <w:r w:rsidRPr="000C3D8D">
        <w:rPr>
          <w:rFonts w:ascii="Arial" w:hAnsi="Arial" w:cs="Arial"/>
          <w:sz w:val="24"/>
        </w:rPr>
        <w:t xml:space="preserve"> – Gratton et al. (2006)</w:t>
      </w:r>
    </w:p>
    <w:p w14:paraId="547BABAB" w14:textId="53CE3E59" w:rsidR="00387F45" w:rsidRPr="000C3D8D" w:rsidRDefault="00387F45" w:rsidP="0026200C">
      <w:pPr>
        <w:spacing w:line="360" w:lineRule="auto"/>
        <w:rPr>
          <w:rFonts w:ascii="Arial" w:hAnsi="Arial" w:cs="Arial"/>
          <w:sz w:val="24"/>
        </w:rPr>
      </w:pPr>
      <w:r w:rsidRPr="000C3D8D">
        <w:rPr>
          <w:rFonts w:ascii="Arial" w:hAnsi="Arial" w:cs="Arial"/>
          <w:sz w:val="24"/>
        </w:rPr>
        <w:t>Wilson’s article, published in 2006, is based upon research undertaken at four local swimming events in the UK. The article focuses upon five key themes throughout; ‘urban regeneration impacts, sporting legacy benefits</w:t>
      </w:r>
      <w:r w:rsidR="000A4C53" w:rsidRPr="000C3D8D">
        <w:rPr>
          <w:rFonts w:ascii="Arial" w:hAnsi="Arial" w:cs="Arial"/>
          <w:sz w:val="24"/>
        </w:rPr>
        <w:t>, tourism and image benefits, celebration, social and cultural benefits and the wider economic benefits’ (Wilson, 2006).</w:t>
      </w:r>
      <w:r w:rsidR="00C57B17" w:rsidRPr="000C3D8D">
        <w:rPr>
          <w:rFonts w:ascii="Arial" w:hAnsi="Arial" w:cs="Arial"/>
          <w:sz w:val="24"/>
        </w:rPr>
        <w:t xml:space="preserve"> F</w:t>
      </w:r>
      <w:bookmarkStart w:id="0" w:name="_GoBack"/>
      <w:bookmarkEnd w:id="0"/>
      <w:r w:rsidR="00C57B17" w:rsidRPr="000C3D8D">
        <w:rPr>
          <w:rFonts w:ascii="Arial" w:hAnsi="Arial" w:cs="Arial"/>
          <w:sz w:val="24"/>
        </w:rPr>
        <w:t>rom these themes, both qualitative and quantitative research has been presented by Wilson, outlining both the positive and negative economic impacts of local events.</w:t>
      </w:r>
    </w:p>
    <w:p w14:paraId="0306CE68" w14:textId="06E3E6A9" w:rsidR="00D755EA" w:rsidRPr="000C3D8D" w:rsidRDefault="00D755EA" w:rsidP="0026200C">
      <w:pPr>
        <w:spacing w:line="360" w:lineRule="auto"/>
        <w:rPr>
          <w:rFonts w:ascii="Arial" w:hAnsi="Arial" w:cs="Arial"/>
          <w:sz w:val="24"/>
        </w:rPr>
      </w:pPr>
      <w:r w:rsidRPr="000C3D8D">
        <w:rPr>
          <w:rFonts w:ascii="Arial" w:hAnsi="Arial" w:cs="Arial"/>
          <w:sz w:val="24"/>
        </w:rPr>
        <w:t>Wilson highlights within his article that secondary expenditure opportunities for guests at</w:t>
      </w:r>
      <w:r w:rsidR="00D47B34" w:rsidRPr="000C3D8D">
        <w:rPr>
          <w:rFonts w:ascii="Arial" w:hAnsi="Arial" w:cs="Arial"/>
          <w:sz w:val="24"/>
        </w:rPr>
        <w:t xml:space="preserve"> an event need larger emphasis. As stated by Schwarz et al. (2016), ‘areas for secondary spend are essential to the success of the venture’, validating the point presented by Wilson. It is vital that secondary </w:t>
      </w:r>
      <w:r w:rsidR="00722DED" w:rsidRPr="000C3D8D">
        <w:rPr>
          <w:rFonts w:ascii="Arial" w:hAnsi="Arial" w:cs="Arial"/>
          <w:sz w:val="24"/>
        </w:rPr>
        <w:t>expenditure</w:t>
      </w:r>
      <w:r w:rsidR="00D47B34" w:rsidRPr="000C3D8D">
        <w:rPr>
          <w:rFonts w:ascii="Arial" w:hAnsi="Arial" w:cs="Arial"/>
          <w:sz w:val="24"/>
        </w:rPr>
        <w:t xml:space="preserve"> opportunities are </w:t>
      </w:r>
      <w:r w:rsidR="00722DED" w:rsidRPr="000C3D8D">
        <w:rPr>
          <w:rFonts w:ascii="Arial" w:hAnsi="Arial" w:cs="Arial"/>
          <w:sz w:val="24"/>
        </w:rPr>
        <w:t>available</w:t>
      </w:r>
      <w:r w:rsidR="00D47B34" w:rsidRPr="000C3D8D">
        <w:rPr>
          <w:rFonts w:ascii="Arial" w:hAnsi="Arial" w:cs="Arial"/>
          <w:sz w:val="24"/>
        </w:rPr>
        <w:t xml:space="preserve"> for guests at events, such as entertainment and food/drink facilities, in order to maximise spend and ensuring increased custom in an area an event is held. </w:t>
      </w:r>
      <w:r w:rsidR="00722DED" w:rsidRPr="000C3D8D">
        <w:rPr>
          <w:rFonts w:ascii="Arial" w:hAnsi="Arial" w:cs="Arial"/>
          <w:sz w:val="24"/>
        </w:rPr>
        <w:t>In fact, food and beverage</w:t>
      </w:r>
      <w:r w:rsidR="00420D89" w:rsidRPr="000C3D8D">
        <w:rPr>
          <w:rFonts w:ascii="Arial" w:hAnsi="Arial" w:cs="Arial"/>
          <w:sz w:val="24"/>
        </w:rPr>
        <w:t xml:space="preserve"> management has been considered vital to the success of events, as pointed out by Wilson within his article. If there is a lack of food and beverage facilities nearby an event, this can lead to negative reactions from the public and lack of custom overall. Planning and execution of food and beverages, along with catering facilities, is important for all events, whether local and major. Sufficient time </w:t>
      </w:r>
      <w:r w:rsidR="00420D89" w:rsidRPr="000C3D8D">
        <w:rPr>
          <w:rFonts w:ascii="Arial" w:hAnsi="Arial" w:cs="Arial"/>
          <w:sz w:val="24"/>
        </w:rPr>
        <w:lastRenderedPageBreak/>
        <w:t xml:space="preserve">should be provided to guarantee food and beverage facilities are adequately provided and cater to a range of </w:t>
      </w:r>
      <w:r w:rsidR="007E109C" w:rsidRPr="000C3D8D">
        <w:rPr>
          <w:rFonts w:ascii="Arial" w:hAnsi="Arial" w:cs="Arial"/>
          <w:sz w:val="24"/>
        </w:rPr>
        <w:t>guest’s</w:t>
      </w:r>
      <w:r w:rsidR="00420D89" w:rsidRPr="000C3D8D">
        <w:rPr>
          <w:rFonts w:ascii="Arial" w:hAnsi="Arial" w:cs="Arial"/>
          <w:sz w:val="24"/>
        </w:rPr>
        <w:t xml:space="preserve"> wants and needs (Bladen et al., 2012). </w:t>
      </w:r>
    </w:p>
    <w:p w14:paraId="10AB65C6" w14:textId="77777777" w:rsidR="00124614" w:rsidRPr="000C3D8D" w:rsidRDefault="007E109C" w:rsidP="0026200C">
      <w:pPr>
        <w:spacing w:line="360" w:lineRule="auto"/>
        <w:rPr>
          <w:rFonts w:ascii="Arial" w:hAnsi="Arial" w:cs="Arial"/>
          <w:b/>
          <w:sz w:val="24"/>
          <w:u w:val="single"/>
        </w:rPr>
      </w:pPr>
      <w:r w:rsidRPr="000C3D8D">
        <w:rPr>
          <w:rFonts w:ascii="Arial" w:hAnsi="Arial" w:cs="Arial"/>
          <w:sz w:val="24"/>
        </w:rPr>
        <w:t xml:space="preserve">Events can be categorised into different types depending on their size and overall aim, as shown within the above article by Wilson. This categorisation of events has been used for decades, with many authors using this exact definition of type A, type B, type C and type D events. </w:t>
      </w:r>
      <w:r w:rsidR="00D02E04" w:rsidRPr="000C3D8D">
        <w:rPr>
          <w:rFonts w:ascii="Arial" w:hAnsi="Arial" w:cs="Arial"/>
          <w:sz w:val="24"/>
        </w:rPr>
        <w:t xml:space="preserve">In 2000, Gratton et al. used the exact typologies of events, however, Wilson debates this information. Within his article, Wilson argues that a fifth event (type E) should in fact be created as the gap between type C and type D events is significant. Wilson justifies throughout the article that the introduction of type E events would lead to </w:t>
      </w:r>
      <w:r w:rsidR="004316C5" w:rsidRPr="000C3D8D">
        <w:rPr>
          <w:rFonts w:ascii="Arial" w:hAnsi="Arial" w:cs="Arial"/>
          <w:sz w:val="24"/>
        </w:rPr>
        <w:t xml:space="preserve">further understanding of ‘regular events’; those typically held by local authorities, as the standards typologies of events does not cover the types of events studied for this article. </w:t>
      </w:r>
    </w:p>
    <w:p w14:paraId="670EEBE3" w14:textId="3FA74FC1" w:rsidR="00342129" w:rsidRPr="000C3D8D" w:rsidRDefault="004316C5" w:rsidP="0026200C">
      <w:pPr>
        <w:spacing w:line="360" w:lineRule="auto"/>
        <w:rPr>
          <w:rFonts w:ascii="Arial" w:hAnsi="Arial" w:cs="Arial"/>
          <w:sz w:val="24"/>
        </w:rPr>
      </w:pPr>
      <w:r w:rsidRPr="000C3D8D">
        <w:rPr>
          <w:rFonts w:ascii="Arial" w:hAnsi="Arial" w:cs="Arial"/>
          <w:sz w:val="24"/>
          <w:szCs w:val="24"/>
        </w:rPr>
        <w:t xml:space="preserve">Gratton et al. discuss the economic impact of major sports events and is focused upon ten events held in the UK from 1997 – 2002. The authors detail the economic importance of </w:t>
      </w:r>
      <w:r w:rsidR="0026200C" w:rsidRPr="000C3D8D">
        <w:rPr>
          <w:rFonts w:ascii="Arial" w:hAnsi="Arial" w:cs="Arial"/>
          <w:sz w:val="24"/>
          <w:szCs w:val="24"/>
        </w:rPr>
        <w:t xml:space="preserve">major events </w:t>
      </w:r>
      <w:r w:rsidRPr="000C3D8D">
        <w:rPr>
          <w:rFonts w:ascii="Arial" w:hAnsi="Arial" w:cs="Arial"/>
          <w:sz w:val="24"/>
          <w:szCs w:val="24"/>
        </w:rPr>
        <w:t xml:space="preserve">to areas across the UK and reference how events </w:t>
      </w:r>
      <w:r w:rsidR="0026200C" w:rsidRPr="000C3D8D">
        <w:rPr>
          <w:rFonts w:ascii="Arial" w:hAnsi="Arial" w:cs="Arial"/>
          <w:sz w:val="24"/>
          <w:szCs w:val="24"/>
        </w:rPr>
        <w:t>can ‘have the ability to project a new image and identity for a city’</w:t>
      </w:r>
      <w:r w:rsidR="008C21D2" w:rsidRPr="000C3D8D">
        <w:rPr>
          <w:rFonts w:ascii="Arial" w:hAnsi="Arial" w:cs="Arial"/>
          <w:sz w:val="24"/>
          <w:szCs w:val="24"/>
        </w:rPr>
        <w:t xml:space="preserve">, as agreed upon by Masterman in 2014 when he declared that: ‘the politics of mega events, where cities for a short time can receive world-wide recognition’. </w:t>
      </w:r>
    </w:p>
    <w:p w14:paraId="01383754" w14:textId="59B73983" w:rsidR="004316C5" w:rsidRPr="000C3D8D" w:rsidRDefault="00A23904" w:rsidP="0026200C">
      <w:pPr>
        <w:tabs>
          <w:tab w:val="num" w:pos="720"/>
        </w:tabs>
        <w:spacing w:line="360" w:lineRule="auto"/>
        <w:rPr>
          <w:rFonts w:ascii="Arial" w:hAnsi="Arial" w:cs="Arial"/>
          <w:sz w:val="24"/>
          <w:szCs w:val="24"/>
        </w:rPr>
      </w:pPr>
      <w:r w:rsidRPr="000C3D8D">
        <w:rPr>
          <w:rFonts w:ascii="Arial" w:hAnsi="Arial" w:cs="Arial"/>
          <w:sz w:val="24"/>
          <w:szCs w:val="24"/>
        </w:rPr>
        <w:t xml:space="preserve">A main theme throughout the article is the rising costs of infrastructure </w:t>
      </w:r>
      <w:r w:rsidR="00340756" w:rsidRPr="000C3D8D">
        <w:rPr>
          <w:rFonts w:ascii="Arial" w:hAnsi="Arial" w:cs="Arial"/>
          <w:sz w:val="24"/>
          <w:szCs w:val="24"/>
        </w:rPr>
        <w:t>and</w:t>
      </w:r>
      <w:r w:rsidRPr="000C3D8D">
        <w:rPr>
          <w:rFonts w:ascii="Arial" w:hAnsi="Arial" w:cs="Arial"/>
          <w:sz w:val="24"/>
          <w:szCs w:val="24"/>
        </w:rPr>
        <w:t xml:space="preserve"> how this can have an impact on the economic benefits an event may have. For many years, especially across the USA, event developers and cities have invested in major </w:t>
      </w:r>
      <w:r w:rsidR="00340756" w:rsidRPr="000C3D8D">
        <w:rPr>
          <w:rFonts w:ascii="Arial" w:hAnsi="Arial" w:cs="Arial"/>
          <w:sz w:val="24"/>
          <w:szCs w:val="24"/>
        </w:rPr>
        <w:t>infrastructure</w:t>
      </w:r>
      <w:r w:rsidRPr="000C3D8D">
        <w:rPr>
          <w:rFonts w:ascii="Arial" w:hAnsi="Arial" w:cs="Arial"/>
          <w:sz w:val="24"/>
          <w:szCs w:val="24"/>
        </w:rPr>
        <w:t xml:space="preserve"> work when holding events, such as building new stadiums and arena</w:t>
      </w:r>
      <w:r w:rsidR="00340756" w:rsidRPr="000C3D8D">
        <w:rPr>
          <w:rFonts w:ascii="Arial" w:hAnsi="Arial" w:cs="Arial"/>
          <w:sz w:val="24"/>
          <w:szCs w:val="24"/>
        </w:rPr>
        <w:t>s</w:t>
      </w:r>
      <w:r w:rsidRPr="000C3D8D">
        <w:rPr>
          <w:rFonts w:ascii="Arial" w:hAnsi="Arial" w:cs="Arial"/>
          <w:sz w:val="24"/>
          <w:szCs w:val="24"/>
        </w:rPr>
        <w:t xml:space="preserve">. The main reason this occurs is due to a ‘belief that culture, in its various forms, is sustainable and has the potential for long-term synergy with other forms of development’ (Bianchini and Parkinson, 1993). However, as shown by Gratton et al. within their article, this can cause a loss </w:t>
      </w:r>
      <w:r w:rsidR="00340756" w:rsidRPr="000C3D8D">
        <w:rPr>
          <w:rFonts w:ascii="Arial" w:hAnsi="Arial" w:cs="Arial"/>
          <w:sz w:val="24"/>
          <w:szCs w:val="24"/>
        </w:rPr>
        <w:t>of overall profits by an event due to high costs of building work. It is often the case that such investments in infrastructure ten to go unused after an events completion and thus not benefiting the community or local area to its full potential.</w:t>
      </w:r>
    </w:p>
    <w:p w14:paraId="65264D6D" w14:textId="0FA43696" w:rsidR="00AB5CD2" w:rsidRPr="000C3D8D" w:rsidRDefault="00AB5CD2" w:rsidP="0026200C">
      <w:pPr>
        <w:tabs>
          <w:tab w:val="num" w:pos="720"/>
        </w:tabs>
        <w:spacing w:line="360" w:lineRule="auto"/>
        <w:rPr>
          <w:rFonts w:ascii="Arial" w:hAnsi="Arial" w:cs="Arial"/>
          <w:sz w:val="24"/>
          <w:szCs w:val="20"/>
          <w:shd w:val="clear" w:color="auto" w:fill="FFFFFF"/>
        </w:rPr>
      </w:pPr>
      <w:r w:rsidRPr="000C3D8D">
        <w:rPr>
          <w:rFonts w:ascii="Arial" w:hAnsi="Arial" w:cs="Arial"/>
          <w:sz w:val="24"/>
          <w:szCs w:val="24"/>
        </w:rPr>
        <w:t>Gratton et al. also mentions throughout the article that</w:t>
      </w:r>
      <w:r w:rsidR="00F45144" w:rsidRPr="000C3D8D">
        <w:rPr>
          <w:rFonts w:ascii="Arial" w:hAnsi="Arial" w:cs="Arial"/>
          <w:sz w:val="24"/>
          <w:szCs w:val="24"/>
        </w:rPr>
        <w:t xml:space="preserve"> so called major events do not always produce major economic outcomes. Although some events, such as World Championships, may be classed as major sporting events, they do not always </w:t>
      </w:r>
      <w:r w:rsidR="00F45144" w:rsidRPr="000C3D8D">
        <w:rPr>
          <w:rFonts w:ascii="Arial" w:hAnsi="Arial" w:cs="Arial"/>
          <w:sz w:val="24"/>
          <w:szCs w:val="24"/>
        </w:rPr>
        <w:lastRenderedPageBreak/>
        <w:t xml:space="preserve">produce the high amounts of income typically received from major events. For example, Gratton et al. states that the 1997 Junior Swimming Championships and the European Short Course Swimming Championships are considered major events, but, within their statistical data, it is clear that these events made minimal </w:t>
      </w:r>
      <w:r w:rsidR="008C21D2" w:rsidRPr="000C3D8D">
        <w:rPr>
          <w:rFonts w:ascii="Arial" w:hAnsi="Arial" w:cs="Arial"/>
          <w:sz w:val="24"/>
          <w:szCs w:val="24"/>
        </w:rPr>
        <w:t xml:space="preserve">economic impact. However, </w:t>
      </w:r>
      <w:r w:rsidR="004B1242" w:rsidRPr="000C3D8D">
        <w:rPr>
          <w:rFonts w:ascii="Arial" w:hAnsi="Arial" w:cs="Arial"/>
          <w:sz w:val="24"/>
          <w:szCs w:val="24"/>
        </w:rPr>
        <w:t xml:space="preserve">Wilson for </w:t>
      </w:r>
      <w:r w:rsidR="008C21D2" w:rsidRPr="000C3D8D">
        <w:rPr>
          <w:rFonts w:ascii="Arial" w:hAnsi="Arial" w:cs="Arial"/>
          <w:sz w:val="24"/>
          <w:szCs w:val="24"/>
        </w:rPr>
        <w:t>the BBC argues that major sporting events can be seen as a boost to any economy</w:t>
      </w:r>
      <w:r w:rsidR="004B1242" w:rsidRPr="000C3D8D">
        <w:rPr>
          <w:rFonts w:ascii="Arial" w:hAnsi="Arial" w:cs="Arial"/>
          <w:sz w:val="24"/>
          <w:szCs w:val="24"/>
        </w:rPr>
        <w:t>. Greg Pellegrino mentioned within the report published by the BBC that ‘</w:t>
      </w:r>
      <w:r w:rsidR="004B1242" w:rsidRPr="000C3D8D">
        <w:rPr>
          <w:rFonts w:ascii="Arial" w:hAnsi="Arial" w:cs="Arial"/>
          <w:sz w:val="24"/>
          <w:szCs w:val="20"/>
          <w:shd w:val="clear" w:color="auto" w:fill="FFFFFF"/>
        </w:rPr>
        <w:t xml:space="preserve">major sports events could boost tourism, improve infrastructure and provide an opportunity to elevate the host's stature among the top global brands’. This shows how different studies and author opinions can differ the impacts of major events. </w:t>
      </w:r>
    </w:p>
    <w:p w14:paraId="29CECAD8" w14:textId="3C1305CB" w:rsidR="004B1242" w:rsidRPr="000C3D8D" w:rsidRDefault="004B1242" w:rsidP="0026200C">
      <w:pPr>
        <w:tabs>
          <w:tab w:val="num" w:pos="720"/>
        </w:tabs>
        <w:spacing w:line="360" w:lineRule="auto"/>
        <w:rPr>
          <w:rFonts w:ascii="Arial" w:hAnsi="Arial" w:cs="Arial"/>
          <w:sz w:val="24"/>
          <w:szCs w:val="20"/>
          <w:shd w:val="clear" w:color="auto" w:fill="FFFFFF"/>
        </w:rPr>
      </w:pPr>
      <w:r w:rsidRPr="000C3D8D">
        <w:rPr>
          <w:rFonts w:ascii="Arial" w:hAnsi="Arial" w:cs="Arial"/>
          <w:sz w:val="24"/>
          <w:szCs w:val="20"/>
          <w:shd w:val="clear" w:color="auto" w:fill="FFFFFF"/>
        </w:rPr>
        <w:t>Of the events studied by the authors of this article, it became apparent that visitors from outside the local area produced the highest a</w:t>
      </w:r>
      <w:r w:rsidR="00A71AEB" w:rsidRPr="000C3D8D">
        <w:rPr>
          <w:rFonts w:ascii="Arial" w:hAnsi="Arial" w:cs="Arial"/>
          <w:sz w:val="24"/>
          <w:szCs w:val="20"/>
          <w:shd w:val="clear" w:color="auto" w:fill="FFFFFF"/>
        </w:rPr>
        <w:t>mount of income for the event</w:t>
      </w:r>
      <w:r w:rsidR="00D705DC" w:rsidRPr="000C3D8D">
        <w:rPr>
          <w:rFonts w:ascii="Arial" w:hAnsi="Arial" w:cs="Arial"/>
          <w:sz w:val="24"/>
          <w:szCs w:val="20"/>
          <w:shd w:val="clear" w:color="auto" w:fill="FFFFFF"/>
        </w:rPr>
        <w:t>s</w:t>
      </w:r>
      <w:r w:rsidR="00A71AEB" w:rsidRPr="000C3D8D">
        <w:rPr>
          <w:rFonts w:ascii="Arial" w:hAnsi="Arial" w:cs="Arial"/>
          <w:sz w:val="24"/>
          <w:szCs w:val="20"/>
          <w:shd w:val="clear" w:color="auto" w:fill="FFFFFF"/>
        </w:rPr>
        <w:t xml:space="preserve">. It was also clear that spectators created a greater economic impact than competitors. This is highlighted within Gratton et al.’s article, with the authors stating that spectator driven events are more likely to be economically successful that those that are competitor based. </w:t>
      </w:r>
      <w:r w:rsidR="00D705DC" w:rsidRPr="000C3D8D">
        <w:rPr>
          <w:rFonts w:ascii="Arial" w:hAnsi="Arial" w:cs="Arial"/>
          <w:sz w:val="24"/>
          <w:szCs w:val="20"/>
          <w:shd w:val="clear" w:color="auto" w:fill="FFFFFF"/>
        </w:rPr>
        <w:t xml:space="preserve"> </w:t>
      </w:r>
      <w:r w:rsidR="00D65106" w:rsidRPr="000C3D8D">
        <w:rPr>
          <w:rFonts w:ascii="Arial" w:hAnsi="Arial" w:cs="Arial"/>
          <w:sz w:val="24"/>
          <w:szCs w:val="20"/>
          <w:shd w:val="clear" w:color="auto" w:fill="FFFFFF"/>
        </w:rPr>
        <w:t>As shown in the below graph,</w:t>
      </w:r>
      <w:r w:rsidR="00D705DC" w:rsidRPr="000C3D8D">
        <w:rPr>
          <w:rFonts w:ascii="Arial" w:hAnsi="Arial" w:cs="Arial"/>
          <w:sz w:val="24"/>
          <w:szCs w:val="20"/>
          <w:shd w:val="clear" w:color="auto" w:fill="FFFFFF"/>
        </w:rPr>
        <w:t xml:space="preserve"> the income of six of the events studied came primarily from spectators. </w:t>
      </w:r>
    </w:p>
    <w:p w14:paraId="42E20FAA" w14:textId="40D20B59" w:rsidR="004B1242" w:rsidRPr="000C3D8D" w:rsidRDefault="00124614" w:rsidP="0026200C">
      <w:pPr>
        <w:tabs>
          <w:tab w:val="num" w:pos="720"/>
        </w:tabs>
        <w:spacing w:line="360" w:lineRule="auto"/>
        <w:rPr>
          <w:rFonts w:ascii="Arial" w:hAnsi="Arial" w:cs="Arial"/>
          <w:sz w:val="24"/>
          <w:szCs w:val="24"/>
        </w:rPr>
      </w:pPr>
      <w:r w:rsidRPr="000C3D8D">
        <w:rPr>
          <w:rFonts w:ascii="Arial" w:hAnsi="Arial" w:cs="Arial"/>
          <w:noProof/>
          <w:lang w:eastAsia="en-GB"/>
        </w:rPr>
        <w:drawing>
          <wp:anchor distT="0" distB="0" distL="114300" distR="114300" simplePos="0" relativeHeight="251658240" behindDoc="0" locked="0" layoutInCell="1" allowOverlap="1" wp14:anchorId="13CB7B63" wp14:editId="06883EB7">
            <wp:simplePos x="0" y="0"/>
            <wp:positionH relativeFrom="margin">
              <wp:align>center</wp:align>
            </wp:positionH>
            <wp:positionV relativeFrom="paragraph">
              <wp:posOffset>165100</wp:posOffset>
            </wp:positionV>
            <wp:extent cx="3073400" cy="2066925"/>
            <wp:effectExtent l="19050" t="19050" r="12700"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8223" t="29545" r="26712" b="25843"/>
                    <a:stretch/>
                  </pic:blipFill>
                  <pic:spPr bwMode="auto">
                    <a:xfrm>
                      <a:off x="0" y="0"/>
                      <a:ext cx="3073400" cy="2066925"/>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60AFE6" w14:textId="237F4DEA" w:rsidR="00D705DC" w:rsidRPr="000C3D8D" w:rsidRDefault="00D705DC" w:rsidP="0026200C">
      <w:pPr>
        <w:tabs>
          <w:tab w:val="num" w:pos="720"/>
        </w:tabs>
        <w:spacing w:line="360" w:lineRule="auto"/>
        <w:rPr>
          <w:rFonts w:ascii="Arial" w:hAnsi="Arial" w:cs="Arial"/>
          <w:sz w:val="24"/>
          <w:szCs w:val="24"/>
        </w:rPr>
      </w:pPr>
    </w:p>
    <w:p w14:paraId="65DCD024" w14:textId="16161054" w:rsidR="00D705DC" w:rsidRPr="000C3D8D" w:rsidRDefault="00D705DC" w:rsidP="0026200C">
      <w:pPr>
        <w:tabs>
          <w:tab w:val="num" w:pos="720"/>
        </w:tabs>
        <w:spacing w:line="360" w:lineRule="auto"/>
        <w:rPr>
          <w:rFonts w:ascii="Arial" w:hAnsi="Arial" w:cs="Arial"/>
          <w:sz w:val="24"/>
          <w:szCs w:val="24"/>
        </w:rPr>
      </w:pPr>
    </w:p>
    <w:p w14:paraId="677D3364" w14:textId="7972005E" w:rsidR="00D705DC" w:rsidRPr="000C3D8D" w:rsidRDefault="00D705DC" w:rsidP="0026200C">
      <w:pPr>
        <w:tabs>
          <w:tab w:val="num" w:pos="720"/>
        </w:tabs>
        <w:spacing w:line="360" w:lineRule="auto"/>
        <w:rPr>
          <w:rFonts w:ascii="Arial" w:hAnsi="Arial" w:cs="Arial"/>
          <w:sz w:val="24"/>
          <w:szCs w:val="24"/>
        </w:rPr>
      </w:pPr>
    </w:p>
    <w:p w14:paraId="25851142" w14:textId="542E149A" w:rsidR="00D705DC" w:rsidRPr="000C3D8D" w:rsidRDefault="00D705DC" w:rsidP="0026200C">
      <w:pPr>
        <w:tabs>
          <w:tab w:val="num" w:pos="720"/>
        </w:tabs>
        <w:spacing w:line="360" w:lineRule="auto"/>
        <w:rPr>
          <w:rFonts w:ascii="Arial" w:hAnsi="Arial" w:cs="Arial"/>
          <w:sz w:val="24"/>
          <w:szCs w:val="24"/>
        </w:rPr>
      </w:pPr>
    </w:p>
    <w:p w14:paraId="1C75D6B0" w14:textId="77777777" w:rsidR="00124614" w:rsidRPr="000C3D8D" w:rsidRDefault="00124614" w:rsidP="0026200C">
      <w:pPr>
        <w:tabs>
          <w:tab w:val="num" w:pos="720"/>
        </w:tabs>
        <w:spacing w:line="360" w:lineRule="auto"/>
        <w:rPr>
          <w:rFonts w:ascii="Arial" w:hAnsi="Arial" w:cs="Arial"/>
          <w:sz w:val="24"/>
          <w:szCs w:val="24"/>
        </w:rPr>
      </w:pPr>
    </w:p>
    <w:p w14:paraId="4C763C2D" w14:textId="77777777" w:rsidR="00124614" w:rsidRPr="000C3D8D" w:rsidRDefault="00124614" w:rsidP="0026200C">
      <w:pPr>
        <w:tabs>
          <w:tab w:val="num" w:pos="720"/>
        </w:tabs>
        <w:spacing w:line="360" w:lineRule="auto"/>
        <w:rPr>
          <w:rFonts w:ascii="Arial" w:hAnsi="Arial" w:cs="Arial"/>
          <w:sz w:val="24"/>
          <w:szCs w:val="24"/>
        </w:rPr>
      </w:pPr>
    </w:p>
    <w:p w14:paraId="0D1CE827" w14:textId="7709C277" w:rsidR="00D705DC" w:rsidRPr="000C3D8D" w:rsidRDefault="00D65106" w:rsidP="0026200C">
      <w:pPr>
        <w:tabs>
          <w:tab w:val="num" w:pos="720"/>
        </w:tabs>
        <w:spacing w:line="360" w:lineRule="auto"/>
        <w:rPr>
          <w:rFonts w:ascii="Arial" w:hAnsi="Arial" w:cs="Arial"/>
          <w:sz w:val="24"/>
          <w:szCs w:val="24"/>
        </w:rPr>
      </w:pPr>
      <w:r w:rsidRPr="000C3D8D">
        <w:rPr>
          <w:rFonts w:ascii="Arial" w:hAnsi="Arial" w:cs="Arial"/>
          <w:sz w:val="24"/>
          <w:szCs w:val="24"/>
        </w:rPr>
        <w:t xml:space="preserve">In Aberdare, the local economy was boosted by £190,000 in 2016 as a result of the Tour of Britain event. An estimated ’15,000 spectators who descended on Aberdare from far and wide’ contributed to this overall amount greatly, with visitors spending ‘just under £50 each during their visit to Aberdare’. This shows how larger amounts of spectators for an event can produce a more successful outcome overall. </w:t>
      </w:r>
    </w:p>
    <w:p w14:paraId="57ADDD1A" w14:textId="017B0163" w:rsidR="00D65106" w:rsidRPr="000C3D8D" w:rsidRDefault="00D65106" w:rsidP="0026200C">
      <w:pPr>
        <w:tabs>
          <w:tab w:val="num" w:pos="720"/>
        </w:tabs>
        <w:spacing w:line="360" w:lineRule="auto"/>
        <w:rPr>
          <w:rFonts w:ascii="Arial" w:hAnsi="Arial" w:cs="Arial"/>
          <w:sz w:val="24"/>
          <w:szCs w:val="24"/>
        </w:rPr>
      </w:pPr>
      <w:r w:rsidRPr="000C3D8D">
        <w:rPr>
          <w:rFonts w:ascii="Arial" w:hAnsi="Arial" w:cs="Arial"/>
          <w:sz w:val="24"/>
          <w:szCs w:val="24"/>
        </w:rPr>
        <w:lastRenderedPageBreak/>
        <w:t xml:space="preserve">Both articles feature statistical information in the form of graphs. These have been used to create a more in depth article and can thus get the point across clearly. A main theme throughout both articles </w:t>
      </w:r>
      <w:r w:rsidR="00A65403" w:rsidRPr="000C3D8D">
        <w:rPr>
          <w:rFonts w:ascii="Arial" w:hAnsi="Arial" w:cs="Arial"/>
          <w:sz w:val="24"/>
          <w:szCs w:val="24"/>
        </w:rPr>
        <w:t xml:space="preserve">is the funding available to both local and major events. Within both articles, the events studied both used funding from the National Lottery, proving how organisations view events as important no matter their scale or size when deciding on funding opportunities. </w:t>
      </w:r>
    </w:p>
    <w:p w14:paraId="1A08F2C8" w14:textId="358F2437" w:rsidR="00A65403" w:rsidRPr="000C3D8D" w:rsidRDefault="00DC238B" w:rsidP="0026200C">
      <w:pPr>
        <w:tabs>
          <w:tab w:val="num" w:pos="720"/>
        </w:tabs>
        <w:spacing w:line="360" w:lineRule="auto"/>
        <w:rPr>
          <w:rFonts w:ascii="Arial" w:hAnsi="Arial" w:cs="Arial"/>
          <w:sz w:val="24"/>
          <w:szCs w:val="24"/>
        </w:rPr>
      </w:pPr>
      <w:r w:rsidRPr="000C3D8D">
        <w:rPr>
          <w:rFonts w:ascii="Arial" w:hAnsi="Arial" w:cs="Arial"/>
          <w:sz w:val="24"/>
          <w:szCs w:val="24"/>
        </w:rPr>
        <w:t xml:space="preserve">The duration of an event can have varying results in terms of success for local and major events. Events that last a duration of more than 24 hours are realistically and typically more likely to become more economically successful, due to the more time available for guests to spend money at the event. This is showcased within both of the articles studied, with the authors all presenting that the events held for longer durations have produced the most income. This is important for events to consider, in order to capitalise on customer’s limited free time and expand their typical customer demographics. </w:t>
      </w:r>
    </w:p>
    <w:p w14:paraId="6DA96FAD" w14:textId="3E8749DE" w:rsidR="00D65106" w:rsidRPr="000C3D8D" w:rsidRDefault="00DC238B" w:rsidP="0026200C">
      <w:pPr>
        <w:spacing w:line="360" w:lineRule="auto"/>
        <w:rPr>
          <w:rFonts w:ascii="Arial" w:hAnsi="Arial" w:cs="Arial"/>
          <w:sz w:val="24"/>
          <w:szCs w:val="24"/>
        </w:rPr>
      </w:pPr>
      <w:r w:rsidRPr="000C3D8D">
        <w:rPr>
          <w:rFonts w:ascii="Arial" w:hAnsi="Arial" w:cs="Arial"/>
          <w:sz w:val="24"/>
          <w:szCs w:val="24"/>
        </w:rPr>
        <w:t>Article 1 and article 2 feature information within that discussed deadweight expenditure. Deadweight income is money that would have already been spent in the local area had the event not taken place. This is shown in Trimble et al.’s book in 2010, where the authors declare when discussing the Olympic Games in 2012, ‘with or without the Games, it is argued that residents are likely to make these expenditures’. The authors simply point out that the expenditure would only be classed under the event due to its occurrence on the same date, making these types of customers irrelevant to the economic impacts of the events. This is discussed within the articles studied above, where deadweight guests, for example, volunteers and locals, should not be accounted for in terms of economic impacts of an event.</w:t>
      </w:r>
    </w:p>
    <w:p w14:paraId="466AC129" w14:textId="77777777" w:rsidR="00124614" w:rsidRPr="000C3D8D" w:rsidRDefault="00DC238B" w:rsidP="0026200C">
      <w:pPr>
        <w:spacing w:line="360" w:lineRule="auto"/>
        <w:rPr>
          <w:rFonts w:ascii="Arial" w:hAnsi="Arial" w:cs="Arial"/>
          <w:b/>
          <w:sz w:val="28"/>
          <w:u w:val="single"/>
        </w:rPr>
      </w:pPr>
      <w:r w:rsidRPr="000C3D8D">
        <w:rPr>
          <w:rFonts w:ascii="Arial" w:hAnsi="Arial" w:cs="Arial"/>
          <w:sz w:val="24"/>
          <w:szCs w:val="24"/>
        </w:rPr>
        <w:t xml:space="preserve">There are a few </w:t>
      </w:r>
      <w:r w:rsidR="00AD02B4" w:rsidRPr="000C3D8D">
        <w:rPr>
          <w:rFonts w:ascii="Arial" w:hAnsi="Arial" w:cs="Arial"/>
          <w:sz w:val="24"/>
          <w:szCs w:val="24"/>
        </w:rPr>
        <w:t>notable</w:t>
      </w:r>
      <w:r w:rsidRPr="000C3D8D">
        <w:rPr>
          <w:rFonts w:ascii="Arial" w:hAnsi="Arial" w:cs="Arial"/>
          <w:sz w:val="24"/>
          <w:szCs w:val="24"/>
        </w:rPr>
        <w:t xml:space="preserve"> differences featured within the two articles. One of the main differences is that article 1 focuses upon </w:t>
      </w:r>
      <w:r w:rsidR="00AD02B4" w:rsidRPr="000C3D8D">
        <w:rPr>
          <w:rFonts w:ascii="Arial" w:hAnsi="Arial" w:cs="Arial"/>
          <w:sz w:val="24"/>
          <w:szCs w:val="24"/>
        </w:rPr>
        <w:t xml:space="preserve">local swimming events, whereas article 2 focuses upon ten major sporting events across Britain. It can therefore be hard to compare such articles as they understandably discuss differing topics. It can also be hard to justify a comparison of the articles due to major events often being more economically successful than local events due to scale, size and awareness. Major events are more likely to attract media attention, thus attracting a wider audience than local events. This leads to higher amounts of income for the larger events, as </w:t>
      </w:r>
      <w:r w:rsidR="00AD02B4" w:rsidRPr="000C3D8D">
        <w:rPr>
          <w:rFonts w:ascii="Arial" w:hAnsi="Arial" w:cs="Arial"/>
          <w:sz w:val="24"/>
          <w:szCs w:val="24"/>
        </w:rPr>
        <w:lastRenderedPageBreak/>
        <w:t xml:space="preserve">shown by information featured in both articles. The event with the highest income from article 1 was the City of Sheffield Designated Open Meet (COSDOM), which earned £58,875, whereas the lowest earning major event in article 2 was the European Junior Swimming Championship, which earner £257,802. This stark difference makes an economic comparison difficult to present.  </w:t>
      </w:r>
    </w:p>
    <w:p w14:paraId="2082E557" w14:textId="22342B38" w:rsidR="00AD02B4" w:rsidRPr="000C3D8D" w:rsidRDefault="00AD02B4" w:rsidP="0026200C">
      <w:pPr>
        <w:spacing w:line="360" w:lineRule="auto"/>
        <w:rPr>
          <w:rFonts w:ascii="Arial" w:hAnsi="Arial" w:cs="Arial"/>
          <w:sz w:val="24"/>
          <w:szCs w:val="24"/>
        </w:rPr>
      </w:pPr>
      <w:r w:rsidRPr="000C3D8D">
        <w:rPr>
          <w:rFonts w:ascii="Arial" w:hAnsi="Arial" w:cs="Arial"/>
          <w:sz w:val="24"/>
        </w:rPr>
        <w:t xml:space="preserve">To conclude, both Wilson and Gratton et al. have produced articles with in depth detail that allows for a greater understanding of the economic impacts of local and major events. </w:t>
      </w:r>
      <w:r w:rsidR="00124614" w:rsidRPr="000C3D8D">
        <w:rPr>
          <w:rFonts w:ascii="Arial" w:hAnsi="Arial" w:cs="Arial"/>
          <w:sz w:val="24"/>
        </w:rPr>
        <w:t xml:space="preserve">It is clear from these articles that local and major events can differ greatly in their approach and outcome, generating differing profits and lasting legacies in the long-run. Key themes from both articles, and the comparison and differences between them, have been presented in hopes of providing a larger understanding of economic impacts of events. </w:t>
      </w:r>
      <w:r w:rsidRPr="000C3D8D">
        <w:rPr>
          <w:rFonts w:ascii="Arial" w:hAnsi="Arial" w:cs="Arial"/>
          <w:sz w:val="24"/>
        </w:rPr>
        <w:t>Analysis of how events can become economically successful in the confines of their size and scale is highly important for those studying within the LETS industry</w:t>
      </w:r>
      <w:r w:rsidR="00124614" w:rsidRPr="000C3D8D">
        <w:rPr>
          <w:rFonts w:ascii="Arial" w:hAnsi="Arial" w:cs="Arial"/>
          <w:sz w:val="24"/>
        </w:rPr>
        <w:t xml:space="preserve">, as this allows potential future event managers the opportunity to define what the correct and incorrect methods are when staging an event. </w:t>
      </w:r>
      <w:r w:rsidRPr="000C3D8D">
        <w:rPr>
          <w:rFonts w:ascii="Arial" w:hAnsi="Arial" w:cs="Arial"/>
          <w:sz w:val="24"/>
        </w:rPr>
        <w:t xml:space="preserve"> </w:t>
      </w:r>
    </w:p>
    <w:p w14:paraId="57BCF30D" w14:textId="31832FEC" w:rsidR="004316C5" w:rsidRPr="000C3D8D" w:rsidRDefault="004316C5" w:rsidP="0026200C">
      <w:pPr>
        <w:spacing w:line="360" w:lineRule="auto"/>
        <w:rPr>
          <w:rFonts w:ascii="Arial" w:hAnsi="Arial" w:cs="Arial"/>
          <w:sz w:val="24"/>
        </w:rPr>
      </w:pPr>
    </w:p>
    <w:p w14:paraId="2C9D81E4" w14:textId="77777777" w:rsidR="004316C5" w:rsidRPr="000C3D8D" w:rsidRDefault="004316C5" w:rsidP="0026200C">
      <w:pPr>
        <w:spacing w:line="360" w:lineRule="auto"/>
        <w:rPr>
          <w:rFonts w:ascii="Arial" w:hAnsi="Arial" w:cs="Arial"/>
          <w:b/>
          <w:sz w:val="28"/>
          <w:u w:val="single"/>
        </w:rPr>
      </w:pPr>
    </w:p>
    <w:p w14:paraId="6CD71C8C" w14:textId="77777777" w:rsidR="004316C5" w:rsidRPr="000C3D8D" w:rsidRDefault="004316C5" w:rsidP="0026200C">
      <w:pPr>
        <w:spacing w:line="360" w:lineRule="auto"/>
        <w:rPr>
          <w:rFonts w:ascii="Arial" w:hAnsi="Arial" w:cs="Arial"/>
          <w:b/>
          <w:sz w:val="28"/>
          <w:u w:val="single"/>
        </w:rPr>
      </w:pPr>
    </w:p>
    <w:p w14:paraId="11073613" w14:textId="77777777" w:rsidR="004316C5" w:rsidRPr="000C3D8D" w:rsidRDefault="004316C5" w:rsidP="0026200C">
      <w:pPr>
        <w:spacing w:line="360" w:lineRule="auto"/>
        <w:rPr>
          <w:rFonts w:ascii="Arial" w:hAnsi="Arial" w:cs="Arial"/>
          <w:b/>
          <w:sz w:val="28"/>
          <w:u w:val="single"/>
        </w:rPr>
      </w:pPr>
    </w:p>
    <w:p w14:paraId="0811DA66" w14:textId="77777777" w:rsidR="004316C5" w:rsidRPr="000C3D8D" w:rsidRDefault="004316C5" w:rsidP="0026200C">
      <w:pPr>
        <w:spacing w:line="360" w:lineRule="auto"/>
        <w:rPr>
          <w:rFonts w:ascii="Arial" w:hAnsi="Arial" w:cs="Arial"/>
          <w:b/>
          <w:sz w:val="28"/>
          <w:u w:val="single"/>
        </w:rPr>
      </w:pPr>
    </w:p>
    <w:p w14:paraId="6825C53F" w14:textId="4CDBB7E1" w:rsidR="004316C5" w:rsidRPr="000C3D8D" w:rsidRDefault="004316C5" w:rsidP="0026200C">
      <w:pPr>
        <w:spacing w:line="360" w:lineRule="auto"/>
        <w:rPr>
          <w:rFonts w:ascii="Arial" w:hAnsi="Arial" w:cs="Arial"/>
          <w:b/>
          <w:sz w:val="28"/>
          <w:u w:val="single"/>
        </w:rPr>
      </w:pPr>
    </w:p>
    <w:p w14:paraId="242A08AF" w14:textId="139F1CC7" w:rsidR="00124614" w:rsidRPr="000C3D8D" w:rsidRDefault="00124614" w:rsidP="0026200C">
      <w:pPr>
        <w:spacing w:line="360" w:lineRule="auto"/>
        <w:rPr>
          <w:rFonts w:ascii="Arial" w:hAnsi="Arial" w:cs="Arial"/>
          <w:b/>
          <w:sz w:val="28"/>
          <w:u w:val="single"/>
        </w:rPr>
      </w:pPr>
    </w:p>
    <w:p w14:paraId="5A1FCAF1" w14:textId="490624C1" w:rsidR="00124614" w:rsidRPr="000C3D8D" w:rsidRDefault="00124614" w:rsidP="0026200C">
      <w:pPr>
        <w:spacing w:line="360" w:lineRule="auto"/>
        <w:rPr>
          <w:rFonts w:ascii="Arial" w:hAnsi="Arial" w:cs="Arial"/>
          <w:b/>
          <w:sz w:val="28"/>
          <w:u w:val="single"/>
        </w:rPr>
      </w:pPr>
    </w:p>
    <w:p w14:paraId="0BBCE917" w14:textId="7EA8F8D9" w:rsidR="00124614" w:rsidRPr="000C3D8D" w:rsidRDefault="00124614" w:rsidP="0026200C">
      <w:pPr>
        <w:spacing w:line="360" w:lineRule="auto"/>
        <w:rPr>
          <w:rFonts w:ascii="Arial" w:hAnsi="Arial" w:cs="Arial"/>
          <w:b/>
          <w:sz w:val="28"/>
          <w:u w:val="single"/>
        </w:rPr>
      </w:pPr>
    </w:p>
    <w:p w14:paraId="335F8728" w14:textId="1345E6BB" w:rsidR="00124614" w:rsidRPr="000C3D8D" w:rsidRDefault="00124614" w:rsidP="0026200C">
      <w:pPr>
        <w:spacing w:line="360" w:lineRule="auto"/>
        <w:rPr>
          <w:rFonts w:ascii="Arial" w:hAnsi="Arial" w:cs="Arial"/>
          <w:b/>
          <w:sz w:val="28"/>
          <w:u w:val="single"/>
        </w:rPr>
      </w:pPr>
    </w:p>
    <w:p w14:paraId="7BB141C9" w14:textId="77777777" w:rsidR="00124614" w:rsidRPr="000C3D8D" w:rsidRDefault="00124614" w:rsidP="0026200C">
      <w:pPr>
        <w:spacing w:line="360" w:lineRule="auto"/>
        <w:rPr>
          <w:rFonts w:ascii="Arial" w:hAnsi="Arial" w:cs="Arial"/>
          <w:b/>
          <w:sz w:val="28"/>
          <w:u w:val="single"/>
        </w:rPr>
      </w:pPr>
    </w:p>
    <w:p w14:paraId="7E56337C" w14:textId="77777777" w:rsidR="0026200C" w:rsidRPr="000C3D8D" w:rsidRDefault="00722DED" w:rsidP="0026200C">
      <w:pPr>
        <w:spacing w:line="360" w:lineRule="auto"/>
        <w:rPr>
          <w:rFonts w:ascii="Arial" w:hAnsi="Arial" w:cs="Arial"/>
          <w:b/>
          <w:sz w:val="28"/>
          <w:u w:val="single"/>
        </w:rPr>
      </w:pPr>
      <w:r w:rsidRPr="000C3D8D">
        <w:rPr>
          <w:rFonts w:ascii="Arial" w:hAnsi="Arial" w:cs="Arial"/>
          <w:b/>
          <w:sz w:val="28"/>
          <w:u w:val="single"/>
        </w:rPr>
        <w:lastRenderedPageBreak/>
        <w:t>References</w:t>
      </w:r>
    </w:p>
    <w:p w14:paraId="2EA44383" w14:textId="22CCBBBF" w:rsidR="0026200C" w:rsidRPr="000C3D8D" w:rsidRDefault="0026200C" w:rsidP="0026200C">
      <w:pPr>
        <w:spacing w:line="360" w:lineRule="auto"/>
        <w:rPr>
          <w:rFonts w:ascii="Arial" w:hAnsi="Arial" w:cs="Arial"/>
          <w:b/>
          <w:sz w:val="28"/>
          <w:u w:val="single"/>
        </w:rPr>
      </w:pPr>
      <w:r w:rsidRPr="000C3D8D">
        <w:rPr>
          <w:rFonts w:ascii="Arial" w:hAnsi="Arial" w:cs="Arial"/>
          <w:sz w:val="24"/>
        </w:rPr>
        <w:t xml:space="preserve">Bianchini, F &amp; Parkinson, M. (1993), </w:t>
      </w:r>
      <w:r w:rsidRPr="000C3D8D">
        <w:rPr>
          <w:rFonts w:ascii="Arial" w:hAnsi="Arial" w:cs="Arial"/>
          <w:i/>
          <w:sz w:val="24"/>
        </w:rPr>
        <w:t>‘Cultural Police and Urban Regeneration: The West European Experience’</w:t>
      </w:r>
      <w:r w:rsidRPr="000C3D8D">
        <w:rPr>
          <w:rFonts w:ascii="Arial" w:hAnsi="Arial" w:cs="Arial"/>
          <w:sz w:val="24"/>
        </w:rPr>
        <w:t xml:space="preserve">, Oxford: Manchester University Press. </w:t>
      </w:r>
    </w:p>
    <w:p w14:paraId="31C07359" w14:textId="7BEC4F49" w:rsidR="0026200C" w:rsidRPr="000C3D8D" w:rsidRDefault="0026200C" w:rsidP="0026200C">
      <w:pPr>
        <w:spacing w:line="360" w:lineRule="auto"/>
        <w:rPr>
          <w:rFonts w:ascii="Arial" w:hAnsi="Arial" w:cs="Arial"/>
          <w:sz w:val="24"/>
        </w:rPr>
      </w:pPr>
      <w:r w:rsidRPr="000C3D8D">
        <w:rPr>
          <w:rFonts w:ascii="Arial" w:hAnsi="Arial" w:cs="Arial"/>
          <w:sz w:val="24"/>
        </w:rPr>
        <w:t xml:space="preserve">Bladen et al. (2012), ‘Events Management: An Introduction’, Oxon: Routledge. </w:t>
      </w:r>
    </w:p>
    <w:p w14:paraId="7DD19441" w14:textId="782D04E3" w:rsidR="0026200C" w:rsidRPr="000C3D8D" w:rsidRDefault="0026200C" w:rsidP="0026200C">
      <w:pPr>
        <w:spacing w:line="360" w:lineRule="auto"/>
        <w:rPr>
          <w:rFonts w:ascii="Arial" w:hAnsi="Arial" w:cs="Arial"/>
          <w:sz w:val="24"/>
        </w:rPr>
      </w:pPr>
      <w:r w:rsidRPr="000C3D8D">
        <w:rPr>
          <w:rFonts w:ascii="Arial" w:hAnsi="Arial" w:cs="Arial"/>
          <w:sz w:val="24"/>
        </w:rPr>
        <w:t xml:space="preserve">Bowdin et al. (2012), </w:t>
      </w:r>
      <w:r w:rsidRPr="000C3D8D">
        <w:rPr>
          <w:rFonts w:ascii="Arial" w:hAnsi="Arial" w:cs="Arial"/>
          <w:i/>
          <w:sz w:val="24"/>
        </w:rPr>
        <w:t>‘Events Management’</w:t>
      </w:r>
      <w:r w:rsidRPr="000C3D8D">
        <w:rPr>
          <w:rFonts w:ascii="Arial" w:hAnsi="Arial" w:cs="Arial"/>
          <w:sz w:val="24"/>
        </w:rPr>
        <w:t xml:space="preserve">, (Third Edition), Oxon: Routledge. </w:t>
      </w:r>
    </w:p>
    <w:p w14:paraId="0637BD09" w14:textId="6911ACB8" w:rsidR="0026200C" w:rsidRPr="000C3D8D" w:rsidRDefault="0026200C" w:rsidP="0026200C">
      <w:pPr>
        <w:spacing w:line="360" w:lineRule="auto"/>
        <w:rPr>
          <w:rFonts w:ascii="Arial" w:hAnsi="Arial" w:cs="Arial"/>
          <w:sz w:val="24"/>
        </w:rPr>
      </w:pPr>
      <w:r w:rsidRPr="000C3D8D">
        <w:rPr>
          <w:rFonts w:ascii="Arial" w:hAnsi="Arial" w:cs="Arial"/>
          <w:sz w:val="24"/>
        </w:rPr>
        <w:t xml:space="preserve">Damster, G &amp; Tassiopoulos, D. (2005), </w:t>
      </w:r>
      <w:r w:rsidRPr="000C3D8D">
        <w:rPr>
          <w:rFonts w:ascii="Arial" w:hAnsi="Arial" w:cs="Arial"/>
          <w:i/>
          <w:sz w:val="24"/>
        </w:rPr>
        <w:t>‘Event Management: A Professional and Developmental Approach’</w:t>
      </w:r>
      <w:r w:rsidRPr="000C3D8D">
        <w:rPr>
          <w:rFonts w:ascii="Arial" w:hAnsi="Arial" w:cs="Arial"/>
          <w:sz w:val="24"/>
        </w:rPr>
        <w:t xml:space="preserve">, (Second Edition), Lansdowne: Juta Academic. </w:t>
      </w:r>
    </w:p>
    <w:p w14:paraId="54D9E604" w14:textId="7754AB2C" w:rsidR="0026200C" w:rsidRPr="000C3D8D" w:rsidRDefault="0026200C" w:rsidP="0026200C">
      <w:pPr>
        <w:spacing w:line="360" w:lineRule="auto"/>
        <w:rPr>
          <w:rFonts w:ascii="Arial" w:hAnsi="Arial" w:cs="Arial"/>
          <w:sz w:val="24"/>
        </w:rPr>
      </w:pPr>
      <w:r w:rsidRPr="000C3D8D">
        <w:rPr>
          <w:rFonts w:ascii="Arial" w:hAnsi="Arial" w:cs="Arial"/>
          <w:sz w:val="24"/>
        </w:rPr>
        <w:t xml:space="preserve">Gratton et al. (2000), </w:t>
      </w:r>
      <w:r w:rsidRPr="000C3D8D">
        <w:rPr>
          <w:rFonts w:ascii="Arial" w:hAnsi="Arial" w:cs="Arial"/>
          <w:i/>
          <w:sz w:val="24"/>
        </w:rPr>
        <w:t>‘The economic importance of major sports events: a case-study of six events’</w:t>
      </w:r>
      <w:r w:rsidRPr="000C3D8D">
        <w:rPr>
          <w:rFonts w:ascii="Arial" w:hAnsi="Arial" w:cs="Arial"/>
          <w:sz w:val="24"/>
        </w:rPr>
        <w:t xml:space="preserve">, </w:t>
      </w:r>
      <w:r w:rsidRPr="000C3D8D">
        <w:rPr>
          <w:rFonts w:ascii="Arial" w:hAnsi="Arial" w:cs="Arial"/>
          <w:sz w:val="24"/>
          <w:u w:val="single"/>
        </w:rPr>
        <w:t>Managing Leisure 5</w:t>
      </w:r>
      <w:r w:rsidRPr="000C3D8D">
        <w:rPr>
          <w:rFonts w:ascii="Arial" w:hAnsi="Arial" w:cs="Arial"/>
          <w:sz w:val="24"/>
        </w:rPr>
        <w:t>, pp. 26.</w:t>
      </w:r>
    </w:p>
    <w:p w14:paraId="2318A1E7" w14:textId="14AE7341" w:rsidR="00722DED" w:rsidRPr="000C3D8D" w:rsidRDefault="00722DED" w:rsidP="0026200C">
      <w:pPr>
        <w:spacing w:line="360" w:lineRule="auto"/>
        <w:rPr>
          <w:rFonts w:ascii="Arial" w:hAnsi="Arial" w:cs="Arial"/>
          <w:sz w:val="24"/>
        </w:rPr>
      </w:pPr>
      <w:r w:rsidRPr="000C3D8D">
        <w:rPr>
          <w:rFonts w:ascii="Arial" w:hAnsi="Arial" w:cs="Arial"/>
          <w:sz w:val="24"/>
        </w:rPr>
        <w:t xml:space="preserve">Gratton et al. (2006), </w:t>
      </w:r>
      <w:r w:rsidRPr="000C3D8D">
        <w:rPr>
          <w:rFonts w:ascii="Arial" w:hAnsi="Arial" w:cs="Arial"/>
          <w:i/>
          <w:sz w:val="24"/>
        </w:rPr>
        <w:t>‘The economic impact of major sports events: a review of ten events in the UK’</w:t>
      </w:r>
      <w:r w:rsidRPr="000C3D8D">
        <w:rPr>
          <w:rFonts w:ascii="Arial" w:hAnsi="Arial" w:cs="Arial"/>
          <w:sz w:val="24"/>
        </w:rPr>
        <w:t>, pp. 41 – 58.</w:t>
      </w:r>
    </w:p>
    <w:p w14:paraId="5793A062" w14:textId="2FF3EC7E" w:rsidR="0026200C" w:rsidRPr="000C3D8D" w:rsidRDefault="0026200C" w:rsidP="0026200C">
      <w:pPr>
        <w:spacing w:line="360" w:lineRule="auto"/>
        <w:rPr>
          <w:rFonts w:ascii="Arial" w:hAnsi="Arial" w:cs="Arial"/>
          <w:sz w:val="24"/>
        </w:rPr>
      </w:pPr>
      <w:r w:rsidRPr="000C3D8D">
        <w:rPr>
          <w:rFonts w:ascii="Arial" w:hAnsi="Arial" w:cs="Arial"/>
          <w:sz w:val="24"/>
        </w:rPr>
        <w:t xml:space="preserve">Mallen, C &amp; Lorne, A. J. (2017), </w:t>
      </w:r>
      <w:r w:rsidRPr="000C3D8D">
        <w:rPr>
          <w:rFonts w:ascii="Arial" w:hAnsi="Arial" w:cs="Arial"/>
          <w:i/>
          <w:sz w:val="24"/>
        </w:rPr>
        <w:t>‘Event Management in Sport, Recreation and Tourism: Theoretical and Practical Dimensions’</w:t>
      </w:r>
      <w:r w:rsidRPr="000C3D8D">
        <w:rPr>
          <w:rFonts w:ascii="Arial" w:hAnsi="Arial" w:cs="Arial"/>
          <w:sz w:val="24"/>
        </w:rPr>
        <w:t xml:space="preserve">, (Third Edition), Oxon: Routledge. </w:t>
      </w:r>
    </w:p>
    <w:p w14:paraId="2368CFF1" w14:textId="7BFAF73B" w:rsidR="0026200C" w:rsidRPr="000C3D8D" w:rsidRDefault="0026200C" w:rsidP="0026200C">
      <w:pPr>
        <w:spacing w:line="360" w:lineRule="auto"/>
        <w:rPr>
          <w:rFonts w:ascii="Arial" w:hAnsi="Arial" w:cs="Arial"/>
          <w:sz w:val="24"/>
        </w:rPr>
      </w:pPr>
      <w:r w:rsidRPr="000C3D8D">
        <w:rPr>
          <w:rFonts w:ascii="Arial" w:hAnsi="Arial" w:cs="Arial"/>
          <w:sz w:val="24"/>
        </w:rPr>
        <w:t>Masterman, G. (2014), ‘</w:t>
      </w:r>
      <w:r w:rsidRPr="000C3D8D">
        <w:rPr>
          <w:rFonts w:ascii="Arial" w:hAnsi="Arial" w:cs="Arial"/>
          <w:i/>
          <w:sz w:val="24"/>
        </w:rPr>
        <w:t>Strategic Sports Event Management’</w:t>
      </w:r>
      <w:r w:rsidRPr="000C3D8D">
        <w:rPr>
          <w:rFonts w:ascii="Arial" w:hAnsi="Arial" w:cs="Arial"/>
          <w:sz w:val="24"/>
        </w:rPr>
        <w:t xml:space="preserve">, (Third Edition), Oxon: Routledge. </w:t>
      </w:r>
    </w:p>
    <w:p w14:paraId="5948453A" w14:textId="42133ECF" w:rsidR="0026200C" w:rsidRPr="000C3D8D" w:rsidRDefault="0026200C" w:rsidP="0026200C">
      <w:pPr>
        <w:spacing w:line="360" w:lineRule="auto"/>
        <w:rPr>
          <w:rFonts w:ascii="Arial" w:hAnsi="Arial" w:cs="Arial"/>
          <w:sz w:val="24"/>
        </w:rPr>
      </w:pPr>
      <w:r w:rsidRPr="000C3D8D">
        <w:rPr>
          <w:rFonts w:ascii="Arial" w:hAnsi="Arial" w:cs="Arial"/>
          <w:sz w:val="24"/>
        </w:rPr>
        <w:t xml:space="preserve">Pielichaty et al. (2016), </w:t>
      </w:r>
      <w:r w:rsidRPr="000C3D8D">
        <w:rPr>
          <w:rFonts w:ascii="Arial" w:hAnsi="Arial" w:cs="Arial"/>
          <w:i/>
          <w:sz w:val="24"/>
        </w:rPr>
        <w:t>‘Events Project Management’</w:t>
      </w:r>
      <w:r w:rsidRPr="000C3D8D">
        <w:rPr>
          <w:rFonts w:ascii="Arial" w:hAnsi="Arial" w:cs="Arial"/>
          <w:sz w:val="24"/>
        </w:rPr>
        <w:t xml:space="preserve">, Oxon: Routledge. </w:t>
      </w:r>
    </w:p>
    <w:p w14:paraId="76776BDE" w14:textId="60CCA9CF" w:rsidR="0026200C" w:rsidRPr="000C3D8D" w:rsidRDefault="0026200C" w:rsidP="0026200C">
      <w:pPr>
        <w:spacing w:line="360" w:lineRule="auto"/>
        <w:rPr>
          <w:rFonts w:ascii="Arial" w:hAnsi="Arial" w:cs="Arial"/>
          <w:sz w:val="24"/>
        </w:rPr>
      </w:pPr>
      <w:r w:rsidRPr="000C3D8D">
        <w:rPr>
          <w:rFonts w:ascii="Arial" w:hAnsi="Arial" w:cs="Arial"/>
          <w:sz w:val="24"/>
        </w:rPr>
        <w:t xml:space="preserve">Rhondda Cynon Taf. (2016), ‘£190K boost to local economy thanks to Tour of Britain’, [Online]. Available: </w:t>
      </w:r>
      <w:hyperlink r:id="rId8" w:history="1">
        <w:r w:rsidRPr="000C3D8D">
          <w:rPr>
            <w:rStyle w:val="Hyperlink"/>
            <w:rFonts w:ascii="Arial" w:hAnsi="Arial" w:cs="Arial"/>
            <w:sz w:val="24"/>
          </w:rPr>
          <w:t>http://www.rctcbc.gov.uk/EN/Newsroom/PressReleases/2016/December/190kboosttolocaleconomythankstoTourofBritain.aspx</w:t>
        </w:r>
      </w:hyperlink>
      <w:r w:rsidRPr="000C3D8D">
        <w:rPr>
          <w:rFonts w:ascii="Arial" w:hAnsi="Arial" w:cs="Arial"/>
          <w:sz w:val="24"/>
        </w:rPr>
        <w:t xml:space="preserve">, Last Accessed: [2018, January, 10]. </w:t>
      </w:r>
    </w:p>
    <w:p w14:paraId="5968633F" w14:textId="293675C0" w:rsidR="0026200C" w:rsidRPr="000C3D8D" w:rsidRDefault="0026200C" w:rsidP="0026200C">
      <w:pPr>
        <w:spacing w:line="360" w:lineRule="auto"/>
        <w:rPr>
          <w:rFonts w:ascii="Arial" w:hAnsi="Arial" w:cs="Arial"/>
          <w:sz w:val="24"/>
        </w:rPr>
      </w:pPr>
      <w:r w:rsidRPr="000C3D8D">
        <w:rPr>
          <w:rFonts w:ascii="Arial" w:hAnsi="Arial" w:cs="Arial"/>
          <w:sz w:val="24"/>
        </w:rPr>
        <w:t xml:space="preserve">Schwarz et al. (2016), </w:t>
      </w:r>
      <w:r w:rsidRPr="000C3D8D">
        <w:rPr>
          <w:rFonts w:ascii="Arial" w:hAnsi="Arial" w:cs="Arial"/>
          <w:i/>
          <w:sz w:val="24"/>
        </w:rPr>
        <w:t>‘Managing Sport Facilities and Major Events’</w:t>
      </w:r>
      <w:r w:rsidRPr="000C3D8D">
        <w:rPr>
          <w:rFonts w:ascii="Arial" w:hAnsi="Arial" w:cs="Arial"/>
          <w:sz w:val="24"/>
        </w:rPr>
        <w:t>, (Second Edition), London: Taylor and Francis.</w:t>
      </w:r>
    </w:p>
    <w:p w14:paraId="1D2B98B5" w14:textId="538F3E6C" w:rsidR="0026200C" w:rsidRPr="000C3D8D" w:rsidRDefault="0026200C" w:rsidP="0026200C">
      <w:pPr>
        <w:spacing w:line="360" w:lineRule="auto"/>
        <w:rPr>
          <w:rFonts w:ascii="Arial" w:hAnsi="Arial" w:cs="Arial"/>
          <w:sz w:val="24"/>
        </w:rPr>
      </w:pPr>
      <w:r w:rsidRPr="000C3D8D">
        <w:rPr>
          <w:rFonts w:ascii="Arial" w:hAnsi="Arial" w:cs="Arial"/>
          <w:sz w:val="24"/>
        </w:rPr>
        <w:t>Trimble et al. (2010), ‘</w:t>
      </w:r>
      <w:r w:rsidRPr="000C3D8D">
        <w:rPr>
          <w:rFonts w:ascii="Arial" w:hAnsi="Arial" w:cs="Arial"/>
          <w:i/>
          <w:sz w:val="24"/>
        </w:rPr>
        <w:t>Sport in the UK’</w:t>
      </w:r>
      <w:r w:rsidRPr="000C3D8D">
        <w:rPr>
          <w:rFonts w:ascii="Arial" w:hAnsi="Arial" w:cs="Arial"/>
          <w:sz w:val="24"/>
        </w:rPr>
        <w:t xml:space="preserve">, Exeter: Learning Matters Ltd. </w:t>
      </w:r>
    </w:p>
    <w:p w14:paraId="2C8E1D10" w14:textId="082EAC85" w:rsidR="0026200C" w:rsidRPr="000C3D8D" w:rsidRDefault="0026200C" w:rsidP="0026200C">
      <w:pPr>
        <w:spacing w:line="360" w:lineRule="auto"/>
        <w:rPr>
          <w:rFonts w:ascii="Arial" w:hAnsi="Arial" w:cs="Arial"/>
          <w:sz w:val="24"/>
        </w:rPr>
      </w:pPr>
      <w:r w:rsidRPr="000C3D8D">
        <w:rPr>
          <w:rFonts w:ascii="Arial" w:hAnsi="Arial" w:cs="Arial"/>
          <w:sz w:val="24"/>
        </w:rPr>
        <w:t xml:space="preserve">Yeoman et al. (2012), </w:t>
      </w:r>
      <w:r w:rsidRPr="000C3D8D">
        <w:rPr>
          <w:rFonts w:ascii="Arial" w:hAnsi="Arial" w:cs="Arial"/>
          <w:i/>
          <w:sz w:val="24"/>
        </w:rPr>
        <w:t>‘Festival and Events Management’</w:t>
      </w:r>
      <w:r w:rsidRPr="000C3D8D">
        <w:rPr>
          <w:rFonts w:ascii="Arial" w:hAnsi="Arial" w:cs="Arial"/>
          <w:sz w:val="24"/>
        </w:rPr>
        <w:t xml:space="preserve">, Oxon: Routledge. </w:t>
      </w:r>
    </w:p>
    <w:p w14:paraId="6ED5B0E9" w14:textId="7DEF9569" w:rsidR="0026200C" w:rsidRPr="000C3D8D" w:rsidRDefault="0026200C" w:rsidP="0026200C">
      <w:pPr>
        <w:spacing w:line="360" w:lineRule="auto"/>
        <w:rPr>
          <w:rFonts w:ascii="Arial" w:hAnsi="Arial" w:cs="Arial"/>
          <w:sz w:val="24"/>
        </w:rPr>
      </w:pPr>
      <w:r w:rsidRPr="000C3D8D">
        <w:rPr>
          <w:rFonts w:ascii="Arial" w:hAnsi="Arial" w:cs="Arial"/>
          <w:sz w:val="24"/>
        </w:rPr>
        <w:t xml:space="preserve">Wilson, B. (2010), </w:t>
      </w:r>
      <w:r w:rsidRPr="000C3D8D">
        <w:rPr>
          <w:rFonts w:ascii="Arial" w:hAnsi="Arial" w:cs="Arial"/>
          <w:i/>
          <w:sz w:val="24"/>
        </w:rPr>
        <w:t>‘Top sports events ‘boost economy’’</w:t>
      </w:r>
      <w:r w:rsidRPr="000C3D8D">
        <w:rPr>
          <w:rFonts w:ascii="Arial" w:hAnsi="Arial" w:cs="Arial"/>
          <w:sz w:val="24"/>
        </w:rPr>
        <w:t xml:space="preserve">, [Online]. Available: </w:t>
      </w:r>
      <w:hyperlink r:id="rId9" w:history="1">
        <w:r w:rsidRPr="000C3D8D">
          <w:rPr>
            <w:rStyle w:val="Hyperlink"/>
            <w:rFonts w:ascii="Arial" w:hAnsi="Arial" w:cs="Arial"/>
            <w:sz w:val="24"/>
          </w:rPr>
          <w:t>http://news.bbc.co.uk/1/hi/business/8516889.stm</w:t>
        </w:r>
      </w:hyperlink>
      <w:r w:rsidRPr="000C3D8D">
        <w:rPr>
          <w:rFonts w:ascii="Arial" w:hAnsi="Arial" w:cs="Arial"/>
          <w:sz w:val="24"/>
        </w:rPr>
        <w:t>, Last Accessed: [2018, January, 10].</w:t>
      </w:r>
    </w:p>
    <w:p w14:paraId="369565E3" w14:textId="5E40657F" w:rsidR="00722DED" w:rsidRPr="000C3D8D" w:rsidRDefault="00722DED" w:rsidP="0026200C">
      <w:pPr>
        <w:spacing w:line="360" w:lineRule="auto"/>
        <w:rPr>
          <w:rFonts w:ascii="Arial" w:hAnsi="Arial" w:cs="Arial"/>
          <w:sz w:val="24"/>
        </w:rPr>
      </w:pPr>
      <w:r w:rsidRPr="000C3D8D">
        <w:rPr>
          <w:rFonts w:ascii="Arial" w:hAnsi="Arial" w:cs="Arial"/>
          <w:sz w:val="24"/>
        </w:rPr>
        <w:lastRenderedPageBreak/>
        <w:t xml:space="preserve">Wilson, R. (2006), </w:t>
      </w:r>
      <w:r w:rsidRPr="000C3D8D">
        <w:rPr>
          <w:rFonts w:ascii="Arial" w:hAnsi="Arial" w:cs="Arial"/>
          <w:i/>
          <w:sz w:val="24"/>
        </w:rPr>
        <w:t>‘The economic impact of local sport events: significant, limited or otherwise? A case study of four swimming events’</w:t>
      </w:r>
      <w:r w:rsidRPr="000C3D8D">
        <w:rPr>
          <w:rFonts w:ascii="Arial" w:hAnsi="Arial" w:cs="Arial"/>
          <w:sz w:val="24"/>
        </w:rPr>
        <w:t xml:space="preserve">, </w:t>
      </w:r>
      <w:r w:rsidRPr="000C3D8D">
        <w:rPr>
          <w:rFonts w:ascii="Arial" w:hAnsi="Arial" w:cs="Arial"/>
          <w:sz w:val="24"/>
          <w:u w:val="single"/>
        </w:rPr>
        <w:t>Managing Leisure 11</w:t>
      </w:r>
      <w:r w:rsidRPr="000C3D8D">
        <w:rPr>
          <w:rFonts w:ascii="Arial" w:hAnsi="Arial" w:cs="Arial"/>
          <w:sz w:val="24"/>
        </w:rPr>
        <w:t>, pp. 57-70.</w:t>
      </w:r>
    </w:p>
    <w:p w14:paraId="54D0DB48" w14:textId="0D7567BB" w:rsidR="00124614" w:rsidRPr="000C3D8D" w:rsidRDefault="004C5B87" w:rsidP="0026200C">
      <w:pPr>
        <w:spacing w:line="360" w:lineRule="auto"/>
        <w:rPr>
          <w:rFonts w:ascii="Arial" w:hAnsi="Arial" w:cs="Arial"/>
          <w:sz w:val="24"/>
        </w:rPr>
      </w:pPr>
      <w:r w:rsidRPr="000C3D8D">
        <w:rPr>
          <w:rFonts w:ascii="Arial" w:hAnsi="Arial" w:cs="Arial"/>
          <w:sz w:val="24"/>
        </w:rPr>
        <w:t xml:space="preserve">Van der Wagen, L. (2010), </w:t>
      </w:r>
      <w:r w:rsidRPr="000C3D8D">
        <w:rPr>
          <w:rFonts w:ascii="Arial" w:hAnsi="Arial" w:cs="Arial"/>
          <w:i/>
          <w:sz w:val="24"/>
        </w:rPr>
        <w:t>‘Event Management’</w:t>
      </w:r>
      <w:r w:rsidRPr="000C3D8D">
        <w:rPr>
          <w:rFonts w:ascii="Arial" w:hAnsi="Arial" w:cs="Arial"/>
          <w:sz w:val="24"/>
        </w:rPr>
        <w:t xml:space="preserve">, (Fourth Edition), Australia: Pearson Australia. </w:t>
      </w:r>
    </w:p>
    <w:p w14:paraId="77EC12C0" w14:textId="77777777" w:rsidR="004C5B87" w:rsidRPr="000C3D8D" w:rsidRDefault="004C5B87" w:rsidP="008C21D2">
      <w:pPr>
        <w:spacing w:line="360" w:lineRule="auto"/>
        <w:rPr>
          <w:rFonts w:ascii="Arial" w:hAnsi="Arial" w:cs="Arial"/>
          <w:sz w:val="24"/>
        </w:rPr>
      </w:pPr>
    </w:p>
    <w:p w14:paraId="5125618E" w14:textId="77777777" w:rsidR="00420D89" w:rsidRPr="000C3D8D" w:rsidRDefault="00420D89" w:rsidP="00BC49CD">
      <w:pPr>
        <w:rPr>
          <w:rFonts w:ascii="Arial" w:hAnsi="Arial" w:cs="Arial"/>
          <w:sz w:val="24"/>
        </w:rPr>
      </w:pPr>
    </w:p>
    <w:p w14:paraId="2732B059" w14:textId="7EA80107" w:rsidR="00B110E3" w:rsidRPr="00BC49CD" w:rsidRDefault="00BC49CD" w:rsidP="00BC49CD">
      <w:pPr>
        <w:tabs>
          <w:tab w:val="left" w:pos="8295"/>
        </w:tabs>
        <w:rPr>
          <w:rFonts w:ascii="Arial" w:hAnsi="Arial" w:cs="Arial"/>
          <w:sz w:val="24"/>
        </w:rPr>
      </w:pPr>
      <w:r>
        <w:rPr>
          <w:rFonts w:ascii="Arial" w:hAnsi="Arial" w:cs="Arial"/>
          <w:sz w:val="24"/>
        </w:rPr>
        <w:tab/>
      </w:r>
    </w:p>
    <w:sectPr w:rsidR="00B110E3" w:rsidRPr="00BC49C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59B16B" w14:textId="77777777" w:rsidR="00FC50A5" w:rsidRDefault="00FC50A5" w:rsidP="002203A1">
      <w:pPr>
        <w:spacing w:after="0" w:line="240" w:lineRule="auto"/>
      </w:pPr>
      <w:r>
        <w:separator/>
      </w:r>
    </w:p>
  </w:endnote>
  <w:endnote w:type="continuationSeparator" w:id="0">
    <w:p w14:paraId="7930F4EE" w14:textId="77777777" w:rsidR="00FC50A5" w:rsidRDefault="00FC50A5" w:rsidP="00220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2832902"/>
      <w:docPartObj>
        <w:docPartGallery w:val="Page Numbers (Bottom of Page)"/>
        <w:docPartUnique/>
      </w:docPartObj>
    </w:sdtPr>
    <w:sdtEndPr>
      <w:rPr>
        <w:color w:val="7F7F7F" w:themeColor="background1" w:themeShade="7F"/>
        <w:spacing w:val="60"/>
      </w:rPr>
    </w:sdtEndPr>
    <w:sdtContent>
      <w:p w14:paraId="3C655920" w14:textId="193BCC49" w:rsidR="004C574B" w:rsidRDefault="004C574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C3D8D" w:rsidRPr="000C3D8D">
          <w:rPr>
            <w:b/>
            <w:bCs/>
            <w:noProof/>
          </w:rPr>
          <w:t>6</w:t>
        </w:r>
        <w:r>
          <w:rPr>
            <w:b/>
            <w:bCs/>
            <w:noProof/>
          </w:rPr>
          <w:fldChar w:fldCharType="end"/>
        </w:r>
        <w:r>
          <w:rPr>
            <w:b/>
            <w:bCs/>
          </w:rPr>
          <w:t xml:space="preserve"> | </w:t>
        </w:r>
        <w:r>
          <w:rPr>
            <w:color w:val="7F7F7F" w:themeColor="background1" w:themeShade="7F"/>
            <w:spacing w:val="60"/>
          </w:rPr>
          <w:t>Page</w:t>
        </w:r>
      </w:p>
    </w:sdtContent>
  </w:sdt>
  <w:p w14:paraId="10270E8E" w14:textId="77777777" w:rsidR="004C574B" w:rsidRDefault="004C5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1F685C" w14:textId="77777777" w:rsidR="00FC50A5" w:rsidRDefault="00FC50A5" w:rsidP="002203A1">
      <w:pPr>
        <w:spacing w:after="0" w:line="240" w:lineRule="auto"/>
      </w:pPr>
      <w:r>
        <w:separator/>
      </w:r>
    </w:p>
  </w:footnote>
  <w:footnote w:type="continuationSeparator" w:id="0">
    <w:p w14:paraId="63BB7357" w14:textId="77777777" w:rsidR="00FC50A5" w:rsidRDefault="00FC50A5" w:rsidP="002203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DB6869" w14:textId="581150FF" w:rsidR="004C574B" w:rsidRPr="002203A1" w:rsidRDefault="004C574B">
    <w:pPr>
      <w:pStyle w:val="Header"/>
      <w:rPr>
        <w:b/>
      </w:rPr>
    </w:pPr>
    <w:r w:rsidRPr="002203A1">
      <w:rPr>
        <w:b/>
      </w:rPr>
      <w:t>Nathan Price</w:t>
    </w:r>
    <w:r w:rsidRPr="002203A1">
      <w:rPr>
        <w:b/>
      </w:rPr>
      <w:ptab w:relativeTo="margin" w:alignment="center" w:leader="none"/>
    </w:r>
    <w:r w:rsidRPr="002203A1">
      <w:rPr>
        <w:b/>
      </w:rPr>
      <w:ptab w:relativeTo="margin" w:alignment="right" w:leader="none"/>
    </w:r>
    <w:r w:rsidRPr="002203A1">
      <w:rPr>
        <w:b/>
      </w:rPr>
      <w:t>Academic &amp; Industry Skills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B6378F"/>
    <w:multiLevelType w:val="hybridMultilevel"/>
    <w:tmpl w:val="4ACE4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33A1C"/>
    <w:multiLevelType w:val="hybridMultilevel"/>
    <w:tmpl w:val="70584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62E2B"/>
    <w:multiLevelType w:val="hybridMultilevel"/>
    <w:tmpl w:val="E65CF7F2"/>
    <w:lvl w:ilvl="0" w:tplc="BFC80D2A">
      <w:start w:val="1"/>
      <w:numFmt w:val="bullet"/>
      <w:lvlText w:val="•"/>
      <w:lvlJc w:val="left"/>
      <w:pPr>
        <w:tabs>
          <w:tab w:val="num" w:pos="720"/>
        </w:tabs>
        <w:ind w:left="720" w:hanging="360"/>
      </w:pPr>
      <w:rPr>
        <w:rFonts w:ascii="Arial" w:hAnsi="Arial" w:hint="default"/>
      </w:rPr>
    </w:lvl>
    <w:lvl w:ilvl="1" w:tplc="4A561C70">
      <w:start w:val="306"/>
      <w:numFmt w:val="bullet"/>
      <w:lvlText w:val="•"/>
      <w:lvlJc w:val="left"/>
      <w:pPr>
        <w:tabs>
          <w:tab w:val="num" w:pos="1440"/>
        </w:tabs>
        <w:ind w:left="1440" w:hanging="360"/>
      </w:pPr>
      <w:rPr>
        <w:rFonts w:ascii="Arial" w:hAnsi="Arial" w:hint="default"/>
      </w:rPr>
    </w:lvl>
    <w:lvl w:ilvl="2" w:tplc="6AB046C6">
      <w:start w:val="1"/>
      <w:numFmt w:val="bullet"/>
      <w:lvlText w:val="•"/>
      <w:lvlJc w:val="left"/>
      <w:pPr>
        <w:tabs>
          <w:tab w:val="num" w:pos="2160"/>
        </w:tabs>
        <w:ind w:left="2160" w:hanging="360"/>
      </w:pPr>
      <w:rPr>
        <w:rFonts w:ascii="Arial" w:hAnsi="Arial" w:hint="default"/>
      </w:rPr>
    </w:lvl>
    <w:lvl w:ilvl="3" w:tplc="9E56EE5E">
      <w:start w:val="306"/>
      <w:numFmt w:val="bullet"/>
      <w:lvlText w:val="•"/>
      <w:lvlJc w:val="left"/>
      <w:pPr>
        <w:tabs>
          <w:tab w:val="num" w:pos="2880"/>
        </w:tabs>
        <w:ind w:left="2880" w:hanging="360"/>
      </w:pPr>
      <w:rPr>
        <w:rFonts w:ascii="Arial" w:hAnsi="Arial" w:hint="default"/>
      </w:rPr>
    </w:lvl>
    <w:lvl w:ilvl="4" w:tplc="3C2A9A24" w:tentative="1">
      <w:start w:val="1"/>
      <w:numFmt w:val="bullet"/>
      <w:lvlText w:val="•"/>
      <w:lvlJc w:val="left"/>
      <w:pPr>
        <w:tabs>
          <w:tab w:val="num" w:pos="3600"/>
        </w:tabs>
        <w:ind w:left="3600" w:hanging="360"/>
      </w:pPr>
      <w:rPr>
        <w:rFonts w:ascii="Arial" w:hAnsi="Arial" w:hint="default"/>
      </w:rPr>
    </w:lvl>
    <w:lvl w:ilvl="5" w:tplc="BB7C2C64" w:tentative="1">
      <w:start w:val="1"/>
      <w:numFmt w:val="bullet"/>
      <w:lvlText w:val="•"/>
      <w:lvlJc w:val="left"/>
      <w:pPr>
        <w:tabs>
          <w:tab w:val="num" w:pos="4320"/>
        </w:tabs>
        <w:ind w:left="4320" w:hanging="360"/>
      </w:pPr>
      <w:rPr>
        <w:rFonts w:ascii="Arial" w:hAnsi="Arial" w:hint="default"/>
      </w:rPr>
    </w:lvl>
    <w:lvl w:ilvl="6" w:tplc="63A40882" w:tentative="1">
      <w:start w:val="1"/>
      <w:numFmt w:val="bullet"/>
      <w:lvlText w:val="•"/>
      <w:lvlJc w:val="left"/>
      <w:pPr>
        <w:tabs>
          <w:tab w:val="num" w:pos="5040"/>
        </w:tabs>
        <w:ind w:left="5040" w:hanging="360"/>
      </w:pPr>
      <w:rPr>
        <w:rFonts w:ascii="Arial" w:hAnsi="Arial" w:hint="default"/>
      </w:rPr>
    </w:lvl>
    <w:lvl w:ilvl="7" w:tplc="C8BA1D3A" w:tentative="1">
      <w:start w:val="1"/>
      <w:numFmt w:val="bullet"/>
      <w:lvlText w:val="•"/>
      <w:lvlJc w:val="left"/>
      <w:pPr>
        <w:tabs>
          <w:tab w:val="num" w:pos="5760"/>
        </w:tabs>
        <w:ind w:left="5760" w:hanging="360"/>
      </w:pPr>
      <w:rPr>
        <w:rFonts w:ascii="Arial" w:hAnsi="Arial" w:hint="default"/>
      </w:rPr>
    </w:lvl>
    <w:lvl w:ilvl="8" w:tplc="BAF034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F32684"/>
    <w:multiLevelType w:val="hybridMultilevel"/>
    <w:tmpl w:val="7A627008"/>
    <w:lvl w:ilvl="0" w:tplc="5B646370">
      <w:start w:val="1"/>
      <w:numFmt w:val="bullet"/>
      <w:lvlText w:val="•"/>
      <w:lvlJc w:val="left"/>
      <w:pPr>
        <w:tabs>
          <w:tab w:val="num" w:pos="720"/>
        </w:tabs>
        <w:ind w:left="720" w:hanging="360"/>
      </w:pPr>
      <w:rPr>
        <w:rFonts w:ascii="Arial" w:hAnsi="Arial" w:hint="default"/>
      </w:rPr>
    </w:lvl>
    <w:lvl w:ilvl="1" w:tplc="17985F96">
      <w:start w:val="347"/>
      <w:numFmt w:val="bullet"/>
      <w:lvlText w:val="•"/>
      <w:lvlJc w:val="left"/>
      <w:pPr>
        <w:tabs>
          <w:tab w:val="num" w:pos="1440"/>
        </w:tabs>
        <w:ind w:left="1440" w:hanging="360"/>
      </w:pPr>
      <w:rPr>
        <w:rFonts w:ascii="Arial" w:hAnsi="Arial" w:hint="default"/>
      </w:rPr>
    </w:lvl>
    <w:lvl w:ilvl="2" w:tplc="8F16A558">
      <w:start w:val="347"/>
      <w:numFmt w:val="bullet"/>
      <w:lvlText w:val="•"/>
      <w:lvlJc w:val="left"/>
      <w:pPr>
        <w:tabs>
          <w:tab w:val="num" w:pos="2160"/>
        </w:tabs>
        <w:ind w:left="2160" w:hanging="360"/>
      </w:pPr>
      <w:rPr>
        <w:rFonts w:ascii="Arial" w:hAnsi="Arial" w:hint="default"/>
      </w:rPr>
    </w:lvl>
    <w:lvl w:ilvl="3" w:tplc="B89608DE">
      <w:start w:val="1"/>
      <w:numFmt w:val="bullet"/>
      <w:lvlText w:val="•"/>
      <w:lvlJc w:val="left"/>
      <w:pPr>
        <w:tabs>
          <w:tab w:val="num" w:pos="2880"/>
        </w:tabs>
        <w:ind w:left="2880" w:hanging="360"/>
      </w:pPr>
      <w:rPr>
        <w:rFonts w:ascii="Arial" w:hAnsi="Arial" w:hint="default"/>
      </w:rPr>
    </w:lvl>
    <w:lvl w:ilvl="4" w:tplc="8778A99A" w:tentative="1">
      <w:start w:val="1"/>
      <w:numFmt w:val="bullet"/>
      <w:lvlText w:val="•"/>
      <w:lvlJc w:val="left"/>
      <w:pPr>
        <w:tabs>
          <w:tab w:val="num" w:pos="3600"/>
        </w:tabs>
        <w:ind w:left="3600" w:hanging="360"/>
      </w:pPr>
      <w:rPr>
        <w:rFonts w:ascii="Arial" w:hAnsi="Arial" w:hint="default"/>
      </w:rPr>
    </w:lvl>
    <w:lvl w:ilvl="5" w:tplc="176011FE" w:tentative="1">
      <w:start w:val="1"/>
      <w:numFmt w:val="bullet"/>
      <w:lvlText w:val="•"/>
      <w:lvlJc w:val="left"/>
      <w:pPr>
        <w:tabs>
          <w:tab w:val="num" w:pos="4320"/>
        </w:tabs>
        <w:ind w:left="4320" w:hanging="360"/>
      </w:pPr>
      <w:rPr>
        <w:rFonts w:ascii="Arial" w:hAnsi="Arial" w:hint="default"/>
      </w:rPr>
    </w:lvl>
    <w:lvl w:ilvl="6" w:tplc="7CAA25B6" w:tentative="1">
      <w:start w:val="1"/>
      <w:numFmt w:val="bullet"/>
      <w:lvlText w:val="•"/>
      <w:lvlJc w:val="left"/>
      <w:pPr>
        <w:tabs>
          <w:tab w:val="num" w:pos="5040"/>
        </w:tabs>
        <w:ind w:left="5040" w:hanging="360"/>
      </w:pPr>
      <w:rPr>
        <w:rFonts w:ascii="Arial" w:hAnsi="Arial" w:hint="default"/>
      </w:rPr>
    </w:lvl>
    <w:lvl w:ilvl="7" w:tplc="32205616" w:tentative="1">
      <w:start w:val="1"/>
      <w:numFmt w:val="bullet"/>
      <w:lvlText w:val="•"/>
      <w:lvlJc w:val="left"/>
      <w:pPr>
        <w:tabs>
          <w:tab w:val="num" w:pos="5760"/>
        </w:tabs>
        <w:ind w:left="5760" w:hanging="360"/>
      </w:pPr>
      <w:rPr>
        <w:rFonts w:ascii="Arial" w:hAnsi="Arial" w:hint="default"/>
      </w:rPr>
    </w:lvl>
    <w:lvl w:ilvl="8" w:tplc="0D4A1B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84651D"/>
    <w:multiLevelType w:val="hybridMultilevel"/>
    <w:tmpl w:val="A1585BBA"/>
    <w:lvl w:ilvl="0" w:tplc="7668ED32">
      <w:start w:val="1"/>
      <w:numFmt w:val="bullet"/>
      <w:lvlText w:val=""/>
      <w:lvlJc w:val="left"/>
      <w:pPr>
        <w:tabs>
          <w:tab w:val="num" w:pos="720"/>
        </w:tabs>
        <w:ind w:left="720" w:hanging="360"/>
      </w:pPr>
      <w:rPr>
        <w:rFonts w:ascii="Wingdings" w:hAnsi="Wingdings" w:hint="default"/>
      </w:rPr>
    </w:lvl>
    <w:lvl w:ilvl="1" w:tplc="2C0E6C2A" w:tentative="1">
      <w:start w:val="1"/>
      <w:numFmt w:val="bullet"/>
      <w:lvlText w:val=""/>
      <w:lvlJc w:val="left"/>
      <w:pPr>
        <w:tabs>
          <w:tab w:val="num" w:pos="1440"/>
        </w:tabs>
        <w:ind w:left="1440" w:hanging="360"/>
      </w:pPr>
      <w:rPr>
        <w:rFonts w:ascii="Wingdings" w:hAnsi="Wingdings" w:hint="default"/>
      </w:rPr>
    </w:lvl>
    <w:lvl w:ilvl="2" w:tplc="ECECDF08" w:tentative="1">
      <w:start w:val="1"/>
      <w:numFmt w:val="bullet"/>
      <w:lvlText w:val=""/>
      <w:lvlJc w:val="left"/>
      <w:pPr>
        <w:tabs>
          <w:tab w:val="num" w:pos="2160"/>
        </w:tabs>
        <w:ind w:left="2160" w:hanging="360"/>
      </w:pPr>
      <w:rPr>
        <w:rFonts w:ascii="Wingdings" w:hAnsi="Wingdings" w:hint="default"/>
      </w:rPr>
    </w:lvl>
    <w:lvl w:ilvl="3" w:tplc="B1988620" w:tentative="1">
      <w:start w:val="1"/>
      <w:numFmt w:val="bullet"/>
      <w:lvlText w:val=""/>
      <w:lvlJc w:val="left"/>
      <w:pPr>
        <w:tabs>
          <w:tab w:val="num" w:pos="2880"/>
        </w:tabs>
        <w:ind w:left="2880" w:hanging="360"/>
      </w:pPr>
      <w:rPr>
        <w:rFonts w:ascii="Wingdings" w:hAnsi="Wingdings" w:hint="default"/>
      </w:rPr>
    </w:lvl>
    <w:lvl w:ilvl="4" w:tplc="EF342F56" w:tentative="1">
      <w:start w:val="1"/>
      <w:numFmt w:val="bullet"/>
      <w:lvlText w:val=""/>
      <w:lvlJc w:val="left"/>
      <w:pPr>
        <w:tabs>
          <w:tab w:val="num" w:pos="3600"/>
        </w:tabs>
        <w:ind w:left="3600" w:hanging="360"/>
      </w:pPr>
      <w:rPr>
        <w:rFonts w:ascii="Wingdings" w:hAnsi="Wingdings" w:hint="default"/>
      </w:rPr>
    </w:lvl>
    <w:lvl w:ilvl="5" w:tplc="76D66710" w:tentative="1">
      <w:start w:val="1"/>
      <w:numFmt w:val="bullet"/>
      <w:lvlText w:val=""/>
      <w:lvlJc w:val="left"/>
      <w:pPr>
        <w:tabs>
          <w:tab w:val="num" w:pos="4320"/>
        </w:tabs>
        <w:ind w:left="4320" w:hanging="360"/>
      </w:pPr>
      <w:rPr>
        <w:rFonts w:ascii="Wingdings" w:hAnsi="Wingdings" w:hint="default"/>
      </w:rPr>
    </w:lvl>
    <w:lvl w:ilvl="6" w:tplc="2F9A809C" w:tentative="1">
      <w:start w:val="1"/>
      <w:numFmt w:val="bullet"/>
      <w:lvlText w:val=""/>
      <w:lvlJc w:val="left"/>
      <w:pPr>
        <w:tabs>
          <w:tab w:val="num" w:pos="5040"/>
        </w:tabs>
        <w:ind w:left="5040" w:hanging="360"/>
      </w:pPr>
      <w:rPr>
        <w:rFonts w:ascii="Wingdings" w:hAnsi="Wingdings" w:hint="default"/>
      </w:rPr>
    </w:lvl>
    <w:lvl w:ilvl="7" w:tplc="7CBEF1D6" w:tentative="1">
      <w:start w:val="1"/>
      <w:numFmt w:val="bullet"/>
      <w:lvlText w:val=""/>
      <w:lvlJc w:val="left"/>
      <w:pPr>
        <w:tabs>
          <w:tab w:val="num" w:pos="5760"/>
        </w:tabs>
        <w:ind w:left="5760" w:hanging="360"/>
      </w:pPr>
      <w:rPr>
        <w:rFonts w:ascii="Wingdings" w:hAnsi="Wingdings" w:hint="default"/>
      </w:rPr>
    </w:lvl>
    <w:lvl w:ilvl="8" w:tplc="69C2B9B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B204134"/>
    <w:multiLevelType w:val="hybridMultilevel"/>
    <w:tmpl w:val="55484036"/>
    <w:lvl w:ilvl="0" w:tplc="A59AB422">
      <w:start w:val="1"/>
      <w:numFmt w:val="bullet"/>
      <w:lvlText w:val=""/>
      <w:lvlJc w:val="left"/>
      <w:pPr>
        <w:tabs>
          <w:tab w:val="num" w:pos="720"/>
        </w:tabs>
        <w:ind w:left="720" w:hanging="360"/>
      </w:pPr>
      <w:rPr>
        <w:rFonts w:ascii="Wingdings" w:hAnsi="Wingdings" w:hint="default"/>
      </w:rPr>
    </w:lvl>
    <w:lvl w:ilvl="1" w:tplc="1D90A046">
      <w:start w:val="1"/>
      <w:numFmt w:val="bullet"/>
      <w:lvlText w:val=""/>
      <w:lvlJc w:val="left"/>
      <w:pPr>
        <w:tabs>
          <w:tab w:val="num" w:pos="1440"/>
        </w:tabs>
        <w:ind w:left="1440" w:hanging="360"/>
      </w:pPr>
      <w:rPr>
        <w:rFonts w:ascii="Wingdings" w:hAnsi="Wingdings" w:hint="default"/>
      </w:rPr>
    </w:lvl>
    <w:lvl w:ilvl="2" w:tplc="28EA2382">
      <w:start w:val="1"/>
      <w:numFmt w:val="bullet"/>
      <w:lvlText w:val=""/>
      <w:lvlJc w:val="left"/>
      <w:pPr>
        <w:tabs>
          <w:tab w:val="num" w:pos="2160"/>
        </w:tabs>
        <w:ind w:left="2160" w:hanging="360"/>
      </w:pPr>
      <w:rPr>
        <w:rFonts w:ascii="Wingdings" w:hAnsi="Wingdings" w:hint="default"/>
      </w:rPr>
    </w:lvl>
    <w:lvl w:ilvl="3" w:tplc="9CFCF26C">
      <w:start w:val="1"/>
      <w:numFmt w:val="bullet"/>
      <w:lvlText w:val=""/>
      <w:lvlJc w:val="left"/>
      <w:pPr>
        <w:tabs>
          <w:tab w:val="num" w:pos="2880"/>
        </w:tabs>
        <w:ind w:left="2880" w:hanging="360"/>
      </w:pPr>
      <w:rPr>
        <w:rFonts w:ascii="Wingdings" w:hAnsi="Wingdings" w:hint="default"/>
      </w:rPr>
    </w:lvl>
    <w:lvl w:ilvl="4" w:tplc="D9983D76" w:tentative="1">
      <w:start w:val="1"/>
      <w:numFmt w:val="bullet"/>
      <w:lvlText w:val=""/>
      <w:lvlJc w:val="left"/>
      <w:pPr>
        <w:tabs>
          <w:tab w:val="num" w:pos="3600"/>
        </w:tabs>
        <w:ind w:left="3600" w:hanging="360"/>
      </w:pPr>
      <w:rPr>
        <w:rFonts w:ascii="Wingdings" w:hAnsi="Wingdings" w:hint="default"/>
      </w:rPr>
    </w:lvl>
    <w:lvl w:ilvl="5" w:tplc="654EFEE4" w:tentative="1">
      <w:start w:val="1"/>
      <w:numFmt w:val="bullet"/>
      <w:lvlText w:val=""/>
      <w:lvlJc w:val="left"/>
      <w:pPr>
        <w:tabs>
          <w:tab w:val="num" w:pos="4320"/>
        </w:tabs>
        <w:ind w:left="4320" w:hanging="360"/>
      </w:pPr>
      <w:rPr>
        <w:rFonts w:ascii="Wingdings" w:hAnsi="Wingdings" w:hint="default"/>
      </w:rPr>
    </w:lvl>
    <w:lvl w:ilvl="6" w:tplc="3774D4F6" w:tentative="1">
      <w:start w:val="1"/>
      <w:numFmt w:val="bullet"/>
      <w:lvlText w:val=""/>
      <w:lvlJc w:val="left"/>
      <w:pPr>
        <w:tabs>
          <w:tab w:val="num" w:pos="5040"/>
        </w:tabs>
        <w:ind w:left="5040" w:hanging="360"/>
      </w:pPr>
      <w:rPr>
        <w:rFonts w:ascii="Wingdings" w:hAnsi="Wingdings" w:hint="default"/>
      </w:rPr>
    </w:lvl>
    <w:lvl w:ilvl="7" w:tplc="7352A4C8" w:tentative="1">
      <w:start w:val="1"/>
      <w:numFmt w:val="bullet"/>
      <w:lvlText w:val=""/>
      <w:lvlJc w:val="left"/>
      <w:pPr>
        <w:tabs>
          <w:tab w:val="num" w:pos="5760"/>
        </w:tabs>
        <w:ind w:left="5760" w:hanging="360"/>
      </w:pPr>
      <w:rPr>
        <w:rFonts w:ascii="Wingdings" w:hAnsi="Wingdings" w:hint="default"/>
      </w:rPr>
    </w:lvl>
    <w:lvl w:ilvl="8" w:tplc="2A3A648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33664C9"/>
    <w:multiLevelType w:val="hybridMultilevel"/>
    <w:tmpl w:val="7FD21700"/>
    <w:lvl w:ilvl="0" w:tplc="B37289E6">
      <w:start w:val="1"/>
      <w:numFmt w:val="bullet"/>
      <w:lvlText w:val="•"/>
      <w:lvlJc w:val="left"/>
      <w:pPr>
        <w:tabs>
          <w:tab w:val="num" w:pos="720"/>
        </w:tabs>
        <w:ind w:left="720" w:hanging="360"/>
      </w:pPr>
      <w:rPr>
        <w:rFonts w:ascii="Arial" w:hAnsi="Arial" w:hint="default"/>
      </w:rPr>
    </w:lvl>
    <w:lvl w:ilvl="1" w:tplc="C0A2B228" w:tentative="1">
      <w:start w:val="1"/>
      <w:numFmt w:val="bullet"/>
      <w:lvlText w:val="•"/>
      <w:lvlJc w:val="left"/>
      <w:pPr>
        <w:tabs>
          <w:tab w:val="num" w:pos="1440"/>
        </w:tabs>
        <w:ind w:left="1440" w:hanging="360"/>
      </w:pPr>
      <w:rPr>
        <w:rFonts w:ascii="Arial" w:hAnsi="Arial" w:hint="default"/>
      </w:rPr>
    </w:lvl>
    <w:lvl w:ilvl="2" w:tplc="606EF6A6" w:tentative="1">
      <w:start w:val="1"/>
      <w:numFmt w:val="bullet"/>
      <w:lvlText w:val="•"/>
      <w:lvlJc w:val="left"/>
      <w:pPr>
        <w:tabs>
          <w:tab w:val="num" w:pos="2160"/>
        </w:tabs>
        <w:ind w:left="2160" w:hanging="360"/>
      </w:pPr>
      <w:rPr>
        <w:rFonts w:ascii="Arial" w:hAnsi="Arial" w:hint="default"/>
      </w:rPr>
    </w:lvl>
    <w:lvl w:ilvl="3" w:tplc="D748640C" w:tentative="1">
      <w:start w:val="1"/>
      <w:numFmt w:val="bullet"/>
      <w:lvlText w:val="•"/>
      <w:lvlJc w:val="left"/>
      <w:pPr>
        <w:tabs>
          <w:tab w:val="num" w:pos="2880"/>
        </w:tabs>
        <w:ind w:left="2880" w:hanging="360"/>
      </w:pPr>
      <w:rPr>
        <w:rFonts w:ascii="Arial" w:hAnsi="Arial" w:hint="default"/>
      </w:rPr>
    </w:lvl>
    <w:lvl w:ilvl="4" w:tplc="AEF69804" w:tentative="1">
      <w:start w:val="1"/>
      <w:numFmt w:val="bullet"/>
      <w:lvlText w:val="•"/>
      <w:lvlJc w:val="left"/>
      <w:pPr>
        <w:tabs>
          <w:tab w:val="num" w:pos="3600"/>
        </w:tabs>
        <w:ind w:left="3600" w:hanging="360"/>
      </w:pPr>
      <w:rPr>
        <w:rFonts w:ascii="Arial" w:hAnsi="Arial" w:hint="default"/>
      </w:rPr>
    </w:lvl>
    <w:lvl w:ilvl="5" w:tplc="42B21658" w:tentative="1">
      <w:start w:val="1"/>
      <w:numFmt w:val="bullet"/>
      <w:lvlText w:val="•"/>
      <w:lvlJc w:val="left"/>
      <w:pPr>
        <w:tabs>
          <w:tab w:val="num" w:pos="4320"/>
        </w:tabs>
        <w:ind w:left="4320" w:hanging="360"/>
      </w:pPr>
      <w:rPr>
        <w:rFonts w:ascii="Arial" w:hAnsi="Arial" w:hint="default"/>
      </w:rPr>
    </w:lvl>
    <w:lvl w:ilvl="6" w:tplc="79C869DE" w:tentative="1">
      <w:start w:val="1"/>
      <w:numFmt w:val="bullet"/>
      <w:lvlText w:val="•"/>
      <w:lvlJc w:val="left"/>
      <w:pPr>
        <w:tabs>
          <w:tab w:val="num" w:pos="5040"/>
        </w:tabs>
        <w:ind w:left="5040" w:hanging="360"/>
      </w:pPr>
      <w:rPr>
        <w:rFonts w:ascii="Arial" w:hAnsi="Arial" w:hint="default"/>
      </w:rPr>
    </w:lvl>
    <w:lvl w:ilvl="7" w:tplc="EC0E5340" w:tentative="1">
      <w:start w:val="1"/>
      <w:numFmt w:val="bullet"/>
      <w:lvlText w:val="•"/>
      <w:lvlJc w:val="left"/>
      <w:pPr>
        <w:tabs>
          <w:tab w:val="num" w:pos="5760"/>
        </w:tabs>
        <w:ind w:left="5760" w:hanging="360"/>
      </w:pPr>
      <w:rPr>
        <w:rFonts w:ascii="Arial" w:hAnsi="Arial" w:hint="default"/>
      </w:rPr>
    </w:lvl>
    <w:lvl w:ilvl="8" w:tplc="1688A01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2"/>
  </w:num>
  <w:num w:numId="4">
    <w:abstractNumId w:val="1"/>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3A1"/>
    <w:rsid w:val="000A4C53"/>
    <w:rsid w:val="000C3D8D"/>
    <w:rsid w:val="001013E2"/>
    <w:rsid w:val="00124614"/>
    <w:rsid w:val="00125CFE"/>
    <w:rsid w:val="00220149"/>
    <w:rsid w:val="002203A1"/>
    <w:rsid w:val="0026200C"/>
    <w:rsid w:val="00340756"/>
    <w:rsid w:val="00342129"/>
    <w:rsid w:val="00387F45"/>
    <w:rsid w:val="00420D89"/>
    <w:rsid w:val="004316C5"/>
    <w:rsid w:val="004648E7"/>
    <w:rsid w:val="004B1242"/>
    <w:rsid w:val="004C574B"/>
    <w:rsid w:val="004C5B87"/>
    <w:rsid w:val="00596B4C"/>
    <w:rsid w:val="00611D9D"/>
    <w:rsid w:val="00722DED"/>
    <w:rsid w:val="007E109C"/>
    <w:rsid w:val="00833F76"/>
    <w:rsid w:val="008C21D2"/>
    <w:rsid w:val="00995140"/>
    <w:rsid w:val="00A23904"/>
    <w:rsid w:val="00A65403"/>
    <w:rsid w:val="00A71AEB"/>
    <w:rsid w:val="00AB5CD2"/>
    <w:rsid w:val="00AD02B4"/>
    <w:rsid w:val="00AE36E9"/>
    <w:rsid w:val="00B110E3"/>
    <w:rsid w:val="00BC49CD"/>
    <w:rsid w:val="00C57B17"/>
    <w:rsid w:val="00CD571D"/>
    <w:rsid w:val="00D02E04"/>
    <w:rsid w:val="00D47B34"/>
    <w:rsid w:val="00D65106"/>
    <w:rsid w:val="00D705DC"/>
    <w:rsid w:val="00D755EA"/>
    <w:rsid w:val="00DC238B"/>
    <w:rsid w:val="00E834D6"/>
    <w:rsid w:val="00F45144"/>
    <w:rsid w:val="00F94C64"/>
    <w:rsid w:val="00FC5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050A8"/>
  <w15:chartTrackingRefBased/>
  <w15:docId w15:val="{242A4520-2387-4532-96B5-B9F07ACDB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A1"/>
  </w:style>
  <w:style w:type="paragraph" w:styleId="Footer">
    <w:name w:val="footer"/>
    <w:basedOn w:val="Normal"/>
    <w:link w:val="FooterChar"/>
    <w:uiPriority w:val="99"/>
    <w:unhideWhenUsed/>
    <w:rsid w:val="00220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A1"/>
  </w:style>
  <w:style w:type="paragraph" w:styleId="ListParagraph">
    <w:name w:val="List Paragraph"/>
    <w:basedOn w:val="Normal"/>
    <w:uiPriority w:val="34"/>
    <w:qFormat/>
    <w:rsid w:val="00387F45"/>
    <w:pPr>
      <w:ind w:left="720"/>
      <w:contextualSpacing/>
    </w:pPr>
  </w:style>
  <w:style w:type="paragraph" w:styleId="NormalWeb">
    <w:name w:val="Normal (Web)"/>
    <w:basedOn w:val="Normal"/>
    <w:uiPriority w:val="99"/>
    <w:semiHidden/>
    <w:unhideWhenUsed/>
    <w:rsid w:val="00387F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12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517874">
      <w:bodyDiv w:val="1"/>
      <w:marLeft w:val="0"/>
      <w:marRight w:val="0"/>
      <w:marTop w:val="0"/>
      <w:marBottom w:val="0"/>
      <w:divBdr>
        <w:top w:val="none" w:sz="0" w:space="0" w:color="auto"/>
        <w:left w:val="none" w:sz="0" w:space="0" w:color="auto"/>
        <w:bottom w:val="none" w:sz="0" w:space="0" w:color="auto"/>
        <w:right w:val="none" w:sz="0" w:space="0" w:color="auto"/>
      </w:divBdr>
    </w:div>
    <w:div w:id="613711376">
      <w:bodyDiv w:val="1"/>
      <w:marLeft w:val="0"/>
      <w:marRight w:val="0"/>
      <w:marTop w:val="0"/>
      <w:marBottom w:val="0"/>
      <w:divBdr>
        <w:top w:val="none" w:sz="0" w:space="0" w:color="auto"/>
        <w:left w:val="none" w:sz="0" w:space="0" w:color="auto"/>
        <w:bottom w:val="none" w:sz="0" w:space="0" w:color="auto"/>
        <w:right w:val="none" w:sz="0" w:space="0" w:color="auto"/>
      </w:divBdr>
      <w:divsChild>
        <w:div w:id="1760373627">
          <w:marLeft w:val="1886"/>
          <w:marRight w:val="0"/>
          <w:marTop w:val="0"/>
          <w:marBottom w:val="0"/>
          <w:divBdr>
            <w:top w:val="none" w:sz="0" w:space="0" w:color="auto"/>
            <w:left w:val="none" w:sz="0" w:space="0" w:color="auto"/>
            <w:bottom w:val="none" w:sz="0" w:space="0" w:color="auto"/>
            <w:right w:val="none" w:sz="0" w:space="0" w:color="auto"/>
          </w:divBdr>
        </w:div>
        <w:div w:id="1445877887">
          <w:marLeft w:val="1166"/>
          <w:marRight w:val="0"/>
          <w:marTop w:val="0"/>
          <w:marBottom w:val="0"/>
          <w:divBdr>
            <w:top w:val="none" w:sz="0" w:space="0" w:color="auto"/>
            <w:left w:val="none" w:sz="0" w:space="0" w:color="auto"/>
            <w:bottom w:val="none" w:sz="0" w:space="0" w:color="auto"/>
            <w:right w:val="none" w:sz="0" w:space="0" w:color="auto"/>
          </w:divBdr>
        </w:div>
        <w:div w:id="1709990348">
          <w:marLeft w:val="1166"/>
          <w:marRight w:val="0"/>
          <w:marTop w:val="0"/>
          <w:marBottom w:val="0"/>
          <w:divBdr>
            <w:top w:val="none" w:sz="0" w:space="0" w:color="auto"/>
            <w:left w:val="none" w:sz="0" w:space="0" w:color="auto"/>
            <w:bottom w:val="none" w:sz="0" w:space="0" w:color="auto"/>
            <w:right w:val="none" w:sz="0" w:space="0" w:color="auto"/>
          </w:divBdr>
        </w:div>
        <w:div w:id="163711995">
          <w:marLeft w:val="2606"/>
          <w:marRight w:val="0"/>
          <w:marTop w:val="0"/>
          <w:marBottom w:val="0"/>
          <w:divBdr>
            <w:top w:val="none" w:sz="0" w:space="0" w:color="auto"/>
            <w:left w:val="none" w:sz="0" w:space="0" w:color="auto"/>
            <w:bottom w:val="none" w:sz="0" w:space="0" w:color="auto"/>
            <w:right w:val="none" w:sz="0" w:space="0" w:color="auto"/>
          </w:divBdr>
        </w:div>
      </w:divsChild>
    </w:div>
    <w:div w:id="647057066">
      <w:bodyDiv w:val="1"/>
      <w:marLeft w:val="0"/>
      <w:marRight w:val="0"/>
      <w:marTop w:val="0"/>
      <w:marBottom w:val="0"/>
      <w:divBdr>
        <w:top w:val="none" w:sz="0" w:space="0" w:color="auto"/>
        <w:left w:val="none" w:sz="0" w:space="0" w:color="auto"/>
        <w:bottom w:val="none" w:sz="0" w:space="0" w:color="auto"/>
        <w:right w:val="none" w:sz="0" w:space="0" w:color="auto"/>
      </w:divBdr>
    </w:div>
    <w:div w:id="648823988">
      <w:bodyDiv w:val="1"/>
      <w:marLeft w:val="0"/>
      <w:marRight w:val="0"/>
      <w:marTop w:val="0"/>
      <w:marBottom w:val="0"/>
      <w:divBdr>
        <w:top w:val="none" w:sz="0" w:space="0" w:color="auto"/>
        <w:left w:val="none" w:sz="0" w:space="0" w:color="auto"/>
        <w:bottom w:val="none" w:sz="0" w:space="0" w:color="auto"/>
        <w:right w:val="none" w:sz="0" w:space="0" w:color="auto"/>
      </w:divBdr>
      <w:divsChild>
        <w:div w:id="590427617">
          <w:marLeft w:val="446"/>
          <w:marRight w:val="0"/>
          <w:marTop w:val="0"/>
          <w:marBottom w:val="0"/>
          <w:divBdr>
            <w:top w:val="none" w:sz="0" w:space="0" w:color="auto"/>
            <w:left w:val="none" w:sz="0" w:space="0" w:color="auto"/>
            <w:bottom w:val="none" w:sz="0" w:space="0" w:color="auto"/>
            <w:right w:val="none" w:sz="0" w:space="0" w:color="auto"/>
          </w:divBdr>
        </w:div>
        <w:div w:id="1569611657">
          <w:marLeft w:val="446"/>
          <w:marRight w:val="0"/>
          <w:marTop w:val="0"/>
          <w:marBottom w:val="0"/>
          <w:divBdr>
            <w:top w:val="none" w:sz="0" w:space="0" w:color="auto"/>
            <w:left w:val="none" w:sz="0" w:space="0" w:color="auto"/>
            <w:bottom w:val="none" w:sz="0" w:space="0" w:color="auto"/>
            <w:right w:val="none" w:sz="0" w:space="0" w:color="auto"/>
          </w:divBdr>
        </w:div>
        <w:div w:id="713382373">
          <w:marLeft w:val="446"/>
          <w:marRight w:val="0"/>
          <w:marTop w:val="0"/>
          <w:marBottom w:val="0"/>
          <w:divBdr>
            <w:top w:val="none" w:sz="0" w:space="0" w:color="auto"/>
            <w:left w:val="none" w:sz="0" w:space="0" w:color="auto"/>
            <w:bottom w:val="none" w:sz="0" w:space="0" w:color="auto"/>
            <w:right w:val="none" w:sz="0" w:space="0" w:color="auto"/>
          </w:divBdr>
        </w:div>
        <w:div w:id="787628448">
          <w:marLeft w:val="446"/>
          <w:marRight w:val="0"/>
          <w:marTop w:val="0"/>
          <w:marBottom w:val="0"/>
          <w:divBdr>
            <w:top w:val="none" w:sz="0" w:space="0" w:color="auto"/>
            <w:left w:val="none" w:sz="0" w:space="0" w:color="auto"/>
            <w:bottom w:val="none" w:sz="0" w:space="0" w:color="auto"/>
            <w:right w:val="none" w:sz="0" w:space="0" w:color="auto"/>
          </w:divBdr>
        </w:div>
        <w:div w:id="1390423261">
          <w:marLeft w:val="446"/>
          <w:marRight w:val="0"/>
          <w:marTop w:val="0"/>
          <w:marBottom w:val="0"/>
          <w:divBdr>
            <w:top w:val="none" w:sz="0" w:space="0" w:color="auto"/>
            <w:left w:val="none" w:sz="0" w:space="0" w:color="auto"/>
            <w:bottom w:val="none" w:sz="0" w:space="0" w:color="auto"/>
            <w:right w:val="none" w:sz="0" w:space="0" w:color="auto"/>
          </w:divBdr>
        </w:div>
      </w:divsChild>
    </w:div>
    <w:div w:id="960578549">
      <w:bodyDiv w:val="1"/>
      <w:marLeft w:val="0"/>
      <w:marRight w:val="0"/>
      <w:marTop w:val="0"/>
      <w:marBottom w:val="0"/>
      <w:divBdr>
        <w:top w:val="none" w:sz="0" w:space="0" w:color="auto"/>
        <w:left w:val="none" w:sz="0" w:space="0" w:color="auto"/>
        <w:bottom w:val="none" w:sz="0" w:space="0" w:color="auto"/>
        <w:right w:val="none" w:sz="0" w:space="0" w:color="auto"/>
      </w:divBdr>
      <w:divsChild>
        <w:div w:id="1283458800">
          <w:marLeft w:val="547"/>
          <w:marRight w:val="0"/>
          <w:marTop w:val="0"/>
          <w:marBottom w:val="0"/>
          <w:divBdr>
            <w:top w:val="none" w:sz="0" w:space="0" w:color="auto"/>
            <w:left w:val="none" w:sz="0" w:space="0" w:color="auto"/>
            <w:bottom w:val="none" w:sz="0" w:space="0" w:color="auto"/>
            <w:right w:val="none" w:sz="0" w:space="0" w:color="auto"/>
          </w:divBdr>
        </w:div>
        <w:div w:id="2020042037">
          <w:marLeft w:val="547"/>
          <w:marRight w:val="0"/>
          <w:marTop w:val="0"/>
          <w:marBottom w:val="0"/>
          <w:divBdr>
            <w:top w:val="none" w:sz="0" w:space="0" w:color="auto"/>
            <w:left w:val="none" w:sz="0" w:space="0" w:color="auto"/>
            <w:bottom w:val="none" w:sz="0" w:space="0" w:color="auto"/>
            <w:right w:val="none" w:sz="0" w:space="0" w:color="auto"/>
          </w:divBdr>
        </w:div>
      </w:divsChild>
    </w:div>
    <w:div w:id="1068072593">
      <w:bodyDiv w:val="1"/>
      <w:marLeft w:val="0"/>
      <w:marRight w:val="0"/>
      <w:marTop w:val="0"/>
      <w:marBottom w:val="0"/>
      <w:divBdr>
        <w:top w:val="none" w:sz="0" w:space="0" w:color="auto"/>
        <w:left w:val="none" w:sz="0" w:space="0" w:color="auto"/>
        <w:bottom w:val="none" w:sz="0" w:space="0" w:color="auto"/>
        <w:right w:val="none" w:sz="0" w:space="0" w:color="auto"/>
      </w:divBdr>
    </w:div>
    <w:div w:id="2097088485">
      <w:bodyDiv w:val="1"/>
      <w:marLeft w:val="0"/>
      <w:marRight w:val="0"/>
      <w:marTop w:val="0"/>
      <w:marBottom w:val="0"/>
      <w:divBdr>
        <w:top w:val="none" w:sz="0" w:space="0" w:color="auto"/>
        <w:left w:val="none" w:sz="0" w:space="0" w:color="auto"/>
        <w:bottom w:val="none" w:sz="0" w:space="0" w:color="auto"/>
        <w:right w:val="none" w:sz="0" w:space="0" w:color="auto"/>
      </w:divBdr>
      <w:divsChild>
        <w:div w:id="1142844384">
          <w:marLeft w:val="2606"/>
          <w:marRight w:val="0"/>
          <w:marTop w:val="0"/>
          <w:marBottom w:val="0"/>
          <w:divBdr>
            <w:top w:val="none" w:sz="0" w:space="0" w:color="auto"/>
            <w:left w:val="none" w:sz="0" w:space="0" w:color="auto"/>
            <w:bottom w:val="none" w:sz="0" w:space="0" w:color="auto"/>
            <w:right w:val="none" w:sz="0" w:space="0" w:color="auto"/>
          </w:divBdr>
        </w:div>
        <w:div w:id="1049495395">
          <w:marLeft w:val="1166"/>
          <w:marRight w:val="0"/>
          <w:marTop w:val="0"/>
          <w:marBottom w:val="0"/>
          <w:divBdr>
            <w:top w:val="none" w:sz="0" w:space="0" w:color="auto"/>
            <w:left w:val="none" w:sz="0" w:space="0" w:color="auto"/>
            <w:bottom w:val="none" w:sz="0" w:space="0" w:color="auto"/>
            <w:right w:val="none" w:sz="0" w:space="0" w:color="auto"/>
          </w:divBdr>
        </w:div>
        <w:div w:id="66391048">
          <w:marLeft w:val="446"/>
          <w:marRight w:val="0"/>
          <w:marTop w:val="0"/>
          <w:marBottom w:val="0"/>
          <w:divBdr>
            <w:top w:val="none" w:sz="0" w:space="0" w:color="auto"/>
            <w:left w:val="none" w:sz="0" w:space="0" w:color="auto"/>
            <w:bottom w:val="none" w:sz="0" w:space="0" w:color="auto"/>
            <w:right w:val="none" w:sz="0" w:space="0" w:color="auto"/>
          </w:divBdr>
        </w:div>
        <w:div w:id="738677425">
          <w:marLeft w:val="446"/>
          <w:marRight w:val="0"/>
          <w:marTop w:val="0"/>
          <w:marBottom w:val="0"/>
          <w:divBdr>
            <w:top w:val="none" w:sz="0" w:space="0" w:color="auto"/>
            <w:left w:val="none" w:sz="0" w:space="0" w:color="auto"/>
            <w:bottom w:val="none" w:sz="0" w:space="0" w:color="auto"/>
            <w:right w:val="none" w:sz="0" w:space="0" w:color="auto"/>
          </w:divBdr>
        </w:div>
        <w:div w:id="1663702903">
          <w:marLeft w:val="446"/>
          <w:marRight w:val="0"/>
          <w:marTop w:val="0"/>
          <w:marBottom w:val="0"/>
          <w:divBdr>
            <w:top w:val="none" w:sz="0" w:space="0" w:color="auto"/>
            <w:left w:val="none" w:sz="0" w:space="0" w:color="auto"/>
            <w:bottom w:val="none" w:sz="0" w:space="0" w:color="auto"/>
            <w:right w:val="none" w:sz="0" w:space="0" w:color="auto"/>
          </w:divBdr>
        </w:div>
        <w:div w:id="2147043825">
          <w:marLeft w:val="1166"/>
          <w:marRight w:val="0"/>
          <w:marTop w:val="0"/>
          <w:marBottom w:val="0"/>
          <w:divBdr>
            <w:top w:val="none" w:sz="0" w:space="0" w:color="auto"/>
            <w:left w:val="none" w:sz="0" w:space="0" w:color="auto"/>
            <w:bottom w:val="none" w:sz="0" w:space="0" w:color="auto"/>
            <w:right w:val="none" w:sz="0" w:space="0" w:color="auto"/>
          </w:divBdr>
        </w:div>
        <w:div w:id="855270300">
          <w:marLeft w:val="1886"/>
          <w:marRight w:val="0"/>
          <w:marTop w:val="0"/>
          <w:marBottom w:val="0"/>
          <w:divBdr>
            <w:top w:val="none" w:sz="0" w:space="0" w:color="auto"/>
            <w:left w:val="none" w:sz="0" w:space="0" w:color="auto"/>
            <w:bottom w:val="none" w:sz="0" w:space="0" w:color="auto"/>
            <w:right w:val="none" w:sz="0" w:space="0" w:color="auto"/>
          </w:divBdr>
        </w:div>
      </w:divsChild>
    </w:div>
    <w:div w:id="2122450002">
      <w:bodyDiv w:val="1"/>
      <w:marLeft w:val="0"/>
      <w:marRight w:val="0"/>
      <w:marTop w:val="0"/>
      <w:marBottom w:val="0"/>
      <w:divBdr>
        <w:top w:val="none" w:sz="0" w:space="0" w:color="auto"/>
        <w:left w:val="none" w:sz="0" w:space="0" w:color="auto"/>
        <w:bottom w:val="none" w:sz="0" w:space="0" w:color="auto"/>
        <w:right w:val="none" w:sz="0" w:space="0" w:color="auto"/>
      </w:divBdr>
      <w:divsChild>
        <w:div w:id="2040541068">
          <w:marLeft w:val="446"/>
          <w:marRight w:val="0"/>
          <w:marTop w:val="0"/>
          <w:marBottom w:val="0"/>
          <w:divBdr>
            <w:top w:val="none" w:sz="0" w:space="0" w:color="auto"/>
            <w:left w:val="none" w:sz="0" w:space="0" w:color="auto"/>
            <w:bottom w:val="none" w:sz="0" w:space="0" w:color="auto"/>
            <w:right w:val="none" w:sz="0" w:space="0" w:color="auto"/>
          </w:divBdr>
        </w:div>
        <w:div w:id="810905403">
          <w:marLeft w:val="446"/>
          <w:marRight w:val="0"/>
          <w:marTop w:val="0"/>
          <w:marBottom w:val="0"/>
          <w:divBdr>
            <w:top w:val="none" w:sz="0" w:space="0" w:color="auto"/>
            <w:left w:val="none" w:sz="0" w:space="0" w:color="auto"/>
            <w:bottom w:val="none" w:sz="0" w:space="0" w:color="auto"/>
            <w:right w:val="none" w:sz="0" w:space="0" w:color="auto"/>
          </w:divBdr>
        </w:div>
        <w:div w:id="173037939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ctcbc.gov.uk/EN/Newsroom/PressReleases/2016/December/190kboosttolocaleconomythankstoTourofBritain.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news.bbc.co.uk/1/hi/business/8516889.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1859</Words>
  <Characters>10599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 (1700540)</dc:creator>
  <cp:keywords/>
  <dc:description/>
  <cp:lastModifiedBy>Nathan Price (1700540)</cp:lastModifiedBy>
  <cp:revision>2</cp:revision>
  <dcterms:created xsi:type="dcterms:W3CDTF">2018-02-05T18:43:00Z</dcterms:created>
  <dcterms:modified xsi:type="dcterms:W3CDTF">2018-02-05T18:43:00Z</dcterms:modified>
</cp:coreProperties>
</file>