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drawing>
          <wp:inline distL="0" distT="0" distB="0" distR="0">
            <wp:extent cx="2561407" cy="871109"/>
            <wp:effectExtent l="0" t="0" r="0" b="0"/>
            <wp:docPr id="1026" name="image2.jpg" descr="A close up of a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2.jpg"/>
                    <pic:cNvPicPr/>
                  </pic:nvPicPr>
                  <pic:blipFill>
                    <a:blip r:embed="rId2" cstate="print"/>
                    <a:srcRect l="0" t="0" r="0" b="0"/>
                    <a:stretch/>
                  </pic:blipFill>
                  <pic:spPr>
                    <a:xfrm rot="0">
                      <a:off x="0" y="0"/>
                      <a:ext cx="2561407" cy="871109"/>
                    </a:xfrm>
                    <a:prstGeom prst="rect"/>
                    <a:ln cmpd="sng" cap="flat" w="9525">
                      <a:solidFill>
                        <a:srgbClr val="000000"/>
                      </a:solidFill>
                      <a:prstDash val="solid"/>
                      <a:round/>
                      <a:headEnd/>
                      <a:tailEnd/>
                    </a:ln>
                  </pic:spPr>
                </pic:pic>
              </a:graphicData>
            </a:graphic>
          </wp:inline>
        </w:drawing>
      </w:r>
    </w:p>
    <w:p>
      <w:pPr>
        <w:pStyle w:val="style0"/>
        <w:rPr/>
      </w:pPr>
    </w:p>
    <w:p>
      <w:pPr>
        <w:pStyle w:val="style0"/>
        <w:jc w:val="right"/>
        <w:rPr/>
      </w:pPr>
    </w:p>
    <w:p>
      <w:pPr>
        <w:pStyle w:val="style0"/>
        <w:jc w:val="center"/>
        <w:rPr>
          <w:b/>
          <w:bCs/>
          <w:sz w:val="22"/>
          <w:szCs w:val="28"/>
        </w:rPr>
      </w:pPr>
      <w:r>
        <w:rPr>
          <w:b/>
          <w:bCs/>
          <w:sz w:val="44"/>
          <w:szCs w:val="44"/>
        </w:rPr>
        <w:t>Strategic Management (LCMB7003)</w:t>
      </w:r>
    </w:p>
    <w:p>
      <w:pPr>
        <w:pStyle w:val="style0"/>
        <w:jc w:val="right"/>
        <w:rPr/>
      </w:pPr>
    </w:p>
    <w:p>
      <w:pPr>
        <w:pStyle w:val="style0"/>
        <w:jc w:val="center"/>
        <w:rPr>
          <w:rFonts w:ascii="Arial Black" w:cs="Arial Black" w:eastAsia="Arial Black" w:hAnsi="Arial Black"/>
          <w:b/>
          <w:bCs/>
          <w:sz w:val="44"/>
          <w:szCs w:val="44"/>
        </w:rPr>
      </w:pPr>
      <w:r>
        <w:rPr>
          <w:rFonts w:ascii="Arial Black" w:cs="Arial Black" w:eastAsia="Arial Black" w:hAnsi="Arial Black"/>
          <w:b/>
          <w:bCs/>
          <w:sz w:val="44"/>
          <w:szCs w:val="44"/>
        </w:rPr>
        <w:t>Strategic Analysis of Marks and Spencer</w:t>
      </w:r>
    </w:p>
    <w:p>
      <w:pPr>
        <w:pStyle w:val="style0"/>
        <w:jc w:val="center"/>
        <w:rPr>
          <w:rFonts w:ascii="Arial Black" w:cs="Arial Black" w:eastAsia="Arial Black" w:hAnsi="Arial Black"/>
          <w:sz w:val="40"/>
          <w:szCs w:val="40"/>
        </w:rPr>
      </w:pPr>
    </w:p>
    <w:p>
      <w:pPr>
        <w:pStyle w:val="style0"/>
        <w:jc w:val="center"/>
        <w:rPr>
          <w:rFonts w:ascii="Arial Black" w:cs="Arial Black" w:eastAsia="Arial Black" w:hAnsi="Arial Black"/>
          <w:sz w:val="40"/>
          <w:szCs w:val="40"/>
        </w:rPr>
      </w:pPr>
      <w:r>
        <w:rPr>
          <w:color w:val="ff0000"/>
        </w:rPr>
        <w:drawing>
          <wp:inline distL="0" distT="0" distB="0" distR="0">
            <wp:extent cx="3239925" cy="2021569"/>
            <wp:effectExtent l="0" t="0" r="0" b="0"/>
            <wp:docPr id="1027"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3" cstate="print"/>
                    <a:srcRect l="0" t="0" r="0" b="0"/>
                    <a:stretch/>
                  </pic:blipFill>
                  <pic:spPr>
                    <a:xfrm rot="0">
                      <a:off x="0" y="0"/>
                      <a:ext cx="3239925" cy="2021569"/>
                    </a:xfrm>
                    <a:prstGeom prst="rect"/>
                    <a:ln cmpd="sng" cap="flat" w="9525">
                      <a:solidFill>
                        <a:srgbClr val="000000"/>
                      </a:solidFill>
                      <a:prstDash val="solid"/>
                      <a:round/>
                      <a:headEnd/>
                      <a:tailEnd/>
                    </a:ln>
                  </pic:spPr>
                </pic:pic>
              </a:graphicData>
            </a:graphic>
          </wp:inline>
        </w:drawing>
      </w:r>
    </w:p>
    <w:p>
      <w:pPr>
        <w:pStyle w:val="style0"/>
        <w:rPr>
          <w:b/>
          <w:bCs/>
          <w:sz w:val="40"/>
          <w:szCs w:val="40"/>
        </w:rPr>
      </w:pPr>
      <w:r>
        <w:rPr>
          <w:b/>
          <w:bCs/>
          <w:sz w:val="40"/>
          <w:szCs w:val="40"/>
        </w:rPr>
        <w:t xml:space="preserve">Student name: </w:t>
      </w:r>
      <w:r>
        <w:rPr>
          <w:b/>
          <w:bCs/>
          <w:sz w:val="40"/>
          <w:szCs w:val="40"/>
          <w:lang w:val="en-US"/>
        </w:rPr>
        <w:t xml:space="preserve">Vhora moinbhai imtyajbhai </w:t>
      </w:r>
    </w:p>
    <w:p>
      <w:pPr>
        <w:pStyle w:val="style0"/>
        <w:rPr>
          <w:b/>
          <w:bCs/>
          <w:sz w:val="40"/>
          <w:szCs w:val="40"/>
        </w:rPr>
      </w:pPr>
      <w:r>
        <w:rPr>
          <w:b/>
          <w:bCs/>
          <w:sz w:val="40"/>
          <w:szCs w:val="40"/>
        </w:rPr>
        <w:t xml:space="preserve">Student Number: </w:t>
      </w:r>
      <w:r>
        <w:rPr>
          <w:b/>
          <w:bCs/>
          <w:sz w:val="40"/>
          <w:szCs w:val="40"/>
          <w:lang w:val="en-US"/>
        </w:rPr>
        <w:t>2227860</w:t>
      </w:r>
    </w:p>
    <w:p>
      <w:pPr>
        <w:pStyle w:val="style0"/>
        <w:rPr>
          <w:b/>
          <w:bCs/>
          <w:sz w:val="40"/>
          <w:szCs w:val="40"/>
        </w:rPr>
      </w:pPr>
      <w:r>
        <w:rPr>
          <w:b/>
          <w:bCs/>
          <w:sz w:val="40"/>
          <w:szCs w:val="40"/>
        </w:rPr>
        <w:t xml:space="preserve">Lecturer: </w:t>
      </w:r>
      <w:r>
        <w:rPr>
          <w:b/>
          <w:bCs/>
          <w:sz w:val="40"/>
          <w:szCs w:val="40"/>
          <w:lang w:val="en-US"/>
        </w:rPr>
        <w:t>Gladius David Kulothungan</w:t>
      </w:r>
    </w:p>
    <w:p>
      <w:pPr>
        <w:pStyle w:val="style0"/>
        <w:keepNext/>
        <w:keepLines/>
        <w:pageBreakBefore w:val="false"/>
        <w:widowControl/>
        <w:pBdr>
          <w:left w:val="nil"/>
          <w:right w:val="nil"/>
          <w:top w:val="nil"/>
          <w:bottom w:val="nil"/>
          <w:between w:val="nil"/>
        </w:pBdr>
        <w:shd w:val="clear" w:color="auto" w:fill="auto"/>
        <w:spacing w:before="240" w:after="240" w:lineRule="auto" w:line="259"/>
        <w:ind w:left="0" w:right="0" w:firstLine="0"/>
        <w:jc w:val="both"/>
        <w:rPr>
          <w:rFonts w:ascii="Arial" w:cs="Arial" w:eastAsia="Arial" w:hAnsi="Arial"/>
          <w:b/>
          <w:color w:val="17365d"/>
        </w:rPr>
      </w:pPr>
      <w:r>
        <w:br w:type="page"/>
      </w:r>
    </w:p>
    <w:p>
      <w:pPr>
        <w:pStyle w:val="style0"/>
        <w:keepNext/>
        <w:keepLines/>
        <w:pageBreakBefore w:val="false"/>
        <w:widowControl/>
        <w:pBdr>
          <w:left w:val="nil"/>
          <w:right w:val="nil"/>
          <w:top w:val="nil"/>
          <w:bottom w:val="nil"/>
          <w:between w:val="nil"/>
        </w:pBdr>
        <w:shd w:val="clear" w:color="auto" w:fill="auto"/>
        <w:spacing w:before="240" w:after="240" w:lineRule="auto" w:line="259"/>
        <w:ind w:left="0" w:right="0" w:firstLine="0"/>
        <w:jc w:val="center"/>
        <w:rPr>
          <w:rFonts w:ascii="Arial" w:cs="Arial" w:eastAsia="Arial" w:hAnsi="Arial"/>
          <w:b/>
          <w:i w:val="false"/>
          <w:smallCaps w:val="false"/>
          <w:color w:val="17365d"/>
          <w:sz w:val="24"/>
          <w:szCs w:val="24"/>
          <w:u w:val="none"/>
          <w:shd w:val="clear" w:color="auto" w:fill="auto"/>
          <w:vertAlign w:val="baseline"/>
        </w:rPr>
      </w:pPr>
      <w:r>
        <w:rPr>
          <w:rFonts w:ascii="Arial" w:cs="Arial" w:eastAsia="Arial" w:hAnsi="Arial"/>
          <w:b/>
          <w:i w:val="false"/>
          <w:smallCaps w:val="false"/>
          <w:color w:val="17365d"/>
          <w:sz w:val="24"/>
          <w:szCs w:val="24"/>
          <w:u w:val="none"/>
          <w:shd w:val="clear" w:color="auto" w:fill="auto"/>
          <w:vertAlign w:val="baseline"/>
        </w:rPr>
        <w:t>Table of Contents</w:t>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TOC \h \u \z \t "Heading 1,1,Heading 2,2,Heading 3,3,Heading 4,4,"</w:instrText>
      </w:r>
      <w:r>
        <w:rPr/>
        <w:fldChar w:fldCharType="separate"/>
      </w:r>
      <w:r>
        <w:rPr/>
        <w:fldChar w:fldCharType="begin"/>
      </w:r>
      <w:r>
        <w:instrText xml:space="preserve"> HYPERLINK \l "_gjdgxs" </w:instrText>
      </w:r>
      <w:r>
        <w:rPr/>
        <w:fldChar w:fldCharType="separate"/>
      </w:r>
      <w:r>
        <w:rPr>
          <w:i w:val="false"/>
          <w:smallCaps w:val="false"/>
          <w:color w:val="000000"/>
          <w:u w:val="none"/>
          <w:shd w:val="clear" w:color="auto" w:fill="auto"/>
          <w:vertAlign w:val="baseline"/>
        </w:rPr>
        <w:t>Introduction</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"_30j0zll" </w:instrText>
      </w:r>
      <w:r>
        <w:rPr/>
        <w:fldChar w:fldCharType="separate"/>
      </w:r>
      <w:r>
        <w:rPr>
          <w:i w:val="false"/>
          <w:smallCaps w:val="false"/>
          <w:color w:val="000000"/>
          <w:u w:val="none"/>
          <w:shd w:val="clear" w:color="auto" w:fill="auto"/>
          <w:vertAlign w:val="baseline"/>
        </w:rPr>
        <w:t>Background of Marks and Spencer</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"_1fob9te" </w:instrText>
      </w:r>
      <w:r>
        <w:rPr/>
        <w:fldChar w:fldCharType="separate"/>
      </w:r>
      <w:r>
        <w:rPr>
          <w:i w:val="false"/>
          <w:smallCaps w:val="false"/>
          <w:color w:val="000000"/>
          <w:u w:val="none"/>
          <w:shd w:val="clear" w:color="auto" w:fill="auto"/>
          <w:vertAlign w:val="baseline"/>
        </w:rPr>
        <w:t>Brand’s Mission and Objectives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3</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"_3znysh7" </w:instrText>
      </w:r>
      <w:r>
        <w:rPr/>
        <w:fldChar w:fldCharType="separate"/>
      </w:r>
      <w:r>
        <w:rPr>
          <w:i w:val="false"/>
          <w:smallCaps w:val="false"/>
          <w:color w:val="000000"/>
          <w:u w:val="none"/>
          <w:shd w:val="clear" w:color="auto" w:fill="auto"/>
          <w:vertAlign w:val="baseline"/>
        </w:rPr>
        <w:t>Macro-Environment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3</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"_2et92p0" </w:instrText>
      </w:r>
      <w:r>
        <w:rPr/>
        <w:fldChar w:fldCharType="separate"/>
      </w:r>
      <w:r>
        <w:rPr>
          <w:i w:val="false"/>
          <w:smallCaps w:val="false"/>
          <w:color w:val="000000"/>
          <w:u w:val="none"/>
          <w:shd w:val="clear" w:color="auto" w:fill="auto"/>
          <w:vertAlign w:val="baseline"/>
        </w:rPr>
        <w:t>PESTEL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3</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"_tyjcwt" </w:instrText>
      </w:r>
      <w:r>
        <w:rPr/>
        <w:fldChar w:fldCharType="separate"/>
      </w:r>
      <w:r>
        <w:rPr>
          <w:i w:val="false"/>
          <w:smallCaps w:val="false"/>
          <w:color w:val="000000"/>
          <w:u w:val="none"/>
          <w:shd w:val="clear" w:color="auto" w:fill="auto"/>
          <w:vertAlign w:val="baseline"/>
        </w:rPr>
        <w:t>Micro-Environment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5</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"_3dy6vkm" </w:instrText>
      </w:r>
      <w:r>
        <w:rPr/>
        <w:fldChar w:fldCharType="separate"/>
      </w:r>
      <w:r>
        <w:rPr>
          <w:i w:val="false"/>
          <w:smallCaps w:val="false"/>
          <w:color w:val="000000"/>
          <w:u w:val="none"/>
          <w:shd w:val="clear" w:color="auto" w:fill="auto"/>
          <w:vertAlign w:val="baseline"/>
        </w:rPr>
        <w:t>Industry Life Cycle</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5</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"_1t3h5sf" </w:instrText>
      </w:r>
      <w:r>
        <w:rPr/>
        <w:fldChar w:fldCharType="separate"/>
      </w:r>
      <w:r>
        <w:rPr>
          <w:i w:val="false"/>
          <w:smallCaps w:val="false"/>
          <w:color w:val="000000"/>
          <w:u w:val="none"/>
          <w:shd w:val="clear" w:color="auto" w:fill="auto"/>
          <w:vertAlign w:val="baseline"/>
        </w:rPr>
        <w:t>Porter’s Industry Five Forces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7</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"_4d34og8" </w:instrText>
      </w:r>
      <w:r>
        <w:rPr/>
        <w:fldChar w:fldCharType="separate"/>
      </w:r>
      <w:r>
        <w:rPr>
          <w:i w:val="false"/>
          <w:smallCaps w:val="false"/>
          <w:color w:val="000000"/>
          <w:u w:val="none"/>
          <w:shd w:val="clear" w:color="auto" w:fill="auto"/>
          <w:vertAlign w:val="baseline"/>
        </w:rPr>
        <w:t>Internal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8</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"_17dp8vu" </w:instrText>
      </w:r>
      <w:r>
        <w:rPr/>
        <w:fldChar w:fldCharType="separate"/>
      </w:r>
      <w:r>
        <w:rPr>
          <w:i w:val="false"/>
          <w:smallCaps w:val="false"/>
          <w:color w:val="000000"/>
          <w:u w:val="none"/>
          <w:shd w:val="clear" w:color="auto" w:fill="auto"/>
          <w:vertAlign w:val="baseline"/>
        </w:rPr>
        <w:t>Mark and Spencer’s Strategic Resources and Capabilities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8</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"_3rdcrjn" </w:instrText>
      </w:r>
      <w:r>
        <w:rPr/>
        <w:fldChar w:fldCharType="separate"/>
      </w:r>
      <w:r>
        <w:rPr>
          <w:i w:val="false"/>
          <w:smallCaps w:val="false"/>
          <w:color w:val="000000"/>
          <w:u w:val="none"/>
          <w:shd w:val="clear" w:color="auto" w:fill="auto"/>
          <w:vertAlign w:val="baseline"/>
        </w:rPr>
        <w:t>Value Chain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9</w:t>
      </w:r>
      <w:r>
        <w:rPr/>
        <w:fldChar w:fldCharType="end"/>
      </w:r>
    </w:p>
    <w:p>
      <w:pPr>
        <w:pStyle w:val="style0"/>
        <w:widowControl w:val="false"/>
        <w:tabs>
          <w:tab w:val="right" w:leader="dot" w:pos="12000"/>
        </w:tabs>
        <w:spacing w:before="60" w:after="0" w:lineRule="auto" w:line="360"/>
        <w:ind w:left="720" w:firstLine="0"/>
        <w:jc w:val="left"/>
        <w:rPr>
          <w:i w:val="false"/>
          <w:smallCaps w:val="false"/>
          <w:color w:val="000000"/>
          <w:u w:val="none"/>
          <w:shd w:val="clear" w:color="auto" w:fill="auto"/>
          <w:vertAlign w:val="baseline"/>
        </w:rPr>
      </w:pPr>
      <w:r>
        <w:rPr/>
        <w:fldChar w:fldCharType="begin"/>
      </w:r>
      <w:r>
        <w:instrText xml:space="preserve"> HYPERLINK \l "_26in1rg" </w:instrText>
      </w:r>
      <w:r>
        <w:rPr/>
        <w:fldChar w:fldCharType="separate"/>
      </w:r>
      <w:r>
        <w:rPr>
          <w:i w:val="false"/>
          <w:smallCaps w:val="false"/>
          <w:color w:val="000000"/>
          <w:u w:val="none"/>
          <w:shd w:val="clear" w:color="auto" w:fill="auto"/>
          <w:vertAlign w:val="baseline"/>
        </w:rPr>
        <w:t>Primary Activities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9</w:t>
      </w:r>
      <w:r>
        <w:rPr/>
        <w:fldChar w:fldCharType="end"/>
      </w:r>
    </w:p>
    <w:p>
      <w:pPr>
        <w:pStyle w:val="style0"/>
        <w:widowControl w:val="false"/>
        <w:tabs>
          <w:tab w:val="right" w:leader="dot" w:pos="12000"/>
        </w:tabs>
        <w:spacing w:before="60" w:after="0" w:lineRule="auto" w:line="360"/>
        <w:ind w:left="720" w:firstLine="0"/>
        <w:jc w:val="left"/>
        <w:rPr>
          <w:i w:val="false"/>
          <w:smallCaps w:val="false"/>
          <w:color w:val="000000"/>
          <w:u w:val="none"/>
          <w:shd w:val="clear" w:color="auto" w:fill="auto"/>
          <w:vertAlign w:val="baseline"/>
        </w:rPr>
      </w:pPr>
      <w:r>
        <w:rPr/>
        <w:fldChar w:fldCharType="begin"/>
      </w:r>
      <w:r>
        <w:instrText xml:space="preserve"> HYPERLINK \l "_lnxbz9" </w:instrText>
      </w:r>
      <w:r>
        <w:rPr/>
        <w:fldChar w:fldCharType="separate"/>
      </w:r>
      <w:r>
        <w:rPr>
          <w:i w:val="false"/>
          <w:smallCaps w:val="false"/>
          <w:color w:val="000000"/>
          <w:u w:val="none"/>
          <w:shd w:val="clear" w:color="auto" w:fill="auto"/>
          <w:vertAlign w:val="baseline"/>
        </w:rPr>
        <w:t>Secondary Activities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10</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"_1ksv4uv" </w:instrText>
      </w:r>
      <w:r>
        <w:rPr/>
        <w:fldChar w:fldCharType="separate"/>
      </w:r>
      <w:r>
        <w:rPr>
          <w:i w:val="false"/>
          <w:smallCaps w:val="false"/>
          <w:color w:val="000000"/>
          <w:u w:val="none"/>
          <w:shd w:val="clear" w:color="auto" w:fill="auto"/>
          <w:vertAlign w:val="baseline"/>
        </w:rPr>
        <w:t>VRIO Analysis of Distinctive Resources and Capabilities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11</w:t>
      </w:r>
      <w:r>
        <w:rPr/>
        <w:fldChar w:fldCharType="end"/>
      </w:r>
    </w:p>
    <w:p>
      <w:pPr>
        <w:pStyle w:val="style0"/>
        <w:widowControl w:val="false"/>
        <w:tabs>
          <w:tab w:val="right" w:leader="dot" w:pos="12000"/>
        </w:tabs>
        <w:spacing w:before="60" w:after="0" w:lineRule="auto" w:line="360"/>
        <w:ind w:left="360" w:firstLine="0"/>
        <w:jc w:val="left"/>
        <w:rPr>
          <w:i w:val="false"/>
          <w:smallCaps w:val="false"/>
          <w:color w:val="000000"/>
          <w:u w:val="none"/>
          <w:shd w:val="clear" w:color="auto" w:fill="auto"/>
          <w:vertAlign w:val="baseline"/>
        </w:rPr>
      </w:pPr>
      <w:r>
        <w:rPr/>
        <w:fldChar w:fldCharType="begin"/>
      </w:r>
      <w:r>
        <w:instrText xml:space="preserve"> HYPERLINK \l "_44sinio" </w:instrText>
      </w:r>
      <w:r>
        <w:rPr/>
        <w:fldChar w:fldCharType="separate"/>
      </w:r>
      <w:r>
        <w:rPr>
          <w:i w:val="false"/>
          <w:smallCaps w:val="false"/>
          <w:color w:val="000000"/>
          <w:u w:val="none"/>
          <w:shd w:val="clear" w:color="auto" w:fill="auto"/>
          <w:vertAlign w:val="baseline"/>
        </w:rPr>
        <w:t>SWOT Analysis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13</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"_2jxsxqh" </w:instrText>
      </w:r>
      <w:r>
        <w:rPr/>
        <w:fldChar w:fldCharType="separate"/>
      </w:r>
      <w:r>
        <w:rPr>
          <w:i w:val="false"/>
          <w:smallCaps w:val="false"/>
          <w:color w:val="000000"/>
          <w:u w:val="none"/>
          <w:shd w:val="clear" w:color="auto" w:fill="auto"/>
          <w:vertAlign w:val="baseline"/>
        </w:rPr>
        <w:t>Strategies to Sustain Competitive Advantage</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14</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"_z337ya" </w:instrText>
      </w:r>
      <w:r>
        <w:rPr/>
        <w:fldChar w:fldCharType="separate"/>
      </w:r>
      <w:r>
        <w:rPr>
          <w:i w:val="false"/>
          <w:smallCaps w:val="false"/>
          <w:color w:val="000000"/>
          <w:u w:val="none"/>
          <w:shd w:val="clear" w:color="auto" w:fill="auto"/>
          <w:vertAlign w:val="baseline"/>
        </w:rPr>
        <w:t>Growth Strategies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16</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"_3j2qqm3" </w:instrText>
      </w:r>
      <w:r>
        <w:rPr/>
        <w:fldChar w:fldCharType="separate"/>
      </w:r>
      <w:r>
        <w:rPr>
          <w:i w:val="false"/>
          <w:smallCaps w:val="false"/>
          <w:color w:val="000000"/>
          <w:u w:val="none"/>
          <w:shd w:val="clear" w:color="auto" w:fill="auto"/>
          <w:vertAlign w:val="baseline"/>
        </w:rPr>
        <w:t>Green Strategy and CSR</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18</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"_1y810tw" </w:instrText>
      </w:r>
      <w:r>
        <w:rPr/>
        <w:fldChar w:fldCharType="separate"/>
      </w:r>
      <w:r>
        <w:rPr>
          <w:i w:val="false"/>
          <w:smallCaps w:val="false"/>
          <w:color w:val="000000"/>
          <w:u w:val="none"/>
          <w:shd w:val="clear" w:color="auto" w:fill="auto"/>
          <w:vertAlign w:val="baseline"/>
        </w:rPr>
        <w:t>Conclusion</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20</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"_4i7ojhp" </w:instrText>
      </w:r>
      <w:r>
        <w:rPr/>
        <w:fldChar w:fldCharType="separate"/>
      </w:r>
      <w:r>
        <w:rPr>
          <w:i w:val="false"/>
          <w:smallCaps w:val="false"/>
          <w:color w:val="000000"/>
          <w:u w:val="none"/>
          <w:shd w:val="clear" w:color="auto" w:fill="auto"/>
          <w:vertAlign w:val="baseline"/>
        </w:rPr>
        <w:t>Recommendation</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21</w:t>
      </w:r>
      <w:r>
        <w:rPr/>
        <w:fldChar w:fldCharType="end"/>
      </w:r>
    </w:p>
    <w:p>
      <w:pPr>
        <w:pStyle w:val="style0"/>
        <w:widowControl w:val="false"/>
        <w:tabs>
          <w:tab w:val="right" w:leader="dot" w:pos="12000"/>
        </w:tabs>
        <w:spacing w:before="60" w:after="0" w:lineRule="auto" w:line="360"/>
        <w:jc w:val="left"/>
        <w:rPr>
          <w:b/>
          <w:i w:val="false"/>
          <w:smallCaps w:val="false"/>
          <w:color w:val="000000"/>
          <w:u w:val="none"/>
          <w:shd w:val="clear" w:color="auto" w:fill="auto"/>
          <w:vertAlign w:val="baseline"/>
        </w:rPr>
      </w:pPr>
      <w:r>
        <w:rPr/>
        <w:fldChar w:fldCharType="begin"/>
      </w:r>
      <w:r>
        <w:instrText xml:space="preserve"> HYPERLINK \l "_2xcytpi" </w:instrText>
      </w:r>
      <w:r>
        <w:rPr/>
        <w:fldChar w:fldCharType="separate"/>
      </w:r>
      <w:r>
        <w:rPr>
          <w:i w:val="false"/>
          <w:smallCaps w:val="false"/>
          <w:color w:val="000000"/>
          <w:u w:val="none"/>
          <w:shd w:val="clear" w:color="auto" w:fill="auto"/>
          <w:vertAlign w:val="baseline"/>
        </w:rPr>
        <w:t>References</w:t>
      </w:r>
      <w:r>
        <w:rPr>
          <w:i w:val="false"/>
          <w:smallCaps w:val="false"/>
          <w:color w:val="000000"/>
          <w:u w:val="none"/>
          <w:shd w:val="clear" w:color="auto" w:fill="auto"/>
          <w:vertAlign w:val="baseline"/>
        </w:rPr>
        <w:tab/>
      </w:r>
      <w:r>
        <w:rPr>
          <w:i w:val="false"/>
          <w:smallCaps w:val="false"/>
          <w:color w:val="000000"/>
          <w:u w:val="none"/>
          <w:shd w:val="clear" w:color="auto" w:fill="auto"/>
          <w:vertAlign w:val="baseline"/>
        </w:rPr>
        <w:t>22</w:t>
      </w:r>
      <w:r>
        <w:rPr/>
        <w:fldChar w:fldCharType="end"/>
      </w:r>
      <w:r>
        <w:rPr/>
        <w:fldChar w:fldCharType="end"/>
      </w:r>
    </w:p>
    <w:p>
      <w:pPr>
        <w:pStyle w:val="style0"/>
        <w:rPr/>
      </w:pPr>
      <w:r>
        <w:rPr/>
        <w:t xml:space="preserve"> </w:t>
      </w:r>
    </w:p>
    <w:p>
      <w:pPr>
        <w:pStyle w:val="style0"/>
        <w:rPr>
          <w:rFonts w:ascii="Arial" w:cs="Arial" w:eastAsia="Arial" w:hAnsi="Arial"/>
          <w:b/>
          <w:color w:val="17365d"/>
        </w:rPr>
      </w:pPr>
      <w:r>
        <w:br w:type="page"/>
      </w:r>
    </w:p>
    <w:bookmarkStart w:id="0" w:name="_gjdgxs" w:colFirst="0" w:colLast="0"/>
    <w:bookmarkEnd w:id="0"/>
    <w:p>
      <w:pPr>
        <w:pStyle w:val="style1"/>
        <w:rPr/>
      </w:pPr>
      <w:r>
        <w:rPr/>
        <w:t xml:space="preserve">Introduction </w:t>
      </w:r>
    </w:p>
    <w:p>
      <w:pPr>
        <w:pStyle w:val="style0"/>
        <w:spacing w:lineRule="auto" w:line="360"/>
        <w:jc w:val="both"/>
        <w:rPr/>
      </w:pPr>
      <w:r>
        <w:rPr/>
        <w:t xml:space="preserve">In order to lead organisations towards success and sustainability, strategic analysis is crucial. It entails evaluating one's own strengths and limitations, finding opportunities and risks in the outside world, and making well-informed judgments. On this note, for the well-known UK based retailer Marks and Spencer, strategic research is essential for navigating the dynamic business environment, comprehending customer trends, and efficiently allocating resources (Henry, 2021). Moreover, the business may take advantage of new possibilities, handle competitive issues, and adjust to shifting client needs by undertaking a thorough strategic analysis. Henceforth, the company is better equipped to create a solid company plan, improve operational effectiveness, and keep a competitive advantage in the retail and fashion sectors, assuring long-term development and profitability. </w:t>
      </w:r>
    </w:p>
    <w:p>
      <w:pPr>
        <w:pStyle w:val="style0"/>
        <w:spacing w:lineRule="auto" w:line="360"/>
        <w:jc w:val="both"/>
        <w:rPr/>
      </w:pPr>
      <w:r>
        <w:rPr/>
        <w:t xml:space="preserve">Following the significance of the aspect mentioned above, this report aims at presenting an extensive and systematic strategic analysis of Marks and Spencer by starting with the background of the company, discussing macro and microenvironment analyses, and internal analysis. Furthermore, the report also includes strategies to sustain growth, competitive advantage, the requirement of a green strategy, and CSR involvement in its discussion. Besides, the comprehensive findings of the entire analysis are put into the form of a conclusion, and a set of recommendations for the company has been narrated at the end of the report. </w:t>
      </w:r>
    </w:p>
    <w:bookmarkStart w:id="1" w:name="_30j0zll" w:colFirst="0" w:colLast="0"/>
    <w:bookmarkEnd w:id="1"/>
    <w:p>
      <w:pPr>
        <w:pStyle w:val="style1"/>
        <w:rPr/>
      </w:pPr>
      <w:r>
        <w:rPr/>
        <w:t xml:space="preserve">Background of Marks and Spencer </w:t>
      </w:r>
    </w:p>
    <w:p>
      <w:pPr>
        <w:pStyle w:val="style0"/>
        <w:spacing w:lineRule="auto" w:line="360"/>
        <w:jc w:val="both"/>
        <w:rPr/>
      </w:pPr>
      <w:r>
        <w:rPr/>
        <w:t>Michael Marks and Thomas Spencer established this well-known British international fashion and retail store in 1884, and clearly it has a history dating back more than a century. The firm serves a wide spectrum of customers because of its extensive product line, which includes apparel, household items, and food. In the year 2021, the brand had a sizable staff of more than 78,000 people working throughout the globe to support the company's operations in diverse areas (Marks and Spencer, 2020). Given the fact that customer tastes and preferences and market conditions kept changing with time and during the course of its existence, the business experienced multiple periods of boom and phases of difficulty. Even though the retail market has seen ups and downs for the company's financial status, it has managed to retain a strong presence regardless. The brand's main operational markets are in the United Kingdom, where it has a large number of physical stores as well as a strong online presence, in addition to international growth into Europe, Asia, and quite extensively in the Middle East, which has quickly strengthened its worldwide presence.</w:t>
      </w:r>
    </w:p>
    <w:bookmarkStart w:id="2" w:name="_1fob9te" w:colFirst="0" w:colLast="0"/>
    <w:bookmarkEnd w:id="2"/>
    <w:p>
      <w:pPr>
        <w:pStyle w:val="style2"/>
        <w:rPr/>
      </w:pPr>
      <w:r>
        <w:rPr/>
        <w:t>Brand’s Mission and Objectives</w:t>
      </w:r>
    </w:p>
    <w:p>
      <w:pPr>
        <w:pStyle w:val="style0"/>
        <w:rPr/>
      </w:pPr>
      <w:r>
        <w:rPr/>
        <w:t>As part of its commitment to ethical and sustainable business practices, Marks and Spencer strives to provide consumers with high-quality goods in the categories of fashion garments, furnishings, appliances, and food items. Moreover, in order to ensure consumer fulfillment and loyalty, the company seeks to provide a smooth purchasing experience (Marks and Spencer Group plc, 2022). Hence, the main objectives of the brand are to continuously innovate, grow its worldwide reach, and provide value to consumers and other stakeholders through ethical business practices and beneficial social and environmental influences.</w:t>
      </w:r>
    </w:p>
    <w:bookmarkStart w:id="3" w:name="_3znysh7" w:colFirst="0" w:colLast="0"/>
    <w:bookmarkEnd w:id="3"/>
    <w:p>
      <w:pPr>
        <w:pStyle w:val="style1"/>
        <w:rPr/>
      </w:pPr>
      <w:r>
        <w:rPr/>
        <w:t xml:space="preserve">Macro-Environment Analysis </w:t>
      </w:r>
    </w:p>
    <w:p>
      <w:pPr>
        <w:pStyle w:val="style0"/>
        <w:rPr/>
      </w:pPr>
      <w:r>
        <w:rPr/>
        <w:t>Analysing an organisation's macroenvironment involves assessing its external factors, such as its political, economic, social, technical, environmental, and legally binding consequences. This is also commonly known as PESTEL analysis (Perera, 2017). For Marks and Spencer to comprehend these external factors that have substantial impacts on the business' operations, this analytical framework is crucial.</w:t>
      </w:r>
    </w:p>
    <w:bookmarkStart w:id="4" w:name="_2et92p0" w:colFirst="0" w:colLast="0"/>
    <w:bookmarkEnd w:id="4"/>
    <w:p>
      <w:pPr>
        <w:pStyle w:val="style2"/>
        <w:rPr/>
      </w:pPr>
      <w:r>
        <w:rPr/>
        <w:t xml:space="preserve">PESTEL Analysis </w:t>
      </w:r>
    </w:p>
    <w:p>
      <w:pPr>
        <w:pStyle w:val="style0"/>
        <w:spacing w:lineRule="auto" w:line="360"/>
        <w:jc w:val="both"/>
        <w:rPr>
          <w:i/>
        </w:rPr>
      </w:pPr>
      <w:r>
        <w:rPr>
          <w:i/>
        </w:rPr>
        <w:t>Political Factors</w:t>
      </w:r>
    </w:p>
    <w:p>
      <w:pPr>
        <w:pStyle w:val="style0"/>
        <w:rPr/>
      </w:pPr>
      <w:r>
        <w:rPr/>
        <w:t>The political climate in the UK has a big influence on the expansion of the brand. The activities of the retail sector are impacted by governmental policies, laws, and trade agreements. These policies and laws include those governing taxation, employment, and product safety. Moreover, there is no wonder about the fact that the company's supply chain ease, tariffs, and access to foreign markets may be impacted by changes in political leadership and uncertainty resulting from Brexit. Besides, the confidence and spending patterns of consumers may also be negatively impacted by political instability or chaos.</w:t>
      </w:r>
    </w:p>
    <w:p>
      <w:pPr>
        <w:pStyle w:val="style0"/>
        <w:rPr>
          <w:i/>
        </w:rPr>
      </w:pPr>
      <w:r>
        <w:rPr>
          <w:i/>
        </w:rPr>
        <w:t>Economic Factors</w:t>
      </w:r>
    </w:p>
    <w:p>
      <w:pPr>
        <w:pStyle w:val="style0"/>
        <w:rPr/>
      </w:pPr>
      <w:r>
        <w:rPr/>
        <w:t xml:space="preserve">Economic variables, including the UK's unemployment rate, inflation rates, and GDP growth, have an impact on the company's success. Retail sales are directly impacted by shifts in customer disposable income and purchasing power parity over a given period of time. Therefore, recessions or economic downturns may result in a decline in consumer inclination toward spending on leisure goods, which will certainly have an impact on the company's sales. Notably, a global retailer like Marks and Spencer, which has extended operations around the world on a large scale, may also experience changes in operational expenses and sales due to currency fluctuations. In light of this, it is obvious that economic issues are crucial to the ongoing and upcoming success of this brand. </w:t>
      </w:r>
    </w:p>
    <w:p>
      <w:pPr>
        <w:pStyle w:val="style0"/>
        <w:rPr>
          <w:i/>
        </w:rPr>
      </w:pPr>
      <w:r>
        <w:rPr>
          <w:i/>
        </w:rPr>
        <w:t>Social Factors</w:t>
      </w:r>
    </w:p>
    <w:p>
      <w:pPr>
        <w:pStyle w:val="style0"/>
        <w:rPr/>
      </w:pPr>
      <w:r>
        <w:rPr/>
        <w:t xml:space="preserve">Ageing populations, shifting family arrangements, and urbanisation are some of the common examples of how demographic changes may affect consumer preferences and the demand for particular goods. Furthermore, growing consumer demand for green and socially conscious goods is a result of rising awareness of sustainability and ethical standards, making it difficult for the company to match its range of items to these swiftly changing product preferences. Besides, changes in lifestyle preferences and fashion trends may further have an effect on sales of apparel and home goods. Given these, it is evident that the business of Marks and Spencer may be severely impacted by the evolving social landscape in the UK. </w:t>
      </w:r>
    </w:p>
    <w:p>
      <w:pPr>
        <w:pStyle w:val="style0"/>
        <w:rPr>
          <w:i/>
        </w:rPr>
      </w:pPr>
      <w:r>
        <w:rPr>
          <w:i/>
        </w:rPr>
        <w:t>Technological Factors</w:t>
      </w:r>
    </w:p>
    <w:p>
      <w:pPr>
        <w:pStyle w:val="style0"/>
        <w:rPr/>
      </w:pPr>
      <w:r>
        <w:rPr/>
        <w:t>To improve the client experience and operational effectiveness, the business must adapt to the most recent technological advancements. For them to remain competitive and draw in more online customers, they must keep enhancing digital marketing, mobile applications, and e-commerce, including the formats where the apparels are visually shown, selection, adding to cart, easy and secure checkout and payment processes, as well as timely delivery and payment on delivery at the doorstep. When it comes to the discussion of technological consequences, it is important to note that data analytics and artificial intelligence may assist the business in improving inventory control and personalising its services while also providing the organisation with useful insights about the behaviour of its customers.</w:t>
      </w:r>
    </w:p>
    <w:p>
      <w:pPr>
        <w:pStyle w:val="style0"/>
        <w:rPr>
          <w:i/>
        </w:rPr>
      </w:pPr>
      <w:r>
        <w:rPr>
          <w:i/>
        </w:rPr>
        <w:t>Environmental Factors</w:t>
      </w:r>
    </w:p>
    <w:p>
      <w:pPr>
        <w:pStyle w:val="style0"/>
        <w:rPr/>
      </w:pPr>
      <w:r>
        <w:rPr/>
        <w:t>Scarcity of resources, waste management, and climate change are the most crucial aspects of environmental factors. The demand for environmentally friendly goods and sustainable sourcing is growing as customers become more concerned about sustainability and the welfare of society as a whole. Thus, to live up to consumer expectations and comply with legal obligations, the company must boost the execution of eco-friendly programs, lower its carbon footprint through its manufacturing process, and encourage and monitor responsible sourcing.</w:t>
      </w:r>
    </w:p>
    <w:p>
      <w:pPr>
        <w:pStyle w:val="style0"/>
        <w:rPr>
          <w:i/>
        </w:rPr>
      </w:pPr>
      <w:r>
        <w:rPr>
          <w:i/>
        </w:rPr>
        <w:t>Legal Factors</w:t>
      </w:r>
    </w:p>
    <w:p>
      <w:pPr>
        <w:pStyle w:val="style0"/>
        <w:rPr/>
      </w:pPr>
      <w:r>
        <w:rPr/>
        <w:t>Numerous laws and rules have an effect on Marks and Spencer's business operations. These are known as legal considerations in a business environment. This covers laws governing intellectual property rights, employment rules, consumer protection laws, and regulations pertaining to competition. To keep the business's reputation intact and stay out of legal trouble, compliance with these regulatory obligations is essential. Furthermore, market access and supply chains for the company may also be impacted by changes to trade agreements and the judicial consequences of Brexit since 2020.</w:t>
      </w:r>
    </w:p>
    <w:bookmarkStart w:id="5" w:name="_tyjcwt" w:colFirst="0" w:colLast="0"/>
    <w:bookmarkEnd w:id="5"/>
    <w:p>
      <w:pPr>
        <w:pStyle w:val="style1"/>
        <w:rPr/>
      </w:pPr>
      <w:r>
        <w:rPr/>
        <w:t>Micro-Environment Analysis</w:t>
      </w:r>
    </w:p>
    <w:p>
      <w:pPr>
        <w:pStyle w:val="style0"/>
        <w:spacing w:lineRule="auto" w:line="360"/>
        <w:jc w:val="both"/>
        <w:rPr/>
      </w:pPr>
      <w:r>
        <w:rPr/>
        <w:t xml:space="preserve">The study of internal elements and competitive dynamics inside a sector or market that have a direct impact on an organisation's operations and decision making roadmaps is referred to as micro-environment analysis. Moreover, it is important because it aids in understanding a company's position in the marketplace, seeing potential threats and opportunities, and developing viable growth and expansion plans (Cherunilam, 2021). Notably, Porter's Five Forces analysis and the industry life cycle are two fundamental concepts utilised in microenvironment analysis for a business. Thus, the discussion below will jot down the analysis of these two separately. </w:t>
      </w:r>
    </w:p>
    <w:bookmarkStart w:id="6" w:name="_3dy6vkm" w:colFirst="0" w:colLast="0"/>
    <w:bookmarkEnd w:id="6"/>
    <w:p>
      <w:pPr>
        <w:pStyle w:val="style2"/>
        <w:rPr/>
      </w:pPr>
      <w:r>
        <w:rPr/>
        <w:t>Industry Life Cycle</w:t>
      </w:r>
    </w:p>
    <w:p>
      <w:pPr>
        <w:pStyle w:val="style0"/>
        <w:spacing w:lineRule="auto" w:line="360"/>
        <w:jc w:val="both"/>
        <w:rPr/>
      </w:pPr>
      <w:r>
        <w:rPr/>
        <w:t xml:space="preserve">Four stages, which are, respectively, introduction, growth, maturity, and decline, are used by the Industry Life Cycle model to classify a company (Cantner </w:t>
      </w:r>
      <w:r>
        <w:rPr>
          <w:i/>
        </w:rPr>
        <w:t>et al.,</w:t>
      </w:r>
      <w:r>
        <w:rPr/>
        <w:t xml:space="preserve"> 2021). Understanding the present phase of the life cycle of the retail industry is essential for Marks and Spencer in order to create successful strategies for the brand.</w:t>
      </w:r>
    </w:p>
    <w:p>
      <w:pPr>
        <w:pStyle w:val="style0"/>
        <w:jc w:val="center"/>
        <w:rPr/>
      </w:pPr>
      <w:r>
        <w:rPr/>
        <w:drawing>
          <wp:inline distL="0" distT="0" distB="0" distR="0">
            <wp:extent cx="2963965" cy="2546505"/>
            <wp:effectExtent l="0" t="0" r="0" b="0"/>
            <wp:docPr id="1028"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4" cstate="print"/>
                    <a:srcRect l="0" t="0" r="0" b="0"/>
                    <a:stretch/>
                  </pic:blipFill>
                  <pic:spPr>
                    <a:xfrm rot="0">
                      <a:off x="0" y="0"/>
                      <a:ext cx="2963965" cy="2546505"/>
                    </a:xfrm>
                    <a:prstGeom prst="rect"/>
                    <a:ln cmpd="sng" cap="flat" w="9525">
                      <a:solidFill>
                        <a:srgbClr val="000000"/>
                      </a:solidFill>
                      <a:prstDash val="solid"/>
                      <a:round/>
                      <a:headEnd/>
                      <a:tailEnd/>
                    </a:ln>
                  </pic:spPr>
                </pic:pic>
              </a:graphicData>
            </a:graphic>
          </wp:inline>
        </w:drawing>
      </w:r>
    </w:p>
    <w:p>
      <w:pPr>
        <w:pStyle w:val="style0"/>
        <w:jc w:val="center"/>
        <w:rPr>
          <w:i/>
          <w:sz w:val="22"/>
          <w:szCs w:val="22"/>
        </w:rPr>
      </w:pPr>
      <w:r>
        <w:rPr>
          <w:i/>
          <w:sz w:val="22"/>
          <w:szCs w:val="22"/>
        </w:rPr>
        <w:t>Figure 1: Key Stages of Industry Life Cycle</w:t>
      </w:r>
    </w:p>
    <w:p>
      <w:pPr>
        <w:pStyle w:val="style0"/>
        <w:jc w:val="center"/>
        <w:rPr>
          <w:i/>
          <w:sz w:val="22"/>
          <w:szCs w:val="22"/>
        </w:rPr>
      </w:pPr>
      <w:r>
        <w:rPr>
          <w:i/>
          <w:sz w:val="22"/>
          <w:szCs w:val="22"/>
        </w:rPr>
        <w:t>(Source: Habib and Hasan, 2017)</w:t>
      </w:r>
    </w:p>
    <w:tbl>
      <w:tblPr>
        <w:tblStyle w:val="style4099"/>
        <w:tblW w:w="9026"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Introduction</w:t>
            </w:r>
          </w:p>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In this phase, the retail company observes the arrival of new parallel companies, the introduction of revolutionary goods, and the market experiments done by those ones. For the brand to be able to obtain a competitive edge, they may need to concentrate on differentiating their products and enhancing their brand loyalty and reputation among their existing and new consumer base.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Growth</w:t>
            </w:r>
          </w:p>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Rapid industrial growth, strong demand, and heightened competitiveness are all characteristics of this phase. Hence, market penetration, a wider selection of products, and a solid client base are the three areas Marks and Spencer should prioritise even more.</w:t>
            </w:r>
          </w:p>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pP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Decline</w:t>
            </w:r>
          </w:p>
          <w:p>
            <w:pPr>
              <w:pStyle w:val="style0"/>
              <w:spacing w:after="0" w:lineRule="auto" w:line="360"/>
              <w:rPr>
                <w:b/>
                <w:u w:val="single"/>
              </w:rPr>
            </w:pPr>
            <w:r>
              <w:rPr/>
              <w:t>A contracting market, falling sales, and out-of-date items are signs of the phase when the company is on the verge of or already in its decline stage. Henceforth, if Marks and Spencer wants to maintain its success, it may need to think about diversifying, looking into new markets, or using creative tactics.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Maturity</w:t>
            </w:r>
          </w:p>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b/>
                <w:u w:val="single"/>
              </w:rPr>
            </w:pPr>
            <w:r>
              <w:rPr/>
              <w:t>The retail market approaches saturation, and the level of competition picks up during the maturity period. Therefore, the brand has to concentrate on cost reduction, improving operational effectiveness, and customer retention if it wants to keep its market share high and grow in the long run.</w:t>
            </w:r>
          </w:p>
        </w:tc>
      </w:tr>
    </w:tbl>
    <w:p>
      <w:pPr>
        <w:pStyle w:val="style0"/>
        <w:spacing w:lineRule="auto" w:line="360"/>
        <w:jc w:val="both"/>
        <w:rPr/>
      </w:pPr>
    </w:p>
    <w:bookmarkStart w:id="7" w:name="_1t3h5sf" w:colFirst="0" w:colLast="0"/>
    <w:bookmarkEnd w:id="7"/>
    <w:p>
      <w:pPr>
        <w:pStyle w:val="style2"/>
        <w:rPr/>
      </w:pPr>
      <w:r>
        <w:rPr/>
        <w:t>Porter’s Industry Five Forces Analysis</w:t>
      </w:r>
    </w:p>
    <w:p>
      <w:pPr>
        <w:pStyle w:val="style0"/>
        <w:spacing w:lineRule="auto" w:line="360"/>
        <w:jc w:val="both"/>
        <w:rPr/>
      </w:pPr>
      <w:r>
        <w:rPr/>
        <w:t xml:space="preserve">This analysis aids in determining the competitive position of the organisation and possible threats by evaluating the forces at play within an industry (Pervan </w:t>
      </w:r>
      <w:r>
        <w:rPr>
          <w:i/>
        </w:rPr>
        <w:t>et al</w:t>
      </w:r>
      <w:r>
        <w:rPr/>
        <w:t>., 2017).</w:t>
      </w:r>
    </w:p>
    <w:p>
      <w:pPr>
        <w:pStyle w:val="style0"/>
        <w:spacing w:lineRule="auto" w:line="360"/>
        <w:jc w:val="center"/>
        <w:rPr/>
      </w:pPr>
      <w:r>
        <w:rPr/>
        <w:drawing>
          <wp:inline distL="0" distT="0" distB="0" distR="0">
            <wp:extent cx="3186113" cy="2937363"/>
            <wp:effectExtent l="0" t="0" r="0" b="0"/>
            <wp:docPr id="1029"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5" cstate="print"/>
                    <a:srcRect l="0" t="0" r="0" b="0"/>
                    <a:stretch/>
                  </pic:blipFill>
                  <pic:spPr>
                    <a:xfrm rot="0">
                      <a:off x="0" y="0"/>
                      <a:ext cx="3186113" cy="293736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i/>
          <w:sz w:val="22"/>
          <w:szCs w:val="22"/>
        </w:rPr>
      </w:pPr>
      <w:r>
        <w:rPr>
          <w:i/>
          <w:sz w:val="22"/>
          <w:szCs w:val="22"/>
        </w:rPr>
        <w:t xml:space="preserve">Figure 2: Porter’s Five Forces of an Industry Analysis </w:t>
      </w:r>
    </w:p>
    <w:p>
      <w:pPr>
        <w:pStyle w:val="style0"/>
        <w:spacing w:lineRule="auto" w:line="360"/>
        <w:jc w:val="center"/>
        <w:rPr/>
      </w:pPr>
      <w:r>
        <w:rPr>
          <w:i/>
          <w:sz w:val="22"/>
          <w:szCs w:val="22"/>
        </w:rPr>
        <w:t>(Source: Mahat, 2019)</w:t>
      </w:r>
    </w:p>
    <w:tbl>
      <w:tblPr>
        <w:tblStyle w:val="style4100"/>
        <w:tblW w:w="10500" w:type="dxa"/>
        <w:jc w:val="left"/>
        <w:tblInd w:w="-5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2175"/>
        <w:gridCol w:w="2160"/>
        <w:gridCol w:w="2235"/>
        <w:gridCol w:w="2055"/>
      </w:tblGrid>
      <w:tr>
        <w:trPr>
          <w:cantSplit w:val="false"/>
          <w:tblHeader w:val="false"/>
          <w:jc w:val="left"/>
        </w:trPr>
        <w:tc>
          <w:tcPr>
            <w:tcW w:w="0" w:type="auto"/>
            <w:tcBorders/>
            <w:shd w:val="clear" w:color="auto" w:fill="b7b7b7"/>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Threat of New Entrants</w:t>
            </w:r>
          </w:p>
        </w:tc>
        <w:tc>
          <w:tcPr>
            <w:tcW w:w="0" w:type="auto"/>
            <w:tcBorders/>
            <w:shd w:val="clear" w:color="auto" w:fill="b7b7b7"/>
            <w:tcMar>
              <w:top w:w="100" w:type="dxa"/>
              <w:left w:w="100" w:type="dxa"/>
              <w:bottom w:w="100" w:type="dxa"/>
              <w:right w:w="100" w:type="dxa"/>
            </w:tcMar>
          </w:tcPr>
          <w:p>
            <w:pPr>
              <w:pStyle w:val="style0"/>
              <w:widowControl w:val="false"/>
              <w:spacing w:after="0" w:lineRule="auto" w:line="240"/>
              <w:jc w:val="left"/>
              <w:rPr>
                <w:b/>
                <w:i/>
              </w:rPr>
            </w:pPr>
            <w:r>
              <w:rPr>
                <w:b/>
                <w:i/>
              </w:rPr>
              <w:t>Threat of Existing Substitutes</w:t>
            </w:r>
          </w:p>
        </w:tc>
        <w:tc>
          <w:tcPr>
            <w:tcW w:w="0" w:type="auto"/>
            <w:tcBorders/>
            <w:shd w:val="clear" w:color="auto" w:fill="b7b7b7"/>
            <w:tcMar>
              <w:top w:w="100" w:type="dxa"/>
              <w:left w:w="100" w:type="dxa"/>
              <w:bottom w:w="100" w:type="dxa"/>
              <w:right w:w="100" w:type="dxa"/>
            </w:tcMar>
          </w:tcPr>
          <w:p>
            <w:pPr>
              <w:pStyle w:val="style0"/>
              <w:widowControl w:val="false"/>
              <w:spacing w:after="0" w:lineRule="auto" w:line="240"/>
              <w:jc w:val="left"/>
              <w:rPr>
                <w:b/>
                <w:i/>
              </w:rPr>
            </w:pPr>
            <w:r>
              <w:rPr>
                <w:b/>
                <w:i/>
              </w:rPr>
              <w:t>Bargaining Power of Customers</w:t>
            </w:r>
          </w:p>
        </w:tc>
        <w:tc>
          <w:tcPr>
            <w:tcW w:w="0" w:type="auto"/>
            <w:tcBorders/>
            <w:shd w:val="clear" w:color="auto" w:fill="b7b7b7"/>
            <w:tcMar>
              <w:top w:w="100" w:type="dxa"/>
              <w:left w:w="100" w:type="dxa"/>
              <w:bottom w:w="100" w:type="dxa"/>
              <w:right w:w="100" w:type="dxa"/>
            </w:tcMar>
          </w:tcPr>
          <w:p>
            <w:pPr>
              <w:pStyle w:val="style0"/>
              <w:widowControl w:val="false"/>
              <w:spacing w:after="0" w:lineRule="auto" w:line="240"/>
              <w:jc w:val="left"/>
              <w:rPr>
                <w:b/>
                <w:i/>
              </w:rPr>
            </w:pPr>
            <w:r>
              <w:rPr>
                <w:b/>
                <w:i/>
              </w:rPr>
              <w:t>Bargaining Power of Suppliers</w:t>
            </w:r>
          </w:p>
        </w:tc>
        <w:tc>
          <w:tcPr>
            <w:tcW w:w="0" w:type="auto"/>
            <w:tcBorders/>
            <w:shd w:val="clear" w:color="auto" w:fill="b7b7b7"/>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Competition or Industry Rivalry</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The low level of barriers to entry in the retail sector can draw in new rivals. However, potential competitors are significantly prevented from entering the market by Marks and Spencer's long term brand establishment, devoted clientele, and economies of scale.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 xml:space="preserve">Due in large part to the growth of e-commerce and online purchasing platforms, the retail sector is constantly at risk of being replaced. In order to stand out from competitors, the brand should constantly develop and offer innovative and trendy items, especially when it comes to fashion garments and the world of fast fashion. </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Because there are so many alternatives available to consumers, they have a lot of negotiating leverage in the retail sector. In order to retain the existing customers, the company must concentrate on offering special value offerings, discounts, and gift cards along with top-notch customer service at both offline outlets and online stores.</w:t>
            </w:r>
          </w:p>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pPr>
          </w:p>
        </w:tc>
        <w:tc>
          <w:tcPr>
            <w:tcW w:w="0" w:type="auto"/>
            <w:tcBorders/>
            <w:shd w:val="clear" w:color="auto" w:fill="auto"/>
            <w:tcMar>
              <w:top w:w="100" w:type="dxa"/>
              <w:left w:w="100" w:type="dxa"/>
              <w:bottom w:w="100" w:type="dxa"/>
              <w:right w:w="100" w:type="dxa"/>
            </w:tcMar>
          </w:tcPr>
          <w:p>
            <w:pPr>
              <w:pStyle w:val="style0"/>
              <w:widowControl w:val="false"/>
              <w:spacing w:after="0" w:lineRule="auto" w:line="360"/>
              <w:jc w:val="left"/>
              <w:rPr/>
            </w:pPr>
            <w:r>
              <w:rPr/>
              <w:t>Due to the need for high-quality products and prompt deliveries, suppliers in the retail sector may be in a position of influence. Hence, it is crucial that Marks and Spencer keep good ties with its suppliers and look into all of its procurement choices in order to minimise this aspect and also to be able to abide by the sustainability choices of the production process.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There is no doubt that the retail sector is marked by fierce rivalry, which has an effect on pricing policies and financial performance. While separating its products and services from those of its rivals, this fashion brand must constantly watch their actions and policy changes and modify their strategies tactfully and accordingly.</w:t>
            </w:r>
          </w:p>
        </w:tc>
      </w:tr>
    </w:tbl>
    <w:p>
      <w:pPr>
        <w:pStyle w:val="style0"/>
        <w:rPr/>
      </w:pPr>
    </w:p>
    <w:bookmarkStart w:id="8" w:name="_4d34og8" w:colFirst="0" w:colLast="0"/>
    <w:bookmarkEnd w:id="8"/>
    <w:p>
      <w:pPr>
        <w:pStyle w:val="style1"/>
        <w:rPr/>
      </w:pPr>
      <w:r>
        <w:rPr/>
        <w:t>Internal Analysis</w:t>
      </w:r>
    </w:p>
    <w:bookmarkStart w:id="9" w:name="_xuh3edxlsrqs" w:colFirst="0" w:colLast="0"/>
    <w:bookmarkEnd w:id="9"/>
    <w:p>
      <w:pPr>
        <w:pStyle w:val="style0"/>
        <w:spacing w:lineRule="auto" w:line="360"/>
        <w:jc w:val="both"/>
        <w:rPr/>
      </w:pPr>
      <w:r>
        <w:rPr/>
        <w:t xml:space="preserve">To determine an organisation's fundamental skills and opportunities for improvement, internal analysis entails evaluating the internal resources, capabilities, and competencies of the organisation (Namugenyi </w:t>
      </w:r>
      <w:r>
        <w:rPr>
          <w:i/>
        </w:rPr>
        <w:t>et al</w:t>
      </w:r>
      <w:r>
        <w:rPr/>
        <w:t>., 2019). This form of analysis is important because it enables businesses to identify their competitive advantages, deal with their shortcomings, and make wise decisions that will improve performance and assist them in reaching their strategic goals in the short term as well as in the long term.</w:t>
      </w:r>
    </w:p>
    <w:bookmarkStart w:id="10" w:name="_17dp8vu" w:colFirst="0" w:colLast="0"/>
    <w:bookmarkEnd w:id="10"/>
    <w:p>
      <w:pPr>
        <w:pStyle w:val="style2"/>
        <w:rPr/>
      </w:pPr>
      <w:r>
        <w:rPr/>
        <w:t xml:space="preserve">Mark and Spencer’s Strategic Resources and Capabilities </w:t>
      </w:r>
    </w:p>
    <w:p>
      <w:pPr>
        <w:pStyle w:val="style0"/>
        <w:spacing w:lineRule="auto" w:line="360"/>
        <w:jc w:val="both"/>
        <w:rPr/>
      </w:pPr>
      <w:r>
        <w:rPr/>
        <w:t xml:space="preserve">The brand's huge network of physical outlets around the UK is a crucial strategic asset. These retailers have a large geographic presence, which makes it simple for customers to obtain their items and raises brand prominence and awareness (Phillips and Moutinho, 2018). Furthermore, the company's developed distribution network and supply chain enable effective product delivery, guaranteeing timely availability to satisfy consumer expectations (Rushton </w:t>
      </w:r>
      <w:r>
        <w:rPr>
          <w:i/>
        </w:rPr>
        <w:t>et al</w:t>
      </w:r>
      <w:r>
        <w:rPr/>
        <w:t>., 2022). Another significant one of its important resources is its well-established brand name, which has been developed over many years and is known for its reliability and superior craftsmanship. Therefore, this brand value enables the company to draw in devoted clients and keep a competitive edge throughout the entire season.</w:t>
      </w:r>
    </w:p>
    <w:p>
      <w:pPr>
        <w:pStyle w:val="style0"/>
        <w:spacing w:lineRule="auto" w:line="360"/>
        <w:jc w:val="both"/>
        <w:rPr/>
      </w:pPr>
      <w:r>
        <w:rPr/>
        <w:t>Its position in the market is further strengthened by its capabilities. The business's experience in the retail sector has made it possible for it to manage online and offline stores well, and provide a wide range of products. Additionally, the brand has gained a thorough grasp of the tastes and purchasing habits of its target market, enabling it to modify its seasonal product offerings to suit the demands of its consumers (McDaniel Jr. and Gates, 2018). Besides, the company's emphasis on sustainability and moral business conduct also demonstrates its capacity to adjust to shifting customer needs, especially environmental concerns, and make a beneficial impact on society and the ecosystem.</w:t>
      </w:r>
    </w:p>
    <w:bookmarkStart w:id="11" w:name="_3rdcrjn" w:colFirst="0" w:colLast="0"/>
    <w:bookmarkEnd w:id="11"/>
    <w:p>
      <w:pPr>
        <w:pStyle w:val="style2"/>
        <w:rPr/>
      </w:pPr>
      <w:r>
        <w:rPr/>
        <w:t>Value Chain Analysis</w:t>
      </w:r>
      <w:r>
        <w:rPr/>
        <w:tab/>
      </w:r>
    </w:p>
    <w:p>
      <w:pPr>
        <w:pStyle w:val="style0"/>
        <w:rPr/>
      </w:pPr>
      <w:r>
        <w:rPr/>
        <w:t xml:space="preserve">This analysis by Marks and Spencer highlights areas of strength as well as areas that need correction or modification. Product availability and variety are maintained through efficient primary activities such as incoming logistics, operations, distribution, marketing, and sales (Cheung </w:t>
      </w:r>
      <w:r>
        <w:rPr>
          <w:i/>
        </w:rPr>
        <w:t>et al.</w:t>
      </w:r>
      <w:r>
        <w:rPr/>
        <w:t xml:space="preserve">, 2021). Customer service that is both effective and efficient encourages loyalty and a good brand reputation for the company. Moreover, the improvement of main operations is made possible by secondary activities including purchasing, technology, and a competent workforce (Pimenta </w:t>
      </w:r>
      <w:r>
        <w:rPr>
          <w:i/>
        </w:rPr>
        <w:t>et al.</w:t>
      </w:r>
      <w:r>
        <w:rPr/>
        <w:t>, 2022). This UK fashion retailer's ongoing performance is also supported by a well-structured corporate infrastructure.</w:t>
      </w:r>
    </w:p>
    <w:p>
      <w:pPr>
        <w:pStyle w:val="style0"/>
        <w:spacing w:lineRule="auto" w:line="360"/>
        <w:jc w:val="center"/>
        <w:rPr/>
      </w:pPr>
      <w:r>
        <w:rPr/>
        <w:drawing>
          <wp:inline distL="0" distT="0" distB="0" distR="0">
            <wp:extent cx="4491038" cy="2588688"/>
            <wp:effectExtent l="0" t="0" r="0" b="0"/>
            <wp:docPr id="1030"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6" cstate="print"/>
                    <a:srcRect l="0" t="0" r="0" b="0"/>
                    <a:stretch/>
                  </pic:blipFill>
                  <pic:spPr>
                    <a:xfrm rot="0">
                      <a:off x="0" y="0"/>
                      <a:ext cx="4491038" cy="2588688"/>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i/>
          <w:sz w:val="22"/>
          <w:szCs w:val="22"/>
        </w:rPr>
      </w:pPr>
      <w:r>
        <w:rPr>
          <w:i/>
          <w:sz w:val="22"/>
          <w:szCs w:val="22"/>
        </w:rPr>
        <w:t>Figure 3: Elements of Value Chain Analysis</w:t>
      </w:r>
    </w:p>
    <w:p>
      <w:pPr>
        <w:pStyle w:val="style0"/>
        <w:spacing w:lineRule="auto" w:line="360"/>
        <w:jc w:val="center"/>
        <w:rPr>
          <w:i/>
          <w:sz w:val="22"/>
          <w:szCs w:val="22"/>
        </w:rPr>
      </w:pPr>
      <w:r>
        <w:rPr>
          <w:i/>
          <w:sz w:val="22"/>
          <w:szCs w:val="22"/>
        </w:rPr>
        <w:t>(Source: Cheung et al., 2021)</w:t>
      </w:r>
    </w:p>
    <w:bookmarkStart w:id="12" w:name="_26in1rg" w:colFirst="0" w:colLast="0"/>
    <w:bookmarkEnd w:id="12"/>
    <w:p>
      <w:pPr>
        <w:pStyle w:val="style3"/>
        <w:rPr/>
      </w:pPr>
      <w:r>
        <w:rPr/>
        <w:t>Primary Activities</w:t>
      </w:r>
    </w:p>
    <w:tbl>
      <w:tblPr>
        <w:tblStyle w:val="style4101"/>
        <w:tblW w:w="9000"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6840"/>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Inbound Logistics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The value chain of the brand is critically dependent on its supplier network. In order to maintain the availability of top-notch items in its stores, the firm effectively acquires products from suppliers. With the help of this efficient inbound logistics system, the company can control inventory levels and quickly meet client demand.</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Operations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Manufacturing the items the brand plans and initiates to sell, packing those goods, and managing stores are key operations the company goes through during the entire period of its business. To improve the whole shopping experience for customers, Marks and Spencer focuses on providing high-quality goods and keeping its stores attractive.</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Outbound Logistics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Product delivery on schedule to the company's outlets across the UK is ensured through its large and prompt distribution network. Therefore, it can be assumed that a strong market presence and great customer service are made possible by efficient outbound logistics for the business.</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Marketing and Sales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In addition to engaging in focused marketing campaigns to promote its goods and seasonal offerings, the firm uses its strong brand recognition to draw in customers. Henceforth, it is quite evident that the success of the company depends on efficient marketing initiatives and sales tactics.</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Customer Service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The provision of outstanding customer service is highly valued by Marks and Spencer. In order to encourage client loyalty and good word of mouth, this also involves competent employees, easy return and refund channels, and individualised support at the store.</w:t>
            </w:r>
          </w:p>
        </w:tc>
      </w:tr>
    </w:tbl>
    <w:p>
      <w:pPr>
        <w:pStyle w:val="style0"/>
        <w:spacing w:lineRule="auto" w:line="360"/>
        <w:jc w:val="both"/>
        <w:rPr/>
      </w:pPr>
      <w:r>
        <w:rPr/>
        <w:tab/>
      </w:r>
    </w:p>
    <w:bookmarkStart w:id="13" w:name="_lnxbz9" w:colFirst="0" w:colLast="0"/>
    <w:bookmarkEnd w:id="13"/>
    <w:p>
      <w:pPr>
        <w:pStyle w:val="style3"/>
        <w:rPr/>
      </w:pPr>
      <w:r>
        <w:rPr/>
        <w:t>Secondary Activities</w:t>
      </w:r>
    </w:p>
    <w:tbl>
      <w:tblPr>
        <w:tblStyle w:val="style4102"/>
        <w:tblW w:w="9000"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6855"/>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Procurement</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Strategic purchasing methods used by Marks and Spencer guarantee the sourcing of premium goods and materials at reasonable costs. The firm works with dependable suppliers to further its dedication to sustainability and moral sourcing.</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 xml:space="preserve">Innovation and Technology Development </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 xml:space="preserve">The business makes investments in data analytics, e-commerce platforms, and digital solutions to boost operational effectiveness and learn crucial details about client preferences. Therefore, it is easy to assert that adopting technology and encouraging innovation are important components of the company's secondary efforts or activities. </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 xml:space="preserve">Human Resource Management </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The employees of this firm are a great resource for the growth and expansion of its business. Marks and Spencer places a strong emphasis on employee empowerment, training, and development since these factors help create an experienced and motivated team that provides excellent customer service.</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Firm Infrastructure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rPr/>
            </w:pPr>
            <w:r>
              <w:rPr/>
              <w:t>A broad organisational structure, financial management, and administrative operations make up the firm's infrastructure. An effective framework helps the company run smoothly and makes it possible to make strategic decisions.</w:t>
            </w:r>
          </w:p>
        </w:tc>
      </w:tr>
    </w:tbl>
    <w:p>
      <w:pPr>
        <w:pStyle w:val="style0"/>
        <w:spacing w:lineRule="auto" w:line="360"/>
        <w:jc w:val="both"/>
        <w:rPr/>
      </w:pPr>
    </w:p>
    <w:bookmarkStart w:id="14" w:name="_1ksv4uv" w:colFirst="0" w:colLast="0"/>
    <w:bookmarkEnd w:id="14"/>
    <w:p>
      <w:pPr>
        <w:pStyle w:val="style2"/>
        <w:rPr/>
      </w:pPr>
      <w:r>
        <w:rPr/>
        <w:t>VRIO Analysis of Distinctive Resources and Capabilities</w:t>
      </w:r>
    </w:p>
    <w:p>
      <w:pPr>
        <w:pStyle w:val="style0"/>
        <w:jc w:val="center"/>
        <w:rPr/>
      </w:pPr>
      <w:r>
        <w:rPr/>
        <w:drawing>
          <wp:inline distL="0" distT="0" distB="0" distR="0">
            <wp:extent cx="4386263" cy="2470005"/>
            <wp:effectExtent l="0" t="0" r="0" b="0"/>
            <wp:docPr id="1031"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7" cstate="print"/>
                    <a:srcRect l="0" t="0" r="0" b="0"/>
                    <a:stretch/>
                  </pic:blipFill>
                  <pic:spPr>
                    <a:xfrm rot="0">
                      <a:off x="0" y="0"/>
                      <a:ext cx="4386263" cy="2470005"/>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i/>
          <w:sz w:val="22"/>
          <w:szCs w:val="22"/>
        </w:rPr>
      </w:pPr>
      <w:r>
        <w:rPr>
          <w:i/>
          <w:sz w:val="22"/>
          <w:szCs w:val="22"/>
        </w:rPr>
        <w:t>Figure 4: VRIO Analysis</w:t>
      </w:r>
    </w:p>
    <w:p>
      <w:pPr>
        <w:pStyle w:val="style0"/>
        <w:spacing w:lineRule="auto" w:line="360"/>
        <w:jc w:val="center"/>
        <w:rPr>
          <w:i/>
          <w:sz w:val="22"/>
          <w:szCs w:val="22"/>
        </w:rPr>
      </w:pPr>
      <w:r>
        <w:rPr>
          <w:i/>
          <w:sz w:val="22"/>
          <w:szCs w:val="22"/>
        </w:rPr>
        <w:t>(Source: Chatzoglou et al., 2018)</w:t>
      </w:r>
    </w:p>
    <w:p>
      <w:pPr>
        <w:pStyle w:val="style0"/>
        <w:rPr/>
      </w:pPr>
      <w:r>
        <w:rPr/>
        <w:t>Marks and Spencer has a competitive advantage in the UK retail industry due to the resources that its VRIO analysis suggests are valuable and uncommon, such as a solid reputation as a brand and a vast retail outlet network. Moreover, the success of the company is also attributed to its effective supply chain, awareness of the needs of the client, focus on sustainability, and use of technology (Walters and Rainbird, 2017). Its innovations in technology can, however, be somewhat moderately imitated by its rivals. Besides, the company's competitive edge is further enhanced by its well-organised and skilled team, which also guarantees outstanding customer care and operational effectiveness. The following tabular representation is the brief of this discussion.</w:t>
      </w:r>
      <w:r>
        <w:rPr/>
        <w:tab/>
      </w:r>
    </w:p>
    <w:tbl>
      <w:tblPr>
        <w:tblStyle w:val="style4103"/>
        <w:tblW w:w="9315" w:type="dxa"/>
        <w:jc w:val="left"/>
        <w:tblBorders>
          <w:top w:val="nil"/>
          <w:left w:val="nil"/>
          <w:bottom w:val="nil"/>
          <w:right w:val="nil"/>
          <w:insideH w:val="nil"/>
          <w:insideV w:val="nil"/>
        </w:tblBorders>
        <w:tblLayout w:type="fixed"/>
        <w:tblLook w:val="0600" w:firstRow="0" w:lastRow="0" w:firstColumn="0" w:lastColumn="0" w:noHBand="1" w:noVBand="1"/>
      </w:tblPr>
      <w:tblGrid>
        <w:gridCol w:w="3090"/>
        <w:gridCol w:w="1350"/>
        <w:gridCol w:w="1410"/>
        <w:gridCol w:w="1635"/>
        <w:gridCol w:w="1830"/>
      </w:tblGrid>
      <w:tr>
        <w:trPr>
          <w:cantSplit w:val="false"/>
          <w:trHeight w:val="710"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b7b7b7"/>
            <w:tcMar>
              <w:top w:w="100" w:type="dxa"/>
              <w:left w:w="100" w:type="dxa"/>
              <w:bottom w:w="100" w:type="dxa"/>
              <w:right w:w="100" w:type="dxa"/>
            </w:tcMar>
            <w:vAlign w:val="bottom"/>
          </w:tcPr>
          <w:p>
            <w:pPr>
              <w:pStyle w:val="style0"/>
              <w:spacing w:after="380"/>
              <w:jc w:val="center"/>
              <w:rPr>
                <w:b/>
                <w:i/>
              </w:rPr>
            </w:pPr>
            <w:r>
              <w:rPr>
                <w:b/>
                <w:i/>
              </w:rPr>
              <w:t>Resource/Capability</w:t>
            </w:r>
          </w:p>
        </w:tc>
        <w:tc>
          <w:tcPr>
            <w:tcW w:w="0" w:type="auto"/>
            <w:tcBorders>
              <w:top w:val="single" w:sz="6" w:space="0" w:color="000000"/>
              <w:left w:val="single" w:sz="6" w:space="0" w:color="000000"/>
              <w:bottom w:val="single" w:sz="6" w:space="0" w:color="000000"/>
              <w:right w:val="single" w:sz="6" w:space="0" w:color="000000"/>
            </w:tcBorders>
            <w:shd w:val="clear" w:color="auto" w:fill="b7b7b7"/>
            <w:tcMar>
              <w:top w:w="100" w:type="dxa"/>
              <w:left w:w="100" w:type="dxa"/>
              <w:bottom w:w="100" w:type="dxa"/>
              <w:right w:w="100" w:type="dxa"/>
            </w:tcMar>
            <w:vAlign w:val="bottom"/>
          </w:tcPr>
          <w:p>
            <w:pPr>
              <w:pStyle w:val="style0"/>
              <w:spacing w:after="380"/>
              <w:jc w:val="center"/>
              <w:rPr>
                <w:b/>
                <w:i/>
              </w:rPr>
            </w:pPr>
            <w:r>
              <w:rPr>
                <w:b/>
                <w:i/>
              </w:rPr>
              <w:t>Value</w:t>
            </w:r>
          </w:p>
        </w:tc>
        <w:tc>
          <w:tcPr>
            <w:tcW w:w="0" w:type="auto"/>
            <w:tcBorders>
              <w:top w:val="single" w:sz="6" w:space="0" w:color="000000"/>
              <w:left w:val="single" w:sz="6" w:space="0" w:color="000000"/>
              <w:bottom w:val="single" w:sz="6" w:space="0" w:color="000000"/>
              <w:right w:val="single" w:sz="6" w:space="0" w:color="000000"/>
            </w:tcBorders>
            <w:shd w:val="clear" w:color="auto" w:fill="b7b7b7"/>
            <w:tcMar>
              <w:top w:w="100" w:type="dxa"/>
              <w:left w:w="100" w:type="dxa"/>
              <w:bottom w:w="100" w:type="dxa"/>
              <w:right w:w="100" w:type="dxa"/>
            </w:tcMar>
            <w:vAlign w:val="bottom"/>
          </w:tcPr>
          <w:p>
            <w:pPr>
              <w:pStyle w:val="style0"/>
              <w:spacing w:after="380"/>
              <w:jc w:val="center"/>
              <w:rPr>
                <w:b/>
                <w:i/>
              </w:rPr>
            </w:pPr>
            <w:r>
              <w:rPr>
                <w:b/>
                <w:i/>
              </w:rPr>
              <w:t>Rarity</w:t>
            </w:r>
          </w:p>
        </w:tc>
        <w:tc>
          <w:tcPr>
            <w:tcW w:w="0" w:type="auto"/>
            <w:tcBorders>
              <w:top w:val="single" w:sz="6" w:space="0" w:color="000000"/>
              <w:left w:val="single" w:sz="6" w:space="0" w:color="000000"/>
              <w:bottom w:val="single" w:sz="6" w:space="0" w:color="000000"/>
              <w:right w:val="single" w:sz="6" w:space="0" w:color="000000"/>
            </w:tcBorders>
            <w:shd w:val="clear" w:color="auto" w:fill="b7b7b7"/>
            <w:tcMar>
              <w:top w:w="100" w:type="dxa"/>
              <w:left w:w="100" w:type="dxa"/>
              <w:bottom w:w="100" w:type="dxa"/>
              <w:right w:w="100" w:type="dxa"/>
            </w:tcMar>
            <w:vAlign w:val="bottom"/>
          </w:tcPr>
          <w:p>
            <w:pPr>
              <w:pStyle w:val="style0"/>
              <w:spacing w:after="380"/>
              <w:jc w:val="center"/>
              <w:rPr>
                <w:b/>
                <w:i/>
              </w:rPr>
            </w:pPr>
            <w:r>
              <w:rPr>
                <w:b/>
                <w:i/>
              </w:rPr>
              <w:t>Imitability</w:t>
            </w:r>
          </w:p>
        </w:tc>
        <w:tc>
          <w:tcPr>
            <w:tcW w:w="0" w:type="auto"/>
            <w:tcBorders>
              <w:top w:val="single" w:sz="6" w:space="0" w:color="000000"/>
              <w:left w:val="single" w:sz="6" w:space="0" w:color="000000"/>
              <w:bottom w:val="single" w:sz="6" w:space="0" w:color="000000"/>
              <w:right w:val="single" w:sz="6" w:space="0" w:color="000000"/>
            </w:tcBorders>
            <w:shd w:val="clear" w:color="auto" w:fill="b7b7b7"/>
            <w:tcMar>
              <w:top w:w="100" w:type="dxa"/>
              <w:left w:w="100" w:type="dxa"/>
              <w:bottom w:w="100" w:type="dxa"/>
              <w:right w:w="100" w:type="dxa"/>
            </w:tcMar>
            <w:vAlign w:val="bottom"/>
          </w:tcPr>
          <w:p>
            <w:pPr>
              <w:pStyle w:val="style0"/>
              <w:spacing w:after="380"/>
              <w:jc w:val="center"/>
              <w:rPr>
                <w:b/>
                <w:i/>
              </w:rPr>
            </w:pPr>
            <w:r>
              <w:rPr>
                <w:b/>
                <w:i/>
              </w:rPr>
              <w:t>Organisation</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Strong Brand Reputation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Rare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Extensive Store Network</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Rare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Efficient Supply Chain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Common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Customer Understanding</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Rare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Emphasis on Sustainability</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Rare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Technological Integration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Common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Moderately</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r>
      <w:tr>
        <w:tblPrEx/>
        <w:trPr>
          <w:cantSplit w:val="false"/>
          <w:trHeight w:val="695" w:hRule="atLeast"/>
          <w:tblHeader w:val="false"/>
          <w:jc w:val="left"/>
        </w:trPr>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i/>
              </w:rPr>
            </w:pPr>
            <w:r>
              <w:rPr>
                <w:i/>
              </w:rPr>
              <w:t>Well-Trained Workforce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Common</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_</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pPr>
              <w:pStyle w:val="style0"/>
              <w:spacing w:after="380"/>
              <w:jc w:val="left"/>
              <w:rPr/>
            </w:pPr>
            <w:r>
              <w:rPr/>
              <w:t>Organized</w:t>
            </w:r>
          </w:p>
        </w:tc>
      </w:tr>
    </w:tbl>
    <w:p>
      <w:pPr>
        <w:pStyle w:val="style0"/>
        <w:spacing w:after="0" w:lineRule="auto" w:line="276"/>
        <w:jc w:val="left"/>
        <w:rPr/>
      </w:pPr>
    </w:p>
    <w:bookmarkStart w:id="15" w:name="_npwuwt4lvvm4" w:colFirst="0" w:colLast="0"/>
    <w:bookmarkEnd w:id="15"/>
    <w:p>
      <w:pPr>
        <w:pStyle w:val="style2"/>
        <w:rPr/>
      </w:pPr>
    </w:p>
    <w:bookmarkStart w:id="16" w:name="_v7mpwxd6vl2m" w:colFirst="0" w:colLast="0"/>
    <w:bookmarkEnd w:id="16"/>
    <w:p>
      <w:pPr>
        <w:pStyle w:val="style2"/>
        <w:rPr/>
      </w:pPr>
    </w:p>
    <w:bookmarkStart w:id="17" w:name="_44sinio" w:colFirst="0" w:colLast="0"/>
    <w:bookmarkEnd w:id="17"/>
    <w:p>
      <w:pPr>
        <w:pStyle w:val="style2"/>
        <w:rPr/>
      </w:pPr>
      <w:r>
        <w:rPr/>
        <w:t xml:space="preserve">SWOT Analysis </w:t>
      </w:r>
    </w:p>
    <w:tbl>
      <w:tblPr>
        <w:tblStyle w:val="style4104"/>
        <w:tblW w:w="9000"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65"/>
        <w:gridCol w:w="4035"/>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Strengths</w:t>
            </w:r>
          </w:p>
          <w:p>
            <w:pPr>
              <w:pStyle w:val="style0"/>
              <w:numPr>
                <w:ilvl w:val="0"/>
                <w:numId w:val="1"/>
              </w:numPr>
              <w:spacing w:after="0" w:lineRule="auto" w:line="360"/>
              <w:ind w:left="720" w:hanging="360"/>
              <w:rPr>
                <w:u w:val="none"/>
              </w:rPr>
            </w:pPr>
            <w:r>
              <w:rPr/>
              <w:t>Strong brand reputation</w:t>
            </w:r>
          </w:p>
          <w:p>
            <w:pPr>
              <w:pStyle w:val="style0"/>
              <w:numPr>
                <w:ilvl w:val="0"/>
                <w:numId w:val="1"/>
              </w:numPr>
              <w:spacing w:after="0" w:lineRule="auto" w:line="360"/>
              <w:ind w:left="720" w:hanging="360"/>
              <w:rPr>
                <w:u w:val="none"/>
              </w:rPr>
            </w:pPr>
            <w:r>
              <w:rPr/>
              <w:t>Extensive physical retail outlet network</w:t>
            </w:r>
          </w:p>
          <w:p>
            <w:pPr>
              <w:pStyle w:val="style0"/>
              <w:numPr>
                <w:ilvl w:val="0"/>
                <w:numId w:val="1"/>
              </w:numPr>
              <w:spacing w:after="0" w:lineRule="auto" w:line="360"/>
              <w:ind w:left="720" w:hanging="360"/>
              <w:rPr>
                <w:u w:val="none"/>
              </w:rPr>
            </w:pPr>
            <w:r>
              <w:rPr/>
              <w:t>Emphasis on sustainability</w:t>
            </w:r>
          </w:p>
          <w:p>
            <w:pPr>
              <w:pStyle w:val="style0"/>
              <w:numPr>
                <w:ilvl w:val="0"/>
                <w:numId w:val="1"/>
              </w:numPr>
              <w:spacing w:after="0" w:lineRule="auto" w:line="360"/>
              <w:ind w:left="720" w:hanging="360"/>
              <w:rPr>
                <w:u w:val="none"/>
              </w:rPr>
            </w:pPr>
            <w:r>
              <w:rPr/>
              <w:t>Understanding shifting preferences of customers</w:t>
            </w:r>
          </w:p>
          <w:p>
            <w:pPr>
              <w:pStyle w:val="style0"/>
              <w:numPr>
                <w:ilvl w:val="0"/>
                <w:numId w:val="1"/>
              </w:numPr>
              <w:spacing w:after="0" w:lineRule="auto" w:line="360"/>
              <w:ind w:left="720" w:hanging="360"/>
              <w:rPr>
                <w:u w:val="none"/>
              </w:rPr>
            </w:pPr>
            <w:r>
              <w:rPr/>
              <w:t>Skilled and competent workforce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Weaknesses</w:t>
            </w:r>
          </w:p>
          <w:p>
            <w:pPr>
              <w:pStyle w:val="style0"/>
              <w:keepNext w:val="false"/>
              <w:keepLines w:val="false"/>
              <w:pageBreakBefore w:val="false"/>
              <w:widowControl w:val="false"/>
              <w:numPr>
                <w:ilvl w:val="0"/>
                <w:numId w:val="3"/>
              </w:numPr>
              <w:pBdr>
                <w:left w:val="nil"/>
                <w:right w:val="nil"/>
                <w:top w:val="nil"/>
                <w:bottom w:val="nil"/>
                <w:between w:val="nil"/>
              </w:pBdr>
              <w:shd w:val="clear" w:color="auto" w:fill="auto"/>
              <w:spacing w:before="0" w:after="0" w:lineRule="auto" w:line="360"/>
              <w:ind w:left="720" w:right="0" w:hanging="360"/>
              <w:jc w:val="left"/>
              <w:rPr>
                <w:u w:val="none"/>
              </w:rPr>
            </w:pPr>
            <w:r>
              <w:rPr/>
              <w:t>High operating costs</w:t>
            </w:r>
          </w:p>
          <w:p>
            <w:pPr>
              <w:pStyle w:val="style0"/>
              <w:keepNext w:val="false"/>
              <w:keepLines w:val="false"/>
              <w:pageBreakBefore w:val="false"/>
              <w:widowControl w:val="false"/>
              <w:numPr>
                <w:ilvl w:val="0"/>
                <w:numId w:val="3"/>
              </w:numPr>
              <w:pBdr>
                <w:left w:val="nil"/>
                <w:right w:val="nil"/>
                <w:top w:val="nil"/>
                <w:bottom w:val="nil"/>
                <w:between w:val="nil"/>
              </w:pBdr>
              <w:shd w:val="clear" w:color="auto" w:fill="auto"/>
              <w:spacing w:before="0" w:after="0" w:lineRule="auto" w:line="360"/>
              <w:ind w:left="720" w:right="0" w:hanging="360"/>
              <w:jc w:val="left"/>
              <w:rPr>
                <w:u w:val="none"/>
              </w:rPr>
            </w:pPr>
            <w:r>
              <w:rPr/>
              <w:t>Slow market responsiveness</w:t>
            </w:r>
          </w:p>
          <w:p>
            <w:pPr>
              <w:pStyle w:val="style0"/>
              <w:keepNext w:val="false"/>
              <w:keepLines w:val="false"/>
              <w:pageBreakBefore w:val="false"/>
              <w:widowControl w:val="false"/>
              <w:numPr>
                <w:ilvl w:val="0"/>
                <w:numId w:val="3"/>
              </w:numPr>
              <w:pBdr>
                <w:left w:val="nil"/>
                <w:right w:val="nil"/>
                <w:top w:val="nil"/>
                <w:bottom w:val="nil"/>
                <w:between w:val="nil"/>
              </w:pBdr>
              <w:shd w:val="clear" w:color="auto" w:fill="auto"/>
              <w:spacing w:before="0" w:after="0" w:lineRule="auto" w:line="360"/>
              <w:ind w:left="720" w:right="0" w:hanging="360"/>
              <w:jc w:val="left"/>
              <w:rPr>
                <w:u w:val="none"/>
              </w:rPr>
            </w:pPr>
            <w:r>
              <w:rPr/>
              <w:t>Online competition</w:t>
            </w:r>
          </w:p>
          <w:p>
            <w:pPr>
              <w:pStyle w:val="style0"/>
              <w:keepNext w:val="false"/>
              <w:keepLines w:val="false"/>
              <w:pageBreakBefore w:val="false"/>
              <w:widowControl w:val="false"/>
              <w:numPr>
                <w:ilvl w:val="0"/>
                <w:numId w:val="3"/>
              </w:numPr>
              <w:pBdr>
                <w:left w:val="nil"/>
                <w:right w:val="nil"/>
                <w:top w:val="nil"/>
                <w:bottom w:val="nil"/>
                <w:between w:val="nil"/>
              </w:pBdr>
              <w:shd w:val="clear" w:color="auto" w:fill="auto"/>
              <w:spacing w:before="0" w:after="0" w:lineRule="auto" w:line="360"/>
              <w:ind w:left="720" w:right="0" w:hanging="360"/>
              <w:jc w:val="left"/>
              <w:rPr>
                <w:u w:val="none"/>
              </w:rPr>
            </w:pPr>
            <w:r>
              <w:rPr/>
              <w:t>Fashion trend challenges</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Opportunities</w:t>
            </w:r>
          </w:p>
          <w:p>
            <w:pPr>
              <w:pStyle w:val="style0"/>
              <w:numPr>
                <w:ilvl w:val="0"/>
                <w:numId w:val="4"/>
              </w:numPr>
              <w:spacing w:after="0" w:lineRule="auto" w:line="360"/>
              <w:ind w:left="720" w:hanging="360"/>
              <w:jc w:val="left"/>
              <w:rPr>
                <w:u w:val="none"/>
              </w:rPr>
            </w:pPr>
            <w:r>
              <w:rPr/>
              <w:t>Technological advancements</w:t>
            </w:r>
          </w:p>
          <w:p>
            <w:pPr>
              <w:pStyle w:val="style0"/>
              <w:numPr>
                <w:ilvl w:val="0"/>
                <w:numId w:val="4"/>
              </w:numPr>
              <w:spacing w:after="0" w:lineRule="auto" w:line="360"/>
              <w:ind w:left="720" w:hanging="360"/>
              <w:jc w:val="left"/>
              <w:rPr>
                <w:u w:val="none"/>
              </w:rPr>
            </w:pPr>
            <w:r>
              <w:rPr/>
              <w:t xml:space="preserve">Growth in e-commerce </w:t>
            </w:r>
          </w:p>
          <w:p>
            <w:pPr>
              <w:pStyle w:val="style0"/>
              <w:numPr>
                <w:ilvl w:val="0"/>
                <w:numId w:val="4"/>
              </w:numPr>
              <w:spacing w:after="0" w:lineRule="auto" w:line="360"/>
              <w:ind w:left="720" w:hanging="360"/>
              <w:jc w:val="left"/>
              <w:rPr>
                <w:u w:val="none"/>
              </w:rPr>
            </w:pPr>
            <w:r>
              <w:rPr/>
              <w:t>more variations of sustainable product lines</w:t>
            </w:r>
          </w:p>
          <w:p>
            <w:pPr>
              <w:pStyle w:val="style0"/>
              <w:numPr>
                <w:ilvl w:val="0"/>
                <w:numId w:val="4"/>
              </w:numPr>
              <w:spacing w:after="0" w:lineRule="auto" w:line="360"/>
              <w:ind w:left="720" w:hanging="360"/>
              <w:jc w:val="left"/>
              <w:rPr>
                <w:u w:val="none"/>
              </w:rPr>
            </w:pPr>
            <w:r>
              <w:rPr/>
              <w:t>Broader international expansion</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Threats</w:t>
            </w:r>
          </w:p>
          <w:p>
            <w:pPr>
              <w:pStyle w:val="style0"/>
              <w:numPr>
                <w:ilvl w:val="0"/>
                <w:numId w:val="2"/>
              </w:numPr>
              <w:spacing w:after="0" w:lineRule="auto" w:line="360"/>
              <w:ind w:left="720" w:hanging="360"/>
              <w:jc w:val="left"/>
              <w:rPr>
                <w:u w:val="none"/>
              </w:rPr>
            </w:pPr>
            <w:r>
              <w:rPr/>
              <w:t>Rapidly changing consumer preferences</w:t>
            </w:r>
          </w:p>
          <w:p>
            <w:pPr>
              <w:pStyle w:val="style0"/>
              <w:numPr>
                <w:ilvl w:val="0"/>
                <w:numId w:val="2"/>
              </w:numPr>
              <w:spacing w:after="0" w:lineRule="auto" w:line="360"/>
              <w:ind w:left="720" w:hanging="360"/>
              <w:jc w:val="left"/>
              <w:rPr>
                <w:u w:val="none"/>
              </w:rPr>
            </w:pPr>
            <w:r>
              <w:rPr/>
              <w:t>Economic uncertainties</w:t>
            </w:r>
          </w:p>
          <w:p>
            <w:pPr>
              <w:pStyle w:val="style0"/>
              <w:numPr>
                <w:ilvl w:val="0"/>
                <w:numId w:val="2"/>
              </w:numPr>
              <w:spacing w:after="0" w:lineRule="auto" w:line="360"/>
              <w:ind w:left="720" w:hanging="360"/>
              <w:jc w:val="left"/>
              <w:rPr>
                <w:u w:val="none"/>
              </w:rPr>
            </w:pPr>
            <w:r>
              <w:rPr/>
              <w:t>Supply chain disruptions</w:t>
            </w:r>
          </w:p>
          <w:p>
            <w:pPr>
              <w:pStyle w:val="style0"/>
              <w:numPr>
                <w:ilvl w:val="0"/>
                <w:numId w:val="2"/>
              </w:numPr>
              <w:spacing w:after="0" w:lineRule="auto" w:line="360"/>
              <w:ind w:left="720" w:hanging="360"/>
              <w:jc w:val="left"/>
              <w:rPr>
                <w:u w:val="none"/>
              </w:rPr>
            </w:pPr>
            <w:r>
              <w:rPr/>
              <w:t>Intense competition</w:t>
            </w:r>
          </w:p>
        </w:tc>
      </w:tr>
    </w:tbl>
    <w:p>
      <w:pPr>
        <w:pStyle w:val="style0"/>
        <w:rPr/>
      </w:pPr>
    </w:p>
    <w:p>
      <w:pPr>
        <w:pStyle w:val="style0"/>
        <w:rPr/>
      </w:pPr>
      <w:r>
        <w:rPr/>
        <w:t xml:space="preserve">The brand has a number of strengths, including a solid reputation for dependability and quality, a large number of retail outlets that make it easy for people to reach the brand, and a keen grasp of its target market that results in personalised services and devoted adherence (Gurl, 2017). Moreover, the firm is boosting its brand image by placing a strong emphasis on sustainability, which is in line with the rising demand for environmentally friendly products. Marks and Spencer also benefits from a skilled team that guarantees superior service to its clients and efficiency in operation (Li </w:t>
      </w:r>
      <w:r>
        <w:rPr>
          <w:i/>
        </w:rPr>
        <w:t>et al.</w:t>
      </w:r>
      <w:r>
        <w:rPr/>
        <w:t xml:space="preserve">, 2023). However, the business has some weaknesses due to fierce online competition that affects its market share, delayed market reactivity that hinders adaptation to consumer trends, costly operational expenses, and difficulties keeping up with fast evolving fashion trends. Yet, the brand has the opportunity to take advantage of the development of e-commerce, penetrate new markets, profit from long-term product demand, and rely on technical improvements to boost consumer engagement and productivity (Arustamyan </w:t>
      </w:r>
      <w:r>
        <w:rPr>
          <w:i/>
        </w:rPr>
        <w:t>et al</w:t>
      </w:r>
      <w:r>
        <w:rPr/>
        <w:t xml:space="preserve">., 2020). It is also important for the company to consider its threats, and hence it must deal with the risks provided by fierce competition, unpredictable economic conditions, rapid changes in consumer tastes, and possible breakdowns in supply chains. </w:t>
      </w:r>
    </w:p>
    <w:bookmarkStart w:id="18" w:name="_2jxsxqh" w:colFirst="0" w:colLast="0"/>
    <w:bookmarkEnd w:id="18"/>
    <w:p>
      <w:pPr>
        <w:pStyle w:val="style1"/>
        <w:rPr/>
      </w:pPr>
      <w:r>
        <w:rPr/>
        <w:t>Strategies to Sustain Competitive Advantage</w:t>
      </w:r>
    </w:p>
    <w:p>
      <w:pPr>
        <w:pStyle w:val="style0"/>
        <w:rPr/>
      </w:pPr>
      <w:r>
        <w:rPr/>
        <w:t xml:space="preserve">A thorough strategy should enable the brand to hold on to its competitive edge in the short and long term. The following is a comprehensive discussion of some of the prominent strategies the company should consider sustaining. </w:t>
      </w:r>
    </w:p>
    <w:p>
      <w:pPr>
        <w:pStyle w:val="style0"/>
        <w:spacing w:after="160" w:lineRule="auto" w:line="360"/>
        <w:rPr>
          <w:i/>
          <w:u w:val="single"/>
        </w:rPr>
      </w:pPr>
      <w:r>
        <w:rPr>
          <w:i/>
          <w:u w:val="single"/>
        </w:rPr>
        <w:t>Digital transformation</w:t>
      </w:r>
    </w:p>
    <w:p>
      <w:pPr>
        <w:pStyle w:val="style0"/>
        <w:rPr/>
      </w:pPr>
      <w:r>
        <w:rPr/>
        <w:t>Marks and Spencer must include digital technology and e-commerce solutions if they want to compete in the current retail environment. The business should prioritise improving its online presence, offering consumers a user friendly experience, and utilising data analytics to better understand client behaviour (Sahu</w:t>
      </w:r>
      <w:r>
        <w:rPr>
          <w:i/>
        </w:rPr>
        <w:t xml:space="preserve"> et al.</w:t>
      </w:r>
      <w:r>
        <w:rPr/>
        <w:t>, 2018). Furthermore, with the adoption of omnichannel commerce, customers may be able to connect with the brand across a variety of encounters, which should improve ease and customer happiness.</w:t>
      </w:r>
    </w:p>
    <w:p>
      <w:pPr>
        <w:pStyle w:val="style0"/>
        <w:rPr>
          <w:i/>
          <w:u w:val="single"/>
        </w:rPr>
      </w:pPr>
      <w:r>
        <w:rPr>
          <w:i/>
          <w:u w:val="single"/>
        </w:rPr>
        <w:t>Innovative marketing strategy and product development</w:t>
      </w:r>
    </w:p>
    <w:p>
      <w:pPr>
        <w:pStyle w:val="style0"/>
        <w:rPr/>
      </w:pPr>
      <w:r>
        <w:rPr/>
        <w:t>Strategic marketing efforts that communicate the brand's distinctive value proposition should be used to uphold its good reputation, while community-based marketing initiatives and cause-related marketing programs improve consumer relationships and reputation. Moreover, the ability to respond to shifting consumer tastes is made possible by ongoing investments in innovative marketing tactics and the development of trendy products. Regular market research detects developing trends, inspiring the development of fresh products that satisfy consumer wants (Kim and Sullivan, 2019). Besides, environmentally aware consumers are drawn to businesses that embrace sustainability. Thus, the brand may maintain its competitive edge and increase client loyalty by putting green tactics into practice.</w:t>
      </w:r>
    </w:p>
    <w:p>
      <w:pPr>
        <w:pStyle w:val="style0"/>
        <w:rPr>
          <w:i/>
          <w:u w:val="single"/>
        </w:rPr>
      </w:pPr>
      <w:r>
        <w:rPr>
          <w:i/>
          <w:u w:val="single"/>
        </w:rPr>
        <w:t>Supply chain optimisation</w:t>
      </w:r>
    </w:p>
    <w:p>
      <w:pPr>
        <w:pStyle w:val="style0"/>
        <w:rPr/>
      </w:pPr>
      <w:r>
        <w:rPr/>
        <w:t xml:space="preserve">In order to optimise inventory management, cut down on lead times, and streamline procedures, Marks and Spencer should collaborate closely with suppliers. Its competitive advantage should grow if items are delivered punctually and reliably to retailers or customers (Brun </w:t>
      </w:r>
      <w:r>
        <w:rPr>
          <w:i/>
        </w:rPr>
        <w:t>et al</w:t>
      </w:r>
      <w:r>
        <w:rPr/>
        <w:t xml:space="preserve">., 2017). So it seems reasonable that a supply chain that is well-optimised may greatly increase operational effectiveness and cost savings. </w:t>
      </w:r>
    </w:p>
    <w:p>
      <w:pPr>
        <w:pStyle w:val="style0"/>
        <w:rPr>
          <w:i/>
          <w:u w:val="single"/>
        </w:rPr>
      </w:pPr>
      <w:r>
        <w:rPr>
          <w:i/>
          <w:u w:val="single"/>
        </w:rPr>
        <w:t>Porter's generic strategy</w:t>
      </w:r>
    </w:p>
    <w:p>
      <w:pPr>
        <w:pStyle w:val="style0"/>
        <w:rPr/>
      </w:pPr>
      <w:r>
        <w:rPr/>
        <w:t xml:space="preserve">Cost leadership, product differentiation, and customer focus are the three core strategies included in Porter's generic strategy framework to get a competitive edge (Islami </w:t>
      </w:r>
      <w:r>
        <w:rPr>
          <w:i/>
        </w:rPr>
        <w:t>et al.,</w:t>
      </w:r>
      <w:r>
        <w:rPr/>
        <w:t xml:space="preserve"> 2020). To maintain its lead in the competition, Marks and Spencer can use a mix of these tactics.</w:t>
      </w:r>
    </w:p>
    <w:p>
      <w:pPr>
        <w:pStyle w:val="style0"/>
        <w:jc w:val="center"/>
        <w:rPr/>
      </w:pPr>
      <w:r>
        <w:rPr/>
        <w:drawing>
          <wp:inline distL="0" distT="0" distB="0" distR="0">
            <wp:extent cx="3719513" cy="1919364"/>
            <wp:effectExtent l="0" t="0" r="0" b="0"/>
            <wp:docPr id="1032"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cstate="print"/>
                    <a:srcRect l="0" t="0" r="0" b="0"/>
                    <a:stretch/>
                  </pic:blipFill>
                  <pic:spPr>
                    <a:xfrm rot="0">
                      <a:off x="0" y="0"/>
                      <a:ext cx="3719513" cy="1919364"/>
                    </a:xfrm>
                    <a:prstGeom prst="rect"/>
                    <a:ln cmpd="sng" cap="flat" w="9525">
                      <a:solidFill>
                        <a:srgbClr val="000000"/>
                      </a:solidFill>
                      <a:prstDash val="solid"/>
                      <a:round/>
                      <a:headEnd/>
                      <a:tailEnd/>
                    </a:ln>
                  </pic:spPr>
                </pic:pic>
              </a:graphicData>
            </a:graphic>
          </wp:inline>
        </w:drawing>
      </w:r>
    </w:p>
    <w:p>
      <w:pPr>
        <w:pStyle w:val="style0"/>
        <w:jc w:val="center"/>
        <w:rPr>
          <w:i/>
          <w:sz w:val="22"/>
          <w:szCs w:val="22"/>
        </w:rPr>
      </w:pPr>
      <w:r>
        <w:rPr>
          <w:i/>
          <w:sz w:val="22"/>
          <w:szCs w:val="22"/>
        </w:rPr>
        <w:t>Figure 5: Three Fundamental Strategies of Porter's Generic Strategy</w:t>
      </w:r>
    </w:p>
    <w:p>
      <w:pPr>
        <w:pStyle w:val="style0"/>
        <w:jc w:val="center"/>
        <w:rPr/>
      </w:pPr>
      <w:r>
        <w:rPr>
          <w:i/>
          <w:sz w:val="22"/>
          <w:szCs w:val="22"/>
        </w:rPr>
        <w:t>(Source: Omsa et al., 2017)</w:t>
      </w:r>
    </w:p>
    <w:tbl>
      <w:tblPr>
        <w:tblStyle w:val="style4105"/>
        <w:tblW w:w="9000"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2865"/>
        <w:gridCol w:w="3330"/>
      </w:tblGrid>
      <w:tr>
        <w:trPr>
          <w:cantSplit w:val="false"/>
          <w:tblHeader w:val="false"/>
          <w:jc w:val="left"/>
        </w:trPr>
        <w:tc>
          <w:tcPr>
            <w:tcW w:w="0" w:type="auto"/>
            <w:tcBorders/>
            <w:shd w:val="clear" w:color="auto" w:fill="b7b7b7"/>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Cost Leadership</w:t>
            </w:r>
          </w:p>
        </w:tc>
        <w:tc>
          <w:tcPr>
            <w:tcW w:w="0" w:type="auto"/>
            <w:tcBorders/>
            <w:shd w:val="clear" w:color="auto" w:fill="b7b7b7"/>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Customer Focus</w:t>
            </w:r>
          </w:p>
        </w:tc>
        <w:tc>
          <w:tcPr>
            <w:tcW w:w="0" w:type="auto"/>
            <w:tcBorders/>
            <w:shd w:val="clear" w:color="auto" w:fill="b7b7b7"/>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Product Differentiation</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To provide items at cheaper prices than its rivals, the brand may concentrate on cutting costs in its business processes. Optimum management of processes, economies of scale, and effective supply chain management are required for this strategy. The business may gain more market share by attracting price-conscious clients with cost-cutting measures without sacrificing quality.</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Focusing on a certain industry or section of people is part of this strategy. The goods and marketing strategies used by the brand may be tailored to a certain demographic or geographic location, targeting a specific section of the population. The business can gain a competitive edge over competitors that are more general and less specialised by providing for the unique demands of this specific customer base.</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Marks and Spencer should concentrate on providing distinctive and outstanding goods and services if they want to stand out in the market. To do this, the company must comprehend the wants and desires of its customers in order to design items that satisfy them. Notably, differentiation may be created through branding, quality, customer service, and product design. By highlighting its unique products, the business may increase client loyalty and generate higher revenues.</w:t>
            </w:r>
          </w:p>
        </w:tc>
      </w:tr>
      <w:bookmarkStart w:id="19" w:name="_z337ya" w:colFirst="0" w:colLast="0"/>
      <w:bookmarkEnd w:id="19"/>
    </w:tbl>
    <w:p>
      <w:pPr>
        <w:pStyle w:val="style1"/>
        <w:rPr/>
      </w:pPr>
      <w:r>
        <w:rPr/>
        <w:t>Growth Strategies</w:t>
      </w:r>
    </w:p>
    <w:p>
      <w:pPr>
        <w:pStyle w:val="style0"/>
        <w:rPr>
          <w:i/>
          <w:u w:val="single"/>
        </w:rPr>
      </w:pPr>
      <w:r>
        <w:rPr>
          <w:i/>
          <w:u w:val="single"/>
        </w:rPr>
        <w:t>Ansoff Matrix</w:t>
      </w:r>
    </w:p>
    <w:p>
      <w:pPr>
        <w:pStyle w:val="style0"/>
        <w:rPr/>
      </w:pPr>
      <w:r>
        <w:rPr/>
        <w:t xml:space="preserve">Four growth strategies are offered by the Ansoff Matrix, which takes into account the mix of markets and goods (Zugay and Zakaria, 2023). The diagram below shows the four corresponding strategies for growth for a business. </w:t>
      </w:r>
    </w:p>
    <w:p>
      <w:pPr>
        <w:pStyle w:val="style0"/>
        <w:jc w:val="center"/>
        <w:rPr>
          <w:i/>
          <w:u w:val="single"/>
        </w:rPr>
      </w:pPr>
      <w:r>
        <w:rPr>
          <w:i/>
          <w:u w:val="single"/>
        </w:rPr>
        <w:drawing>
          <wp:inline distL="0" distT="0" distB="0" distR="0">
            <wp:extent cx="3940013" cy="3507994"/>
            <wp:effectExtent l="0" t="0" r="0" b="0"/>
            <wp:docPr id="1033"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9" cstate="print"/>
                    <a:srcRect l="0" t="0" r="0" b="0"/>
                    <a:stretch/>
                  </pic:blipFill>
                  <pic:spPr>
                    <a:xfrm rot="0">
                      <a:off x="0" y="0"/>
                      <a:ext cx="3940013" cy="3507994"/>
                    </a:xfrm>
                    <a:prstGeom prst="rect"/>
                    <a:ln cmpd="sng" cap="flat" w="9525">
                      <a:solidFill>
                        <a:srgbClr val="000000"/>
                      </a:solidFill>
                      <a:prstDash val="solid"/>
                      <a:round/>
                      <a:headEnd/>
                      <a:tailEnd/>
                    </a:ln>
                  </pic:spPr>
                </pic:pic>
              </a:graphicData>
            </a:graphic>
          </wp:inline>
        </w:drawing>
      </w:r>
    </w:p>
    <w:p>
      <w:pPr>
        <w:pStyle w:val="style0"/>
        <w:jc w:val="center"/>
        <w:rPr>
          <w:i/>
          <w:sz w:val="22"/>
          <w:szCs w:val="22"/>
        </w:rPr>
      </w:pPr>
      <w:r>
        <w:rPr>
          <w:i/>
          <w:sz w:val="22"/>
          <w:szCs w:val="22"/>
        </w:rPr>
        <w:t>Figure 6: Ansoff Matrix of Growth Strategies</w:t>
      </w:r>
    </w:p>
    <w:p>
      <w:pPr>
        <w:pStyle w:val="style0"/>
        <w:jc w:val="center"/>
        <w:rPr>
          <w:i/>
          <w:sz w:val="22"/>
          <w:szCs w:val="22"/>
        </w:rPr>
      </w:pPr>
      <w:r>
        <w:rPr>
          <w:i/>
          <w:sz w:val="22"/>
          <w:szCs w:val="22"/>
        </w:rPr>
        <w:t>(Source: Zugay and Zakaria, 2023)</w:t>
      </w:r>
    </w:p>
    <w:p>
      <w:pPr>
        <w:pStyle w:val="style0"/>
        <w:jc w:val="center"/>
        <w:rPr>
          <w:i/>
          <w:sz w:val="22"/>
          <w:szCs w:val="22"/>
        </w:rPr>
      </w:pPr>
    </w:p>
    <w:p>
      <w:pPr>
        <w:pStyle w:val="style0"/>
        <w:jc w:val="center"/>
        <w:rPr>
          <w:i/>
          <w:sz w:val="22"/>
          <w:szCs w:val="22"/>
        </w:rPr>
      </w:pPr>
    </w:p>
    <w:p>
      <w:pPr>
        <w:pStyle w:val="style0"/>
        <w:jc w:val="center"/>
        <w:rPr>
          <w:i/>
          <w:sz w:val="22"/>
          <w:szCs w:val="22"/>
        </w:rPr>
      </w:pPr>
    </w:p>
    <w:p>
      <w:pPr>
        <w:pStyle w:val="style0"/>
        <w:rPr/>
      </w:pPr>
    </w:p>
    <w:tbl>
      <w:tblPr>
        <w:tblStyle w:val="style4106"/>
        <w:tblW w:w="9026"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Market Penetration</w:t>
            </w:r>
          </w:p>
          <w:p>
            <w:pPr>
              <w:pStyle w:val="style0"/>
              <w:spacing w:after="0" w:lineRule="auto" w:line="360"/>
              <w:rPr>
                <w:b/>
                <w:u w:val="single"/>
              </w:rPr>
            </w:pPr>
            <w:r>
              <w:rPr/>
              <w:t>The first goal for Marks and Spencer in its present market should be to boost sales of its current items. In order to draw in more clients and boost their purchasing frequency, this strategy uses intensive advertising, promotional campaigns, and reward programs.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Product Development</w:t>
            </w:r>
          </w:p>
          <w:p>
            <w:pPr>
              <w:pStyle w:val="style0"/>
              <w:spacing w:after="0" w:lineRule="auto" w:line="360"/>
              <w:rPr/>
            </w:pPr>
            <w:r>
              <w:rPr/>
              <w:t>Another opportunity for expansion is the introduction of new items to the current market. Market research may be used by the brand to pinpoint unmet consumer preferences and wants, after which new goods can be created to satisfy those needs.</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Market Development</w:t>
            </w:r>
          </w:p>
          <w:p>
            <w:pPr>
              <w:pStyle w:val="style0"/>
              <w:spacing w:after="0" w:lineRule="auto" w:line="360"/>
              <w:rPr/>
            </w:pPr>
            <w:r>
              <w:rPr/>
              <w:t>By using current products, this technique expands into new markets. For the purpose of reaching untapped client groups, the company may increase its presence in various areas or nations.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center"/>
              <w:rPr>
                <w:b/>
                <w:u w:val="single"/>
              </w:rPr>
            </w:pPr>
            <w:r>
              <w:rPr>
                <w:b/>
                <w:u w:val="single"/>
              </w:rPr>
              <w:t>Diversification</w:t>
            </w:r>
          </w:p>
          <w:p>
            <w:pPr>
              <w:pStyle w:val="style0"/>
              <w:spacing w:after="0" w:lineRule="auto" w:line="360"/>
              <w:rPr/>
            </w:pPr>
            <w:r>
              <w:rPr/>
              <w:t>By entering completely new markets with new items, Marks and Spencer may pursue diversification. Although there may be a high risk associated with this technique, it can result in enormous growth and lessen reliance on a single market.</w:t>
            </w:r>
          </w:p>
        </w:tc>
      </w:tr>
    </w:tbl>
    <w:p>
      <w:pPr>
        <w:pStyle w:val="style0"/>
        <w:rPr/>
      </w:pPr>
    </w:p>
    <w:p>
      <w:pPr>
        <w:pStyle w:val="style0"/>
        <w:spacing w:after="160" w:lineRule="auto" w:line="360"/>
        <w:rPr>
          <w:i/>
          <w:u w:val="single"/>
        </w:rPr>
      </w:pPr>
      <w:r>
        <w:rPr>
          <w:i/>
          <w:u w:val="single"/>
        </w:rPr>
        <w:t>International Strategies</w:t>
      </w:r>
    </w:p>
    <w:p>
      <w:pPr>
        <w:pStyle w:val="style0"/>
        <w:rPr/>
      </w:pPr>
      <w:r>
        <w:rPr/>
        <w:t xml:space="preserve">Marks and Spencer may have new opportunities for growth as a result of its overseas expansion. Some of the key international strategies are as follows. </w:t>
      </w:r>
    </w:p>
    <w:p>
      <w:pPr>
        <w:pStyle w:val="style0"/>
        <w:spacing w:after="160" w:lineRule="auto" w:line="360"/>
        <w:jc w:val="center"/>
        <w:rPr>
          <w:i/>
          <w:u w:val="single"/>
        </w:rPr>
      </w:pPr>
      <w:r>
        <w:rPr>
          <w:i/>
          <w:u w:val="single"/>
        </w:rPr>
        <w:drawing>
          <wp:inline distL="0" distT="0" distB="0" distR="0">
            <wp:extent cx="4919663" cy="1920466"/>
            <wp:effectExtent l="0" t="0" r="0" b="0"/>
            <wp:docPr id="1034"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cstate="print"/>
                    <a:srcRect l="0" t="0" r="0" b="0"/>
                    <a:stretch/>
                  </pic:blipFill>
                  <pic:spPr>
                    <a:xfrm rot="0">
                      <a:off x="0" y="0"/>
                      <a:ext cx="4919663" cy="1920466"/>
                    </a:xfrm>
                    <a:prstGeom prst="rect"/>
                    <a:ln cmpd="sng" cap="flat" w="9525">
                      <a:solidFill>
                        <a:srgbClr val="000000"/>
                      </a:solidFill>
                      <a:prstDash val="solid"/>
                      <a:round/>
                      <a:headEnd/>
                      <a:tailEnd/>
                    </a:ln>
                  </pic:spPr>
                </pic:pic>
              </a:graphicData>
            </a:graphic>
          </wp:inline>
        </w:drawing>
      </w:r>
    </w:p>
    <w:p>
      <w:pPr>
        <w:pStyle w:val="style0"/>
        <w:spacing w:after="160" w:lineRule="auto" w:line="360"/>
        <w:jc w:val="center"/>
        <w:rPr>
          <w:i/>
          <w:sz w:val="22"/>
          <w:szCs w:val="22"/>
        </w:rPr>
      </w:pPr>
      <w:r>
        <w:rPr>
          <w:i/>
          <w:sz w:val="22"/>
          <w:szCs w:val="22"/>
        </w:rPr>
        <w:t>Figure 7: Key International Strategies</w:t>
      </w:r>
    </w:p>
    <w:p>
      <w:pPr>
        <w:pStyle w:val="style0"/>
        <w:spacing w:after="160" w:lineRule="auto" w:line="360"/>
        <w:jc w:val="center"/>
        <w:rPr>
          <w:i/>
          <w:sz w:val="22"/>
          <w:szCs w:val="22"/>
        </w:rPr>
      </w:pPr>
      <w:r>
        <w:rPr>
          <w:i/>
          <w:sz w:val="22"/>
          <w:szCs w:val="22"/>
        </w:rPr>
        <w:t>(Source: Lacal-Arántegui, 2019)</w:t>
      </w:r>
    </w:p>
    <w:p>
      <w:pPr>
        <w:pStyle w:val="style0"/>
        <w:spacing w:after="160" w:lineRule="auto" w:line="360"/>
        <w:jc w:val="center"/>
        <w:rPr>
          <w:i/>
          <w:sz w:val="22"/>
          <w:szCs w:val="22"/>
        </w:rPr>
      </w:pPr>
    </w:p>
    <w:p>
      <w:pPr>
        <w:pStyle w:val="style0"/>
        <w:rPr/>
      </w:pPr>
    </w:p>
    <w:tbl>
      <w:tblPr>
        <w:tblStyle w:val="style4107"/>
        <w:tblW w:w="8940"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2175"/>
        <w:gridCol w:w="1980"/>
        <w:gridCol w:w="2880"/>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center"/>
              <w:rPr>
                <w:b/>
                <w:i/>
              </w:rPr>
            </w:pPr>
            <w:r>
              <w:rPr>
                <w:b/>
                <w:i/>
              </w:rPr>
              <w:t>Exporting</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 xml:space="preserve">Licensing and Franchising </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Partnering and Strategic Alliance or Joint Ventures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240"/>
              <w:ind w:left="0" w:right="0" w:firstLine="0"/>
              <w:jc w:val="left"/>
              <w:rPr>
                <w:b/>
                <w:i/>
              </w:rPr>
            </w:pPr>
            <w:r>
              <w:rPr>
                <w:b/>
                <w:i/>
              </w:rPr>
              <w:t>Acquisition or FDI</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Marks and Spencer may begin by supplying its goods to markets abroad. This tactic decreases investment risks while allowing for gradual market participation.</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The brand can provide overseas partners permission to use their name and products by entering into licensing agreements. With the help of this tactic, the business may grow without making substantial cash commitments.</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Joint ventures that are formed by partnering with regional businesses can give access to their resources and skills, facilitating market entrance and growth.</w:t>
            </w:r>
          </w:p>
        </w:tc>
        <w:tc>
          <w:tcPr>
            <w:tcW w:w="0" w:type="auto"/>
            <w:tcBorders/>
            <w:shd w:val="clear" w:color="auto" w:fill="auto"/>
            <w:tcMar>
              <w:top w:w="100" w:type="dxa"/>
              <w:left w:w="100" w:type="dxa"/>
              <w:bottom w:w="100" w:type="dxa"/>
              <w:right w:w="100" w:type="dxa"/>
            </w:tcMar>
          </w:tcPr>
          <w:p>
            <w:pPr>
              <w:pStyle w:val="style0"/>
              <w:keepNext w:val="false"/>
              <w:keepLines w:val="false"/>
              <w:pageBreakBefore w:val="false"/>
              <w:widowControl w:val="false"/>
              <w:pBdr>
                <w:left w:val="nil"/>
                <w:right w:val="nil"/>
                <w:top w:val="nil"/>
                <w:bottom w:val="nil"/>
                <w:between w:val="nil"/>
              </w:pBdr>
              <w:shd w:val="clear" w:color="auto" w:fill="auto"/>
              <w:spacing w:before="0" w:after="0" w:lineRule="auto" w:line="360"/>
              <w:ind w:left="0" w:right="0" w:firstLine="0"/>
              <w:jc w:val="left"/>
              <w:rPr/>
            </w:pPr>
            <w:r>
              <w:rPr/>
              <w:t>Marks and Spencer is able to maintain total control over its business operations and branding by developing entirely-owned subsidiaries or purchasing existing companies in overseas countries. Even though the maximum amount of market control is available with this technique, it also carries higher costs and dangers.</w:t>
            </w:r>
          </w:p>
        </w:tc>
      </w:tr>
    </w:tbl>
    <w:p>
      <w:pPr>
        <w:pStyle w:val="style0"/>
        <w:rPr/>
      </w:pPr>
    </w:p>
    <w:bookmarkStart w:id="20" w:name="_3j2qqm3" w:colFirst="0" w:colLast="0"/>
    <w:bookmarkEnd w:id="20"/>
    <w:p>
      <w:pPr>
        <w:pStyle w:val="style1"/>
        <w:rPr/>
      </w:pPr>
      <w:r>
        <w:rPr/>
        <w:t>Green Strategy and CSR</w:t>
      </w:r>
    </w:p>
    <w:p>
      <w:pPr>
        <w:pStyle w:val="style0"/>
        <w:rPr/>
      </w:pPr>
      <w:r>
        <w:rPr/>
        <w:t>In order to show Marks and Spencer's commitment to sustainability and ethical business practices in the UK and everywhere else it operates, green strategy and corporate social responsibility are essential (Melander, 2018). The company may improve its brand reputation, foster greater customer loyalty, and make a beneficial impact on society and the environment by incorporating environmentally friendly programs and social responsibility activities into its business operations.</w:t>
      </w:r>
    </w:p>
    <w:p>
      <w:pPr>
        <w:pStyle w:val="style0"/>
        <w:rPr>
          <w:i/>
          <w:u w:val="single"/>
        </w:rPr>
      </w:pPr>
      <w:r>
        <w:rPr>
          <w:i/>
          <w:u w:val="single"/>
        </w:rPr>
        <w:t>Green Strategy</w:t>
      </w:r>
    </w:p>
    <w:p>
      <w:pPr>
        <w:pStyle w:val="style0"/>
        <w:rPr/>
      </w:pPr>
      <w:r>
        <w:rPr/>
        <w:t xml:space="preserve">For the purpose of reducing its negative environmental effects and advancing sustainability throughout its value chain, Marks and Spencer can establish a thorough green strategy comprising several projects. The firm's carbon footprint must be greatly reduced by putting an emphasis on energy efficiency and applying modern techniques in its retail locations, fulfillment facilities, and office buildings (Yu </w:t>
      </w:r>
      <w:r>
        <w:rPr>
          <w:i/>
        </w:rPr>
        <w:t>et al</w:t>
      </w:r>
      <w:r>
        <w:rPr/>
        <w:t xml:space="preserve">., 2021). Moreover, the success of the green approach is also enhanced by using renewable energy sources and reducing energy usage as much as possible. Furthermore, the firm is committed to sustainability, and sustainable sourcing practices, such as giving preference to vendors that use eco-friendly materials and ethical manufacturing procedures while ensuring fair labor norms, are consistent with this objective (Bick </w:t>
      </w:r>
      <w:r>
        <w:rPr>
          <w:i/>
        </w:rPr>
        <w:t>et al.,</w:t>
      </w:r>
      <w:r>
        <w:rPr/>
        <w:t xml:space="preserve"> 2018). Nonetheless, green materials for packaging, such as reusable or biodegradable choices, should be given priority since they may certainly help decrease waste and promote an environmentally friendly supply chain. On this note, the brand may embrace waste reduction strategies, put in place recycling programs, motivate customers to recycle, and support recycling campaigns in order to get towards zero waste (Khandual and Pradhan, 2019). Likewise, adopting environmentally friendly transportation strategies, such as using electric delivery trucks and simplifying logistics to reduce carbon emissions, promotes the business's overall green strategy and helps to build a more environmentally aware and responsible brand.</w:t>
      </w:r>
    </w:p>
    <w:p>
      <w:pPr>
        <w:pStyle w:val="style0"/>
        <w:rPr>
          <w:i/>
          <w:u w:val="single"/>
        </w:rPr>
      </w:pPr>
      <w:r>
        <w:rPr>
          <w:i/>
          <w:u w:val="single"/>
        </w:rPr>
        <w:t>Corporate Social Responsibility (CSR)</w:t>
      </w:r>
    </w:p>
    <w:p>
      <w:pPr>
        <w:pStyle w:val="style0"/>
        <w:rPr/>
      </w:pPr>
      <w:r>
        <w:rPr/>
        <w:t xml:space="preserve">Through a variety of worthwhile projects, the brand should be able to show its dedication to CSR. This involves engaging the community through collaborations that solve social concerns and help local communities (Sudolska </w:t>
      </w:r>
      <w:r>
        <w:rPr>
          <w:i/>
        </w:rPr>
        <w:t>et al.</w:t>
      </w:r>
      <w:r>
        <w:rPr/>
        <w:t xml:space="preserve">, 2020). Moreover, ethical sourcing practices are required to respect human rights and social responsibility, and importantly, placing a priority on the well-being of employees through fair salaries, benefits, and career possibilities are another crucial way to address CSR protocols (Jain </w:t>
      </w:r>
      <w:r>
        <w:rPr>
          <w:i/>
        </w:rPr>
        <w:t>et al.,</w:t>
      </w:r>
      <w:r>
        <w:rPr/>
        <w:t xml:space="preserve"> 2018). Notably, the company's reputation is improved and a varied talent pool is attracted when diversity and inclusion are valued in the workplace. Additionally, by assisting nonprofits that share the company's values, Marks and Spencer demonstrates its commitment to ethical and sustainable business practices while having a significant influence on both social and environmental challenges.</w:t>
      </w:r>
    </w:p>
    <w:p>
      <w:pPr>
        <w:pStyle w:val="style0"/>
        <w:rPr/>
      </w:pPr>
      <w:r>
        <w:rPr/>
        <w:t xml:space="preserve">Marks and Spencer may include both consumers and staff in green and CSR efforts to foster an environment of ownership and accountability. In this regard, customers may develop a stronger bond with the business if they are encouraged to participate in sustainability initiatives such as recycling drives and eco-friendly product lines (Chan </w:t>
      </w:r>
      <w:r>
        <w:rPr>
          <w:i/>
        </w:rPr>
        <w:t xml:space="preserve">et al., </w:t>
      </w:r>
      <w:r>
        <w:rPr/>
        <w:t>2020). Moreover, a common engagement with the company's ideals may be fostered by involving workers through volunteerism and sustainability training. For the green strategy and CSR actions to be properly communicated to consumers, workers, and other stakeholders, transparency regarding the manufacturing process and operations as well as effective collaboration are essential. Furthermore, building confidence and trust also requires remaining honest about the development of sustainability and CSR, as well as its difficulties and successes. To this notion, impact measurements are routinely reported on and shared, which keeps stakeholders informed (James and Montgomery, 2017). Besides, continuous improvement is always crucial, as this helps identify areas for development and makes sure that projects continue to be applicable and successful over time, and this is done through frequent evaluations and stakeholder input.</w:t>
      </w:r>
    </w:p>
    <w:bookmarkStart w:id="21" w:name="_1y810tw" w:colFirst="0" w:colLast="0"/>
    <w:bookmarkEnd w:id="21"/>
    <w:p>
      <w:pPr>
        <w:pStyle w:val="style1"/>
        <w:rPr/>
      </w:pPr>
      <w:r>
        <w:rPr/>
        <w:t>Conclusion</w:t>
      </w:r>
    </w:p>
    <w:p>
      <w:pPr>
        <w:pStyle w:val="style0"/>
        <w:rPr/>
      </w:pPr>
      <w:r>
        <w:rPr/>
        <w:t xml:space="preserve">To create effective strategic management plans, Marks and Spencer must take into account a number of external elements in the UK. On this note, political, economic, social, technical, environmental, and legal factors are highlighted in the PESTEL study as having an impact on the company's performance and decision-making. It can be deduced from the analysis that for continued success, it is essential to place an emphasis on sustainability, accept technological advancements, and comprehend client preferences. Moreover, in order to customise tactics and hold a dominant market position in the fiercely competitive retail business, the micro-environment study includes evaluating the business Life Cycle stage as well as Porter's Five Forces of industry analysis. In order for the company to maintain its position, it is also vital to make the most of strategic resources, including customer knowledge, store network efficiency, brand reputation, and supply chain effectiveness. The discussion also finds that the brand is able to develop and respond to market changes with the help of effective value chain management. Furthermore, it is possible to gain a competitive edge by utilising unique resources such as brand recognition, a sustainability emphasis, and technological integration. On this note, the focus of a SWOT analysis is on resolving vulnerabilities and seizing opportunities to strengthen the competitive position. The analytical discussion also confronts the fact that it is necessary to establish cost leadership, product differentiation, and customer focus strategies, embrace innovation and digital transformation, optimise the supply chain, and make investments in branding and staff development. The company's position can be improved by pursuing growth initiatives using the Ansoff Matrix and becoming global. Nevertheless, establishing a strong CSR framework and green strategy allows a company to connect its image with the changing attitudes of its target market, enhancing brand recognition and customer loyalty while also improving the community as a whole and the environment. </w:t>
      </w:r>
    </w:p>
    <w:bookmarkStart w:id="22" w:name="_4i7ojhp" w:colFirst="0" w:colLast="0"/>
    <w:bookmarkEnd w:id="22"/>
    <w:p>
      <w:pPr>
        <w:pStyle w:val="style1"/>
        <w:rPr/>
      </w:pPr>
      <w:r>
        <w:rPr/>
        <w:t>Recommendation</w:t>
      </w:r>
    </w:p>
    <w:p>
      <w:pPr>
        <w:pStyle w:val="style0"/>
        <w:rPr/>
      </w:pPr>
      <w:r>
        <w:rPr/>
        <w:t>Marks and Spencer UK has to give important suggestions top priority if it wants to maintain and strengthen its competitive edge. The first step will be to minimise the impact on the environment by creating a thorough CSR framework that emphasises sustainability and social responsibility. Moreover, stakeholder support should be gained through including consumers and staff in green projects and by maintaining open communication. Additionally, adopting technological creativity and digitalisation into its system through investments in e-commerce and online growth should take into account shifting customer preferences. Analytical use of data may also improve operations and consumer comprehension. Likewise, increasing product availability should result from supply chain and operational optimisation for cost savings and excellence. Furthermore, it is crucial to place an emphasis on branding and customer experience, and to stand out from the competition with special services. Additionally, adopting growth methods that involve investigating fresh product-market pairings and worldwide development can help the brand take advantage of global prospects. Besides, encouraging employee growth and inclusion should result in a motivated staff. By carrying out these recommendations, Marks and Spencer should be able to position itself as a leader who values responsibility, innovation, and the needs of the consumer while surviving in a fast-paced fashion sector.</w:t>
      </w:r>
      <w:r>
        <w:br w:type="page"/>
      </w:r>
    </w:p>
    <w:bookmarkStart w:id="23" w:name="_2xcytpi" w:colFirst="0" w:colLast="0"/>
    <w:bookmarkEnd w:id="23"/>
    <w:p>
      <w:pPr>
        <w:pStyle w:val="style1"/>
        <w:rPr/>
      </w:pPr>
      <w:r>
        <w:rPr/>
        <w:t xml:space="preserve">References </w:t>
      </w:r>
    </w:p>
    <w:p>
      <w:pPr>
        <w:pStyle w:val="style0"/>
        <w:spacing w:after="0"/>
        <w:rPr>
          <w:color w:val="222222"/>
          <w:highlight w:val="white"/>
        </w:rPr>
      </w:pPr>
      <w:r>
        <w:rPr>
          <w:color w:val="222222"/>
          <w:highlight w:val="white"/>
        </w:rPr>
        <w:t xml:space="preserve">Arustamyan, A., Al Taj, S. and Nasir, A., 2020. Role of strategic marketing in creating organisational value. </w:t>
      </w:r>
      <w:r>
        <w:rPr>
          <w:i/>
          <w:color w:val="222222"/>
          <w:highlight w:val="white"/>
        </w:rPr>
        <w:t>JEHR Journal of Education And Humanities Research, University of Balochistan</w:t>
      </w:r>
      <w:r>
        <w:rPr>
          <w:color w:val="222222"/>
          <w:highlight w:val="white"/>
        </w:rPr>
        <w:t xml:space="preserve">, </w:t>
      </w:r>
      <w:r>
        <w:rPr>
          <w:i/>
          <w:color w:val="222222"/>
          <w:highlight w:val="white"/>
        </w:rPr>
        <w:t>10</w:t>
      </w:r>
      <w:r>
        <w:rPr>
          <w:color w:val="222222"/>
          <w:highlight w:val="white"/>
        </w:rPr>
        <w:t>(2), pp.42-66.</w:t>
      </w:r>
    </w:p>
    <w:p>
      <w:pPr>
        <w:pStyle w:val="style0"/>
        <w:spacing w:after="0"/>
        <w:rPr>
          <w:color w:val="222222"/>
          <w:highlight w:val="white"/>
        </w:rPr>
      </w:pPr>
      <w:r>
        <w:rPr>
          <w:color w:val="222222"/>
          <w:highlight w:val="white"/>
        </w:rPr>
        <w:t xml:space="preserve">Bick, R., Halsey, E. and Ekenga, C.C., 2018. The global environmental injustice of fast fashion. </w:t>
      </w:r>
      <w:r>
        <w:rPr>
          <w:i/>
          <w:color w:val="222222"/>
          <w:highlight w:val="white"/>
        </w:rPr>
        <w:t>Environmental Health</w:t>
      </w:r>
      <w:r>
        <w:rPr>
          <w:color w:val="222222"/>
          <w:highlight w:val="white"/>
        </w:rPr>
        <w:t xml:space="preserve">, </w:t>
      </w:r>
      <w:r>
        <w:rPr>
          <w:i/>
          <w:color w:val="222222"/>
          <w:highlight w:val="white"/>
        </w:rPr>
        <w:t>17</w:t>
      </w:r>
      <w:r>
        <w:rPr>
          <w:color w:val="222222"/>
          <w:highlight w:val="white"/>
        </w:rPr>
        <w:t>, pp.1-4.</w:t>
      </w:r>
    </w:p>
    <w:p>
      <w:pPr>
        <w:pStyle w:val="style0"/>
        <w:spacing w:after="0"/>
        <w:rPr>
          <w:color w:val="222222"/>
          <w:highlight w:val="white"/>
        </w:rPr>
      </w:pPr>
      <w:r>
        <w:rPr>
          <w:color w:val="222222"/>
          <w:highlight w:val="white"/>
        </w:rPr>
        <w:t xml:space="preserve">Brun, A., Castelli, C. and Karaosman, H., 2017. A focused supply chain strategy for luxury fashion management. </w:t>
      </w:r>
      <w:r>
        <w:rPr>
          <w:i/>
          <w:color w:val="222222"/>
          <w:highlight w:val="white"/>
        </w:rPr>
        <w:t>Journal of Fashion Marketing and Management: An International Journal</w:t>
      </w:r>
      <w:r>
        <w:rPr>
          <w:color w:val="222222"/>
          <w:highlight w:val="white"/>
        </w:rPr>
        <w:t xml:space="preserve">, </w:t>
      </w:r>
      <w:r>
        <w:rPr>
          <w:i/>
          <w:color w:val="222222"/>
          <w:highlight w:val="white"/>
        </w:rPr>
        <w:t>21</w:t>
      </w:r>
      <w:r>
        <w:rPr>
          <w:color w:val="222222"/>
          <w:highlight w:val="white"/>
        </w:rPr>
        <w:t>(4), pp.544-563.</w:t>
      </w:r>
    </w:p>
    <w:p>
      <w:pPr>
        <w:pStyle w:val="style0"/>
        <w:spacing w:after="0"/>
        <w:rPr>
          <w:color w:val="222222"/>
          <w:highlight w:val="white"/>
        </w:rPr>
      </w:pPr>
      <w:r>
        <w:rPr>
          <w:color w:val="222222"/>
          <w:highlight w:val="white"/>
        </w:rPr>
        <w:t xml:space="preserve">Cantner, U., Cunningham, J.A., Lehmann, E.E. and Menter, M., 2021. Entrepreneurial ecosystems: a dynamic lifecycle model. </w:t>
      </w:r>
      <w:r>
        <w:rPr>
          <w:i/>
          <w:color w:val="222222"/>
          <w:highlight w:val="white"/>
        </w:rPr>
        <w:t>Small Business Economics</w:t>
      </w:r>
      <w:r>
        <w:rPr>
          <w:color w:val="222222"/>
          <w:highlight w:val="white"/>
        </w:rPr>
        <w:t xml:space="preserve">, </w:t>
      </w:r>
      <w:r>
        <w:rPr>
          <w:i/>
          <w:color w:val="222222"/>
          <w:highlight w:val="white"/>
        </w:rPr>
        <w:t>57</w:t>
      </w:r>
      <w:r>
        <w:rPr>
          <w:color w:val="222222"/>
          <w:highlight w:val="white"/>
        </w:rPr>
        <w:t>, pp.407-423.</w:t>
      </w:r>
    </w:p>
    <w:p>
      <w:pPr>
        <w:pStyle w:val="style0"/>
        <w:spacing w:after="0"/>
        <w:rPr>
          <w:color w:val="222222"/>
          <w:highlight w:val="white"/>
        </w:rPr>
      </w:pPr>
      <w:r>
        <w:rPr>
          <w:color w:val="222222"/>
          <w:highlight w:val="white"/>
        </w:rPr>
        <w:t xml:space="preserve">Chan, H.L., Wei, X., Guo, S. and Leung, W.H., 2020. Corporate social responsibility (CSR) in fashion supply chains: A multi-methodological study. </w:t>
      </w:r>
      <w:r>
        <w:rPr>
          <w:i/>
          <w:color w:val="222222"/>
          <w:highlight w:val="white"/>
        </w:rPr>
        <w:t>Transportation Research Part E: logistics and transportation review</w:t>
      </w:r>
      <w:r>
        <w:rPr>
          <w:color w:val="222222"/>
          <w:highlight w:val="white"/>
        </w:rPr>
        <w:t xml:space="preserve">, </w:t>
      </w:r>
      <w:r>
        <w:rPr>
          <w:i/>
          <w:color w:val="222222"/>
          <w:highlight w:val="white"/>
        </w:rPr>
        <w:t>142</w:t>
      </w:r>
      <w:r>
        <w:rPr>
          <w:color w:val="222222"/>
          <w:highlight w:val="white"/>
        </w:rPr>
        <w:t>, p.102063.</w:t>
      </w:r>
    </w:p>
    <w:p>
      <w:pPr>
        <w:pStyle w:val="style0"/>
        <w:spacing w:after="0"/>
        <w:rPr>
          <w:color w:val="222222"/>
          <w:highlight w:val="white"/>
        </w:rPr>
      </w:pPr>
      <w:r>
        <w:rPr>
          <w:color w:val="222222"/>
          <w:highlight w:val="white"/>
        </w:rPr>
        <w:t xml:space="preserve">Chatzoglou, P., Chatzoudes, D., Sarigiannidis, L. and Theriou, G., 2018. The role of firm-specific factors in the strategy-performance relationship: Revisiting the resource-based view of the firm and the VRIO framework. </w:t>
      </w:r>
      <w:r>
        <w:rPr>
          <w:i/>
          <w:color w:val="222222"/>
          <w:highlight w:val="white"/>
        </w:rPr>
        <w:t>Management Research Review</w:t>
      </w:r>
      <w:r>
        <w:rPr>
          <w:color w:val="222222"/>
          <w:highlight w:val="white"/>
        </w:rPr>
        <w:t xml:space="preserve">, </w:t>
      </w:r>
      <w:r>
        <w:rPr>
          <w:i/>
          <w:color w:val="222222"/>
          <w:highlight w:val="white"/>
        </w:rPr>
        <w:t>41</w:t>
      </w:r>
      <w:r>
        <w:rPr>
          <w:color w:val="222222"/>
          <w:highlight w:val="white"/>
        </w:rPr>
        <w:t>(1), pp.46-73.</w:t>
      </w:r>
    </w:p>
    <w:p>
      <w:pPr>
        <w:pStyle w:val="style0"/>
        <w:spacing w:after="0"/>
        <w:rPr>
          <w:color w:val="222222"/>
          <w:highlight w:val="white"/>
        </w:rPr>
      </w:pPr>
      <w:r>
        <w:rPr>
          <w:color w:val="222222"/>
          <w:highlight w:val="white"/>
        </w:rPr>
        <w:t xml:space="preserve">Cherunilam, F., 2021. </w:t>
      </w:r>
      <w:r>
        <w:rPr>
          <w:i/>
          <w:color w:val="222222"/>
          <w:highlight w:val="white"/>
        </w:rPr>
        <w:t>Business environment</w:t>
      </w:r>
      <w:r>
        <w:rPr>
          <w:color w:val="222222"/>
          <w:highlight w:val="white"/>
        </w:rPr>
        <w:t>. Himalaya Publishing House Pvt. Ltd.</w:t>
      </w:r>
    </w:p>
    <w:p>
      <w:pPr>
        <w:pStyle w:val="style0"/>
        <w:spacing w:after="0"/>
        <w:rPr>
          <w:color w:val="222222"/>
          <w:highlight w:val="white"/>
        </w:rPr>
      </w:pPr>
      <w:r>
        <w:rPr>
          <w:color w:val="222222"/>
          <w:highlight w:val="white"/>
        </w:rPr>
        <w:t xml:space="preserve">Cheung, T.Y., Ye, Z. and Chiu, D.K., 2021. Value chain analysis of information services for visually impaired people: a case study of contemporary technological solutions. </w:t>
      </w:r>
      <w:r>
        <w:rPr>
          <w:i/>
          <w:color w:val="222222"/>
          <w:highlight w:val="white"/>
        </w:rPr>
        <w:t>Library Hi Tech</w:t>
      </w:r>
      <w:r>
        <w:rPr>
          <w:color w:val="222222"/>
          <w:highlight w:val="white"/>
        </w:rPr>
        <w:t xml:space="preserve">, </w:t>
      </w:r>
      <w:r>
        <w:rPr>
          <w:i/>
          <w:color w:val="222222"/>
          <w:highlight w:val="white"/>
        </w:rPr>
        <w:t>39</w:t>
      </w:r>
      <w:r>
        <w:rPr>
          <w:color w:val="222222"/>
          <w:highlight w:val="white"/>
        </w:rPr>
        <w:t>(2), pp.625-642.</w:t>
      </w:r>
    </w:p>
    <w:p>
      <w:pPr>
        <w:pStyle w:val="style0"/>
        <w:spacing w:after="0"/>
        <w:rPr>
          <w:color w:val="222222"/>
          <w:highlight w:val="white"/>
        </w:rPr>
      </w:pPr>
      <w:r>
        <w:rPr>
          <w:color w:val="222222"/>
          <w:highlight w:val="white"/>
        </w:rPr>
        <w:t>Gurl, E., 2017. SWOT analysis: A theoretical review.</w:t>
      </w:r>
    </w:p>
    <w:p>
      <w:pPr>
        <w:pStyle w:val="style0"/>
        <w:spacing w:after="0"/>
        <w:rPr>
          <w:color w:val="222222"/>
          <w:highlight w:val="white"/>
        </w:rPr>
      </w:pPr>
      <w:r>
        <w:rPr>
          <w:color w:val="222222"/>
          <w:highlight w:val="white"/>
        </w:rPr>
        <w:t xml:space="preserve">Habib, A. and Hasan, M.M., 2017. Firm life cycle, corporate risk‐taking and investor sentiment. </w:t>
      </w:r>
      <w:r>
        <w:rPr>
          <w:i/>
          <w:color w:val="222222"/>
          <w:highlight w:val="white"/>
        </w:rPr>
        <w:t>Accounting &amp; Finance</w:t>
      </w:r>
      <w:r>
        <w:rPr>
          <w:color w:val="222222"/>
          <w:highlight w:val="white"/>
        </w:rPr>
        <w:t xml:space="preserve">, </w:t>
      </w:r>
      <w:r>
        <w:rPr>
          <w:i/>
          <w:color w:val="222222"/>
          <w:highlight w:val="white"/>
        </w:rPr>
        <w:t>57</w:t>
      </w:r>
      <w:r>
        <w:rPr>
          <w:color w:val="222222"/>
          <w:highlight w:val="white"/>
        </w:rPr>
        <w:t>(2), pp.465-497.</w:t>
      </w:r>
    </w:p>
    <w:p>
      <w:pPr>
        <w:pStyle w:val="style0"/>
        <w:spacing w:after="0"/>
        <w:rPr>
          <w:color w:val="222222"/>
          <w:highlight w:val="white"/>
        </w:rPr>
      </w:pPr>
      <w:r>
        <w:rPr>
          <w:color w:val="222222"/>
          <w:highlight w:val="white"/>
        </w:rPr>
        <w:t xml:space="preserve">Henry, A., 2021. </w:t>
      </w:r>
      <w:r>
        <w:rPr>
          <w:i/>
          <w:color w:val="222222"/>
          <w:highlight w:val="white"/>
        </w:rPr>
        <w:t>Understanding strategic management</w:t>
      </w:r>
      <w:r>
        <w:rPr>
          <w:color w:val="222222"/>
          <w:highlight w:val="white"/>
        </w:rPr>
        <w:t>. Oxford University Press.</w:t>
      </w:r>
    </w:p>
    <w:p>
      <w:pPr>
        <w:pStyle w:val="style0"/>
        <w:spacing w:after="0"/>
        <w:rPr>
          <w:color w:val="222222"/>
          <w:highlight w:val="white"/>
        </w:rPr>
      </w:pPr>
      <w:r>
        <w:rPr>
          <w:color w:val="222222"/>
          <w:highlight w:val="white"/>
        </w:rPr>
        <w:t xml:space="preserve">Islami, X., Mustafa, N. and Topuzovska Latkovikj, M., 2020. Linking Porter’s generic strategies to firm performance. </w:t>
      </w:r>
      <w:r>
        <w:rPr>
          <w:i/>
          <w:color w:val="222222"/>
          <w:highlight w:val="white"/>
        </w:rPr>
        <w:t>Future Business Journal</w:t>
      </w:r>
      <w:r>
        <w:rPr>
          <w:color w:val="222222"/>
          <w:highlight w:val="white"/>
        </w:rPr>
        <w:t xml:space="preserve">, </w:t>
      </w:r>
      <w:r>
        <w:rPr>
          <w:i/>
          <w:color w:val="222222"/>
          <w:highlight w:val="white"/>
        </w:rPr>
        <w:t>6</w:t>
      </w:r>
      <w:r>
        <w:rPr>
          <w:color w:val="222222"/>
          <w:highlight w:val="white"/>
        </w:rPr>
        <w:t>, pp.1-15.</w:t>
      </w:r>
    </w:p>
    <w:p>
      <w:pPr>
        <w:pStyle w:val="style0"/>
        <w:spacing w:after="0"/>
        <w:rPr>
          <w:color w:val="222222"/>
          <w:highlight w:val="white"/>
        </w:rPr>
      </w:pPr>
      <w:r>
        <w:rPr>
          <w:color w:val="222222"/>
          <w:highlight w:val="white"/>
        </w:rPr>
        <w:t xml:space="preserve">Jain, A., Leka, S., Zwetsloot, G.I., Jain, A., Leka, S. and Zwetsloot, G.I., 2018. The fundamental human right to health, safety and well-being. </w:t>
      </w:r>
      <w:r>
        <w:rPr>
          <w:i/>
          <w:color w:val="222222"/>
          <w:highlight w:val="white"/>
        </w:rPr>
        <w:t>Managing Health, Safety and Well-Being: Ethics, Responsibility and Sustainability</w:t>
      </w:r>
      <w:r>
        <w:rPr>
          <w:color w:val="222222"/>
          <w:highlight w:val="white"/>
        </w:rPr>
        <w:t>, pp.139-173.</w:t>
      </w:r>
    </w:p>
    <w:p>
      <w:pPr>
        <w:pStyle w:val="style0"/>
        <w:spacing w:after="0"/>
        <w:rPr>
          <w:color w:val="222222"/>
          <w:highlight w:val="white"/>
        </w:rPr>
      </w:pPr>
      <w:r>
        <w:rPr>
          <w:color w:val="222222"/>
          <w:highlight w:val="white"/>
        </w:rPr>
        <w:t xml:space="preserve">James, A.M. and Montgomery, B., 2017. Engaging the fashion consumer in a transparent business model. </w:t>
      </w:r>
      <w:r>
        <w:rPr>
          <w:i/>
          <w:color w:val="222222"/>
          <w:highlight w:val="white"/>
        </w:rPr>
        <w:t>International Journal of Fashion Design, Technology and Education</w:t>
      </w:r>
      <w:r>
        <w:rPr>
          <w:color w:val="222222"/>
          <w:highlight w:val="white"/>
        </w:rPr>
        <w:t xml:space="preserve">, </w:t>
      </w:r>
      <w:r>
        <w:rPr>
          <w:i/>
          <w:color w:val="222222"/>
          <w:highlight w:val="white"/>
        </w:rPr>
        <w:t>10</w:t>
      </w:r>
      <w:r>
        <w:rPr>
          <w:color w:val="222222"/>
          <w:highlight w:val="white"/>
        </w:rPr>
        <w:t>(3), pp.287-299.</w:t>
      </w:r>
    </w:p>
    <w:p>
      <w:pPr>
        <w:pStyle w:val="style0"/>
        <w:spacing w:after="0"/>
        <w:rPr>
          <w:color w:val="222222"/>
          <w:highlight w:val="white"/>
        </w:rPr>
      </w:pPr>
      <w:r>
        <w:rPr>
          <w:color w:val="222222"/>
          <w:highlight w:val="white"/>
        </w:rPr>
        <w:t xml:space="preserve">Khandual, A. and Pradhan, S., 2019. Fashion brands and consumers approach towards sustainable fashion. </w:t>
      </w:r>
      <w:r>
        <w:rPr>
          <w:i/>
          <w:color w:val="222222"/>
          <w:highlight w:val="white"/>
        </w:rPr>
        <w:t>Fast fashion, fashion brands and sustainable consumption</w:t>
      </w:r>
      <w:r>
        <w:rPr>
          <w:color w:val="222222"/>
          <w:highlight w:val="white"/>
        </w:rPr>
        <w:t>, pp.37-54.</w:t>
      </w:r>
    </w:p>
    <w:p>
      <w:pPr>
        <w:pStyle w:val="style0"/>
        <w:spacing w:after="0"/>
        <w:rPr>
          <w:color w:val="222222"/>
          <w:highlight w:val="white"/>
        </w:rPr>
      </w:pPr>
      <w:r>
        <w:rPr>
          <w:color w:val="222222"/>
          <w:highlight w:val="white"/>
        </w:rPr>
        <w:t xml:space="preserve">Kim, Y.K. and Sullivan, P., 2019. Emotional branding speaks to consumers’ heart: the case of fashion brands. </w:t>
      </w:r>
      <w:r>
        <w:rPr>
          <w:i/>
          <w:color w:val="222222"/>
          <w:highlight w:val="white"/>
        </w:rPr>
        <w:t>Fashion and textiles</w:t>
      </w:r>
      <w:r>
        <w:rPr>
          <w:color w:val="222222"/>
          <w:highlight w:val="white"/>
        </w:rPr>
        <w:t xml:space="preserve">, </w:t>
      </w:r>
      <w:r>
        <w:rPr>
          <w:i/>
          <w:color w:val="222222"/>
          <w:highlight w:val="white"/>
        </w:rPr>
        <w:t>6</w:t>
      </w:r>
      <w:r>
        <w:rPr>
          <w:color w:val="222222"/>
          <w:highlight w:val="white"/>
        </w:rPr>
        <w:t>(1), pp.1-16.</w:t>
      </w:r>
    </w:p>
    <w:p>
      <w:pPr>
        <w:pStyle w:val="style0"/>
        <w:spacing w:after="0"/>
        <w:rPr>
          <w:color w:val="222222"/>
          <w:highlight w:val="white"/>
        </w:rPr>
      </w:pPr>
      <w:r>
        <w:rPr>
          <w:color w:val="222222"/>
          <w:highlight w:val="white"/>
        </w:rPr>
        <w:t xml:space="preserve">Lacal-Arántegui, R., 2019. Globalization in the wind energy industry: contribution and economic impact of European companies. </w:t>
      </w:r>
      <w:r>
        <w:rPr>
          <w:i/>
          <w:color w:val="222222"/>
          <w:highlight w:val="white"/>
        </w:rPr>
        <w:t>Renewable Energy</w:t>
      </w:r>
      <w:r>
        <w:rPr>
          <w:color w:val="222222"/>
          <w:highlight w:val="white"/>
        </w:rPr>
        <w:t xml:space="preserve">, </w:t>
      </w:r>
      <w:r>
        <w:rPr>
          <w:i/>
          <w:color w:val="222222"/>
          <w:highlight w:val="white"/>
        </w:rPr>
        <w:t>134</w:t>
      </w:r>
      <w:r>
        <w:rPr>
          <w:color w:val="222222"/>
          <w:highlight w:val="white"/>
        </w:rPr>
        <w:t>, pp.612-628.</w:t>
      </w:r>
    </w:p>
    <w:p>
      <w:pPr>
        <w:pStyle w:val="style0"/>
        <w:spacing w:after="0"/>
        <w:rPr>
          <w:color w:val="222222"/>
          <w:highlight w:val="white"/>
        </w:rPr>
      </w:pPr>
      <w:r>
        <w:rPr>
          <w:color w:val="222222"/>
          <w:highlight w:val="white"/>
        </w:rPr>
        <w:t xml:space="preserve">Li, L., Wang, Y. and Zhang, Y.Y., 2023. A critical examination of M&amp;S's current strategic and marketing position, as well as potential sustainable competitive marketing strategies. </w:t>
      </w:r>
      <w:r>
        <w:rPr>
          <w:i/>
          <w:color w:val="222222"/>
          <w:highlight w:val="white"/>
        </w:rPr>
        <w:t>International Journal of Science and Business</w:t>
      </w:r>
      <w:r>
        <w:rPr>
          <w:color w:val="222222"/>
          <w:highlight w:val="white"/>
        </w:rPr>
        <w:t xml:space="preserve">, </w:t>
      </w:r>
      <w:r>
        <w:rPr>
          <w:i/>
          <w:color w:val="222222"/>
          <w:highlight w:val="white"/>
        </w:rPr>
        <w:t>18</w:t>
      </w:r>
      <w:r>
        <w:rPr>
          <w:color w:val="222222"/>
          <w:highlight w:val="white"/>
        </w:rPr>
        <w:t>(1), pp.108-117.</w:t>
      </w:r>
    </w:p>
    <w:p>
      <w:pPr>
        <w:pStyle w:val="style0"/>
        <w:spacing w:after="0"/>
        <w:rPr>
          <w:color w:val="222222"/>
          <w:highlight w:val="white"/>
        </w:rPr>
      </w:pPr>
      <w:r>
        <w:rPr>
          <w:color w:val="222222"/>
          <w:highlight w:val="white"/>
        </w:rPr>
        <w:t xml:space="preserve">Mahat, M., 2019. The competitive forces that shape Australian medical education: An industry analysis using Porter’s five forces framework. </w:t>
      </w:r>
      <w:r>
        <w:rPr>
          <w:i/>
          <w:color w:val="222222"/>
          <w:highlight w:val="white"/>
        </w:rPr>
        <w:t>International Journal of Educational Management</w:t>
      </w:r>
      <w:r>
        <w:rPr>
          <w:color w:val="222222"/>
          <w:highlight w:val="white"/>
        </w:rPr>
        <w:t xml:space="preserve">, </w:t>
      </w:r>
      <w:r>
        <w:rPr>
          <w:i/>
          <w:color w:val="222222"/>
          <w:highlight w:val="white"/>
        </w:rPr>
        <w:t>33</w:t>
      </w:r>
      <w:r>
        <w:rPr>
          <w:color w:val="222222"/>
          <w:highlight w:val="white"/>
        </w:rPr>
        <w:t>(5), pp.1082-1093.</w:t>
      </w:r>
    </w:p>
    <w:p>
      <w:pPr>
        <w:pStyle w:val="style0"/>
        <w:spacing w:after="0"/>
        <w:rPr>
          <w:color w:val="222222"/>
          <w:highlight w:val="white"/>
        </w:rPr>
      </w:pPr>
      <w:r>
        <w:rPr>
          <w:color w:val="222222"/>
          <w:highlight w:val="white"/>
        </w:rPr>
        <w:t xml:space="preserve">Marks and Spencer, 2020. Marks and Spencer plc financial statements 2020. Strategic Report. Available at: </w:t>
      </w:r>
      <w:r>
        <w:rPr/>
        <w:fldChar w:fldCharType="begin"/>
      </w:r>
      <w:r>
        <w:instrText xml:space="preserve"> HYPERLINK "https://corporate.marksandspencer.com/sites/marksandspencer/files/marks-spencer/dept/fy2021-m-and-s-plc-stats-signed.pdf" </w:instrText>
      </w:r>
      <w:r>
        <w:rPr/>
        <w:fldChar w:fldCharType="separate"/>
      </w:r>
      <w:r>
        <w:rPr>
          <w:color w:val="1155cc"/>
          <w:highlight w:val="white"/>
          <w:u w:val="single"/>
        </w:rPr>
        <w:t>https://corporate.marksandspencer.com/sites/marksandspencer/files/marks-spencer/dept/fy2021-m-and-s-plc-stats-signed.pdf</w:t>
      </w:r>
      <w:r>
        <w:rPr/>
        <w:fldChar w:fldCharType="end"/>
      </w:r>
      <w:r>
        <w:rPr>
          <w:color w:val="222222"/>
          <w:highlight w:val="white"/>
        </w:rPr>
        <w:t xml:space="preserve"> </w:t>
      </w:r>
    </w:p>
    <w:p>
      <w:pPr>
        <w:pStyle w:val="style0"/>
        <w:spacing w:after="0"/>
        <w:rPr/>
      </w:pPr>
      <w:r>
        <w:rPr/>
        <w:t xml:space="preserve">Marks and Spencer Group plc, 2022. Shaping the future. Annual Report &amp; Financial Statements 2022. Available at: </w:t>
      </w:r>
      <w:r>
        <w:rPr/>
        <w:fldChar w:fldCharType="begin"/>
      </w:r>
      <w:r>
        <w:instrText xml:space="preserve"> HYPERLINK "https://corporate.marksandspencer.com/sites/marksandspencer/files/marks-spencer/investor/m-and-s-ar22-strategic-report.pdf" </w:instrText>
      </w:r>
      <w:r>
        <w:rPr/>
        <w:fldChar w:fldCharType="separate"/>
      </w:r>
      <w:r>
        <w:rPr>
          <w:color w:val="1155cc"/>
          <w:u w:val="single"/>
        </w:rPr>
        <w:t>https://corporate.marksandspencer.com/sites/marksandspencer/files/marks-spencer/investor/m-and-s-ar22-strategic-report.pdf</w:t>
      </w:r>
      <w:r>
        <w:rPr/>
        <w:fldChar w:fldCharType="end"/>
      </w:r>
    </w:p>
    <w:p>
      <w:pPr>
        <w:pStyle w:val="style0"/>
        <w:spacing w:after="0"/>
        <w:rPr>
          <w:color w:val="222222"/>
          <w:highlight w:val="white"/>
        </w:rPr>
      </w:pPr>
      <w:r>
        <w:rPr>
          <w:color w:val="222222"/>
          <w:highlight w:val="white"/>
        </w:rPr>
        <w:t xml:space="preserve">McDaniel Jr, C. and Gates, R., 2018. </w:t>
      </w:r>
      <w:r>
        <w:rPr>
          <w:i/>
          <w:color w:val="222222"/>
          <w:highlight w:val="white"/>
        </w:rPr>
        <w:t>Marketing research</w:t>
      </w:r>
      <w:r>
        <w:rPr>
          <w:color w:val="222222"/>
          <w:highlight w:val="white"/>
        </w:rPr>
        <w:t>. John Wiley &amp; Sons.</w:t>
      </w:r>
    </w:p>
    <w:p>
      <w:pPr>
        <w:pStyle w:val="style0"/>
        <w:spacing w:after="0"/>
        <w:rPr>
          <w:highlight w:val="white"/>
        </w:rPr>
      </w:pPr>
      <w:r>
        <w:rPr>
          <w:highlight w:val="white"/>
        </w:rPr>
        <w:t xml:space="preserve">Melander, L., 2018. Customer and supplier collaboration in green product innovation: External and internal capabilities. </w:t>
      </w:r>
      <w:r>
        <w:rPr>
          <w:i/>
          <w:highlight w:val="white"/>
        </w:rPr>
        <w:t>Business Strategy and the Environment</w:t>
      </w:r>
      <w:r>
        <w:rPr>
          <w:highlight w:val="white"/>
        </w:rPr>
        <w:t xml:space="preserve">, </w:t>
      </w:r>
      <w:r>
        <w:rPr>
          <w:i/>
          <w:highlight w:val="white"/>
        </w:rPr>
        <w:t>27</w:t>
      </w:r>
      <w:r>
        <w:rPr>
          <w:highlight w:val="white"/>
        </w:rPr>
        <w:t>(6), pp.677-693.</w:t>
      </w:r>
    </w:p>
    <w:p>
      <w:pPr>
        <w:pStyle w:val="style0"/>
        <w:spacing w:after="0"/>
        <w:rPr>
          <w:color w:val="222222"/>
          <w:highlight w:val="white"/>
        </w:rPr>
      </w:pPr>
      <w:r>
        <w:rPr>
          <w:color w:val="222222"/>
          <w:highlight w:val="white"/>
        </w:rPr>
        <w:t xml:space="preserve">Namugenyi, C., Nimmagadda, S.L. and Reiners, T., 2019. Design of a SWOT analysis model and its evaluation in diverse digital business ecosystem contexts. </w:t>
      </w:r>
      <w:r>
        <w:rPr>
          <w:i/>
          <w:color w:val="222222"/>
          <w:highlight w:val="white"/>
        </w:rPr>
        <w:t>Procedia Computer Science</w:t>
      </w:r>
      <w:r>
        <w:rPr>
          <w:color w:val="222222"/>
          <w:highlight w:val="white"/>
        </w:rPr>
        <w:t xml:space="preserve">, </w:t>
      </w:r>
      <w:r>
        <w:rPr>
          <w:i/>
          <w:color w:val="222222"/>
          <w:highlight w:val="white"/>
        </w:rPr>
        <w:t>159</w:t>
      </w:r>
      <w:r>
        <w:rPr>
          <w:color w:val="222222"/>
          <w:highlight w:val="white"/>
        </w:rPr>
        <w:t>, pp.1145-1154.</w:t>
      </w:r>
    </w:p>
    <w:p>
      <w:pPr>
        <w:pStyle w:val="style0"/>
        <w:spacing w:after="0"/>
        <w:rPr>
          <w:color w:val="222222"/>
          <w:highlight w:val="white"/>
        </w:rPr>
      </w:pPr>
      <w:r>
        <w:rPr>
          <w:color w:val="222222"/>
          <w:highlight w:val="white"/>
        </w:rPr>
        <w:t>Omsa, S., Abdullah, I.H. and Jamali, H., 2017. Five competitive forces model and the implementation of Porter’s generic strategies to gain firm performances.</w:t>
      </w:r>
    </w:p>
    <w:p>
      <w:pPr>
        <w:pStyle w:val="style0"/>
        <w:spacing w:after="0"/>
        <w:rPr>
          <w:color w:val="222222"/>
          <w:highlight w:val="white"/>
        </w:rPr>
      </w:pPr>
      <w:r>
        <w:rPr>
          <w:color w:val="222222"/>
          <w:highlight w:val="white"/>
        </w:rPr>
        <w:t xml:space="preserve">Perera, R., 2017. </w:t>
      </w:r>
      <w:r>
        <w:rPr>
          <w:i/>
          <w:color w:val="222222"/>
          <w:highlight w:val="white"/>
        </w:rPr>
        <w:t>The PESTLE analysis</w:t>
      </w:r>
      <w:r>
        <w:rPr>
          <w:color w:val="222222"/>
          <w:highlight w:val="white"/>
        </w:rPr>
        <w:t>. Nerdynaut.</w:t>
      </w:r>
    </w:p>
    <w:p>
      <w:pPr>
        <w:pStyle w:val="style0"/>
        <w:spacing w:after="0"/>
        <w:rPr>
          <w:color w:val="222222"/>
          <w:highlight w:val="white"/>
        </w:rPr>
      </w:pPr>
      <w:r>
        <w:rPr>
          <w:color w:val="222222"/>
          <w:highlight w:val="white"/>
        </w:rPr>
        <w:t xml:space="preserve">Pervan, M., Curak, M. and Pavic Kramaric, T., 2017. The influence of industry characteristics and dynamic capabilities on firms’ profitability. </w:t>
      </w:r>
      <w:r>
        <w:rPr>
          <w:i/>
          <w:color w:val="222222"/>
          <w:highlight w:val="white"/>
        </w:rPr>
        <w:t>International Journal of Financial Studies</w:t>
      </w:r>
      <w:r>
        <w:rPr>
          <w:color w:val="222222"/>
          <w:highlight w:val="white"/>
        </w:rPr>
        <w:t xml:space="preserve">, </w:t>
      </w:r>
      <w:r>
        <w:rPr>
          <w:i/>
          <w:color w:val="222222"/>
          <w:highlight w:val="white"/>
        </w:rPr>
        <w:t>6</w:t>
      </w:r>
      <w:r>
        <w:rPr>
          <w:color w:val="222222"/>
          <w:highlight w:val="white"/>
        </w:rPr>
        <w:t>(1), p.4.</w:t>
      </w:r>
    </w:p>
    <w:p>
      <w:pPr>
        <w:pStyle w:val="style0"/>
        <w:spacing w:after="0"/>
        <w:rPr>
          <w:color w:val="222222"/>
          <w:highlight w:val="white"/>
        </w:rPr>
      </w:pPr>
      <w:r>
        <w:rPr>
          <w:color w:val="222222"/>
          <w:highlight w:val="white"/>
        </w:rPr>
        <w:t xml:space="preserve">Phillips, P. and Moutinho, L., 2018. </w:t>
      </w:r>
      <w:r>
        <w:rPr>
          <w:i/>
          <w:color w:val="222222"/>
          <w:highlight w:val="white"/>
        </w:rPr>
        <w:t>Contemporary issues in strategic management</w:t>
      </w:r>
      <w:r>
        <w:rPr>
          <w:color w:val="222222"/>
          <w:highlight w:val="white"/>
        </w:rPr>
        <w:t>. Routledge.</w:t>
      </w:r>
    </w:p>
    <w:p>
      <w:pPr>
        <w:pStyle w:val="style0"/>
        <w:spacing w:after="0"/>
        <w:rPr>
          <w:color w:val="222222"/>
          <w:highlight w:val="white"/>
        </w:rPr>
      </w:pPr>
      <w:r>
        <w:rPr>
          <w:color w:val="222222"/>
          <w:highlight w:val="white"/>
        </w:rPr>
        <w:t xml:space="preserve">Pimenta, M.L., Cezarino, L.O., Piato, E.L., da Silva, C.H.P., Oliveira, B.G. and Liboni, L.B., 2022. Supply chain resilience in a Covid-19 scenario: Mapping capabilities in a systemic framework. </w:t>
      </w:r>
      <w:r>
        <w:rPr>
          <w:i/>
          <w:color w:val="222222"/>
          <w:highlight w:val="white"/>
        </w:rPr>
        <w:t>Sustainable Production and Consumption</w:t>
      </w:r>
      <w:r>
        <w:rPr>
          <w:color w:val="222222"/>
          <w:highlight w:val="white"/>
        </w:rPr>
        <w:t xml:space="preserve">, </w:t>
      </w:r>
      <w:r>
        <w:rPr>
          <w:i/>
          <w:color w:val="222222"/>
          <w:highlight w:val="white"/>
        </w:rPr>
        <w:t>29</w:t>
      </w:r>
      <w:r>
        <w:rPr>
          <w:color w:val="222222"/>
          <w:highlight w:val="white"/>
        </w:rPr>
        <w:t>, pp.649-656.</w:t>
      </w:r>
    </w:p>
    <w:p>
      <w:pPr>
        <w:pStyle w:val="style0"/>
        <w:spacing w:after="0"/>
        <w:rPr>
          <w:color w:val="222222"/>
          <w:highlight w:val="white"/>
        </w:rPr>
      </w:pPr>
      <w:r>
        <w:rPr>
          <w:color w:val="222222"/>
          <w:highlight w:val="white"/>
        </w:rPr>
        <w:t xml:space="preserve">Rushton, A., Croucher, P. and Baker, P., 2022. </w:t>
      </w:r>
      <w:r>
        <w:rPr>
          <w:i/>
          <w:color w:val="222222"/>
          <w:highlight w:val="white"/>
        </w:rPr>
        <w:t>The handbook of logistics and distribution management: Understanding the supply chain</w:t>
      </w:r>
      <w:r>
        <w:rPr>
          <w:color w:val="222222"/>
          <w:highlight w:val="white"/>
        </w:rPr>
        <w:t>. Kogan Page Publishers.</w:t>
      </w:r>
    </w:p>
    <w:p>
      <w:pPr>
        <w:pStyle w:val="style0"/>
        <w:spacing w:after="0"/>
        <w:rPr>
          <w:color w:val="222222"/>
          <w:highlight w:val="white"/>
        </w:rPr>
      </w:pPr>
      <w:r>
        <w:rPr>
          <w:color w:val="222222"/>
          <w:highlight w:val="white"/>
        </w:rPr>
        <w:t>Sahu, N., Deng, H. and Mollah, A., 2018. Investigating the critical success factors of digital transformation for improving customer experience.</w:t>
      </w:r>
    </w:p>
    <w:p>
      <w:pPr>
        <w:pStyle w:val="style0"/>
        <w:spacing w:after="0"/>
        <w:rPr>
          <w:color w:val="222222"/>
          <w:highlight w:val="white"/>
        </w:rPr>
      </w:pPr>
      <w:r>
        <w:rPr>
          <w:color w:val="222222"/>
          <w:highlight w:val="white"/>
        </w:rPr>
        <w:t xml:space="preserve">Sudolska, A., Drabkowska-Skarba, M., Łapińska, J., Kądzielawski, G. and Dziuba, R., 2020. Exploring corporate social responsibility practices in the clothing industry: The case of Polish and British companies. </w:t>
      </w:r>
      <w:r>
        <w:rPr>
          <w:i/>
          <w:color w:val="222222"/>
          <w:highlight w:val="white"/>
        </w:rPr>
        <w:t>Fibres &amp; Textiles in Eastern Europe</w:t>
      </w:r>
      <w:r>
        <w:rPr>
          <w:color w:val="222222"/>
          <w:highlight w:val="white"/>
        </w:rPr>
        <w:t>, (1 (139), pp.14-19.</w:t>
      </w:r>
    </w:p>
    <w:p>
      <w:pPr>
        <w:pStyle w:val="style0"/>
        <w:spacing w:after="0"/>
        <w:rPr>
          <w:color w:val="222222"/>
          <w:highlight w:val="white"/>
        </w:rPr>
      </w:pPr>
      <w:r>
        <w:rPr>
          <w:color w:val="222222"/>
          <w:highlight w:val="white"/>
        </w:rPr>
        <w:t xml:space="preserve">Walters, D. and Rainbird, M., 2017. </w:t>
      </w:r>
      <w:r>
        <w:rPr>
          <w:i/>
          <w:color w:val="222222"/>
          <w:highlight w:val="white"/>
        </w:rPr>
        <w:t>Strategic operations management: a value chain approach</w:t>
      </w:r>
      <w:r>
        <w:rPr>
          <w:color w:val="222222"/>
          <w:highlight w:val="white"/>
        </w:rPr>
        <w:t>. Bloomsbury Publishing.</w:t>
      </w:r>
    </w:p>
    <w:p>
      <w:pPr>
        <w:pStyle w:val="style0"/>
        <w:spacing w:after="0"/>
        <w:rPr>
          <w:color w:val="222222"/>
          <w:highlight w:val="white"/>
        </w:rPr>
      </w:pPr>
      <w:r>
        <w:rPr>
          <w:color w:val="222222"/>
          <w:highlight w:val="white"/>
        </w:rPr>
        <w:t xml:space="preserve">Yu, H., Shabbir, M.S., Ahmad, N., Ariza-Montes, A., Vega-Muñoz, A., Han, H., Scholz, M. and Sial, M.S., 2021. A contemporary issue of micro-foundation of CSR, employee pro-environmental behavior, and environmental performance toward energy saving, carbon emission reduction, and recycling.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(10), p.5380.</w:t>
      </w:r>
    </w:p>
    <w:p>
      <w:pPr>
        <w:pStyle w:val="style0"/>
        <w:spacing w:after="0"/>
        <w:rPr/>
      </w:pPr>
      <w:r>
        <w:rPr>
          <w:color w:val="222222"/>
          <w:highlight w:val="white"/>
        </w:rPr>
        <w:t>Zugay, B. and Zakaria, R., 2023. Ansoff Matrix.</w:t>
      </w:r>
    </w:p>
    <w:sectPr>
      <w:headerReference w:type="even" r:id="rId11"/>
      <w:headerReference w:type="default" r:id="rId12"/>
      <w:footerReference w:type="even" r:id="rId13"/>
      <w:footerReference w:type="default" r:id="rId14"/>
      <w:headerReference w:type="first" r:id="rId15"/>
      <w:pgSz w:w="11906" w:h="16838" w:orient="portrait"/>
      <w:pgMar w:top="1440" w:right="1440" w:bottom="1440" w:left="1440" w:header="708" w:footer="708" w:gutter="0"/>
      <w:pgNumType w:start="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single" w:sz="4" w:space="1" w:color="d9d9d9"/>
        <w:bottom w:val="nil"/>
        <w:between w:val="nil"/>
      </w:pBdr>
      <w:shd w:val="clear" w:color="auto" w:fill="auto"/>
      <w:tabs>
        <w:tab w:val="center" w:leader="none" w:pos="4513"/>
        <w:tab w:val="right" w:leader="none" w:pos="9026"/>
      </w:tabs>
      <w:spacing w:before="0" w:after="0" w:lineRule="auto" w:line="240"/>
      <w:ind w:left="0" w:right="0" w:firstLine="0"/>
      <w:jc w:val="righ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begin"/>
    </w:r>
    <w:r>
      <w:rPr>
        <w:rFonts w:ascii="Times New Roman" w:cs="Times New Roman" w:eastAsia="Times New Roman" w:hAnsi="Times New Roman"/>
        <w:b w:val="false"/>
        <w:i w:val="false"/>
        <w:smallCaps w:val="false"/>
        <w:color w:val="000000"/>
        <w:sz w:val="24"/>
        <w:szCs w:val="24"/>
        <w:u w:val="none"/>
        <w:shd w:val="clear" w:color="auto" w:fill="auto"/>
        <w:vertAlign w:val="baseline"/>
      </w:rPr>
      <w:instrText>PAGE</w:instrText>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 </w:t>
    </w:r>
    <w:r>
      <w:rPr>
        <w:rFonts w:ascii="Times New Roman" w:cs="Times New Roman" w:eastAsia="Times New Roman" w:hAnsi="Times New Roman"/>
        <w:b w:val="false"/>
        <w:i w:val="false"/>
        <w:smallCaps w:val="false"/>
        <w:color w:val="7f7f7f"/>
        <w:sz w:val="24"/>
        <w:szCs w:val="24"/>
        <w:u w:val="none"/>
        <w:shd w:val="clear" w:color="auto" w:fill="auto"/>
        <w:vertAlign w:val="baseline"/>
      </w:rPr>
      <w:t>Page</w:t>
    </w:r>
  </w:p>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pageBreakBefore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 w:numId="4">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sz w:val="24"/>
        <w:szCs w:val="24"/>
        <w:lang w:val="en-GB"/>
      </w:rPr>
    </w:rPrDefault>
    <w:pPrDefault>
      <w:pPr>
        <w:spacing w:after="200" w:lineRule="auto" w:line="360"/>
        <w:jc w:val="both"/>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spacing w:before="360" w:after="240"/>
      <w:jc w:val="both"/>
    </w:pPr>
    <w:rPr>
      <w:rFonts w:ascii="Arial" w:cs="Arial" w:eastAsia="Arial" w:hAnsi="Arial"/>
      <w:b/>
      <w:color w:val="17365d"/>
      <w:sz w:val="28"/>
      <w:szCs w:val="28"/>
    </w:rPr>
  </w:style>
  <w:style w:type="paragraph" w:styleId="style2">
    <w:name w:val="heading 2"/>
    <w:basedOn w:val="style4097"/>
    <w:next w:val="style4097"/>
    <w:pPr>
      <w:keepNext/>
      <w:keepLines/>
      <w:spacing w:before="40" w:after="0" w:lineRule="auto" w:line="360"/>
      <w:jc w:val="both"/>
    </w:pPr>
    <w:rPr>
      <w:rFonts w:ascii="Arial" w:cs="Arial" w:eastAsia="Arial" w:hAnsi="Arial"/>
      <w:b/>
      <w:color w:val="366091"/>
    </w:rPr>
  </w:style>
  <w:style w:type="paragraph" w:styleId="style3">
    <w:name w:val="heading 3"/>
    <w:basedOn w:val="style4097"/>
    <w:next w:val="style4097"/>
    <w:pPr>
      <w:keepNext/>
      <w:keepLines/>
      <w:spacing w:before="240" w:after="240"/>
      <w:jc w:val="both"/>
    </w:pPr>
    <w:rPr>
      <w:rFonts w:ascii="Arial" w:cs="Arial" w:eastAsia="Arial" w:hAnsi="Arial"/>
      <w:b/>
      <w:color w:val="244061"/>
    </w:rPr>
  </w:style>
  <w:style w:type="paragraph" w:styleId="style4">
    <w:name w:val="heading 4"/>
    <w:basedOn w:val="style4097"/>
    <w:next w:val="style4097"/>
    <w:pPr>
      <w:keepNext/>
      <w:keepLines/>
      <w:spacing w:before="40" w:after="0"/>
    </w:pPr>
    <w:rPr>
      <w:rFonts w:ascii="Arial" w:cs="Arial" w:eastAsia="Arial" w:hAnsi="Arial"/>
      <w:b/>
      <w:color w:val="632423"/>
    </w:rPr>
  </w:style>
  <w:style w:type="paragraph" w:styleId="style5">
    <w:name w:val="heading 5"/>
    <w:basedOn w:val="style4097"/>
    <w:next w:val="style4097"/>
    <w:pPr>
      <w:keepNext/>
      <w:keepLines/>
      <w:pageBreakBefore w:val="false"/>
      <w:spacing w:before="220" w:after="40"/>
    </w:pPr>
    <w:rPr>
      <w:b/>
      <w:sz w:val="22"/>
      <w:szCs w:val="22"/>
    </w:rPr>
  </w:style>
  <w:style w:type="paragraph" w:styleId="style6">
    <w:name w:val="heading 6"/>
    <w:basedOn w:val="style4097"/>
    <w:next w:val="style4097"/>
    <w:pPr>
      <w:keepNext/>
      <w:keepLines/>
      <w:pageBreakBefore w:val="false"/>
      <w:spacing w:before="200" w:after="40"/>
    </w:pPr>
    <w:rPr>
      <w:b/>
      <w:sz w:val="20"/>
      <w:szCs w:val="20"/>
    </w:rPr>
  </w:style>
  <w:style w:type="paragraph" w:styleId="style62">
    <w:name w:val="Title"/>
    <w:basedOn w:val="style4097"/>
    <w:next w:val="style4097"/>
    <w:pPr>
      <w:keepNext/>
      <w:keepLines/>
      <w:pageBreakBefore w:val="false"/>
      <w:spacing w:before="480" w:after="120"/>
    </w:pPr>
    <w:rPr>
      <w:b/>
      <w:sz w:val="72"/>
      <w:szCs w:val="72"/>
    </w:rPr>
  </w:style>
  <w:style w:type="paragraph" w:styleId="style74">
    <w:name w:val="Subtitle"/>
    <w:basedOn w:val="style4097"/>
    <w:next w:val="style4097"/>
    <w:pPr>
      <w:keepNext/>
      <w:keepLines/>
      <w:pageBreakBefore w:val="false"/>
      <w:spacing w:before="360" w:after="80"/>
    </w:pPr>
    <w:rPr>
      <w:rFonts w:ascii="Georgia" w:cs="Georgia" w:eastAsia="Georgia" w:hAnsi="Georgia"/>
      <w:i/>
      <w:color w:val="666666"/>
      <w:sz w:val="48"/>
      <w:szCs w:val="48"/>
    </w:rPr>
  </w:style>
  <w:style w:type="table" w:customStyle="1" w:styleId="style4099">
    <w:basedOn w:val="style4098"/>
    <w:next w:val="style4099"/>
    <w:pPr/>
    <w:rPr/>
    <w:tblPr>
      <w:tblStyleRowBandSize w:val="1"/>
      <w:tblStyleColBandSize w:val="1"/>
      <w:tblCellMar>
        <w:top w:w="100" w:type="dxa"/>
        <w:left w:w="100" w:type="dxa"/>
        <w:bottom w:w="100" w:type="dxa"/>
        <w:right w:w="100" w:type="dxa"/>
      </w:tblCellMar>
    </w:tblPr>
    <w:tcPr>
      <w:tcBorders/>
    </w:tcPr>
  </w:style>
  <w:style w:type="table" w:customStyle="1" w:styleId="style4100">
    <w:basedOn w:val="style4098"/>
    <w:next w:val="style4100"/>
    <w:pPr/>
    <w:rPr/>
    <w:tblPr>
      <w:tblStyleRowBandSize w:val="1"/>
      <w:tblStyleColBandSize w:val="1"/>
      <w:tblCellMar>
        <w:top w:w="100" w:type="dxa"/>
        <w:left w:w="100" w:type="dxa"/>
        <w:bottom w:w="100" w:type="dxa"/>
        <w:right w:w="100" w:type="dxa"/>
      </w:tblCellMar>
    </w:tblPr>
    <w:tcPr>
      <w:tcBorders/>
    </w:tcPr>
  </w:style>
  <w:style w:type="table" w:customStyle="1" w:styleId="style4101">
    <w:basedOn w:val="style4098"/>
    <w:next w:val="style4101"/>
    <w:pPr/>
    <w:rPr/>
    <w:tblPr>
      <w:tblStyleRowBandSize w:val="1"/>
      <w:tblStyleColBandSize w:val="1"/>
      <w:tblCellMar>
        <w:top w:w="100" w:type="dxa"/>
        <w:left w:w="100" w:type="dxa"/>
        <w:bottom w:w="100" w:type="dxa"/>
        <w:right w:w="100" w:type="dxa"/>
      </w:tblCellMar>
    </w:tblPr>
    <w:tcPr>
      <w:tcBorders/>
    </w:tcPr>
  </w:style>
  <w:style w:type="table" w:customStyle="1" w:styleId="style4102">
    <w:basedOn w:val="style4098"/>
    <w:next w:val="style4102"/>
    <w:pPr/>
    <w:rPr/>
    <w:tblPr>
      <w:tblStyleRowBandSize w:val="1"/>
      <w:tblStyleColBandSize w:val="1"/>
      <w:tblCellMar>
        <w:top w:w="100" w:type="dxa"/>
        <w:left w:w="100" w:type="dxa"/>
        <w:bottom w:w="100" w:type="dxa"/>
        <w:right w:w="100" w:type="dxa"/>
      </w:tblCellMar>
    </w:tblPr>
    <w:tcPr>
      <w:tcBorders/>
    </w:tcPr>
  </w:style>
  <w:style w:type="table" w:customStyle="1" w:styleId="style4103">
    <w:basedOn w:val="style4098"/>
    <w:next w:val="style4103"/>
    <w:pPr/>
    <w:rPr/>
    <w:tblPr>
      <w:tblStyleRowBandSize w:val="1"/>
      <w:tblStyleColBandSize w:val="1"/>
      <w:shd w:val="clear" w:color="auto" w:fill="f7f7f8"/>
      <w:tblCellMar>
        <w:top w:w="100" w:type="dxa"/>
        <w:left w:w="100" w:type="dxa"/>
        <w:bottom w:w="100" w:type="dxa"/>
        <w:right w:w="100" w:type="dxa"/>
      </w:tblCellMar>
    </w:tblPr>
    <w:tcPr>
      <w:tcBorders/>
      <w:shd w:val="clear" w:color="auto" w:fill="f7f7f8"/>
    </w:tcPr>
  </w:style>
  <w:style w:type="table" w:customStyle="1" w:styleId="style4104">
    <w:basedOn w:val="style4098"/>
    <w:next w:val="style4104"/>
    <w:pPr/>
    <w:rPr/>
    <w:tblPr>
      <w:tblStyleRowBandSize w:val="1"/>
      <w:tblStyleColBandSize w:val="1"/>
      <w:tblCellMar>
        <w:top w:w="100" w:type="dxa"/>
        <w:left w:w="100" w:type="dxa"/>
        <w:bottom w:w="100" w:type="dxa"/>
        <w:right w:w="100" w:type="dxa"/>
      </w:tblCellMar>
    </w:tblPr>
    <w:tcPr>
      <w:tcBorders/>
    </w:tcPr>
  </w:style>
  <w:style w:type="table" w:customStyle="1" w:styleId="style4105">
    <w:basedOn w:val="style4098"/>
    <w:next w:val="style4105"/>
    <w:pPr/>
    <w:rPr/>
    <w:tblPr>
      <w:tblStyleRowBandSize w:val="1"/>
      <w:tblStyleColBandSize w:val="1"/>
      <w:tblCellMar>
        <w:top w:w="100" w:type="dxa"/>
        <w:left w:w="100" w:type="dxa"/>
        <w:bottom w:w="100" w:type="dxa"/>
        <w:right w:w="100" w:type="dxa"/>
      </w:tblCellMar>
    </w:tblPr>
    <w:tcPr>
      <w:tcBorders/>
    </w:tcPr>
  </w:style>
  <w:style w:type="table" w:customStyle="1" w:styleId="style4106">
    <w:basedOn w:val="style4098"/>
    <w:next w:val="style4106"/>
    <w:pPr/>
    <w:rPr/>
    <w:tblPr>
      <w:tblStyleRowBandSize w:val="1"/>
      <w:tblStyleColBandSize w:val="1"/>
      <w:tblCellMar>
        <w:top w:w="100" w:type="dxa"/>
        <w:left w:w="100" w:type="dxa"/>
        <w:bottom w:w="100" w:type="dxa"/>
        <w:right w:w="100" w:type="dxa"/>
      </w:tblCellMar>
    </w:tblPr>
    <w:tcPr>
      <w:tcBorders/>
    </w:tcPr>
  </w:style>
  <w:style w:type="table" w:customStyle="1" w:styleId="style4107">
    <w:basedOn w:val="style4098"/>
    <w:next w:val="style4107"/>
    <w:pPr/>
    <w:rPr/>
    <w:tblPr>
      <w:tblStyleRowBandSize w:val="1"/>
      <w:tblStyleColBandSize w:val="1"/>
      <w:tblCellMar>
        <w:top w:w="100" w:type="dxa"/>
        <w:left w:w="100" w:type="dxa"/>
        <w:bottom w:w="100" w:type="dxa"/>
        <w:right w:w="100" w:type="dxa"/>
      </w:tblCellMar>
    </w:tblPr>
    <w:tcPr>
      <w:tcBorders/>
    </w:tc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1" Type="http://schemas.openxmlformats.org/officeDocument/2006/relationships/header" Target="header1.xml"/><Relationship Id="rId10" Type="http://schemas.openxmlformats.org/officeDocument/2006/relationships/image" Target="media/image9.png"/><Relationship Id="rId13" Type="http://schemas.openxmlformats.org/officeDocument/2006/relationships/footer" Target="footer3.xml"/><Relationship Id="rId12" Type="http://schemas.openxmlformats.org/officeDocument/2006/relationships/header" Target="header2.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header" Target="header5.xml"/><Relationship Id="rId14" Type="http://schemas.openxmlformats.org/officeDocument/2006/relationships/footer" Target="footer4.xml"/><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image" Target="media/image4.png"/><Relationship Id="rId19" Type="http://schemas.openxmlformats.org/officeDocument/2006/relationships/theme" Target="theme/theme1.xml"/><Relationship Id="rId6" Type="http://schemas.openxmlformats.org/officeDocument/2006/relationships/image" Target="media/image5.png"/><Relationship Id="rId18" Type="http://schemas.openxmlformats.org/officeDocument/2006/relationships/settings" Target="settings.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6117</Words>
  <Characters>36322</Characters>
  <Application>WPS Office</Application>
  <Paragraphs>340</Paragraphs>
  <CharactersWithSpaces>42207</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2023-08-16T12:52:17Z</dcterms:created>
  <dc:creator>WPS Office</dc:creator>
  <lastModifiedBy>RMX1992</lastModifiedBy>
  <dcterms:modified xsi:type="dcterms:W3CDTF">2023-08-16T12:52:18Z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bf2bbed9004647529b04295d143f88e1</vt:lpwstr>
  </property>
</Properties>
</file>