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666E1" w14:textId="77777777" w:rsidR="00F6644C" w:rsidRDefault="00F6644C" w:rsidP="00F6644C">
      <w:pPr>
        <w:spacing w:line="360" w:lineRule="auto"/>
        <w:jc w:val="center"/>
        <w:rPr>
          <w:rFonts w:ascii="Arial" w:hAnsi="Arial" w:cs="Arial"/>
          <w:b/>
          <w:bCs/>
          <w:sz w:val="32"/>
          <w:szCs w:val="32"/>
        </w:rPr>
      </w:pPr>
    </w:p>
    <w:p w14:paraId="2547672B" w14:textId="77777777" w:rsidR="00F6644C" w:rsidRDefault="00F6644C" w:rsidP="00F6644C">
      <w:pPr>
        <w:spacing w:line="360" w:lineRule="auto"/>
        <w:jc w:val="center"/>
        <w:rPr>
          <w:rFonts w:ascii="Arial" w:hAnsi="Arial" w:cs="Arial"/>
          <w:b/>
          <w:bCs/>
          <w:sz w:val="32"/>
          <w:szCs w:val="32"/>
        </w:rPr>
      </w:pPr>
    </w:p>
    <w:p w14:paraId="2077FFE8" w14:textId="77777777" w:rsidR="00F6644C" w:rsidRDefault="00F6644C" w:rsidP="00F6644C">
      <w:pPr>
        <w:spacing w:line="360" w:lineRule="auto"/>
        <w:jc w:val="center"/>
        <w:rPr>
          <w:rFonts w:ascii="Arial" w:hAnsi="Arial" w:cs="Arial"/>
          <w:b/>
          <w:bCs/>
          <w:sz w:val="32"/>
          <w:szCs w:val="32"/>
        </w:rPr>
      </w:pPr>
    </w:p>
    <w:p w14:paraId="0A42592B" w14:textId="3F4DA321" w:rsidR="00F6644C" w:rsidRPr="00F6644C" w:rsidRDefault="00F6644C" w:rsidP="00F6644C">
      <w:pPr>
        <w:spacing w:line="360" w:lineRule="auto"/>
        <w:jc w:val="center"/>
        <w:rPr>
          <w:rFonts w:ascii="Arial" w:hAnsi="Arial" w:cs="Arial"/>
          <w:b/>
          <w:bCs/>
          <w:sz w:val="32"/>
          <w:szCs w:val="32"/>
        </w:rPr>
      </w:pPr>
      <w:r w:rsidRPr="00F6644C">
        <w:rPr>
          <w:rFonts w:ascii="Arial" w:hAnsi="Arial" w:cs="Arial"/>
          <w:b/>
          <w:bCs/>
          <w:sz w:val="32"/>
          <w:szCs w:val="32"/>
        </w:rPr>
        <w:t>Sustainable Hospitality &amp; Tourism Management</w:t>
      </w:r>
    </w:p>
    <w:p w14:paraId="2E636BA3" w14:textId="77777777" w:rsidR="00F6644C" w:rsidRPr="00F6644C" w:rsidRDefault="00F6644C" w:rsidP="00F6644C">
      <w:pPr>
        <w:spacing w:line="360" w:lineRule="auto"/>
        <w:jc w:val="center"/>
        <w:rPr>
          <w:rFonts w:ascii="Arial" w:hAnsi="Arial" w:cs="Arial"/>
          <w:b/>
          <w:bCs/>
          <w:sz w:val="32"/>
          <w:szCs w:val="32"/>
        </w:rPr>
      </w:pPr>
      <w:r w:rsidRPr="00F6644C">
        <w:rPr>
          <w:rFonts w:ascii="Arial" w:hAnsi="Arial" w:cs="Arial"/>
          <w:b/>
          <w:bCs/>
          <w:sz w:val="32"/>
          <w:szCs w:val="32"/>
        </w:rPr>
        <w:t>BMIH5006</w:t>
      </w:r>
    </w:p>
    <w:p w14:paraId="37251BB7" w14:textId="77777777" w:rsidR="00F6644C" w:rsidRPr="00ED1547" w:rsidRDefault="00F6644C" w:rsidP="00F6644C">
      <w:pPr>
        <w:spacing w:line="360" w:lineRule="auto"/>
        <w:jc w:val="center"/>
        <w:rPr>
          <w:rFonts w:ascii="Arial" w:hAnsi="Arial" w:cs="Arial"/>
          <w:sz w:val="24"/>
          <w:szCs w:val="24"/>
        </w:rPr>
      </w:pPr>
    </w:p>
    <w:p w14:paraId="25A50A9B" w14:textId="77777777" w:rsidR="00F6644C" w:rsidRPr="00F6644C" w:rsidRDefault="00F6644C" w:rsidP="00F6644C">
      <w:pPr>
        <w:spacing w:line="360" w:lineRule="auto"/>
        <w:jc w:val="center"/>
        <w:rPr>
          <w:rFonts w:ascii="Arial" w:hAnsi="Arial" w:cs="Arial"/>
          <w:b/>
          <w:bCs/>
          <w:sz w:val="24"/>
          <w:szCs w:val="24"/>
        </w:rPr>
      </w:pPr>
      <w:r w:rsidRPr="00F6644C">
        <w:rPr>
          <w:rFonts w:ascii="Arial" w:hAnsi="Arial" w:cs="Arial"/>
          <w:b/>
          <w:bCs/>
          <w:sz w:val="24"/>
          <w:szCs w:val="24"/>
        </w:rPr>
        <w:t>Essay</w:t>
      </w:r>
    </w:p>
    <w:p w14:paraId="598095D4" w14:textId="77777777" w:rsidR="00B151A8" w:rsidRDefault="00B151A8"/>
    <w:p w14:paraId="584CD8F5" w14:textId="77777777" w:rsidR="00813510" w:rsidRDefault="00813510"/>
    <w:p w14:paraId="10C0881B" w14:textId="52530400" w:rsidR="00813510" w:rsidRDefault="00DF153F">
      <w:r>
        <w:t>Lecturer: Dr Huw Thomas</w:t>
      </w:r>
    </w:p>
    <w:p w14:paraId="3F9D6960" w14:textId="40F74135" w:rsidR="00DF153F" w:rsidRDefault="00DF153F">
      <w:r>
        <w:t xml:space="preserve">Student name: Petru </w:t>
      </w:r>
      <w:proofErr w:type="spellStart"/>
      <w:r>
        <w:t>Cucu</w:t>
      </w:r>
      <w:proofErr w:type="spellEnd"/>
    </w:p>
    <w:p w14:paraId="10F6B3E4" w14:textId="4BE7682D" w:rsidR="00DF153F" w:rsidRDefault="00DF153F">
      <w:r>
        <w:t>Student id : 2213956</w:t>
      </w:r>
    </w:p>
    <w:p w14:paraId="33F100F7" w14:textId="77777777" w:rsidR="00813510" w:rsidRDefault="00813510"/>
    <w:p w14:paraId="13F72D60" w14:textId="77777777" w:rsidR="00813510" w:rsidRDefault="00813510"/>
    <w:p w14:paraId="36DF5197" w14:textId="77777777" w:rsidR="00813510" w:rsidRDefault="00813510"/>
    <w:p w14:paraId="1D9DF119" w14:textId="77777777" w:rsidR="00813510" w:rsidRDefault="00813510"/>
    <w:p w14:paraId="0E7505EA" w14:textId="77777777" w:rsidR="00813510" w:rsidRDefault="00813510"/>
    <w:p w14:paraId="0CF27E69" w14:textId="77777777" w:rsidR="00813510" w:rsidRDefault="00813510"/>
    <w:p w14:paraId="61D3959F" w14:textId="77777777" w:rsidR="00813510" w:rsidRDefault="00813510"/>
    <w:p w14:paraId="18683A11" w14:textId="0DCD3EE5" w:rsidR="00813510" w:rsidRPr="00813510" w:rsidRDefault="00813510" w:rsidP="00813510">
      <w:pPr>
        <w:jc w:val="center"/>
        <w:rPr>
          <w:rFonts w:ascii="Arial" w:hAnsi="Arial" w:cs="Arial"/>
          <w:sz w:val="24"/>
          <w:szCs w:val="24"/>
        </w:rPr>
      </w:pPr>
      <w:r w:rsidRPr="00813510">
        <w:rPr>
          <w:rFonts w:ascii="Arial" w:hAnsi="Arial" w:cs="Arial"/>
          <w:sz w:val="24"/>
          <w:szCs w:val="24"/>
        </w:rPr>
        <w:t>Word count:</w:t>
      </w:r>
      <w:r w:rsidR="00EA7694">
        <w:rPr>
          <w:rFonts w:ascii="Arial" w:hAnsi="Arial" w:cs="Arial"/>
          <w:sz w:val="24"/>
          <w:szCs w:val="24"/>
        </w:rPr>
        <w:t xml:space="preserve"> 2035</w:t>
      </w:r>
    </w:p>
    <w:p w14:paraId="41AEC0D5" w14:textId="77777777" w:rsidR="00466B85" w:rsidRDefault="00466B85"/>
    <w:p w14:paraId="76A81A36" w14:textId="77777777" w:rsidR="00466B85" w:rsidRDefault="00466B85"/>
    <w:p w14:paraId="3AB699C5" w14:textId="77777777" w:rsidR="00466B85" w:rsidRDefault="00466B85"/>
    <w:p w14:paraId="50504996" w14:textId="77777777" w:rsidR="00466B85" w:rsidRDefault="00466B85"/>
    <w:p w14:paraId="016F4264" w14:textId="77777777" w:rsidR="00466B85" w:rsidRDefault="00466B85"/>
    <w:p w14:paraId="1268B417" w14:textId="77777777" w:rsidR="00466B85" w:rsidRDefault="00466B85"/>
    <w:p w14:paraId="633E2B00" w14:textId="77777777" w:rsidR="00466B85" w:rsidRDefault="00466B85"/>
    <w:p w14:paraId="4142D7BF" w14:textId="77777777" w:rsidR="00466B85" w:rsidRDefault="00466B85"/>
    <w:p w14:paraId="08146145" w14:textId="77777777" w:rsidR="00466B85" w:rsidRPr="00466B85" w:rsidRDefault="00466B85" w:rsidP="00466B85">
      <w:pPr>
        <w:spacing w:line="360" w:lineRule="auto"/>
        <w:jc w:val="both"/>
        <w:rPr>
          <w:rFonts w:ascii="Arial" w:hAnsi="Arial" w:cs="Arial"/>
          <w:sz w:val="24"/>
          <w:szCs w:val="24"/>
        </w:rPr>
      </w:pPr>
    </w:p>
    <w:p w14:paraId="7C600215" w14:textId="0181D543" w:rsidR="00466B85" w:rsidRPr="00EA7694" w:rsidRDefault="00466B85" w:rsidP="00EA7694">
      <w:pPr>
        <w:spacing w:after="0" w:line="360" w:lineRule="auto"/>
        <w:jc w:val="both"/>
        <w:rPr>
          <w:rFonts w:ascii="Arial" w:eastAsia="Times New Roman" w:hAnsi="Arial" w:cs="Arial"/>
          <w:kern w:val="0"/>
          <w:sz w:val="24"/>
          <w:szCs w:val="24"/>
          <w:lang w:eastAsia="en-GB"/>
          <w14:ligatures w14:val="none"/>
        </w:rPr>
      </w:pPr>
      <w:r w:rsidRPr="00466B85">
        <w:rPr>
          <w:rFonts w:ascii="Arial" w:eastAsia="Times New Roman" w:hAnsi="Arial" w:cs="Arial"/>
          <w:kern w:val="0"/>
          <w:sz w:val="24"/>
          <w:szCs w:val="24"/>
          <w:lang w:eastAsia="en-GB"/>
          <w14:ligatures w14:val="none"/>
        </w:rPr>
        <w:t>Corporate Social Responsibility  in the hospitality business is a critical foundation for organisations to address the environmental, social, and economic implications of their activities. This article investigates the role of CSR in fostering sustainability in the industry, focusing on how efforts may considerably improve ethical behaviours, operational efficiency, and regulatory compliance. In this context, CSR is defined as enterprises' voluntary commitment to go above and beyond the minimal legal obligations and actively contribute to the well-being of their stakeholders and the environment (Sloan, Legrand, and Chen, 2017). Sustainability is widely recognised in the business via the lens of the 'triple bottom line,' a structure that divides attention into three key pillars: economic viability, social equality, and environmental preservation (Elkington, 199</w:t>
      </w:r>
      <w:r w:rsidR="00233473" w:rsidRPr="00EA7694">
        <w:rPr>
          <w:rFonts w:ascii="Arial" w:eastAsia="Times New Roman" w:hAnsi="Arial" w:cs="Arial"/>
          <w:kern w:val="0"/>
          <w:sz w:val="24"/>
          <w:szCs w:val="24"/>
          <w:lang w:eastAsia="en-GB"/>
          <w14:ligatures w14:val="none"/>
        </w:rPr>
        <w:t>9</w:t>
      </w:r>
      <w:r w:rsidRPr="00466B85">
        <w:rPr>
          <w:rFonts w:ascii="Arial" w:eastAsia="Times New Roman" w:hAnsi="Arial" w:cs="Arial"/>
          <w:kern w:val="0"/>
          <w:sz w:val="24"/>
          <w:szCs w:val="24"/>
          <w:lang w:eastAsia="en-GB"/>
          <w14:ligatures w14:val="none"/>
        </w:rPr>
        <w:t>). This strategy emphasises not just profitability, but also the significance of ethical operations and environmental stewardship, which is closely aligned with the larger aims of sustainable development. This article intends to examine the impact of Hilton Hotels' CSR efforts on the triple bottom line, as well as highlight the problems and possibilities that arise from adopting comprehensive CSR practices in the hospitality sector.</w:t>
      </w:r>
    </w:p>
    <w:p w14:paraId="7661CA74" w14:textId="77777777" w:rsidR="00EA7694" w:rsidRDefault="00EA7694" w:rsidP="00EA7694">
      <w:pPr>
        <w:spacing w:line="360" w:lineRule="auto"/>
        <w:jc w:val="both"/>
        <w:rPr>
          <w:rFonts w:ascii="Arial" w:eastAsia="Times New Roman" w:hAnsi="Arial" w:cs="Arial"/>
          <w:kern w:val="0"/>
          <w:sz w:val="24"/>
          <w:szCs w:val="24"/>
          <w:lang w:eastAsia="en-GB"/>
          <w14:ligatures w14:val="none"/>
        </w:rPr>
      </w:pPr>
    </w:p>
    <w:p w14:paraId="1CEF1DA1" w14:textId="04ACDB32" w:rsidR="00466B85" w:rsidRPr="00EA7694" w:rsidRDefault="00466B85" w:rsidP="00EA7694">
      <w:pPr>
        <w:spacing w:line="360" w:lineRule="auto"/>
        <w:jc w:val="both"/>
        <w:rPr>
          <w:rFonts w:ascii="Arial" w:eastAsia="Times New Roman" w:hAnsi="Arial" w:cs="Arial"/>
          <w:kern w:val="0"/>
          <w:sz w:val="24"/>
          <w:szCs w:val="24"/>
          <w:lang w:eastAsia="en-GB"/>
          <w14:ligatures w14:val="none"/>
        </w:rPr>
      </w:pPr>
      <w:r w:rsidRPr="00466B85">
        <w:rPr>
          <w:rFonts w:ascii="Arial" w:eastAsia="Times New Roman" w:hAnsi="Arial" w:cs="Arial"/>
          <w:kern w:val="0"/>
          <w:sz w:val="24"/>
          <w:szCs w:val="24"/>
          <w:lang w:eastAsia="en-GB"/>
          <w14:ligatures w14:val="none"/>
        </w:rPr>
        <w:t>The concepts of sustainability in the business sector are typically conceptualised using the triple bottom line paradigm, which includes economic, environmental, and social components. This notion, established by John Elkington in 1994, encourages businesses to expand their responsibilities beyond conventional economics to encompass social and environmental implications (Elkington, 199</w:t>
      </w:r>
      <w:r w:rsidR="00233473" w:rsidRPr="00EA7694">
        <w:rPr>
          <w:rFonts w:ascii="Arial" w:eastAsia="Times New Roman" w:hAnsi="Arial" w:cs="Arial"/>
          <w:kern w:val="0"/>
          <w:sz w:val="24"/>
          <w:szCs w:val="24"/>
          <w:lang w:eastAsia="en-GB"/>
          <w14:ligatures w14:val="none"/>
        </w:rPr>
        <w:t>9</w:t>
      </w:r>
      <w:r w:rsidRPr="00466B85">
        <w:rPr>
          <w:rFonts w:ascii="Arial" w:eastAsia="Times New Roman" w:hAnsi="Arial" w:cs="Arial"/>
          <w:kern w:val="0"/>
          <w:sz w:val="24"/>
          <w:szCs w:val="24"/>
          <w:lang w:eastAsia="en-GB"/>
          <w14:ligatures w14:val="none"/>
        </w:rPr>
        <w:t>). Economically, sustainable practices guarantee that a firm remains profitable while also promoting economic progress and customer well-being. Environmentally, it emphasises the necessity of lowering ecological footprints via resource management and waste reduction</w:t>
      </w:r>
      <w:r w:rsidR="00233473" w:rsidRPr="00EA7694">
        <w:rPr>
          <w:rFonts w:ascii="Arial" w:eastAsia="Times New Roman" w:hAnsi="Arial" w:cs="Arial"/>
          <w:kern w:val="0"/>
          <w:sz w:val="24"/>
          <w:szCs w:val="24"/>
          <w:lang w:eastAsia="en-GB"/>
          <w14:ligatures w14:val="none"/>
        </w:rPr>
        <w:t xml:space="preserve"> </w:t>
      </w:r>
      <w:r w:rsidR="00233473" w:rsidRPr="00EA7694">
        <w:rPr>
          <w:rFonts w:ascii="Arial" w:hAnsi="Arial" w:cs="Arial"/>
          <w:sz w:val="24"/>
          <w:szCs w:val="24"/>
          <w:shd w:val="clear" w:color="auto" w:fill="FFFFFF"/>
        </w:rPr>
        <w:t> (</w:t>
      </w:r>
      <w:proofErr w:type="spellStart"/>
      <w:r w:rsidR="00233473" w:rsidRPr="00EA7694">
        <w:rPr>
          <w:rFonts w:ascii="Arial" w:hAnsi="Arial" w:cs="Arial"/>
          <w:sz w:val="24"/>
          <w:szCs w:val="24"/>
          <w:shd w:val="clear" w:color="auto" w:fill="FFFFFF"/>
        </w:rPr>
        <w:t>Loviscek</w:t>
      </w:r>
      <w:proofErr w:type="spellEnd"/>
      <w:r w:rsidR="00233473" w:rsidRPr="00EA7694">
        <w:rPr>
          <w:rFonts w:ascii="Arial" w:hAnsi="Arial" w:cs="Arial"/>
          <w:sz w:val="24"/>
          <w:szCs w:val="24"/>
          <w:shd w:val="clear" w:color="auto" w:fill="FFFFFF"/>
        </w:rPr>
        <w:t xml:space="preserve">, 2021). </w:t>
      </w:r>
      <w:r w:rsidRPr="00466B85">
        <w:rPr>
          <w:rFonts w:ascii="Arial" w:eastAsia="Times New Roman" w:hAnsi="Arial" w:cs="Arial"/>
          <w:kern w:val="0"/>
          <w:sz w:val="24"/>
          <w:szCs w:val="24"/>
          <w:lang w:eastAsia="en-GB"/>
          <w14:ligatures w14:val="none"/>
        </w:rPr>
        <w:t>Social sustainability requires organisations to operate in an ethical, transparent, and societally useful manner, which includes fair labour practices, community participation, and constructively contributing to communal concerns.</w:t>
      </w:r>
      <w:r w:rsidRPr="00EA7694">
        <w:rPr>
          <w:rFonts w:ascii="Arial" w:eastAsia="Times New Roman" w:hAnsi="Arial" w:cs="Arial"/>
          <w:kern w:val="0"/>
          <w:sz w:val="24"/>
          <w:szCs w:val="24"/>
          <w:lang w:eastAsia="en-GB"/>
          <w14:ligatures w14:val="none"/>
        </w:rPr>
        <w:t xml:space="preserve"> </w:t>
      </w:r>
      <w:r w:rsidRPr="00466B85">
        <w:rPr>
          <w:rFonts w:ascii="Arial" w:eastAsia="Times New Roman" w:hAnsi="Arial" w:cs="Arial"/>
          <w:kern w:val="0"/>
          <w:sz w:val="24"/>
          <w:szCs w:val="24"/>
          <w:lang w:eastAsia="en-GB"/>
          <w14:ligatures w14:val="none"/>
        </w:rPr>
        <w:t>Each of these pillars is interrelated; success in one area often reinforces or improves performance in others</w:t>
      </w:r>
      <w:r w:rsidR="00233473" w:rsidRPr="00EA7694">
        <w:rPr>
          <w:rFonts w:ascii="Arial" w:eastAsia="Times New Roman" w:hAnsi="Arial" w:cs="Arial"/>
          <w:kern w:val="0"/>
          <w:sz w:val="24"/>
          <w:szCs w:val="24"/>
          <w:lang w:eastAsia="en-GB"/>
          <w14:ligatures w14:val="none"/>
        </w:rPr>
        <w:t xml:space="preserve"> </w:t>
      </w:r>
      <w:r w:rsidR="00233473" w:rsidRPr="00EA7694">
        <w:rPr>
          <w:rFonts w:ascii="Arial" w:hAnsi="Arial" w:cs="Arial"/>
          <w:sz w:val="24"/>
          <w:szCs w:val="24"/>
          <w:shd w:val="clear" w:color="auto" w:fill="FFFFFF"/>
        </w:rPr>
        <w:t> (O’Neil, 2017).</w:t>
      </w:r>
      <w:r w:rsidRPr="00466B85">
        <w:rPr>
          <w:rFonts w:ascii="Arial" w:eastAsia="Times New Roman" w:hAnsi="Arial" w:cs="Arial"/>
          <w:kern w:val="0"/>
          <w:sz w:val="24"/>
          <w:szCs w:val="24"/>
          <w:lang w:eastAsia="en-GB"/>
          <w14:ligatures w14:val="none"/>
        </w:rPr>
        <w:t xml:space="preserve"> For example, ecologically friendly practices may result in cost savings and innovation, improving economic performance </w:t>
      </w:r>
      <w:r w:rsidRPr="00466B85">
        <w:rPr>
          <w:rFonts w:ascii="Arial" w:eastAsia="Times New Roman" w:hAnsi="Arial" w:cs="Arial"/>
          <w:kern w:val="0"/>
          <w:sz w:val="24"/>
          <w:szCs w:val="24"/>
          <w:lang w:eastAsia="en-GB"/>
          <w14:ligatures w14:val="none"/>
        </w:rPr>
        <w:lastRenderedPageBreak/>
        <w:t>while also favourably impacting the company's social licence to operate. The triple bottom line therefore offers a holistic strategy that may guide organisations towards a more sustainable and equitable global system</w:t>
      </w:r>
      <w:r w:rsidR="00151A84" w:rsidRPr="00EA7694">
        <w:rPr>
          <w:rFonts w:ascii="Arial" w:eastAsia="Times New Roman" w:hAnsi="Arial" w:cs="Arial"/>
          <w:kern w:val="0"/>
          <w:sz w:val="24"/>
          <w:szCs w:val="24"/>
          <w:lang w:eastAsia="en-GB"/>
          <w14:ligatures w14:val="none"/>
        </w:rPr>
        <w:t xml:space="preserve"> </w:t>
      </w:r>
      <w:r w:rsidR="00151A84" w:rsidRPr="00EA7694">
        <w:rPr>
          <w:rFonts w:ascii="Arial" w:hAnsi="Arial" w:cs="Arial"/>
          <w:sz w:val="24"/>
          <w:szCs w:val="24"/>
          <w:shd w:val="clear" w:color="auto" w:fill="FFFFFF"/>
        </w:rPr>
        <w:t>(</w:t>
      </w:r>
      <w:proofErr w:type="spellStart"/>
      <w:r w:rsidR="00151A84" w:rsidRPr="00EA7694">
        <w:rPr>
          <w:rFonts w:ascii="Arial" w:hAnsi="Arial" w:cs="Arial"/>
          <w:sz w:val="24"/>
          <w:szCs w:val="24"/>
          <w:shd w:val="clear" w:color="auto" w:fill="FFFFFF"/>
        </w:rPr>
        <w:t>Nogueira</w:t>
      </w:r>
      <w:proofErr w:type="spellEnd"/>
      <w:r w:rsidR="00151A84" w:rsidRPr="00EA7694">
        <w:rPr>
          <w:rFonts w:ascii="Arial" w:hAnsi="Arial" w:cs="Arial"/>
          <w:sz w:val="24"/>
          <w:szCs w:val="24"/>
          <w:shd w:val="clear" w:color="auto" w:fill="FFFFFF"/>
        </w:rPr>
        <w:t xml:space="preserve">, Gomes and Lopes, 2023). </w:t>
      </w:r>
      <w:r w:rsidRPr="00466B85">
        <w:rPr>
          <w:rFonts w:ascii="Arial" w:eastAsia="Times New Roman" w:hAnsi="Arial" w:cs="Arial"/>
          <w:kern w:val="0"/>
          <w:sz w:val="24"/>
          <w:szCs w:val="24"/>
          <w:lang w:eastAsia="en-GB"/>
          <w14:ligatures w14:val="none"/>
        </w:rPr>
        <w:t>This comprehensive perspective of sustainability is critical for long-term company performance and is increasingly recognised as a component of strategic decision-making in forward-thinking firms throughout the globe</w:t>
      </w:r>
      <w:r w:rsidR="00151A84" w:rsidRPr="00EA7694">
        <w:rPr>
          <w:rFonts w:ascii="Arial" w:eastAsia="Times New Roman" w:hAnsi="Arial" w:cs="Arial"/>
          <w:kern w:val="0"/>
          <w:sz w:val="24"/>
          <w:szCs w:val="24"/>
          <w:lang w:eastAsia="en-GB"/>
          <w14:ligatures w14:val="none"/>
        </w:rPr>
        <w:t xml:space="preserve"> (</w:t>
      </w:r>
      <w:proofErr w:type="spellStart"/>
      <w:r w:rsidR="00151A84" w:rsidRPr="00EA7694">
        <w:rPr>
          <w:rFonts w:ascii="Arial" w:eastAsia="Times New Roman" w:hAnsi="Arial" w:cs="Arial"/>
          <w:kern w:val="0"/>
          <w:sz w:val="24"/>
          <w:szCs w:val="24"/>
          <w:lang w:eastAsia="en-GB"/>
          <w14:ligatures w14:val="none"/>
        </w:rPr>
        <w:t>Edgell</w:t>
      </w:r>
      <w:proofErr w:type="spellEnd"/>
      <w:r w:rsidR="00151A84" w:rsidRPr="00EA7694">
        <w:rPr>
          <w:rFonts w:ascii="Arial" w:eastAsia="Times New Roman" w:hAnsi="Arial" w:cs="Arial"/>
          <w:kern w:val="0"/>
          <w:sz w:val="24"/>
          <w:szCs w:val="24"/>
          <w:lang w:eastAsia="en-GB"/>
          <w14:ligatures w14:val="none"/>
        </w:rPr>
        <w:t xml:space="preserve">, 2020). </w:t>
      </w:r>
      <w:r w:rsidRPr="00EA7694">
        <w:rPr>
          <w:rFonts w:ascii="Arial" w:eastAsia="Times New Roman" w:hAnsi="Arial" w:cs="Arial"/>
          <w:kern w:val="0"/>
          <w:sz w:val="24"/>
          <w:szCs w:val="24"/>
          <w:lang w:eastAsia="en-GB"/>
          <w14:ligatures w14:val="none"/>
        </w:rPr>
        <w:t>Hilton Hotels has aggressively embraced the ideas of sustainability via its "Travel with Purpose" approach, which is consistent with the triple bottom line framework that includes economic, environmental, and social sustainability. This holistic strategy demonstrates Hilton's dedication to operational efficiency, environmental stewardship, and social responsibility, successfully bridging the gap between corporate sustainability goals and practical execution. Moreover, Hilton promotes responsible sourcing and sustainable buying. For example, they prioritise relationships that promote economic development and sustainability in their supply chain, emphasising both local sourcing and diversity (Hilton, 2022). At the same time, Hilton's aim to dramatically decrease energy usage, water use, and trash generation by 2030 provides strong support for this pillar. Specifically, they intend to reduce controlled emissions intensity by 75% and water usage intensity by 50% throughout their worldwide operations (Hilton, 202</w:t>
      </w:r>
      <w:r w:rsidR="00151A84" w:rsidRPr="00EA7694">
        <w:rPr>
          <w:rFonts w:ascii="Arial" w:eastAsia="Times New Roman" w:hAnsi="Arial" w:cs="Arial"/>
          <w:kern w:val="0"/>
          <w:sz w:val="24"/>
          <w:szCs w:val="24"/>
          <w:lang w:eastAsia="en-GB"/>
          <w14:ligatures w14:val="none"/>
        </w:rPr>
        <w:t>4</w:t>
      </w:r>
      <w:r w:rsidRPr="00EA7694">
        <w:rPr>
          <w:rFonts w:ascii="Arial" w:eastAsia="Times New Roman" w:hAnsi="Arial" w:cs="Arial"/>
          <w:kern w:val="0"/>
          <w:sz w:val="24"/>
          <w:szCs w:val="24"/>
          <w:lang w:eastAsia="en-GB"/>
          <w14:ligatures w14:val="none"/>
        </w:rPr>
        <w:t>). Furthermore, Hilton works towards a net-zero future by incorporating sustainable practices across its value chain, from building design to everyday operations. Lastly, Hilton is dedicated to fostering a diverse and inclusive workplace. This includes goals such as reaching 50% gender diversity and 25% ethnic diversity in leadership positions by 2027. Furthermore, its policies include increased community participation and assistance, displaying a strong commitment to social equality and community welfare (Hilton, 2022).</w:t>
      </w:r>
    </w:p>
    <w:p w14:paraId="12FBFA83" w14:textId="01DBA055" w:rsidR="0017054D" w:rsidRPr="00EA7694" w:rsidRDefault="0017054D" w:rsidP="00EA7694">
      <w:pPr>
        <w:spacing w:after="0" w:line="360" w:lineRule="auto"/>
        <w:jc w:val="both"/>
        <w:rPr>
          <w:rFonts w:ascii="Arial" w:eastAsia="Times New Roman" w:hAnsi="Arial" w:cs="Arial"/>
          <w:kern w:val="0"/>
          <w:sz w:val="24"/>
          <w:szCs w:val="24"/>
          <w:lang w:eastAsia="en-GB"/>
          <w14:ligatures w14:val="none"/>
        </w:rPr>
      </w:pPr>
      <w:r w:rsidRPr="0017054D">
        <w:rPr>
          <w:rFonts w:ascii="Arial" w:eastAsia="Times New Roman" w:hAnsi="Arial" w:cs="Arial"/>
          <w:kern w:val="0"/>
          <w:sz w:val="24"/>
          <w:szCs w:val="24"/>
          <w:lang w:eastAsia="en-GB"/>
          <w14:ligatures w14:val="none"/>
        </w:rPr>
        <w:t>Hilton's Corporate Social Responsibility activities have a substantial impact on the economic, social, and environmental aspects of sustainability. These advantages are interrelated, with one supporting the other within the broader framework of the triple bottom line, which Hilton actively supports via its numerous CSR initiatives</w:t>
      </w:r>
      <w:r w:rsidR="00151A84" w:rsidRPr="00EA7694">
        <w:rPr>
          <w:rFonts w:ascii="Arial" w:eastAsia="Times New Roman" w:hAnsi="Arial" w:cs="Arial"/>
          <w:kern w:val="0"/>
          <w:sz w:val="24"/>
          <w:szCs w:val="24"/>
          <w:lang w:eastAsia="en-GB"/>
          <w14:ligatures w14:val="none"/>
        </w:rPr>
        <w:t xml:space="preserve"> </w:t>
      </w:r>
      <w:r w:rsidR="00151A84" w:rsidRPr="00EA7694">
        <w:rPr>
          <w:rFonts w:ascii="Arial" w:hAnsi="Arial" w:cs="Arial"/>
          <w:sz w:val="24"/>
          <w:szCs w:val="24"/>
          <w:shd w:val="clear" w:color="auto" w:fill="FFFFFF"/>
        </w:rPr>
        <w:t>(</w:t>
      </w:r>
      <w:proofErr w:type="spellStart"/>
      <w:r w:rsidR="00151A84" w:rsidRPr="00EA7694">
        <w:rPr>
          <w:rFonts w:ascii="Arial" w:hAnsi="Arial" w:cs="Arial"/>
          <w:sz w:val="24"/>
          <w:szCs w:val="24"/>
          <w:shd w:val="clear" w:color="auto" w:fill="FFFFFF"/>
        </w:rPr>
        <w:t>Zientara</w:t>
      </w:r>
      <w:proofErr w:type="spellEnd"/>
      <w:r w:rsidR="00151A84" w:rsidRPr="00EA7694">
        <w:rPr>
          <w:rFonts w:ascii="Arial" w:hAnsi="Arial" w:cs="Arial"/>
          <w:sz w:val="24"/>
          <w:szCs w:val="24"/>
          <w:shd w:val="clear" w:color="auto" w:fill="FFFFFF"/>
        </w:rPr>
        <w:t xml:space="preserve"> et al., 2020).</w:t>
      </w:r>
      <w:r w:rsidRPr="0017054D">
        <w:rPr>
          <w:rFonts w:ascii="Arial" w:eastAsia="Times New Roman" w:hAnsi="Arial" w:cs="Arial"/>
          <w:kern w:val="0"/>
          <w:sz w:val="24"/>
          <w:szCs w:val="24"/>
          <w:lang w:eastAsia="en-GB"/>
          <w14:ligatures w14:val="none"/>
        </w:rPr>
        <w:t xml:space="preserve"> Hilton's CSR initiatives boost operational efficiency and competitiveness. By using energy-efficient equipment and reducing waste, Hilton not only reduces operational costs but also positions itself as a sustainable alternative for environmentally conscious clients, increasing market share. For example, Hilton's </w:t>
      </w:r>
      <w:r w:rsidRPr="0017054D">
        <w:rPr>
          <w:rFonts w:ascii="Arial" w:eastAsia="Times New Roman" w:hAnsi="Arial" w:cs="Arial"/>
          <w:kern w:val="0"/>
          <w:sz w:val="24"/>
          <w:szCs w:val="24"/>
          <w:lang w:eastAsia="en-GB"/>
          <w14:ligatures w14:val="none"/>
        </w:rPr>
        <w:lastRenderedPageBreak/>
        <w:t>commitment to reducing energy use not only saves money, but also minimises energy price volatility, allowing for more reliable financial planning (Hilton, 2022). Furthermore, Hilton's sourcing practices, which prioritise local procurement and supplier diversity, benefit local economies and have a broader economic impact than their direct activities. Hilton's social impact initiatives aim to increase workforce diversity and community involvement. Their objective of increasing gender and ethnic diversity in leadership by 2027 displays a commitment to equitable workplace practices, which may promote employee satisfaction and retention</w:t>
      </w:r>
      <w:r w:rsidR="00151A84" w:rsidRPr="00EA7694">
        <w:rPr>
          <w:rFonts w:ascii="Arial" w:eastAsia="Times New Roman" w:hAnsi="Arial" w:cs="Arial"/>
          <w:kern w:val="0"/>
          <w:sz w:val="24"/>
          <w:szCs w:val="24"/>
          <w:lang w:eastAsia="en-GB"/>
          <w14:ligatures w14:val="none"/>
        </w:rPr>
        <w:t xml:space="preserve"> (Hilton, n.d.).</w:t>
      </w:r>
      <w:r w:rsidRPr="0017054D">
        <w:rPr>
          <w:rFonts w:ascii="Arial" w:eastAsia="Times New Roman" w:hAnsi="Arial" w:cs="Arial"/>
          <w:kern w:val="0"/>
          <w:sz w:val="24"/>
          <w:szCs w:val="24"/>
          <w:lang w:eastAsia="en-GB"/>
          <w14:ligatures w14:val="none"/>
        </w:rPr>
        <w:t xml:space="preserve"> Hilton's community-oriented projects, such as employment opportunities for underrepresented groups and extensive volunteer work, help to build community connections and the company's social licence to operate. These activities not only improve social well-being, but also boost Hilton's brand, making it a desirable employer and partner (Hilton, 2022).</w:t>
      </w:r>
      <w:r w:rsidR="00151A84" w:rsidRPr="00EA7694">
        <w:rPr>
          <w:rFonts w:ascii="Arial" w:eastAsia="Times New Roman" w:hAnsi="Arial" w:cs="Arial"/>
          <w:kern w:val="0"/>
          <w:sz w:val="24"/>
          <w:szCs w:val="24"/>
          <w:lang w:eastAsia="en-GB"/>
          <w14:ligatures w14:val="none"/>
        </w:rPr>
        <w:t xml:space="preserve"> Additionally, </w:t>
      </w:r>
      <w:r w:rsidRPr="0017054D">
        <w:rPr>
          <w:rFonts w:ascii="Arial" w:eastAsia="Times New Roman" w:hAnsi="Arial" w:cs="Arial"/>
          <w:kern w:val="0"/>
          <w:sz w:val="24"/>
          <w:szCs w:val="24"/>
          <w:lang w:eastAsia="en-GB"/>
          <w14:ligatures w14:val="none"/>
        </w:rPr>
        <w:t xml:space="preserve"> Hilton's aim to drastically cut carbon emissions, water consumption, and trash creation by 2030 indicates their dedication to long-term environmental management. The LightStay system, which tracks and analyses performance across key parameters, ensures that Hilton's environmental goals are continuously monitored and met</w:t>
      </w:r>
      <w:r w:rsidR="00151A84" w:rsidRPr="00EA7694">
        <w:rPr>
          <w:rFonts w:ascii="Arial" w:eastAsia="Times New Roman" w:hAnsi="Arial" w:cs="Arial"/>
          <w:kern w:val="0"/>
          <w:sz w:val="24"/>
          <w:szCs w:val="24"/>
          <w:lang w:eastAsia="en-GB"/>
          <w14:ligatures w14:val="none"/>
        </w:rPr>
        <w:t xml:space="preserve"> (Hilton, 2023).</w:t>
      </w:r>
      <w:r w:rsidRPr="0017054D">
        <w:rPr>
          <w:rFonts w:ascii="Arial" w:eastAsia="Times New Roman" w:hAnsi="Arial" w:cs="Arial"/>
          <w:kern w:val="0"/>
          <w:sz w:val="24"/>
          <w:szCs w:val="24"/>
          <w:lang w:eastAsia="en-GB"/>
          <w14:ligatures w14:val="none"/>
        </w:rPr>
        <w:t xml:space="preserve"> Such initiatives not only help to avert environmental repercussions, but they also align Hilton with worldwide sustainability standards and legislation, minimising regulatory risks and positioning the company as an environmental stewardship leader</w:t>
      </w:r>
      <w:r w:rsidR="00151A84" w:rsidRPr="00EA7694">
        <w:rPr>
          <w:rFonts w:ascii="Arial" w:eastAsia="Times New Roman" w:hAnsi="Arial" w:cs="Arial"/>
          <w:kern w:val="0"/>
          <w:sz w:val="24"/>
          <w:szCs w:val="24"/>
          <w:lang w:eastAsia="en-GB"/>
          <w14:ligatures w14:val="none"/>
        </w:rPr>
        <w:t xml:space="preserve"> (Costa and Costa, 2022).</w:t>
      </w:r>
      <w:r w:rsidRPr="0017054D">
        <w:rPr>
          <w:rFonts w:ascii="Arial" w:eastAsia="Times New Roman" w:hAnsi="Arial" w:cs="Arial"/>
          <w:kern w:val="0"/>
          <w:sz w:val="24"/>
          <w:szCs w:val="24"/>
          <w:lang w:eastAsia="en-GB"/>
          <w14:ligatures w14:val="none"/>
        </w:rPr>
        <w:t xml:space="preserve"> </w:t>
      </w:r>
      <w:r w:rsidRPr="00EA7694">
        <w:rPr>
          <w:rFonts w:ascii="Arial" w:eastAsia="Times New Roman" w:hAnsi="Arial" w:cs="Arial"/>
          <w:kern w:val="0"/>
          <w:sz w:val="24"/>
          <w:szCs w:val="24"/>
          <w:lang w:eastAsia="en-GB"/>
          <w14:ligatures w14:val="none"/>
        </w:rPr>
        <w:t>On the other hand, t</w:t>
      </w:r>
      <w:r w:rsidRPr="0017054D">
        <w:rPr>
          <w:rFonts w:ascii="Arial" w:eastAsia="Times New Roman" w:hAnsi="Arial" w:cs="Arial"/>
          <w:kern w:val="0"/>
          <w:sz w:val="24"/>
          <w:szCs w:val="24"/>
          <w:lang w:eastAsia="en-GB"/>
          <w14:ligatures w14:val="none"/>
        </w:rPr>
        <w:t>he shift from a linear to a circular economy model opens up new opportunities for Hilton to boost its sustainability efforts. Unlike the linear model's "take-make-dispose" approach, the circular economy focuses on extending the life of resources, extracting maximum value while in use, and recovering and regenerating items and materials at the end of their service life</w:t>
      </w:r>
      <w:r w:rsidR="00151A84" w:rsidRPr="00EA7694">
        <w:rPr>
          <w:rFonts w:ascii="Arial" w:eastAsia="Times New Roman" w:hAnsi="Arial" w:cs="Arial"/>
          <w:kern w:val="0"/>
          <w:sz w:val="24"/>
          <w:szCs w:val="24"/>
          <w:lang w:eastAsia="en-GB"/>
          <w14:ligatures w14:val="none"/>
        </w:rPr>
        <w:t xml:space="preserve"> (</w:t>
      </w:r>
      <w:proofErr w:type="spellStart"/>
      <w:r w:rsidR="00151A84" w:rsidRPr="00EA7694">
        <w:rPr>
          <w:rFonts w:ascii="Arial" w:hAnsi="Arial" w:cs="Arial"/>
          <w:sz w:val="24"/>
          <w:szCs w:val="24"/>
        </w:rPr>
        <w:t>Haski-Leventhal</w:t>
      </w:r>
      <w:proofErr w:type="spellEnd"/>
      <w:r w:rsidR="00151A84" w:rsidRPr="00EA7694">
        <w:rPr>
          <w:rFonts w:ascii="Arial" w:hAnsi="Arial" w:cs="Arial"/>
          <w:sz w:val="24"/>
          <w:szCs w:val="24"/>
        </w:rPr>
        <w:t>, 2018).</w:t>
      </w:r>
      <w:r w:rsidRPr="0017054D">
        <w:rPr>
          <w:rFonts w:ascii="Arial" w:eastAsia="Times New Roman" w:hAnsi="Arial" w:cs="Arial"/>
          <w:kern w:val="0"/>
          <w:sz w:val="24"/>
          <w:szCs w:val="24"/>
          <w:lang w:eastAsia="en-GB"/>
          <w14:ligatures w14:val="none"/>
        </w:rPr>
        <w:t xml:space="preserve"> Hilton's efforts in this area are shown in its rubbish management practices. For example, their soap recycling project not only diverts rubbish from landfills but also provides essential hygiene supplies to impoverished communities, so encouraging a regenerative cycle. Furthermore, efforts such as using digital key technology minimise the need for physical key cards, reducing resource consumption and waste (Hilton, 2022).</w:t>
      </w:r>
    </w:p>
    <w:p w14:paraId="72655973" w14:textId="77777777" w:rsidR="0017054D" w:rsidRPr="00EA7694" w:rsidRDefault="0017054D" w:rsidP="00EA7694">
      <w:pPr>
        <w:spacing w:after="0" w:line="360" w:lineRule="auto"/>
        <w:jc w:val="both"/>
        <w:rPr>
          <w:rFonts w:ascii="Arial" w:eastAsia="Times New Roman" w:hAnsi="Arial" w:cs="Arial"/>
          <w:kern w:val="0"/>
          <w:sz w:val="24"/>
          <w:szCs w:val="24"/>
          <w:lang w:eastAsia="en-GB"/>
          <w14:ligatures w14:val="none"/>
        </w:rPr>
      </w:pPr>
    </w:p>
    <w:p w14:paraId="19896233" w14:textId="2E8C31D9" w:rsidR="0017054D" w:rsidRPr="00EA7694" w:rsidRDefault="0017054D" w:rsidP="00EA7694">
      <w:pPr>
        <w:spacing w:after="0" w:line="360" w:lineRule="auto"/>
        <w:jc w:val="both"/>
        <w:rPr>
          <w:rFonts w:ascii="Arial" w:eastAsia="Times New Roman" w:hAnsi="Arial" w:cs="Arial"/>
          <w:kern w:val="0"/>
          <w:sz w:val="24"/>
          <w:szCs w:val="24"/>
          <w:lang w:eastAsia="en-GB"/>
          <w14:ligatures w14:val="none"/>
        </w:rPr>
      </w:pPr>
      <w:r w:rsidRPr="0017054D">
        <w:rPr>
          <w:rFonts w:ascii="Arial" w:eastAsia="Times New Roman" w:hAnsi="Arial" w:cs="Arial"/>
          <w:kern w:val="0"/>
          <w:sz w:val="24"/>
          <w:szCs w:val="24"/>
          <w:lang w:eastAsia="en-GB"/>
          <w14:ligatures w14:val="none"/>
        </w:rPr>
        <w:t>Corporate Social Responsibility provides several options that may greatly benefit the hotel business, notably in terms of improving brand image, increasing customer loyalty, and guaranteeing regulatory compliance</w:t>
      </w:r>
      <w:r w:rsidR="007A5836" w:rsidRPr="00EA7694">
        <w:rPr>
          <w:rFonts w:ascii="Arial" w:eastAsia="Times New Roman" w:hAnsi="Arial" w:cs="Arial"/>
          <w:kern w:val="0"/>
          <w:sz w:val="24"/>
          <w:szCs w:val="24"/>
          <w:lang w:eastAsia="en-GB"/>
          <w14:ligatures w14:val="none"/>
        </w:rPr>
        <w:t xml:space="preserve"> (Cooper, 2021).</w:t>
      </w:r>
      <w:r w:rsidRPr="0017054D">
        <w:rPr>
          <w:rFonts w:ascii="Arial" w:eastAsia="Times New Roman" w:hAnsi="Arial" w:cs="Arial"/>
          <w:kern w:val="0"/>
          <w:sz w:val="24"/>
          <w:szCs w:val="24"/>
          <w:lang w:eastAsia="en-GB"/>
          <w14:ligatures w14:val="none"/>
        </w:rPr>
        <w:t xml:space="preserve"> An successful CSR </w:t>
      </w:r>
      <w:r w:rsidRPr="0017054D">
        <w:rPr>
          <w:rFonts w:ascii="Arial" w:eastAsia="Times New Roman" w:hAnsi="Arial" w:cs="Arial"/>
          <w:kern w:val="0"/>
          <w:sz w:val="24"/>
          <w:szCs w:val="24"/>
          <w:lang w:eastAsia="en-GB"/>
          <w14:ligatures w14:val="none"/>
        </w:rPr>
        <w:lastRenderedPageBreak/>
        <w:t xml:space="preserve">strategy aligns a company's beliefs with its stakeholders, presenting it as responsible and ethical </w:t>
      </w:r>
      <w:r w:rsidR="007A5836" w:rsidRPr="00EA7694">
        <w:rPr>
          <w:rFonts w:ascii="Arial" w:eastAsia="Times New Roman" w:hAnsi="Arial" w:cs="Arial"/>
          <w:kern w:val="0"/>
          <w:sz w:val="24"/>
          <w:szCs w:val="24"/>
          <w:lang w:eastAsia="en-GB"/>
          <w14:ligatures w14:val="none"/>
        </w:rPr>
        <w:t>(</w:t>
      </w:r>
      <w:proofErr w:type="spellStart"/>
      <w:r w:rsidR="007A5836" w:rsidRPr="00EA7694">
        <w:rPr>
          <w:rFonts w:ascii="Arial" w:hAnsi="Arial" w:cs="Arial"/>
          <w:sz w:val="24"/>
          <w:szCs w:val="24"/>
        </w:rPr>
        <w:t>Inkson</w:t>
      </w:r>
      <w:proofErr w:type="spellEnd"/>
      <w:r w:rsidR="007A5836" w:rsidRPr="00EA7694">
        <w:rPr>
          <w:rFonts w:ascii="Arial" w:hAnsi="Arial" w:cs="Arial"/>
          <w:sz w:val="24"/>
          <w:szCs w:val="24"/>
        </w:rPr>
        <w:t xml:space="preserve"> and </w:t>
      </w:r>
      <w:proofErr w:type="spellStart"/>
      <w:r w:rsidR="007A5836" w:rsidRPr="00EA7694">
        <w:rPr>
          <w:rFonts w:ascii="Arial" w:hAnsi="Arial" w:cs="Arial"/>
          <w:sz w:val="24"/>
          <w:szCs w:val="24"/>
        </w:rPr>
        <w:t>Minnaert</w:t>
      </w:r>
      <w:proofErr w:type="spellEnd"/>
      <w:r w:rsidR="007A5836" w:rsidRPr="00EA7694">
        <w:rPr>
          <w:rFonts w:ascii="Arial" w:hAnsi="Arial" w:cs="Arial"/>
          <w:sz w:val="24"/>
          <w:szCs w:val="24"/>
        </w:rPr>
        <w:t xml:space="preserve">, 2018). </w:t>
      </w:r>
      <w:r w:rsidRPr="0017054D">
        <w:rPr>
          <w:rFonts w:ascii="Arial" w:eastAsia="Times New Roman" w:hAnsi="Arial" w:cs="Arial"/>
          <w:kern w:val="0"/>
          <w:sz w:val="24"/>
          <w:szCs w:val="24"/>
          <w:lang w:eastAsia="en-GB"/>
          <w14:ligatures w14:val="none"/>
        </w:rPr>
        <w:t xml:space="preserve">This improved brand impression may attract not just consumers who wish to support firms with high ethical standards, but also top-tier workers and investors who are increasingly choosing companies based on their CSR commitments. Companies that participate in real CSR initiatives have a higher level of consumer loyalty. According to </w:t>
      </w:r>
      <w:proofErr w:type="spellStart"/>
      <w:r w:rsidR="007A5836" w:rsidRPr="00EA7694">
        <w:rPr>
          <w:rFonts w:ascii="Arial" w:eastAsia="Times New Roman" w:hAnsi="Arial" w:cs="Arial"/>
          <w:kern w:val="0"/>
          <w:sz w:val="24"/>
          <w:szCs w:val="24"/>
          <w:lang w:eastAsia="en-GB"/>
          <w14:ligatures w14:val="none"/>
        </w:rPr>
        <w:t>Jauhari</w:t>
      </w:r>
      <w:proofErr w:type="spellEnd"/>
      <w:r w:rsidR="007A5836" w:rsidRPr="00EA7694">
        <w:rPr>
          <w:rFonts w:ascii="Arial" w:eastAsia="Times New Roman" w:hAnsi="Arial" w:cs="Arial"/>
          <w:kern w:val="0"/>
          <w:sz w:val="24"/>
          <w:szCs w:val="24"/>
          <w:lang w:eastAsia="en-GB"/>
          <w14:ligatures w14:val="none"/>
        </w:rPr>
        <w:t xml:space="preserve"> (2021)</w:t>
      </w:r>
      <w:r w:rsidRPr="0017054D">
        <w:rPr>
          <w:rFonts w:ascii="Arial" w:eastAsia="Times New Roman" w:hAnsi="Arial" w:cs="Arial"/>
          <w:kern w:val="0"/>
          <w:sz w:val="24"/>
          <w:szCs w:val="24"/>
          <w:lang w:eastAsia="en-GB"/>
          <w14:ligatures w14:val="none"/>
        </w:rPr>
        <w:t>, consumers are more inclined to stick with firms that practise environmental stewardship, social responsibility, and ethical governance</w:t>
      </w:r>
      <w:r w:rsidR="007A5836" w:rsidRPr="00EA7694">
        <w:rPr>
          <w:rFonts w:ascii="Arial" w:eastAsia="Times New Roman" w:hAnsi="Arial" w:cs="Arial"/>
          <w:kern w:val="0"/>
          <w:sz w:val="24"/>
          <w:szCs w:val="24"/>
          <w:lang w:eastAsia="en-GB"/>
          <w14:ligatures w14:val="none"/>
        </w:rPr>
        <w:t xml:space="preserve">. </w:t>
      </w:r>
      <w:r w:rsidRPr="0017054D">
        <w:rPr>
          <w:rFonts w:ascii="Arial" w:eastAsia="Times New Roman" w:hAnsi="Arial" w:cs="Arial"/>
          <w:kern w:val="0"/>
          <w:sz w:val="24"/>
          <w:szCs w:val="24"/>
          <w:lang w:eastAsia="en-GB"/>
          <w14:ligatures w14:val="none"/>
        </w:rPr>
        <w:t>Furthermore, strong CSR practices may help businesses comply with an increasing number of environmental, social, and governance standards. Companies that proactively implement sustainable practices may avoid possible fines and penalties while also positioning themselves favourably for future laws, giving them a competitive edge in increasingly regulated global marketplaces</w:t>
      </w:r>
      <w:r w:rsidR="007A5836" w:rsidRPr="00EA7694">
        <w:rPr>
          <w:rFonts w:ascii="Arial" w:hAnsi="Arial" w:cs="Arial"/>
          <w:sz w:val="24"/>
          <w:szCs w:val="24"/>
        </w:rPr>
        <w:t xml:space="preserve"> (Wickham, Donnelly, and French, 2021).  </w:t>
      </w:r>
      <w:r w:rsidRPr="00EA7694">
        <w:rPr>
          <w:rFonts w:ascii="Arial" w:eastAsia="Times New Roman" w:hAnsi="Arial" w:cs="Arial"/>
          <w:kern w:val="0"/>
          <w:sz w:val="24"/>
          <w:szCs w:val="24"/>
          <w:lang w:eastAsia="en-GB"/>
          <w14:ligatures w14:val="none"/>
        </w:rPr>
        <w:t>However, i</w:t>
      </w:r>
      <w:r w:rsidRPr="0017054D">
        <w:rPr>
          <w:rFonts w:ascii="Arial" w:eastAsia="Times New Roman" w:hAnsi="Arial" w:cs="Arial"/>
          <w:kern w:val="0"/>
          <w:sz w:val="24"/>
          <w:szCs w:val="24"/>
          <w:lang w:eastAsia="en-GB"/>
          <w14:ligatures w14:val="none"/>
        </w:rPr>
        <w:t>mplementing excellent Corporate Social Responsibility policies often confronts many recurring roadblocks, each posing distinct barriers to successful integration. One key impediment is the high expense of implementing sustainable technology and practices. Upgrading buildings to enhance energy efficiency, for example, incurs upfront expenses that may discourage investment, despite possible long-term benefits (</w:t>
      </w:r>
      <w:proofErr w:type="spellStart"/>
      <w:r w:rsidRPr="0017054D">
        <w:rPr>
          <w:rFonts w:ascii="Arial" w:eastAsia="Times New Roman" w:hAnsi="Arial" w:cs="Arial"/>
          <w:kern w:val="0"/>
          <w:sz w:val="24"/>
          <w:szCs w:val="24"/>
          <w:lang w:eastAsia="en-GB"/>
          <w14:ligatures w14:val="none"/>
        </w:rPr>
        <w:t>Bohdanowicz</w:t>
      </w:r>
      <w:proofErr w:type="spellEnd"/>
      <w:r w:rsidRPr="0017054D">
        <w:rPr>
          <w:rFonts w:ascii="Arial" w:eastAsia="Times New Roman" w:hAnsi="Arial" w:cs="Arial"/>
          <w:kern w:val="0"/>
          <w:sz w:val="24"/>
          <w:szCs w:val="24"/>
          <w:lang w:eastAsia="en-GB"/>
          <w14:ligatures w14:val="none"/>
        </w:rPr>
        <w:t xml:space="preserve">, </w:t>
      </w:r>
      <w:proofErr w:type="spellStart"/>
      <w:r w:rsidRPr="0017054D">
        <w:rPr>
          <w:rFonts w:ascii="Arial" w:eastAsia="Times New Roman" w:hAnsi="Arial" w:cs="Arial"/>
          <w:kern w:val="0"/>
          <w:sz w:val="24"/>
          <w:szCs w:val="24"/>
          <w:lang w:eastAsia="en-GB"/>
          <w14:ligatures w14:val="none"/>
        </w:rPr>
        <w:t>Zientara</w:t>
      </w:r>
      <w:proofErr w:type="spellEnd"/>
      <w:r w:rsidRPr="0017054D">
        <w:rPr>
          <w:rFonts w:ascii="Arial" w:eastAsia="Times New Roman" w:hAnsi="Arial" w:cs="Arial"/>
          <w:kern w:val="0"/>
          <w:sz w:val="24"/>
          <w:szCs w:val="24"/>
          <w:lang w:eastAsia="en-GB"/>
          <w14:ligatures w14:val="none"/>
        </w:rPr>
        <w:t xml:space="preserve">, </w:t>
      </w:r>
      <w:r w:rsidR="007A5836" w:rsidRPr="00EA7694">
        <w:rPr>
          <w:rFonts w:ascii="Arial" w:eastAsia="Times New Roman" w:hAnsi="Arial" w:cs="Arial"/>
          <w:kern w:val="0"/>
          <w:sz w:val="24"/>
          <w:szCs w:val="24"/>
          <w:lang w:eastAsia="en-GB"/>
          <w14:ligatures w14:val="none"/>
        </w:rPr>
        <w:t>and</w:t>
      </w:r>
      <w:r w:rsidRPr="0017054D">
        <w:rPr>
          <w:rFonts w:ascii="Arial" w:eastAsia="Times New Roman" w:hAnsi="Arial" w:cs="Arial"/>
          <w:kern w:val="0"/>
          <w:sz w:val="24"/>
          <w:szCs w:val="24"/>
          <w:lang w:eastAsia="en-GB"/>
          <w14:ligatures w14:val="none"/>
        </w:rPr>
        <w:t xml:space="preserve"> </w:t>
      </w:r>
      <w:proofErr w:type="spellStart"/>
      <w:r w:rsidRPr="0017054D">
        <w:rPr>
          <w:rFonts w:ascii="Arial" w:eastAsia="Times New Roman" w:hAnsi="Arial" w:cs="Arial"/>
          <w:kern w:val="0"/>
          <w:sz w:val="24"/>
          <w:szCs w:val="24"/>
          <w:lang w:eastAsia="en-GB"/>
          <w14:ligatures w14:val="none"/>
        </w:rPr>
        <w:t>Novotna</w:t>
      </w:r>
      <w:proofErr w:type="spellEnd"/>
      <w:r w:rsidRPr="0017054D">
        <w:rPr>
          <w:rFonts w:ascii="Arial" w:eastAsia="Times New Roman" w:hAnsi="Arial" w:cs="Arial"/>
          <w:kern w:val="0"/>
          <w:sz w:val="24"/>
          <w:szCs w:val="24"/>
          <w:lang w:eastAsia="en-GB"/>
          <w14:ligatures w14:val="none"/>
        </w:rPr>
        <w:t xml:space="preserve">, 2011). Another common obstacle is stakeholder opposition, which may come from a variety of sources such as management, workers, investors, and visitors. Management may be resistant to embracing CSR practices owing to perceived threats to profitability or the challenges of integrating new processes. Employees may resist owing to job role changes or uncertainty about new methods. Investors may be worried about how CSR programmes affect financial returns, especially if the advantages are long-term rather than immediate </w:t>
      </w:r>
      <w:r w:rsidR="007A5836" w:rsidRPr="00EA7694">
        <w:rPr>
          <w:rFonts w:ascii="Arial" w:hAnsi="Arial" w:cs="Arial"/>
          <w:sz w:val="24"/>
          <w:szCs w:val="24"/>
          <w:shd w:val="clear" w:color="auto" w:fill="FFFFFF"/>
        </w:rPr>
        <w:t xml:space="preserve">(Font and </w:t>
      </w:r>
      <w:proofErr w:type="spellStart"/>
      <w:r w:rsidR="007A5836" w:rsidRPr="00EA7694">
        <w:rPr>
          <w:rFonts w:ascii="Arial" w:hAnsi="Arial" w:cs="Arial"/>
          <w:sz w:val="24"/>
          <w:szCs w:val="24"/>
          <w:shd w:val="clear" w:color="auto" w:fill="FFFFFF"/>
        </w:rPr>
        <w:t>Lynes</w:t>
      </w:r>
      <w:proofErr w:type="spellEnd"/>
      <w:r w:rsidR="007A5836" w:rsidRPr="00EA7694">
        <w:rPr>
          <w:rFonts w:ascii="Arial" w:hAnsi="Arial" w:cs="Arial"/>
          <w:sz w:val="24"/>
          <w:szCs w:val="24"/>
          <w:shd w:val="clear" w:color="auto" w:fill="FFFFFF"/>
        </w:rPr>
        <w:t xml:space="preserve">, 2018). </w:t>
      </w:r>
      <w:r w:rsidRPr="0017054D">
        <w:rPr>
          <w:rFonts w:ascii="Arial" w:eastAsia="Times New Roman" w:hAnsi="Arial" w:cs="Arial"/>
          <w:kern w:val="0"/>
          <w:sz w:val="24"/>
          <w:szCs w:val="24"/>
          <w:lang w:eastAsia="en-GB"/>
          <w14:ligatures w14:val="none"/>
        </w:rPr>
        <w:t>Furthermore, customers' diverse expectations regarding sustainability might hinder the implementation of consistent CSR standards across countries and markets, influencing how hotels prioritise and execute these activities (</w:t>
      </w:r>
      <w:r w:rsidR="007A5836" w:rsidRPr="00EA7694">
        <w:rPr>
          <w:rFonts w:ascii="Arial" w:eastAsia="Times New Roman" w:hAnsi="Arial" w:cs="Arial"/>
          <w:kern w:val="0"/>
          <w:sz w:val="24"/>
          <w:szCs w:val="24"/>
          <w:lang w:eastAsia="en-GB"/>
          <w14:ligatures w14:val="none"/>
        </w:rPr>
        <w:t>Costa and Costa, 2022).</w:t>
      </w:r>
    </w:p>
    <w:p w14:paraId="5FEC4D7D" w14:textId="77777777" w:rsidR="0017054D" w:rsidRPr="00EA7694" w:rsidRDefault="0017054D" w:rsidP="00EA7694">
      <w:pPr>
        <w:spacing w:after="0" w:line="360" w:lineRule="auto"/>
        <w:jc w:val="both"/>
        <w:rPr>
          <w:rFonts w:ascii="Arial" w:eastAsia="Times New Roman" w:hAnsi="Arial" w:cs="Arial"/>
          <w:kern w:val="0"/>
          <w:sz w:val="24"/>
          <w:szCs w:val="24"/>
          <w:lang w:eastAsia="en-GB"/>
          <w14:ligatures w14:val="none"/>
        </w:rPr>
      </w:pPr>
    </w:p>
    <w:p w14:paraId="5C450B44" w14:textId="4D624EF9" w:rsidR="00813510" w:rsidRPr="00EA7694" w:rsidRDefault="00813510" w:rsidP="00EA7694">
      <w:pPr>
        <w:spacing w:after="0" w:line="360" w:lineRule="auto"/>
        <w:jc w:val="both"/>
        <w:rPr>
          <w:rFonts w:ascii="Arial" w:eastAsia="Times New Roman" w:hAnsi="Arial" w:cs="Arial"/>
          <w:kern w:val="0"/>
          <w:sz w:val="24"/>
          <w:szCs w:val="24"/>
          <w:lang w:eastAsia="en-GB"/>
          <w14:ligatures w14:val="none"/>
        </w:rPr>
      </w:pPr>
      <w:r w:rsidRPr="00813510">
        <w:rPr>
          <w:rFonts w:ascii="Arial" w:eastAsia="Times New Roman" w:hAnsi="Arial" w:cs="Arial"/>
          <w:kern w:val="0"/>
          <w:sz w:val="24"/>
          <w:szCs w:val="24"/>
          <w:lang w:eastAsia="en-GB"/>
          <w14:ligatures w14:val="none"/>
        </w:rPr>
        <w:t>Greenwashing is a misleading tactic in which a firm exaggerates or falsely claims that its environmental initiatives are more sustainable than they are. This strategy is often used to attract environmentally conscientious customers and investors by projecting a green image without executing significant environmental measures (</w:t>
      </w:r>
      <w:proofErr w:type="spellStart"/>
      <w:r w:rsidR="007A5836" w:rsidRPr="00EA7694">
        <w:rPr>
          <w:rFonts w:ascii="Arial" w:eastAsia="Times New Roman" w:hAnsi="Arial" w:cs="Arial"/>
          <w:kern w:val="0"/>
          <w:sz w:val="24"/>
          <w:szCs w:val="24"/>
          <w:lang w:eastAsia="en-GB"/>
          <w14:ligatures w14:val="none"/>
        </w:rPr>
        <w:t>Majeed</w:t>
      </w:r>
      <w:proofErr w:type="spellEnd"/>
      <w:r w:rsidR="007A5836" w:rsidRPr="00EA7694">
        <w:rPr>
          <w:rFonts w:ascii="Arial" w:eastAsia="Times New Roman" w:hAnsi="Arial" w:cs="Arial"/>
          <w:kern w:val="0"/>
          <w:sz w:val="24"/>
          <w:szCs w:val="24"/>
          <w:lang w:eastAsia="en-GB"/>
          <w14:ligatures w14:val="none"/>
        </w:rPr>
        <w:t xml:space="preserve"> and Kim, 2022). </w:t>
      </w:r>
      <w:r w:rsidRPr="00813510">
        <w:rPr>
          <w:rFonts w:ascii="Arial" w:eastAsia="Times New Roman" w:hAnsi="Arial" w:cs="Arial"/>
          <w:kern w:val="0"/>
          <w:sz w:val="24"/>
          <w:szCs w:val="24"/>
          <w:lang w:eastAsia="en-GB"/>
          <w14:ligatures w14:val="none"/>
        </w:rPr>
        <w:t xml:space="preserve">Greenwashing charges may seriously harm a brand's image in the hotel </w:t>
      </w:r>
      <w:r w:rsidRPr="00813510">
        <w:rPr>
          <w:rFonts w:ascii="Arial" w:eastAsia="Times New Roman" w:hAnsi="Arial" w:cs="Arial"/>
          <w:kern w:val="0"/>
          <w:sz w:val="24"/>
          <w:szCs w:val="24"/>
          <w:lang w:eastAsia="en-GB"/>
          <w14:ligatures w14:val="none"/>
        </w:rPr>
        <w:lastRenderedPageBreak/>
        <w:t>business, where customers are increasingly demanding openness and actual action on sustainability</w:t>
      </w:r>
      <w:r w:rsidR="007A5836" w:rsidRPr="00EA7694">
        <w:rPr>
          <w:rFonts w:ascii="Arial" w:eastAsia="Times New Roman" w:hAnsi="Arial" w:cs="Arial"/>
          <w:kern w:val="0"/>
          <w:sz w:val="24"/>
          <w:szCs w:val="24"/>
          <w:lang w:eastAsia="en-GB"/>
          <w14:ligatures w14:val="none"/>
        </w:rPr>
        <w:t xml:space="preserve"> (Rahman, Park and Chi, 2015).</w:t>
      </w:r>
      <w:r w:rsidRPr="00813510">
        <w:rPr>
          <w:rFonts w:ascii="Arial" w:eastAsia="Times New Roman" w:hAnsi="Arial" w:cs="Arial"/>
          <w:kern w:val="0"/>
          <w:sz w:val="24"/>
          <w:szCs w:val="24"/>
          <w:lang w:eastAsia="en-GB"/>
          <w14:ligatures w14:val="none"/>
        </w:rPr>
        <w:t xml:space="preserve"> Hilton, like many in its business, has faced questions about the veracity of its environmental promises. However, Hilton's extensive CSR efforts, such as its "Travel with Purpose" approach, seem to be well-documented and deeply interwoven into corporate operations. The corporation offers thorough data on its sustainability initiatives, such as reductions in carbon emissions, energy consumption, and waste, which are all backed by the LightStay system for measuring and analysing performance (Hilton, 2022). This amount of openness and precise reporting stands in stark contrast to normal greenwashing techniques, which are often ambiguous and lacking in data. Compared to industry standards, Hilton's efforts demonstrate a more rigorous and disciplined approach to sustainability, implying a move towards actual sustainability initiatives rather than mere marketing methods</w:t>
      </w:r>
      <w:r w:rsidR="00EA7694" w:rsidRPr="00EA7694">
        <w:rPr>
          <w:rFonts w:ascii="Arial" w:eastAsia="Times New Roman" w:hAnsi="Arial" w:cs="Arial"/>
          <w:kern w:val="0"/>
          <w:sz w:val="24"/>
          <w:szCs w:val="24"/>
          <w:lang w:eastAsia="en-GB"/>
          <w14:ligatures w14:val="none"/>
        </w:rPr>
        <w:t xml:space="preserve"> (Hilton, 2022). </w:t>
      </w:r>
      <w:r w:rsidRPr="00813510">
        <w:rPr>
          <w:rFonts w:ascii="Arial" w:eastAsia="Times New Roman" w:hAnsi="Arial" w:cs="Arial"/>
          <w:kern w:val="0"/>
          <w:sz w:val="24"/>
          <w:szCs w:val="24"/>
          <w:lang w:eastAsia="en-GB"/>
          <w14:ligatures w14:val="none"/>
        </w:rPr>
        <w:t>However, public scepticism of CSR and sustainability measures remains strong, spurred by previous examples of greenwashing in many businesses. This scepticism may also lead to conspiracy theories that denigrate CSR initiatives as mere diversions from ecologically destructive behaviours. These ideas may undermine genuine corporate attempts to incorporate sustainable practices by throwing doubt on the motivations and efficacy of such activities</w:t>
      </w:r>
      <w:r w:rsidR="00EA7694" w:rsidRPr="00EA7694">
        <w:rPr>
          <w:rFonts w:ascii="Arial" w:eastAsia="Times New Roman" w:hAnsi="Arial" w:cs="Arial"/>
          <w:kern w:val="0"/>
          <w:sz w:val="24"/>
          <w:szCs w:val="24"/>
          <w:lang w:eastAsia="en-GB"/>
          <w14:ligatures w14:val="none"/>
        </w:rPr>
        <w:t xml:space="preserve"> (</w:t>
      </w:r>
      <w:proofErr w:type="spellStart"/>
      <w:r w:rsidR="00EA7694" w:rsidRPr="00EA7694">
        <w:rPr>
          <w:rFonts w:ascii="Arial" w:eastAsia="Times New Roman" w:hAnsi="Arial" w:cs="Arial"/>
          <w:kern w:val="0"/>
          <w:sz w:val="24"/>
          <w:szCs w:val="24"/>
          <w:lang w:eastAsia="en-GB"/>
          <w14:ligatures w14:val="none"/>
        </w:rPr>
        <w:t>Tark</w:t>
      </w:r>
      <w:proofErr w:type="spellEnd"/>
      <w:r w:rsidR="00EA7694" w:rsidRPr="00EA7694">
        <w:rPr>
          <w:rFonts w:ascii="Arial" w:eastAsia="Times New Roman" w:hAnsi="Arial" w:cs="Arial"/>
          <w:kern w:val="0"/>
          <w:sz w:val="24"/>
          <w:szCs w:val="24"/>
          <w:lang w:eastAsia="en-GB"/>
          <w14:ligatures w14:val="none"/>
        </w:rPr>
        <w:t xml:space="preserve"> and Oh, 2021).</w:t>
      </w:r>
      <w:r w:rsidRPr="00813510">
        <w:rPr>
          <w:rFonts w:ascii="Arial" w:eastAsia="Times New Roman" w:hAnsi="Arial" w:cs="Arial"/>
          <w:kern w:val="0"/>
          <w:sz w:val="24"/>
          <w:szCs w:val="24"/>
          <w:lang w:eastAsia="en-GB"/>
          <w14:ligatures w14:val="none"/>
        </w:rPr>
        <w:t xml:space="preserve"> To address such scepticism and develop confidence with customers and stakeholders, firms like Hilton must continue to publish clear, open, and verifiable information about their sustainable activities.</w:t>
      </w:r>
    </w:p>
    <w:p w14:paraId="268C3D8B" w14:textId="77777777" w:rsidR="00813510" w:rsidRPr="00EA7694" w:rsidRDefault="00813510" w:rsidP="00EA7694">
      <w:pPr>
        <w:spacing w:after="0" w:line="360" w:lineRule="auto"/>
        <w:jc w:val="both"/>
        <w:rPr>
          <w:rFonts w:ascii="Arial" w:eastAsia="Times New Roman" w:hAnsi="Arial" w:cs="Arial"/>
          <w:kern w:val="0"/>
          <w:sz w:val="24"/>
          <w:szCs w:val="24"/>
          <w:lang w:eastAsia="en-GB"/>
          <w14:ligatures w14:val="none"/>
        </w:rPr>
      </w:pPr>
    </w:p>
    <w:p w14:paraId="77BFF082" w14:textId="16C10CA3" w:rsidR="00813510" w:rsidRPr="00EA7694" w:rsidRDefault="00813510" w:rsidP="00EA7694">
      <w:pPr>
        <w:spacing w:after="0" w:line="360" w:lineRule="auto"/>
        <w:jc w:val="both"/>
        <w:rPr>
          <w:rFonts w:ascii="Arial" w:eastAsia="Times New Roman" w:hAnsi="Arial" w:cs="Arial"/>
          <w:kern w:val="0"/>
          <w:sz w:val="24"/>
          <w:szCs w:val="24"/>
          <w:lang w:eastAsia="en-GB"/>
          <w14:ligatures w14:val="none"/>
        </w:rPr>
      </w:pPr>
      <w:r w:rsidRPr="00813510">
        <w:rPr>
          <w:rFonts w:ascii="Arial" w:eastAsia="Times New Roman" w:hAnsi="Arial" w:cs="Arial"/>
          <w:kern w:val="0"/>
          <w:sz w:val="24"/>
          <w:szCs w:val="24"/>
          <w:lang w:eastAsia="en-GB"/>
          <w14:ligatures w14:val="none"/>
        </w:rPr>
        <w:t>Hilton's Corporate Social Responsibility policies are customised to the unique problems and possibilities given by urban, rural, and coastal locations, reflecting the complex needs of various tourist types. Hilton focuses on minimising its carbon footprint in cities via high-efficiency building operations and sustainable sourcing, but in rural and coastal locations, the emphasis often changes to biodiversity protection and local economic development</w:t>
      </w:r>
      <w:r w:rsidR="00EA7694" w:rsidRPr="00EA7694">
        <w:rPr>
          <w:rFonts w:ascii="Arial" w:eastAsia="Times New Roman" w:hAnsi="Arial" w:cs="Arial"/>
          <w:kern w:val="0"/>
          <w:sz w:val="24"/>
          <w:szCs w:val="24"/>
          <w:lang w:eastAsia="en-GB"/>
          <w14:ligatures w14:val="none"/>
        </w:rPr>
        <w:t xml:space="preserve"> (Hilton, 2023).</w:t>
      </w:r>
      <w:r w:rsidRPr="00813510">
        <w:rPr>
          <w:rFonts w:ascii="Arial" w:eastAsia="Times New Roman" w:hAnsi="Arial" w:cs="Arial"/>
          <w:kern w:val="0"/>
          <w:sz w:val="24"/>
          <w:szCs w:val="24"/>
          <w:lang w:eastAsia="en-GB"/>
          <w14:ligatures w14:val="none"/>
        </w:rPr>
        <w:t xml:space="preserve"> Hilton hotels in coastal locations, for example, may prioritise marine conservation and work with local people to maintain natural ecosystems that are important for both tourism and the region's ecological health (</w:t>
      </w:r>
      <w:r w:rsidR="00EA7694" w:rsidRPr="00EA7694">
        <w:rPr>
          <w:rFonts w:ascii="Arial" w:eastAsia="Times New Roman" w:hAnsi="Arial" w:cs="Arial"/>
          <w:kern w:val="0"/>
          <w:sz w:val="24"/>
          <w:szCs w:val="24"/>
          <w:lang w:eastAsia="en-GB"/>
          <w14:ligatures w14:val="none"/>
        </w:rPr>
        <w:t xml:space="preserve">Coles, </w:t>
      </w:r>
      <w:proofErr w:type="spellStart"/>
      <w:r w:rsidR="00EA7694" w:rsidRPr="00EA7694">
        <w:rPr>
          <w:rFonts w:ascii="Arial" w:eastAsia="Times New Roman" w:hAnsi="Arial" w:cs="Arial"/>
          <w:kern w:val="0"/>
          <w:sz w:val="24"/>
          <w:szCs w:val="24"/>
          <w:lang w:eastAsia="en-GB"/>
          <w14:ligatures w14:val="none"/>
        </w:rPr>
        <w:t>Fenclova</w:t>
      </w:r>
      <w:proofErr w:type="spellEnd"/>
      <w:r w:rsidR="00EA7694" w:rsidRPr="00EA7694">
        <w:rPr>
          <w:rFonts w:ascii="Arial" w:eastAsia="Times New Roman" w:hAnsi="Arial" w:cs="Arial"/>
          <w:kern w:val="0"/>
          <w:sz w:val="24"/>
          <w:szCs w:val="24"/>
          <w:lang w:eastAsia="en-GB"/>
          <w14:ligatures w14:val="none"/>
        </w:rPr>
        <w:t xml:space="preserve"> and </w:t>
      </w:r>
      <w:proofErr w:type="spellStart"/>
      <w:r w:rsidR="00EA7694" w:rsidRPr="00EA7694">
        <w:rPr>
          <w:rFonts w:ascii="Arial" w:eastAsia="Times New Roman" w:hAnsi="Arial" w:cs="Arial"/>
          <w:kern w:val="0"/>
          <w:sz w:val="24"/>
          <w:szCs w:val="24"/>
          <w:lang w:eastAsia="en-GB"/>
          <w14:ligatures w14:val="none"/>
        </w:rPr>
        <w:t>Dinan</w:t>
      </w:r>
      <w:proofErr w:type="spellEnd"/>
      <w:r w:rsidR="00EA7694" w:rsidRPr="00EA7694">
        <w:rPr>
          <w:rFonts w:ascii="Arial" w:eastAsia="Times New Roman" w:hAnsi="Arial" w:cs="Arial"/>
          <w:kern w:val="0"/>
          <w:sz w:val="24"/>
          <w:szCs w:val="24"/>
          <w:lang w:eastAsia="en-GB"/>
          <w14:ligatures w14:val="none"/>
        </w:rPr>
        <w:t>, 2013</w:t>
      </w:r>
      <w:r w:rsidRPr="00813510">
        <w:rPr>
          <w:rFonts w:ascii="Arial" w:eastAsia="Times New Roman" w:hAnsi="Arial" w:cs="Arial"/>
          <w:kern w:val="0"/>
          <w:sz w:val="24"/>
          <w:szCs w:val="24"/>
          <w:lang w:eastAsia="en-GB"/>
          <w14:ligatures w14:val="none"/>
        </w:rPr>
        <w:t xml:space="preserve">). In terms of sustainable transportation, the hotel sector is increasingly turning to greener solutions to lessen environmental effect. Hilton is actively engaged in this transformation by installing electric vehicle charging stations at its properties, encouraging the use of public transportation wherever </w:t>
      </w:r>
      <w:r w:rsidRPr="00813510">
        <w:rPr>
          <w:rFonts w:ascii="Arial" w:eastAsia="Times New Roman" w:hAnsi="Arial" w:cs="Arial"/>
          <w:kern w:val="0"/>
          <w:sz w:val="24"/>
          <w:szCs w:val="24"/>
          <w:lang w:eastAsia="en-GB"/>
          <w14:ligatures w14:val="none"/>
        </w:rPr>
        <w:lastRenderedPageBreak/>
        <w:t>possible, and adopting location-specific sustainable transportation solutions that are consistent with its overall environmental aims</w:t>
      </w:r>
      <w:r w:rsidR="00EA7694" w:rsidRPr="00EA7694">
        <w:rPr>
          <w:rFonts w:ascii="Arial" w:eastAsia="Times New Roman" w:hAnsi="Arial" w:cs="Arial"/>
          <w:kern w:val="0"/>
          <w:sz w:val="24"/>
          <w:szCs w:val="24"/>
          <w:lang w:eastAsia="en-GB"/>
          <w14:ligatures w14:val="none"/>
        </w:rPr>
        <w:t xml:space="preserve"> </w:t>
      </w:r>
      <w:r w:rsidR="00EA7694" w:rsidRPr="00EA7694">
        <w:rPr>
          <w:rFonts w:ascii="Arial" w:hAnsi="Arial" w:cs="Arial"/>
          <w:sz w:val="24"/>
          <w:szCs w:val="24"/>
          <w:shd w:val="clear" w:color="auto" w:fill="FFFFFF"/>
        </w:rPr>
        <w:t>(</w:t>
      </w:r>
      <w:proofErr w:type="spellStart"/>
      <w:r w:rsidR="00EA7694" w:rsidRPr="00EA7694">
        <w:rPr>
          <w:rFonts w:ascii="Arial" w:hAnsi="Arial" w:cs="Arial"/>
          <w:sz w:val="24"/>
          <w:szCs w:val="24"/>
          <w:shd w:val="clear" w:color="auto" w:fill="FFFFFF"/>
        </w:rPr>
        <w:t>Abdou</w:t>
      </w:r>
      <w:proofErr w:type="spellEnd"/>
      <w:r w:rsidR="00EA7694" w:rsidRPr="00EA7694">
        <w:rPr>
          <w:rFonts w:ascii="Arial" w:hAnsi="Arial" w:cs="Arial"/>
          <w:sz w:val="24"/>
          <w:szCs w:val="24"/>
          <w:shd w:val="clear" w:color="auto" w:fill="FFFFFF"/>
        </w:rPr>
        <w:t xml:space="preserve">, Hassan and </w:t>
      </w:r>
      <w:proofErr w:type="spellStart"/>
      <w:r w:rsidR="00EA7694" w:rsidRPr="00EA7694">
        <w:rPr>
          <w:rFonts w:ascii="Arial" w:hAnsi="Arial" w:cs="Arial"/>
          <w:sz w:val="24"/>
          <w:szCs w:val="24"/>
          <w:shd w:val="clear" w:color="auto" w:fill="FFFFFF"/>
        </w:rPr>
        <w:t>Dief</w:t>
      </w:r>
      <w:proofErr w:type="spellEnd"/>
      <w:r w:rsidR="00EA7694" w:rsidRPr="00EA7694">
        <w:rPr>
          <w:rFonts w:ascii="Arial" w:hAnsi="Arial" w:cs="Arial"/>
          <w:sz w:val="24"/>
          <w:szCs w:val="24"/>
          <w:shd w:val="clear" w:color="auto" w:fill="FFFFFF"/>
        </w:rPr>
        <w:t>, 2020).</w:t>
      </w:r>
      <w:r w:rsidRPr="00813510">
        <w:rPr>
          <w:rFonts w:ascii="Arial" w:eastAsia="Times New Roman" w:hAnsi="Arial" w:cs="Arial"/>
          <w:kern w:val="0"/>
          <w:sz w:val="24"/>
          <w:szCs w:val="24"/>
          <w:lang w:eastAsia="en-GB"/>
          <w14:ligatures w14:val="none"/>
        </w:rPr>
        <w:t xml:space="preserve"> Future trends predict that electric and hybrid cars will be increasingly used by companies and consumers alike. This trend is projected to be </w:t>
      </w:r>
      <w:proofErr w:type="spellStart"/>
      <w:r w:rsidRPr="00813510">
        <w:rPr>
          <w:rFonts w:ascii="Arial" w:eastAsia="Times New Roman" w:hAnsi="Arial" w:cs="Arial"/>
          <w:kern w:val="0"/>
          <w:sz w:val="24"/>
          <w:szCs w:val="24"/>
          <w:lang w:eastAsia="en-GB"/>
          <w14:ligatures w14:val="none"/>
        </w:rPr>
        <w:t>fueled</w:t>
      </w:r>
      <w:proofErr w:type="spellEnd"/>
      <w:r w:rsidRPr="00813510">
        <w:rPr>
          <w:rFonts w:ascii="Arial" w:eastAsia="Times New Roman" w:hAnsi="Arial" w:cs="Arial"/>
          <w:kern w:val="0"/>
          <w:sz w:val="24"/>
          <w:szCs w:val="24"/>
          <w:lang w:eastAsia="en-GB"/>
          <w14:ligatures w14:val="none"/>
        </w:rPr>
        <w:t xml:space="preserve"> by technical improvements and government initiatives that promote sustainable transportation options. Hilton's involvement in these initiatives not only reduces its environmental effect, but also positions the company as a pioneer in the transition to sustainable travel and tourism practices</w:t>
      </w:r>
      <w:r w:rsidR="00EA7694" w:rsidRPr="00EA7694">
        <w:rPr>
          <w:rFonts w:ascii="Arial" w:eastAsia="Times New Roman" w:hAnsi="Arial" w:cs="Arial"/>
          <w:kern w:val="0"/>
          <w:sz w:val="24"/>
          <w:szCs w:val="24"/>
          <w:lang w:eastAsia="en-GB"/>
          <w14:ligatures w14:val="none"/>
        </w:rPr>
        <w:t xml:space="preserve"> (Hilton, 2022).</w:t>
      </w:r>
    </w:p>
    <w:p w14:paraId="5E870D18" w14:textId="77777777" w:rsidR="00813510" w:rsidRPr="00EA7694" w:rsidRDefault="00813510" w:rsidP="00EA7694">
      <w:pPr>
        <w:spacing w:after="0" w:line="360" w:lineRule="auto"/>
        <w:jc w:val="both"/>
        <w:rPr>
          <w:rFonts w:ascii="Arial" w:eastAsia="Times New Roman" w:hAnsi="Arial" w:cs="Arial"/>
          <w:kern w:val="0"/>
          <w:sz w:val="24"/>
          <w:szCs w:val="24"/>
          <w:lang w:eastAsia="en-GB"/>
          <w14:ligatures w14:val="none"/>
        </w:rPr>
      </w:pPr>
    </w:p>
    <w:p w14:paraId="3607605E" w14:textId="55777F49" w:rsidR="00813510" w:rsidRPr="00EA7694" w:rsidRDefault="00813510" w:rsidP="00EA7694">
      <w:pPr>
        <w:spacing w:line="360" w:lineRule="auto"/>
        <w:jc w:val="both"/>
        <w:rPr>
          <w:rFonts w:ascii="Arial" w:eastAsia="Times New Roman" w:hAnsi="Arial" w:cs="Arial"/>
          <w:kern w:val="0"/>
          <w:sz w:val="24"/>
          <w:szCs w:val="24"/>
          <w:lang w:eastAsia="en-GB"/>
          <w14:ligatures w14:val="none"/>
        </w:rPr>
      </w:pPr>
      <w:r w:rsidRPr="00EA7694">
        <w:rPr>
          <w:rFonts w:ascii="Arial" w:eastAsia="Times New Roman" w:hAnsi="Arial" w:cs="Arial"/>
          <w:kern w:val="0"/>
          <w:sz w:val="24"/>
          <w:szCs w:val="24"/>
          <w:lang w:eastAsia="en-GB"/>
          <w14:ligatures w14:val="none"/>
        </w:rPr>
        <w:t xml:space="preserve">In </w:t>
      </w:r>
      <w:proofErr w:type="spellStart"/>
      <w:r w:rsidRPr="00EA7694">
        <w:rPr>
          <w:rFonts w:ascii="Arial" w:eastAsia="Times New Roman" w:hAnsi="Arial" w:cs="Arial"/>
          <w:kern w:val="0"/>
          <w:sz w:val="24"/>
          <w:szCs w:val="24"/>
          <w:lang w:eastAsia="en-GB"/>
          <w14:ligatures w14:val="none"/>
        </w:rPr>
        <w:t>conlusion</w:t>
      </w:r>
      <w:proofErr w:type="spellEnd"/>
      <w:r w:rsidRPr="00EA7694">
        <w:rPr>
          <w:rFonts w:ascii="Arial" w:eastAsia="Times New Roman" w:hAnsi="Arial" w:cs="Arial"/>
          <w:kern w:val="0"/>
          <w:sz w:val="24"/>
          <w:szCs w:val="24"/>
          <w:lang w:eastAsia="en-GB"/>
          <w14:ligatures w14:val="none"/>
        </w:rPr>
        <w:t xml:space="preserve">, Hilton's Corporate Social Responsibility (CSR) programmes successfully use the triple bottom line method to achieve long-term economic, social, and environmental goals. Hilton not only reduces its ecological effect but also aligns its operations with worldwide sustainability standards by implementing stringent environmental initiatives, such as aiming for substantial reductions in emissions, water usage, and trash by 2030. Economically, these activities improve operational efficiency and appeal to a market that is more oriented towards environmentally friendly firms, giving them a competitive advantage. Socially, Hilton's dedication to diversity and significant community involvement efforts </w:t>
      </w:r>
      <w:r w:rsidR="00EA7694" w:rsidRPr="00EA7694">
        <w:rPr>
          <w:rFonts w:ascii="Arial" w:eastAsia="Times New Roman" w:hAnsi="Arial" w:cs="Arial"/>
          <w:kern w:val="0"/>
          <w:sz w:val="24"/>
          <w:szCs w:val="24"/>
          <w:lang w:eastAsia="en-GB"/>
          <w14:ligatures w14:val="none"/>
        </w:rPr>
        <w:t>strengthens</w:t>
      </w:r>
      <w:r w:rsidRPr="00EA7694">
        <w:rPr>
          <w:rFonts w:ascii="Arial" w:eastAsia="Times New Roman" w:hAnsi="Arial" w:cs="Arial"/>
          <w:kern w:val="0"/>
          <w:sz w:val="24"/>
          <w:szCs w:val="24"/>
          <w:lang w:eastAsia="en-GB"/>
          <w14:ligatures w14:val="none"/>
        </w:rPr>
        <w:t xml:space="preserve"> its corporate brand and employee happiness, which are critical for long-term success. The company's forward-thinking CSR policies are painstakingly created to meet the unique needs of many places, whether urban, rural, or coastal, exhibiting a sophisticated grasp of the various settings in which it works. Furthermore, Hilton's proactive approach to adopting and supporting sustainable transportation solutions establishes it as a pioneer in developing ecologically responsible travel. </w:t>
      </w:r>
    </w:p>
    <w:p w14:paraId="2DAC7C9F"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1F3B3059"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5913898B"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09F5F84C"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785571F4"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366D3514"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2F5E8CAA"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29DBA57A" w14:textId="77777777" w:rsidR="004F4A9E" w:rsidRDefault="004F4A9E" w:rsidP="00813510">
      <w:pPr>
        <w:spacing w:line="360" w:lineRule="auto"/>
        <w:jc w:val="both"/>
        <w:rPr>
          <w:rFonts w:ascii="Arial" w:eastAsia="Times New Roman" w:hAnsi="Arial" w:cs="Arial"/>
          <w:kern w:val="0"/>
          <w:sz w:val="24"/>
          <w:szCs w:val="24"/>
          <w:lang w:eastAsia="en-GB"/>
          <w14:ligatures w14:val="none"/>
        </w:rPr>
      </w:pPr>
    </w:p>
    <w:p w14:paraId="45F2DD46" w14:textId="77777777" w:rsidR="00813510" w:rsidRDefault="00813510" w:rsidP="00813510">
      <w:pPr>
        <w:spacing w:line="360" w:lineRule="auto"/>
        <w:jc w:val="both"/>
        <w:rPr>
          <w:rFonts w:ascii="Arial" w:eastAsia="Times New Roman" w:hAnsi="Arial" w:cs="Arial"/>
          <w:kern w:val="0"/>
          <w:sz w:val="24"/>
          <w:szCs w:val="24"/>
          <w:lang w:eastAsia="en-GB"/>
          <w14:ligatures w14:val="none"/>
        </w:rPr>
      </w:pPr>
    </w:p>
    <w:p w14:paraId="0725F3CB" w14:textId="32A07DC9" w:rsidR="00813510" w:rsidRPr="00EA7694" w:rsidRDefault="00813510" w:rsidP="00EA7694">
      <w:pPr>
        <w:spacing w:line="360" w:lineRule="auto"/>
        <w:jc w:val="both"/>
        <w:rPr>
          <w:rFonts w:ascii="Arial" w:eastAsia="Times New Roman" w:hAnsi="Arial" w:cs="Arial"/>
          <w:b/>
          <w:bCs/>
          <w:kern w:val="0"/>
          <w:sz w:val="24"/>
          <w:szCs w:val="24"/>
          <w:lang w:eastAsia="en-GB"/>
          <w14:ligatures w14:val="none"/>
        </w:rPr>
      </w:pPr>
      <w:r w:rsidRPr="00EA7694">
        <w:rPr>
          <w:rFonts w:ascii="Arial" w:eastAsia="Times New Roman" w:hAnsi="Arial" w:cs="Arial"/>
          <w:b/>
          <w:bCs/>
          <w:kern w:val="0"/>
          <w:sz w:val="24"/>
          <w:szCs w:val="24"/>
          <w:lang w:eastAsia="en-GB"/>
          <w14:ligatures w14:val="none"/>
        </w:rPr>
        <w:t xml:space="preserve">References </w:t>
      </w:r>
    </w:p>
    <w:p w14:paraId="028CC8E6" w14:textId="5408D41C" w:rsidR="00813510" w:rsidRPr="00813510" w:rsidRDefault="00813510" w:rsidP="00EA7694">
      <w:pPr>
        <w:spacing w:after="0" w:line="360" w:lineRule="auto"/>
        <w:jc w:val="both"/>
        <w:rPr>
          <w:rFonts w:ascii="Arial" w:eastAsia="Times New Roman" w:hAnsi="Arial" w:cs="Arial"/>
          <w:kern w:val="0"/>
          <w:sz w:val="24"/>
          <w:szCs w:val="24"/>
          <w:lang w:eastAsia="en-GB"/>
          <w14:ligatures w14:val="none"/>
        </w:rPr>
      </w:pPr>
    </w:p>
    <w:p w14:paraId="5EE222A0" w14:textId="77777777" w:rsidR="00EA7694" w:rsidRPr="00EA7694" w:rsidRDefault="00EA7694" w:rsidP="00EA7694">
      <w:pPr>
        <w:pStyle w:val="NormalWeb"/>
        <w:spacing w:before="0" w:beforeAutospacing="0" w:after="0" w:afterAutospacing="0" w:line="360" w:lineRule="auto"/>
        <w:jc w:val="both"/>
        <w:rPr>
          <w:rFonts w:ascii="Arial" w:hAnsi="Arial" w:cs="Arial"/>
          <w:color w:val="000000"/>
        </w:rPr>
      </w:pPr>
      <w:proofErr w:type="spellStart"/>
      <w:r w:rsidRPr="00EA7694">
        <w:rPr>
          <w:rFonts w:ascii="Arial" w:hAnsi="Arial" w:cs="Arial"/>
          <w:color w:val="000000"/>
        </w:rPr>
        <w:t>Abdou</w:t>
      </w:r>
      <w:proofErr w:type="spellEnd"/>
      <w:r w:rsidRPr="00EA7694">
        <w:rPr>
          <w:rFonts w:ascii="Arial" w:hAnsi="Arial" w:cs="Arial"/>
          <w:color w:val="000000"/>
        </w:rPr>
        <w:t xml:space="preserve">, A.H., Hassan, T.H. and </w:t>
      </w:r>
      <w:proofErr w:type="spellStart"/>
      <w:r w:rsidRPr="00EA7694">
        <w:rPr>
          <w:rFonts w:ascii="Arial" w:hAnsi="Arial" w:cs="Arial"/>
          <w:color w:val="000000"/>
        </w:rPr>
        <w:t>Dief</w:t>
      </w:r>
      <w:proofErr w:type="spellEnd"/>
      <w:r w:rsidRPr="00EA7694">
        <w:rPr>
          <w:rFonts w:ascii="Arial" w:hAnsi="Arial" w:cs="Arial"/>
          <w:color w:val="000000"/>
        </w:rPr>
        <w:t>, M.M.E. (2020). A Description of Green Hotel Practices and Their Role in Achieving Sustainable Development. </w:t>
      </w:r>
      <w:r w:rsidRPr="00EA7694">
        <w:rPr>
          <w:rFonts w:ascii="Arial" w:hAnsi="Arial" w:cs="Arial"/>
          <w:i/>
          <w:iCs/>
          <w:color w:val="000000"/>
        </w:rPr>
        <w:t>Sustainability</w:t>
      </w:r>
      <w:r w:rsidRPr="00EA7694">
        <w:rPr>
          <w:rFonts w:ascii="Arial" w:hAnsi="Arial" w:cs="Arial"/>
          <w:color w:val="000000"/>
        </w:rPr>
        <w:t>, [online] 12(22), p.9624. doi:https://doi.org/10.3390/su12229624.</w:t>
      </w:r>
    </w:p>
    <w:p w14:paraId="47FAB355" w14:textId="2CBA726B" w:rsidR="007A5836" w:rsidRPr="00EA7694" w:rsidRDefault="00EA7694" w:rsidP="00EA7694">
      <w:pPr>
        <w:pStyle w:val="NormalWeb"/>
        <w:spacing w:line="360" w:lineRule="auto"/>
        <w:jc w:val="both"/>
        <w:rPr>
          <w:rFonts w:ascii="Arial" w:hAnsi="Arial" w:cs="Arial"/>
          <w:color w:val="000000"/>
        </w:rPr>
      </w:pPr>
      <w:r w:rsidRPr="00EA7694">
        <w:rPr>
          <w:rFonts w:ascii="Arial" w:hAnsi="Arial" w:cs="Arial"/>
          <w:color w:val="000000"/>
        </w:rPr>
        <w:t>‌</w:t>
      </w:r>
      <w:proofErr w:type="spellStart"/>
      <w:r w:rsidR="007A5836" w:rsidRPr="00EA7694">
        <w:rPr>
          <w:rFonts w:ascii="Arial" w:hAnsi="Arial" w:cs="Arial"/>
          <w:color w:val="222222"/>
          <w:shd w:val="clear" w:color="auto" w:fill="FFFFFF"/>
        </w:rPr>
        <w:t>Bohdanowicz</w:t>
      </w:r>
      <w:proofErr w:type="spellEnd"/>
      <w:r w:rsidR="007A5836" w:rsidRPr="00EA7694">
        <w:rPr>
          <w:rFonts w:ascii="Arial" w:hAnsi="Arial" w:cs="Arial"/>
          <w:color w:val="222222"/>
          <w:shd w:val="clear" w:color="auto" w:fill="FFFFFF"/>
        </w:rPr>
        <w:t xml:space="preserve">, P., </w:t>
      </w:r>
      <w:proofErr w:type="spellStart"/>
      <w:r w:rsidR="007A5836" w:rsidRPr="00EA7694">
        <w:rPr>
          <w:rFonts w:ascii="Arial" w:hAnsi="Arial" w:cs="Arial"/>
          <w:color w:val="222222"/>
          <w:shd w:val="clear" w:color="auto" w:fill="FFFFFF"/>
        </w:rPr>
        <w:t>Zientara</w:t>
      </w:r>
      <w:proofErr w:type="spellEnd"/>
      <w:r w:rsidR="007A5836" w:rsidRPr="00EA7694">
        <w:rPr>
          <w:rFonts w:ascii="Arial" w:hAnsi="Arial" w:cs="Arial"/>
          <w:color w:val="222222"/>
          <w:shd w:val="clear" w:color="auto" w:fill="FFFFFF"/>
        </w:rPr>
        <w:t xml:space="preserve">, P. and </w:t>
      </w:r>
      <w:proofErr w:type="spellStart"/>
      <w:r w:rsidR="007A5836" w:rsidRPr="00EA7694">
        <w:rPr>
          <w:rFonts w:ascii="Arial" w:hAnsi="Arial" w:cs="Arial"/>
          <w:color w:val="222222"/>
          <w:shd w:val="clear" w:color="auto" w:fill="FFFFFF"/>
        </w:rPr>
        <w:t>Novotna</w:t>
      </w:r>
      <w:proofErr w:type="spellEnd"/>
      <w:r w:rsidR="007A5836" w:rsidRPr="00EA7694">
        <w:rPr>
          <w:rFonts w:ascii="Arial" w:hAnsi="Arial" w:cs="Arial"/>
          <w:color w:val="222222"/>
          <w:shd w:val="clear" w:color="auto" w:fill="FFFFFF"/>
        </w:rPr>
        <w:t>, E., 2011. International hotel chains and environmental protection: an analysis of Hilton's we care! programme (Europe, 2006–2008). </w:t>
      </w:r>
      <w:r w:rsidR="007A5836" w:rsidRPr="00EA7694">
        <w:rPr>
          <w:rFonts w:ascii="Arial" w:hAnsi="Arial" w:cs="Arial"/>
          <w:i/>
          <w:iCs/>
          <w:color w:val="222222"/>
          <w:shd w:val="clear" w:color="auto" w:fill="FFFFFF"/>
        </w:rPr>
        <w:t>Journal of Sustainable Tourism</w:t>
      </w:r>
      <w:r w:rsidR="007A5836" w:rsidRPr="00EA7694">
        <w:rPr>
          <w:rFonts w:ascii="Arial" w:hAnsi="Arial" w:cs="Arial"/>
          <w:color w:val="222222"/>
          <w:shd w:val="clear" w:color="auto" w:fill="FFFFFF"/>
        </w:rPr>
        <w:t>, </w:t>
      </w:r>
      <w:r w:rsidR="007A5836" w:rsidRPr="00EA7694">
        <w:rPr>
          <w:rFonts w:ascii="Arial" w:hAnsi="Arial" w:cs="Arial"/>
          <w:i/>
          <w:iCs/>
          <w:color w:val="222222"/>
          <w:shd w:val="clear" w:color="auto" w:fill="FFFFFF"/>
        </w:rPr>
        <w:t>19</w:t>
      </w:r>
      <w:r w:rsidR="007A5836" w:rsidRPr="00EA7694">
        <w:rPr>
          <w:rFonts w:ascii="Arial" w:hAnsi="Arial" w:cs="Arial"/>
          <w:color w:val="222222"/>
          <w:shd w:val="clear" w:color="auto" w:fill="FFFFFF"/>
        </w:rPr>
        <w:t>(7), pp.797-816.</w:t>
      </w:r>
    </w:p>
    <w:p w14:paraId="43542C81" w14:textId="77777777" w:rsidR="00EA7694" w:rsidRPr="00EA7694" w:rsidRDefault="00EA7694" w:rsidP="00EA7694">
      <w:pPr>
        <w:spacing w:after="0" w:line="360" w:lineRule="auto"/>
        <w:jc w:val="both"/>
        <w:rPr>
          <w:rFonts w:ascii="Arial" w:hAnsi="Arial" w:cs="Arial"/>
          <w:color w:val="222222"/>
          <w:sz w:val="24"/>
          <w:szCs w:val="24"/>
          <w:shd w:val="clear" w:color="auto" w:fill="FFFFFF"/>
        </w:rPr>
      </w:pPr>
    </w:p>
    <w:p w14:paraId="1494F22A" w14:textId="44102411" w:rsidR="00EA7694" w:rsidRPr="00EA7694" w:rsidRDefault="00EA7694" w:rsidP="00EA7694">
      <w:pPr>
        <w:spacing w:after="0" w:line="360" w:lineRule="auto"/>
        <w:jc w:val="both"/>
        <w:rPr>
          <w:rFonts w:ascii="Arial" w:hAnsi="Arial" w:cs="Arial"/>
          <w:color w:val="222222"/>
          <w:sz w:val="24"/>
          <w:szCs w:val="24"/>
          <w:shd w:val="clear" w:color="auto" w:fill="FFFFFF"/>
        </w:rPr>
      </w:pPr>
      <w:r w:rsidRPr="00EA7694">
        <w:rPr>
          <w:rFonts w:ascii="Arial" w:hAnsi="Arial" w:cs="Arial"/>
          <w:color w:val="222222"/>
          <w:sz w:val="24"/>
          <w:szCs w:val="24"/>
          <w:shd w:val="clear" w:color="auto" w:fill="FFFFFF"/>
        </w:rPr>
        <w:t xml:space="preserve">Coles, T., </w:t>
      </w:r>
      <w:proofErr w:type="spellStart"/>
      <w:r w:rsidRPr="00EA7694">
        <w:rPr>
          <w:rFonts w:ascii="Arial" w:hAnsi="Arial" w:cs="Arial"/>
          <w:color w:val="222222"/>
          <w:sz w:val="24"/>
          <w:szCs w:val="24"/>
          <w:shd w:val="clear" w:color="auto" w:fill="FFFFFF"/>
        </w:rPr>
        <w:t>Fenclova</w:t>
      </w:r>
      <w:proofErr w:type="spellEnd"/>
      <w:r w:rsidRPr="00EA7694">
        <w:rPr>
          <w:rFonts w:ascii="Arial" w:hAnsi="Arial" w:cs="Arial"/>
          <w:color w:val="222222"/>
          <w:sz w:val="24"/>
          <w:szCs w:val="24"/>
          <w:shd w:val="clear" w:color="auto" w:fill="FFFFFF"/>
        </w:rPr>
        <w:t xml:space="preserve">, E. and </w:t>
      </w:r>
      <w:proofErr w:type="spellStart"/>
      <w:r w:rsidRPr="00EA7694">
        <w:rPr>
          <w:rFonts w:ascii="Arial" w:hAnsi="Arial" w:cs="Arial"/>
          <w:color w:val="222222"/>
          <w:sz w:val="24"/>
          <w:szCs w:val="24"/>
          <w:shd w:val="clear" w:color="auto" w:fill="FFFFFF"/>
        </w:rPr>
        <w:t>Dinan</w:t>
      </w:r>
      <w:proofErr w:type="spellEnd"/>
      <w:r w:rsidRPr="00EA7694">
        <w:rPr>
          <w:rFonts w:ascii="Arial" w:hAnsi="Arial" w:cs="Arial"/>
          <w:color w:val="222222"/>
          <w:sz w:val="24"/>
          <w:szCs w:val="24"/>
          <w:shd w:val="clear" w:color="auto" w:fill="FFFFFF"/>
        </w:rPr>
        <w:t>, C., 2013. Tourism and corporate social responsibility: A critical review and research agenda. </w:t>
      </w:r>
      <w:r w:rsidRPr="00EA7694">
        <w:rPr>
          <w:rFonts w:ascii="Arial" w:hAnsi="Arial" w:cs="Arial"/>
          <w:i/>
          <w:iCs/>
          <w:color w:val="222222"/>
          <w:sz w:val="24"/>
          <w:szCs w:val="24"/>
          <w:shd w:val="clear" w:color="auto" w:fill="FFFFFF"/>
        </w:rPr>
        <w:t>Tourism Management Perspectives</w:t>
      </w:r>
      <w:r w:rsidRPr="00EA7694">
        <w:rPr>
          <w:rFonts w:ascii="Arial" w:hAnsi="Arial" w:cs="Arial"/>
          <w:color w:val="222222"/>
          <w:sz w:val="24"/>
          <w:szCs w:val="24"/>
          <w:shd w:val="clear" w:color="auto" w:fill="FFFFFF"/>
        </w:rPr>
        <w:t>, </w:t>
      </w:r>
      <w:r w:rsidRPr="00EA7694">
        <w:rPr>
          <w:rFonts w:ascii="Arial" w:hAnsi="Arial" w:cs="Arial"/>
          <w:i/>
          <w:iCs/>
          <w:color w:val="222222"/>
          <w:sz w:val="24"/>
          <w:szCs w:val="24"/>
          <w:shd w:val="clear" w:color="auto" w:fill="FFFFFF"/>
        </w:rPr>
        <w:t>6</w:t>
      </w:r>
      <w:r w:rsidRPr="00EA7694">
        <w:rPr>
          <w:rFonts w:ascii="Arial" w:hAnsi="Arial" w:cs="Arial"/>
          <w:color w:val="222222"/>
          <w:sz w:val="24"/>
          <w:szCs w:val="24"/>
          <w:shd w:val="clear" w:color="auto" w:fill="FFFFFF"/>
        </w:rPr>
        <w:t>, pp.122-141.</w:t>
      </w:r>
    </w:p>
    <w:p w14:paraId="658A7AF7" w14:textId="77777777" w:rsidR="007A5836" w:rsidRPr="00EA7694" w:rsidRDefault="007A5836" w:rsidP="00EA7694">
      <w:pPr>
        <w:spacing w:after="0" w:line="360" w:lineRule="auto"/>
        <w:jc w:val="both"/>
        <w:rPr>
          <w:rFonts w:ascii="Arial" w:hAnsi="Arial" w:cs="Arial"/>
          <w:color w:val="222222"/>
          <w:sz w:val="24"/>
          <w:szCs w:val="24"/>
          <w:shd w:val="clear" w:color="auto" w:fill="FFFFFF"/>
        </w:rPr>
      </w:pPr>
    </w:p>
    <w:p w14:paraId="3C90F29A" w14:textId="77BE95EC" w:rsidR="007A5836" w:rsidRPr="00EA7694" w:rsidRDefault="007A5836" w:rsidP="00EA7694">
      <w:pPr>
        <w:spacing w:after="0" w:line="360" w:lineRule="auto"/>
        <w:jc w:val="both"/>
        <w:rPr>
          <w:rFonts w:ascii="Arial" w:hAnsi="Arial" w:cs="Arial"/>
          <w:sz w:val="24"/>
          <w:szCs w:val="24"/>
        </w:rPr>
      </w:pPr>
      <w:r w:rsidRPr="00EA7694">
        <w:rPr>
          <w:rFonts w:ascii="Arial" w:hAnsi="Arial" w:cs="Arial"/>
          <w:sz w:val="24"/>
          <w:szCs w:val="24"/>
        </w:rPr>
        <w:t>Cooper, C. (2021) Essentials of tourism. Third edition. London: SAGE.</w:t>
      </w:r>
    </w:p>
    <w:p w14:paraId="69A799A8" w14:textId="77777777" w:rsidR="007A5836" w:rsidRPr="00EA7694" w:rsidRDefault="007A5836" w:rsidP="00EA7694">
      <w:pPr>
        <w:spacing w:after="0" w:line="360" w:lineRule="auto"/>
        <w:jc w:val="both"/>
        <w:rPr>
          <w:rFonts w:ascii="Arial" w:hAnsi="Arial" w:cs="Arial"/>
          <w:sz w:val="24"/>
          <w:szCs w:val="24"/>
        </w:rPr>
      </w:pPr>
    </w:p>
    <w:p w14:paraId="3499646B" w14:textId="1FB7CFB2" w:rsidR="00151A84" w:rsidRPr="00EA7694" w:rsidRDefault="00151A84" w:rsidP="00EA7694">
      <w:pPr>
        <w:spacing w:after="0" w:line="360" w:lineRule="auto"/>
        <w:jc w:val="both"/>
        <w:rPr>
          <w:rFonts w:ascii="Arial" w:hAnsi="Arial" w:cs="Arial"/>
          <w:sz w:val="24"/>
          <w:szCs w:val="24"/>
        </w:rPr>
      </w:pPr>
      <w:r w:rsidRPr="00EA7694">
        <w:rPr>
          <w:rFonts w:ascii="Arial" w:hAnsi="Arial" w:cs="Arial"/>
          <w:sz w:val="24"/>
          <w:szCs w:val="24"/>
        </w:rPr>
        <w:t>Costa, &amp; Costa, C. (2022). Sustainability and competitiveness in the hospitality industry (Costa &amp; C. Costa, Eds.). Business Science Reference.</w:t>
      </w:r>
    </w:p>
    <w:p w14:paraId="619EA204" w14:textId="77777777" w:rsidR="00151A84" w:rsidRPr="00EA7694" w:rsidRDefault="00151A84" w:rsidP="00EA7694">
      <w:pPr>
        <w:spacing w:after="0" w:line="360" w:lineRule="auto"/>
        <w:jc w:val="both"/>
        <w:rPr>
          <w:rFonts w:ascii="Arial" w:hAnsi="Arial" w:cs="Arial"/>
          <w:sz w:val="24"/>
          <w:szCs w:val="24"/>
        </w:rPr>
      </w:pPr>
    </w:p>
    <w:p w14:paraId="50050C40" w14:textId="7BAE1D15" w:rsidR="00151A84" w:rsidRPr="00EA7694" w:rsidRDefault="00151A84" w:rsidP="00EA7694">
      <w:pPr>
        <w:spacing w:after="0" w:line="360" w:lineRule="auto"/>
        <w:jc w:val="both"/>
        <w:rPr>
          <w:rFonts w:ascii="Arial" w:hAnsi="Arial" w:cs="Arial"/>
          <w:sz w:val="24"/>
          <w:szCs w:val="24"/>
        </w:rPr>
      </w:pPr>
      <w:proofErr w:type="spellStart"/>
      <w:r w:rsidRPr="00EA7694">
        <w:rPr>
          <w:rFonts w:ascii="Arial" w:hAnsi="Arial" w:cs="Arial"/>
          <w:sz w:val="24"/>
          <w:szCs w:val="24"/>
        </w:rPr>
        <w:t>Edgell</w:t>
      </w:r>
      <w:proofErr w:type="spellEnd"/>
      <w:r w:rsidRPr="00EA7694">
        <w:rPr>
          <w:rFonts w:ascii="Arial" w:hAnsi="Arial" w:cs="Arial"/>
          <w:sz w:val="24"/>
          <w:szCs w:val="24"/>
        </w:rPr>
        <w:t xml:space="preserve">. (2020). Managing sustainable tourism : a legacy for the future (Third edition). </w:t>
      </w:r>
      <w:proofErr w:type="spellStart"/>
      <w:r w:rsidRPr="00EA7694">
        <w:rPr>
          <w:rFonts w:ascii="Arial" w:hAnsi="Arial" w:cs="Arial"/>
          <w:sz w:val="24"/>
          <w:szCs w:val="24"/>
        </w:rPr>
        <w:t>Routledge</w:t>
      </w:r>
      <w:proofErr w:type="spellEnd"/>
      <w:r w:rsidRPr="00EA7694">
        <w:rPr>
          <w:rFonts w:ascii="Arial" w:hAnsi="Arial" w:cs="Arial"/>
          <w:sz w:val="24"/>
          <w:szCs w:val="24"/>
        </w:rPr>
        <w:t xml:space="preserve">. </w:t>
      </w:r>
    </w:p>
    <w:p w14:paraId="4B92DD36" w14:textId="77777777" w:rsidR="00151A84" w:rsidRPr="00EA7694" w:rsidRDefault="00151A84" w:rsidP="00EA7694">
      <w:pPr>
        <w:spacing w:after="0" w:line="360" w:lineRule="auto"/>
        <w:jc w:val="both"/>
        <w:rPr>
          <w:rFonts w:ascii="Arial" w:hAnsi="Arial" w:cs="Arial"/>
          <w:sz w:val="24"/>
          <w:szCs w:val="24"/>
        </w:rPr>
      </w:pPr>
    </w:p>
    <w:p w14:paraId="45129E24" w14:textId="6CB3DF85" w:rsidR="00813510" w:rsidRPr="00EA7694" w:rsidRDefault="00233473" w:rsidP="00EA7694">
      <w:pPr>
        <w:spacing w:after="0" w:line="360" w:lineRule="auto"/>
        <w:jc w:val="both"/>
        <w:rPr>
          <w:rFonts w:ascii="Arial" w:hAnsi="Arial" w:cs="Arial"/>
          <w:color w:val="222222"/>
          <w:sz w:val="24"/>
          <w:szCs w:val="24"/>
          <w:shd w:val="clear" w:color="auto" w:fill="FFFFFF"/>
        </w:rPr>
      </w:pPr>
      <w:r w:rsidRPr="00EA7694">
        <w:rPr>
          <w:rFonts w:ascii="Arial" w:hAnsi="Arial" w:cs="Arial"/>
          <w:color w:val="222222"/>
          <w:sz w:val="24"/>
          <w:szCs w:val="24"/>
          <w:shd w:val="clear" w:color="auto" w:fill="FFFFFF"/>
        </w:rPr>
        <w:t>Elkington, J. and Rowlands, I.H., 1999. Cannibals with forks: The triple bottom line of 21st century business. </w:t>
      </w:r>
      <w:r w:rsidRPr="00EA7694">
        <w:rPr>
          <w:rFonts w:ascii="Arial" w:hAnsi="Arial" w:cs="Arial"/>
          <w:i/>
          <w:iCs/>
          <w:color w:val="222222"/>
          <w:sz w:val="24"/>
          <w:szCs w:val="24"/>
          <w:shd w:val="clear" w:color="auto" w:fill="FFFFFF"/>
        </w:rPr>
        <w:t>Alternatives Journal</w:t>
      </w:r>
      <w:r w:rsidRPr="00EA7694">
        <w:rPr>
          <w:rFonts w:ascii="Arial" w:hAnsi="Arial" w:cs="Arial"/>
          <w:color w:val="222222"/>
          <w:sz w:val="24"/>
          <w:szCs w:val="24"/>
          <w:shd w:val="clear" w:color="auto" w:fill="FFFFFF"/>
        </w:rPr>
        <w:t>, </w:t>
      </w:r>
      <w:r w:rsidRPr="00EA7694">
        <w:rPr>
          <w:rFonts w:ascii="Arial" w:hAnsi="Arial" w:cs="Arial"/>
          <w:i/>
          <w:iCs/>
          <w:color w:val="222222"/>
          <w:sz w:val="24"/>
          <w:szCs w:val="24"/>
          <w:shd w:val="clear" w:color="auto" w:fill="FFFFFF"/>
        </w:rPr>
        <w:t>25</w:t>
      </w:r>
      <w:r w:rsidRPr="00EA7694">
        <w:rPr>
          <w:rFonts w:ascii="Arial" w:hAnsi="Arial" w:cs="Arial"/>
          <w:color w:val="222222"/>
          <w:sz w:val="24"/>
          <w:szCs w:val="24"/>
          <w:shd w:val="clear" w:color="auto" w:fill="FFFFFF"/>
        </w:rPr>
        <w:t>(4), p.42.</w:t>
      </w:r>
    </w:p>
    <w:p w14:paraId="4DA7E744" w14:textId="77777777" w:rsidR="007A5836" w:rsidRPr="00EA7694" w:rsidRDefault="007A5836" w:rsidP="00EA7694">
      <w:pPr>
        <w:spacing w:after="0" w:line="360" w:lineRule="auto"/>
        <w:jc w:val="both"/>
        <w:rPr>
          <w:rFonts w:ascii="Arial" w:hAnsi="Arial" w:cs="Arial"/>
          <w:color w:val="222222"/>
          <w:sz w:val="24"/>
          <w:szCs w:val="24"/>
          <w:shd w:val="clear" w:color="auto" w:fill="FFFFFF"/>
        </w:rPr>
      </w:pPr>
    </w:p>
    <w:p w14:paraId="2510EA88" w14:textId="1DB5CAA2" w:rsidR="007A5836" w:rsidRPr="00EA7694" w:rsidRDefault="007A5836"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000000"/>
        </w:rPr>
        <w:t xml:space="preserve">Font, X. and </w:t>
      </w:r>
      <w:proofErr w:type="spellStart"/>
      <w:r w:rsidRPr="00EA7694">
        <w:rPr>
          <w:rFonts w:ascii="Arial" w:hAnsi="Arial" w:cs="Arial"/>
          <w:color w:val="000000"/>
        </w:rPr>
        <w:t>Lynes</w:t>
      </w:r>
      <w:proofErr w:type="spellEnd"/>
      <w:r w:rsidRPr="00EA7694">
        <w:rPr>
          <w:rFonts w:ascii="Arial" w:hAnsi="Arial" w:cs="Arial"/>
          <w:color w:val="000000"/>
        </w:rPr>
        <w:t>, J. (2018). Corporate social responsibility in tourism and hospitality. </w:t>
      </w:r>
      <w:r w:rsidRPr="00EA7694">
        <w:rPr>
          <w:rFonts w:ascii="Arial" w:hAnsi="Arial" w:cs="Arial"/>
          <w:i/>
          <w:iCs/>
          <w:color w:val="000000"/>
        </w:rPr>
        <w:t>Journal of Sustainable Tourism</w:t>
      </w:r>
      <w:r w:rsidRPr="00EA7694">
        <w:rPr>
          <w:rFonts w:ascii="Arial" w:hAnsi="Arial" w:cs="Arial"/>
          <w:color w:val="000000"/>
        </w:rPr>
        <w:t>, 26(7), pp.1027–1042. doi:https://doi.org/10.1080/09669582.2018.1488856.</w:t>
      </w:r>
    </w:p>
    <w:p w14:paraId="1ADB2E5B" w14:textId="77777777" w:rsidR="007A5836" w:rsidRPr="00EA7694" w:rsidRDefault="007A5836" w:rsidP="00EA7694">
      <w:pPr>
        <w:spacing w:after="0" w:line="360" w:lineRule="auto"/>
        <w:jc w:val="both"/>
        <w:rPr>
          <w:rFonts w:ascii="Arial" w:hAnsi="Arial" w:cs="Arial"/>
          <w:color w:val="222222"/>
          <w:sz w:val="24"/>
          <w:szCs w:val="24"/>
          <w:shd w:val="clear" w:color="auto" w:fill="FFFFFF"/>
        </w:rPr>
      </w:pPr>
    </w:p>
    <w:p w14:paraId="18975202" w14:textId="0F472A62" w:rsidR="007A5836" w:rsidRPr="00EA7694" w:rsidRDefault="007A5836" w:rsidP="00EA7694">
      <w:pPr>
        <w:spacing w:after="0" w:line="360" w:lineRule="auto"/>
        <w:jc w:val="both"/>
        <w:rPr>
          <w:rFonts w:ascii="Arial" w:hAnsi="Arial" w:cs="Arial"/>
          <w:color w:val="222222"/>
          <w:sz w:val="24"/>
          <w:szCs w:val="24"/>
          <w:shd w:val="clear" w:color="auto" w:fill="FFFFFF"/>
        </w:rPr>
      </w:pPr>
      <w:proofErr w:type="spellStart"/>
      <w:r w:rsidRPr="00EA7694">
        <w:rPr>
          <w:rFonts w:ascii="Arial" w:hAnsi="Arial" w:cs="Arial"/>
          <w:sz w:val="24"/>
          <w:szCs w:val="24"/>
        </w:rPr>
        <w:lastRenderedPageBreak/>
        <w:t>Haski-Leventhal</w:t>
      </w:r>
      <w:proofErr w:type="spellEnd"/>
      <w:r w:rsidRPr="00EA7694">
        <w:rPr>
          <w:rFonts w:ascii="Arial" w:hAnsi="Arial" w:cs="Arial"/>
          <w:sz w:val="24"/>
          <w:szCs w:val="24"/>
        </w:rPr>
        <w:t>, D. (2018) Strategic corporate social responsibility : tools &amp; theories for responsible management. London: SAGE.</w:t>
      </w:r>
    </w:p>
    <w:p w14:paraId="3576A6B0" w14:textId="77777777" w:rsidR="00151A84" w:rsidRPr="00EA7694" w:rsidRDefault="00151A84" w:rsidP="00EA7694">
      <w:pPr>
        <w:spacing w:after="0" w:line="360" w:lineRule="auto"/>
        <w:jc w:val="both"/>
        <w:rPr>
          <w:rFonts w:ascii="Arial" w:hAnsi="Arial" w:cs="Arial"/>
          <w:color w:val="222222"/>
          <w:sz w:val="24"/>
          <w:szCs w:val="24"/>
          <w:shd w:val="clear" w:color="auto" w:fill="FFFFFF"/>
        </w:rPr>
      </w:pPr>
    </w:p>
    <w:p w14:paraId="3900DEAC" w14:textId="023E31CB" w:rsidR="00151A84" w:rsidRPr="00EA7694" w:rsidRDefault="00151A84"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222222"/>
          <w:shd w:val="clear" w:color="auto" w:fill="FFFFFF"/>
        </w:rPr>
        <w:t xml:space="preserve">Hilton (n.d.). </w:t>
      </w:r>
      <w:r w:rsidRPr="00EA7694">
        <w:rPr>
          <w:rFonts w:ascii="Arial" w:hAnsi="Arial" w:cs="Arial"/>
          <w:color w:val="000000"/>
        </w:rPr>
        <w:t>RESPONSIBLE SOURCING 2022 Goal Progress GOALS PROGRESS. Available at: https://esg.hilton.com/wp-content/uploads/sites/4/2024/03/2022-Hilton-ESG-Report_Responsible-Sourcing-Goals.pdf.</w:t>
      </w:r>
    </w:p>
    <w:p w14:paraId="06E8657E" w14:textId="77777777" w:rsidR="00151A84" w:rsidRPr="00EA7694" w:rsidRDefault="00151A84" w:rsidP="00EA7694">
      <w:pPr>
        <w:spacing w:after="0" w:line="360" w:lineRule="auto"/>
        <w:jc w:val="both"/>
        <w:rPr>
          <w:rFonts w:ascii="Arial" w:hAnsi="Arial" w:cs="Arial"/>
          <w:color w:val="222222"/>
          <w:sz w:val="24"/>
          <w:szCs w:val="24"/>
          <w:shd w:val="clear" w:color="auto" w:fill="FFFFFF"/>
        </w:rPr>
      </w:pPr>
    </w:p>
    <w:p w14:paraId="7F6DFA27" w14:textId="05F35AA2" w:rsidR="00151A84" w:rsidRPr="00EA7694" w:rsidRDefault="00151A84"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222222"/>
          <w:shd w:val="clear" w:color="auto" w:fill="FFFFFF"/>
        </w:rPr>
        <w:t xml:space="preserve">Hilton (2022). </w:t>
      </w:r>
      <w:r w:rsidRPr="00EA7694">
        <w:rPr>
          <w:rFonts w:ascii="Arial" w:hAnsi="Arial" w:cs="Arial"/>
          <w:i/>
          <w:iCs/>
          <w:color w:val="000000"/>
        </w:rPr>
        <w:t>Hilton – 2022 Environmental, Social and Governance (ESG) Report</w:t>
      </w:r>
      <w:r w:rsidRPr="00EA7694">
        <w:rPr>
          <w:rFonts w:ascii="Arial" w:hAnsi="Arial" w:cs="Arial"/>
          <w:color w:val="000000"/>
        </w:rPr>
        <w:t xml:space="preserve">. [online] Available at: </w:t>
      </w:r>
      <w:hyperlink r:id="rId6" w:history="1">
        <w:r w:rsidRPr="00EA7694">
          <w:rPr>
            <w:rStyle w:val="Hyperlink"/>
            <w:rFonts w:ascii="Arial" w:hAnsi="Arial" w:cs="Arial"/>
          </w:rPr>
          <w:t>https://ir.hilton.com/corporate-governance/governance-documents/2020-environmental-social-and-governance-esg-report</w:t>
        </w:r>
      </w:hyperlink>
      <w:r w:rsidRPr="00EA7694">
        <w:rPr>
          <w:rFonts w:ascii="Arial" w:hAnsi="Arial" w:cs="Arial"/>
          <w:color w:val="000000"/>
        </w:rPr>
        <w:t>.</w:t>
      </w:r>
    </w:p>
    <w:p w14:paraId="2E1FD8E2" w14:textId="77777777" w:rsidR="00151A84" w:rsidRPr="00EA7694" w:rsidRDefault="00151A84" w:rsidP="00EA7694">
      <w:pPr>
        <w:pStyle w:val="NormalWeb"/>
        <w:spacing w:before="0" w:beforeAutospacing="0" w:after="0" w:afterAutospacing="0" w:line="360" w:lineRule="auto"/>
        <w:jc w:val="both"/>
        <w:rPr>
          <w:rFonts w:ascii="Arial" w:hAnsi="Arial" w:cs="Arial"/>
          <w:color w:val="000000"/>
        </w:rPr>
      </w:pPr>
    </w:p>
    <w:p w14:paraId="4922C0DF" w14:textId="3A6D3A8D" w:rsidR="00151A84" w:rsidRPr="00EA7694" w:rsidRDefault="00151A84"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000000"/>
        </w:rPr>
        <w:t>Hilton (2023). </w:t>
      </w:r>
      <w:r w:rsidRPr="00EA7694">
        <w:rPr>
          <w:rFonts w:ascii="Arial" w:hAnsi="Arial" w:cs="Arial"/>
          <w:i/>
          <w:iCs/>
          <w:color w:val="000000"/>
        </w:rPr>
        <w:t>Environmental Impact</w:t>
      </w:r>
      <w:r w:rsidRPr="00EA7694">
        <w:rPr>
          <w:rFonts w:ascii="Arial" w:hAnsi="Arial" w:cs="Arial"/>
          <w:color w:val="000000"/>
        </w:rPr>
        <w:t>. [online] Hilton. Available at: https://esg.hilton.com/environment/.</w:t>
      </w:r>
    </w:p>
    <w:p w14:paraId="221AB878" w14:textId="77777777" w:rsidR="00151A84" w:rsidRPr="00EA7694" w:rsidRDefault="00151A84" w:rsidP="00EA7694">
      <w:pPr>
        <w:pStyle w:val="NormalWeb"/>
        <w:spacing w:before="0" w:beforeAutospacing="0" w:after="0" w:afterAutospacing="0" w:line="360" w:lineRule="auto"/>
        <w:jc w:val="both"/>
        <w:rPr>
          <w:rFonts w:ascii="Arial" w:hAnsi="Arial" w:cs="Arial"/>
          <w:color w:val="000000"/>
        </w:rPr>
      </w:pPr>
    </w:p>
    <w:p w14:paraId="071665A4" w14:textId="16C416DE" w:rsidR="00151A84" w:rsidRPr="00EA7694" w:rsidRDefault="00151A84"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000000"/>
        </w:rPr>
        <w:t xml:space="preserve">Hilton (2024). Travel With Purpose </w:t>
      </w:r>
      <w:r w:rsidRPr="00EA7694">
        <w:rPr>
          <w:rFonts w:ascii="Arial" w:hAnsi="Arial" w:cs="Arial"/>
          <w:i/>
          <w:iCs/>
          <w:color w:val="000000"/>
        </w:rPr>
        <w:t>Our Progress</w:t>
      </w:r>
      <w:r w:rsidRPr="00EA7694">
        <w:rPr>
          <w:rFonts w:ascii="Arial" w:hAnsi="Arial" w:cs="Arial"/>
          <w:color w:val="000000"/>
        </w:rPr>
        <w:t xml:space="preserve">. [online] Available at: </w:t>
      </w:r>
      <w:hyperlink r:id="rId7" w:history="1">
        <w:r w:rsidR="007A5836" w:rsidRPr="00EA7694">
          <w:rPr>
            <w:rStyle w:val="Hyperlink"/>
            <w:rFonts w:ascii="Arial" w:hAnsi="Arial" w:cs="Arial"/>
          </w:rPr>
          <w:t>https://esg.hilton.com/our-progress/</w:t>
        </w:r>
      </w:hyperlink>
      <w:r w:rsidRPr="00EA7694">
        <w:rPr>
          <w:rFonts w:ascii="Arial" w:hAnsi="Arial" w:cs="Arial"/>
          <w:color w:val="000000"/>
        </w:rPr>
        <w:t>.</w:t>
      </w:r>
    </w:p>
    <w:p w14:paraId="298FF8EF" w14:textId="77777777" w:rsidR="007A5836" w:rsidRPr="00EA7694" w:rsidRDefault="007A5836" w:rsidP="00EA7694">
      <w:pPr>
        <w:pStyle w:val="NormalWeb"/>
        <w:spacing w:before="0" w:beforeAutospacing="0" w:after="0" w:afterAutospacing="0" w:line="360" w:lineRule="auto"/>
        <w:jc w:val="both"/>
        <w:rPr>
          <w:rFonts w:ascii="Arial" w:hAnsi="Arial" w:cs="Arial"/>
          <w:color w:val="000000"/>
        </w:rPr>
      </w:pPr>
    </w:p>
    <w:p w14:paraId="065547B4" w14:textId="496AF7A5" w:rsidR="007A5836" w:rsidRPr="00EA7694" w:rsidRDefault="007A5836" w:rsidP="00EA7694">
      <w:pPr>
        <w:pStyle w:val="NormalWeb"/>
        <w:spacing w:before="0" w:beforeAutospacing="0" w:after="0" w:afterAutospacing="0" w:line="360" w:lineRule="auto"/>
        <w:jc w:val="both"/>
        <w:rPr>
          <w:rFonts w:ascii="Arial" w:hAnsi="Arial" w:cs="Arial"/>
        </w:rPr>
      </w:pPr>
      <w:proofErr w:type="spellStart"/>
      <w:r w:rsidRPr="00EA7694">
        <w:rPr>
          <w:rFonts w:ascii="Arial" w:hAnsi="Arial" w:cs="Arial"/>
        </w:rPr>
        <w:t>Inkson</w:t>
      </w:r>
      <w:proofErr w:type="spellEnd"/>
      <w:r w:rsidRPr="00EA7694">
        <w:rPr>
          <w:rFonts w:ascii="Arial" w:hAnsi="Arial" w:cs="Arial"/>
        </w:rPr>
        <w:t xml:space="preserve">, C. and </w:t>
      </w:r>
      <w:proofErr w:type="spellStart"/>
      <w:r w:rsidRPr="00EA7694">
        <w:rPr>
          <w:rFonts w:ascii="Arial" w:hAnsi="Arial" w:cs="Arial"/>
        </w:rPr>
        <w:t>Minnaert</w:t>
      </w:r>
      <w:proofErr w:type="spellEnd"/>
      <w:r w:rsidRPr="00EA7694">
        <w:rPr>
          <w:rFonts w:ascii="Arial" w:hAnsi="Arial" w:cs="Arial"/>
        </w:rPr>
        <w:t>, L. (2018) Tourism management : an introduction. 2nd ed. London: SAGE.</w:t>
      </w:r>
    </w:p>
    <w:p w14:paraId="4A60B395" w14:textId="77777777" w:rsidR="007A5836" w:rsidRPr="00EA7694" w:rsidRDefault="007A5836" w:rsidP="00EA7694">
      <w:pPr>
        <w:pStyle w:val="NormalWeb"/>
        <w:spacing w:before="0" w:beforeAutospacing="0" w:after="0" w:afterAutospacing="0" w:line="360" w:lineRule="auto"/>
        <w:jc w:val="both"/>
        <w:rPr>
          <w:rFonts w:ascii="Arial" w:hAnsi="Arial" w:cs="Arial"/>
        </w:rPr>
      </w:pPr>
    </w:p>
    <w:p w14:paraId="082ACF37" w14:textId="0F896991" w:rsidR="007A5836" w:rsidRPr="00EA7694" w:rsidRDefault="007A5836" w:rsidP="00EA7694">
      <w:pPr>
        <w:pStyle w:val="NormalWeb"/>
        <w:spacing w:before="0" w:beforeAutospacing="0" w:after="0" w:afterAutospacing="0" w:line="360" w:lineRule="auto"/>
        <w:jc w:val="both"/>
        <w:rPr>
          <w:rFonts w:ascii="Arial" w:hAnsi="Arial" w:cs="Arial"/>
          <w:color w:val="000000"/>
        </w:rPr>
      </w:pPr>
      <w:proofErr w:type="spellStart"/>
      <w:r w:rsidRPr="00EA7694">
        <w:rPr>
          <w:rFonts w:ascii="Arial" w:hAnsi="Arial" w:cs="Arial"/>
        </w:rPr>
        <w:t>Jauhari</w:t>
      </w:r>
      <w:proofErr w:type="spellEnd"/>
      <w:r w:rsidRPr="00EA7694">
        <w:rPr>
          <w:rFonts w:ascii="Arial" w:hAnsi="Arial" w:cs="Arial"/>
        </w:rPr>
        <w:t xml:space="preserve">, V (2021) ‘Managing Sustainability in the Hospitality and Tourism Industry: Paradigms and Directions for the Future’ 9 </w:t>
      </w:r>
      <w:proofErr w:type="spellStart"/>
      <w:r w:rsidRPr="00EA7694">
        <w:rPr>
          <w:rFonts w:ascii="Arial" w:hAnsi="Arial" w:cs="Arial"/>
        </w:rPr>
        <w:t>th</w:t>
      </w:r>
      <w:proofErr w:type="spellEnd"/>
      <w:r w:rsidRPr="00EA7694">
        <w:rPr>
          <w:rFonts w:ascii="Arial" w:hAnsi="Arial" w:cs="Arial"/>
        </w:rPr>
        <w:t xml:space="preserve"> </w:t>
      </w:r>
      <w:proofErr w:type="spellStart"/>
      <w:r w:rsidRPr="00EA7694">
        <w:rPr>
          <w:rFonts w:ascii="Arial" w:hAnsi="Arial" w:cs="Arial"/>
        </w:rPr>
        <w:t>edn.Oakville</w:t>
      </w:r>
      <w:proofErr w:type="spellEnd"/>
      <w:r w:rsidRPr="00EA7694">
        <w:rPr>
          <w:rFonts w:ascii="Arial" w:hAnsi="Arial" w:cs="Arial"/>
        </w:rPr>
        <w:t>: Apple Academic Press. Inc</w:t>
      </w:r>
    </w:p>
    <w:p w14:paraId="3CB601AC" w14:textId="77777777" w:rsidR="00233473" w:rsidRPr="00EA7694" w:rsidRDefault="00233473" w:rsidP="00EA7694">
      <w:pPr>
        <w:spacing w:after="0" w:line="360" w:lineRule="auto"/>
        <w:jc w:val="both"/>
        <w:rPr>
          <w:rFonts w:ascii="Arial" w:hAnsi="Arial" w:cs="Arial"/>
          <w:color w:val="222222"/>
          <w:sz w:val="24"/>
          <w:szCs w:val="24"/>
          <w:shd w:val="clear" w:color="auto" w:fill="FFFFFF"/>
        </w:rPr>
      </w:pPr>
    </w:p>
    <w:p w14:paraId="7A26A61C" w14:textId="1C0B53BD" w:rsidR="00233473" w:rsidRPr="00EA7694" w:rsidRDefault="00233473" w:rsidP="00EA7694">
      <w:pPr>
        <w:pStyle w:val="NormalWeb"/>
        <w:spacing w:before="0" w:beforeAutospacing="0" w:after="0" w:afterAutospacing="0" w:line="360" w:lineRule="auto"/>
        <w:jc w:val="both"/>
        <w:rPr>
          <w:rFonts w:ascii="Arial" w:hAnsi="Arial" w:cs="Arial"/>
          <w:color w:val="000000"/>
        </w:rPr>
      </w:pPr>
      <w:proofErr w:type="spellStart"/>
      <w:r w:rsidRPr="00EA7694">
        <w:rPr>
          <w:rFonts w:ascii="Arial" w:hAnsi="Arial" w:cs="Arial"/>
          <w:color w:val="000000"/>
        </w:rPr>
        <w:t>Loviscek</w:t>
      </w:r>
      <w:proofErr w:type="spellEnd"/>
      <w:r w:rsidRPr="00EA7694">
        <w:rPr>
          <w:rFonts w:ascii="Arial" w:hAnsi="Arial" w:cs="Arial"/>
          <w:color w:val="000000"/>
        </w:rPr>
        <w:t>, V. (2021). Triple Bottom Line toward a Holistic Framework for Sustainability: a Systematic Review. </w:t>
      </w:r>
      <w:proofErr w:type="spellStart"/>
      <w:r w:rsidRPr="00EA7694">
        <w:rPr>
          <w:rFonts w:ascii="Arial" w:hAnsi="Arial" w:cs="Arial"/>
          <w:i/>
          <w:iCs/>
          <w:color w:val="000000"/>
        </w:rPr>
        <w:t>Revista</w:t>
      </w:r>
      <w:proofErr w:type="spellEnd"/>
      <w:r w:rsidRPr="00EA7694">
        <w:rPr>
          <w:rFonts w:ascii="Arial" w:hAnsi="Arial" w:cs="Arial"/>
          <w:i/>
          <w:iCs/>
          <w:color w:val="000000"/>
        </w:rPr>
        <w:t xml:space="preserve"> De </w:t>
      </w:r>
      <w:proofErr w:type="spellStart"/>
      <w:r w:rsidRPr="00EA7694">
        <w:rPr>
          <w:rFonts w:ascii="Arial" w:hAnsi="Arial" w:cs="Arial"/>
          <w:i/>
          <w:iCs/>
          <w:color w:val="000000"/>
        </w:rPr>
        <w:t>Administração</w:t>
      </w:r>
      <w:proofErr w:type="spellEnd"/>
      <w:r w:rsidRPr="00EA7694">
        <w:rPr>
          <w:rFonts w:ascii="Arial" w:hAnsi="Arial" w:cs="Arial"/>
          <w:i/>
          <w:iCs/>
          <w:color w:val="000000"/>
        </w:rPr>
        <w:t xml:space="preserve"> </w:t>
      </w:r>
      <w:proofErr w:type="spellStart"/>
      <w:r w:rsidRPr="00EA7694">
        <w:rPr>
          <w:rFonts w:ascii="Arial" w:hAnsi="Arial" w:cs="Arial"/>
          <w:i/>
          <w:iCs/>
          <w:color w:val="000000"/>
        </w:rPr>
        <w:t>Contemporânea</w:t>
      </w:r>
      <w:proofErr w:type="spellEnd"/>
      <w:r w:rsidRPr="00EA7694">
        <w:rPr>
          <w:rFonts w:ascii="Arial" w:hAnsi="Arial" w:cs="Arial"/>
          <w:color w:val="000000"/>
        </w:rPr>
        <w:t>, 25(3), pp.1–11.</w:t>
      </w:r>
    </w:p>
    <w:p w14:paraId="050742E8" w14:textId="77777777" w:rsidR="007A5836" w:rsidRPr="00EA7694" w:rsidRDefault="007A5836" w:rsidP="00EA7694">
      <w:pPr>
        <w:pStyle w:val="NormalWeb"/>
        <w:spacing w:before="0" w:beforeAutospacing="0" w:after="0" w:afterAutospacing="0" w:line="360" w:lineRule="auto"/>
        <w:jc w:val="both"/>
        <w:rPr>
          <w:rFonts w:ascii="Arial" w:hAnsi="Arial" w:cs="Arial"/>
          <w:color w:val="000000"/>
        </w:rPr>
      </w:pPr>
    </w:p>
    <w:p w14:paraId="163F3177" w14:textId="31ED24C3" w:rsidR="007A5836" w:rsidRPr="00EA7694" w:rsidRDefault="007A5836" w:rsidP="00EA7694">
      <w:pPr>
        <w:pStyle w:val="NormalWeb"/>
        <w:spacing w:before="0" w:beforeAutospacing="0" w:after="0" w:afterAutospacing="0" w:line="360" w:lineRule="auto"/>
        <w:jc w:val="both"/>
        <w:rPr>
          <w:rFonts w:ascii="Arial" w:hAnsi="Arial" w:cs="Arial"/>
          <w:color w:val="000000"/>
        </w:rPr>
      </w:pPr>
      <w:proofErr w:type="spellStart"/>
      <w:r w:rsidRPr="00EA7694">
        <w:rPr>
          <w:rFonts w:ascii="Arial" w:hAnsi="Arial" w:cs="Arial"/>
          <w:color w:val="222222"/>
          <w:shd w:val="clear" w:color="auto" w:fill="FFFFFF"/>
        </w:rPr>
        <w:t>Majeed</w:t>
      </w:r>
      <w:proofErr w:type="spellEnd"/>
      <w:r w:rsidRPr="00EA7694">
        <w:rPr>
          <w:rFonts w:ascii="Arial" w:hAnsi="Arial" w:cs="Arial"/>
          <w:color w:val="222222"/>
          <w:shd w:val="clear" w:color="auto" w:fill="FFFFFF"/>
        </w:rPr>
        <w:t>, S. and Kim, W.G., 2022. A reflection of greenwashing practices in the hospitality industry: a scoping review. </w:t>
      </w:r>
      <w:r w:rsidRPr="00EA7694">
        <w:rPr>
          <w:rFonts w:ascii="Arial" w:hAnsi="Arial" w:cs="Arial"/>
          <w:i/>
          <w:iCs/>
          <w:color w:val="222222"/>
          <w:shd w:val="clear" w:color="auto" w:fill="FFFFFF"/>
        </w:rPr>
        <w:t>International Journal of Contemporary Hospitality Management</w:t>
      </w:r>
      <w:r w:rsidRPr="00EA7694">
        <w:rPr>
          <w:rFonts w:ascii="Arial" w:hAnsi="Arial" w:cs="Arial"/>
          <w:color w:val="222222"/>
          <w:shd w:val="clear" w:color="auto" w:fill="FFFFFF"/>
        </w:rPr>
        <w:t>, </w:t>
      </w:r>
      <w:r w:rsidRPr="00EA7694">
        <w:rPr>
          <w:rFonts w:ascii="Arial" w:hAnsi="Arial" w:cs="Arial"/>
          <w:i/>
          <w:iCs/>
          <w:color w:val="222222"/>
          <w:shd w:val="clear" w:color="auto" w:fill="FFFFFF"/>
        </w:rPr>
        <w:t>35</w:t>
      </w:r>
      <w:r w:rsidRPr="00EA7694">
        <w:rPr>
          <w:rFonts w:ascii="Arial" w:hAnsi="Arial" w:cs="Arial"/>
          <w:color w:val="222222"/>
          <w:shd w:val="clear" w:color="auto" w:fill="FFFFFF"/>
        </w:rPr>
        <w:t>(3), pp.1125-1146.</w:t>
      </w:r>
    </w:p>
    <w:p w14:paraId="255C583F" w14:textId="77777777" w:rsidR="00151A84" w:rsidRPr="00EA7694" w:rsidRDefault="00151A84" w:rsidP="00EA7694">
      <w:pPr>
        <w:pStyle w:val="NormalWeb"/>
        <w:spacing w:before="0" w:beforeAutospacing="0" w:after="0" w:afterAutospacing="0" w:line="360" w:lineRule="auto"/>
        <w:jc w:val="both"/>
        <w:rPr>
          <w:rFonts w:ascii="Arial" w:hAnsi="Arial" w:cs="Arial"/>
          <w:color w:val="000000"/>
        </w:rPr>
      </w:pPr>
    </w:p>
    <w:p w14:paraId="6AE4D4AE" w14:textId="70A6FBFA" w:rsidR="00151A84" w:rsidRPr="00EA7694" w:rsidRDefault="00151A84" w:rsidP="00EA7694">
      <w:pPr>
        <w:pStyle w:val="NormalWeb"/>
        <w:spacing w:before="0" w:beforeAutospacing="0" w:after="0" w:afterAutospacing="0" w:line="360" w:lineRule="auto"/>
        <w:jc w:val="both"/>
        <w:rPr>
          <w:rFonts w:ascii="Arial" w:hAnsi="Arial" w:cs="Arial"/>
          <w:color w:val="000000"/>
        </w:rPr>
      </w:pPr>
      <w:proofErr w:type="spellStart"/>
      <w:r w:rsidRPr="00EA7694">
        <w:rPr>
          <w:rFonts w:ascii="Arial" w:hAnsi="Arial" w:cs="Arial"/>
          <w:color w:val="000000"/>
        </w:rPr>
        <w:t>Nogueira</w:t>
      </w:r>
      <w:proofErr w:type="spellEnd"/>
      <w:r w:rsidRPr="00EA7694">
        <w:rPr>
          <w:rFonts w:ascii="Arial" w:hAnsi="Arial" w:cs="Arial"/>
          <w:color w:val="000000"/>
        </w:rPr>
        <w:t xml:space="preserve">, E., Gomes, S. and Lopes, J.M. (2023). Triple Bottom Line, Sustainability, and Economic Development: What Binds Them Together? A </w:t>
      </w:r>
      <w:proofErr w:type="spellStart"/>
      <w:r w:rsidRPr="00EA7694">
        <w:rPr>
          <w:rFonts w:ascii="Arial" w:hAnsi="Arial" w:cs="Arial"/>
          <w:color w:val="000000"/>
        </w:rPr>
        <w:t>Bibliometric</w:t>
      </w:r>
      <w:proofErr w:type="spellEnd"/>
      <w:r w:rsidRPr="00EA7694">
        <w:rPr>
          <w:rFonts w:ascii="Arial" w:hAnsi="Arial" w:cs="Arial"/>
          <w:color w:val="000000"/>
        </w:rPr>
        <w:t xml:space="preserve"> </w:t>
      </w:r>
      <w:r w:rsidRPr="00EA7694">
        <w:rPr>
          <w:rFonts w:ascii="Arial" w:hAnsi="Arial" w:cs="Arial"/>
          <w:color w:val="000000"/>
        </w:rPr>
        <w:lastRenderedPageBreak/>
        <w:t>Approach. </w:t>
      </w:r>
      <w:r w:rsidRPr="00EA7694">
        <w:rPr>
          <w:rFonts w:ascii="Arial" w:hAnsi="Arial" w:cs="Arial"/>
          <w:i/>
          <w:iCs/>
          <w:color w:val="000000"/>
        </w:rPr>
        <w:t>Sustainability</w:t>
      </w:r>
      <w:r w:rsidRPr="00EA7694">
        <w:rPr>
          <w:rFonts w:ascii="Arial" w:hAnsi="Arial" w:cs="Arial"/>
          <w:color w:val="000000"/>
        </w:rPr>
        <w:t>, [online] 15(8), p.6706. Available at: https://www.mdpi.com/2071-1050/15/8/6706.</w:t>
      </w:r>
    </w:p>
    <w:p w14:paraId="35C5960A" w14:textId="77777777" w:rsidR="00233473" w:rsidRPr="00EA7694" w:rsidRDefault="00233473" w:rsidP="00EA7694">
      <w:pPr>
        <w:pStyle w:val="NormalWeb"/>
        <w:spacing w:before="0" w:beforeAutospacing="0" w:after="0" w:afterAutospacing="0" w:line="360" w:lineRule="auto"/>
        <w:jc w:val="both"/>
        <w:rPr>
          <w:rFonts w:ascii="Arial" w:hAnsi="Arial" w:cs="Arial"/>
          <w:color w:val="000000"/>
        </w:rPr>
      </w:pPr>
    </w:p>
    <w:p w14:paraId="1315A700" w14:textId="02A8969E" w:rsidR="00233473" w:rsidRPr="00EA7694" w:rsidRDefault="00233473"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000000"/>
        </w:rPr>
        <w:t>O’Neil, J. (2017). ‘People, Planet, Profits’ and Perception Politics: A Necessary Fourth (and Fifth) Bottom Line? Critiquing the Current Triple Bottom Line in the Australian Context. </w:t>
      </w:r>
      <w:r w:rsidRPr="00EA7694">
        <w:rPr>
          <w:rFonts w:ascii="Arial" w:hAnsi="Arial" w:cs="Arial"/>
          <w:i/>
          <w:iCs/>
          <w:color w:val="000000"/>
        </w:rPr>
        <w:t>The Goals of Sustainable Development</w:t>
      </w:r>
      <w:r w:rsidRPr="00EA7694">
        <w:rPr>
          <w:rFonts w:ascii="Arial" w:hAnsi="Arial" w:cs="Arial"/>
          <w:color w:val="000000"/>
        </w:rPr>
        <w:t>, pp.19–42. doi:https://doi.org/10.1007/978-981-10-5047-3_2.</w:t>
      </w:r>
    </w:p>
    <w:p w14:paraId="1A7BBA98" w14:textId="77777777" w:rsidR="007A5836" w:rsidRPr="00EA7694" w:rsidRDefault="007A5836" w:rsidP="00EA7694">
      <w:pPr>
        <w:pStyle w:val="NormalWeb"/>
        <w:spacing w:before="0" w:beforeAutospacing="0" w:after="0" w:afterAutospacing="0" w:line="360" w:lineRule="auto"/>
        <w:jc w:val="both"/>
        <w:rPr>
          <w:rFonts w:ascii="Arial" w:hAnsi="Arial" w:cs="Arial"/>
          <w:color w:val="000000"/>
        </w:rPr>
      </w:pPr>
    </w:p>
    <w:p w14:paraId="241C8028" w14:textId="45E962D6" w:rsidR="007A5836" w:rsidRPr="00EA7694" w:rsidRDefault="007A5836" w:rsidP="00EA7694">
      <w:pPr>
        <w:pStyle w:val="NormalWeb"/>
        <w:spacing w:before="0" w:beforeAutospacing="0" w:after="0" w:afterAutospacing="0" w:line="360" w:lineRule="auto"/>
        <w:jc w:val="both"/>
        <w:rPr>
          <w:rFonts w:ascii="Arial" w:hAnsi="Arial" w:cs="Arial"/>
          <w:color w:val="000000"/>
        </w:rPr>
      </w:pPr>
      <w:r w:rsidRPr="00EA7694">
        <w:rPr>
          <w:rFonts w:ascii="Arial" w:hAnsi="Arial" w:cs="Arial"/>
          <w:color w:val="222222"/>
          <w:shd w:val="clear" w:color="auto" w:fill="FFFFFF"/>
        </w:rPr>
        <w:t>Rahman, I., Park, J. and Chi, C.G.Q., 2015. Consequences of “greenwashing”: Consumers’ reactions to hotels’ green initiatives. </w:t>
      </w:r>
      <w:r w:rsidRPr="00EA7694">
        <w:rPr>
          <w:rFonts w:ascii="Arial" w:hAnsi="Arial" w:cs="Arial"/>
          <w:i/>
          <w:iCs/>
          <w:color w:val="222222"/>
          <w:shd w:val="clear" w:color="auto" w:fill="FFFFFF"/>
        </w:rPr>
        <w:t>International Journal of Contemporary Hospitality Management</w:t>
      </w:r>
      <w:r w:rsidRPr="00EA7694">
        <w:rPr>
          <w:rFonts w:ascii="Arial" w:hAnsi="Arial" w:cs="Arial"/>
          <w:color w:val="222222"/>
          <w:shd w:val="clear" w:color="auto" w:fill="FFFFFF"/>
        </w:rPr>
        <w:t>, </w:t>
      </w:r>
      <w:r w:rsidRPr="00EA7694">
        <w:rPr>
          <w:rFonts w:ascii="Arial" w:hAnsi="Arial" w:cs="Arial"/>
          <w:i/>
          <w:iCs/>
          <w:color w:val="222222"/>
          <w:shd w:val="clear" w:color="auto" w:fill="FFFFFF"/>
        </w:rPr>
        <w:t>27</w:t>
      </w:r>
      <w:r w:rsidRPr="00EA7694">
        <w:rPr>
          <w:rFonts w:ascii="Arial" w:hAnsi="Arial" w:cs="Arial"/>
          <w:color w:val="222222"/>
          <w:shd w:val="clear" w:color="auto" w:fill="FFFFFF"/>
        </w:rPr>
        <w:t>(6), pp.1054-1081.</w:t>
      </w:r>
    </w:p>
    <w:p w14:paraId="715737FE" w14:textId="77777777" w:rsidR="00233473" w:rsidRPr="00813510" w:rsidRDefault="00233473" w:rsidP="00EA7694">
      <w:pPr>
        <w:spacing w:after="0" w:line="360" w:lineRule="auto"/>
        <w:jc w:val="both"/>
        <w:rPr>
          <w:rFonts w:ascii="Arial" w:eastAsia="Times New Roman" w:hAnsi="Arial" w:cs="Arial"/>
          <w:kern w:val="0"/>
          <w:sz w:val="24"/>
          <w:szCs w:val="24"/>
          <w:lang w:eastAsia="en-GB"/>
          <w14:ligatures w14:val="none"/>
        </w:rPr>
      </w:pPr>
    </w:p>
    <w:p w14:paraId="616D581F" w14:textId="61B13F1B" w:rsidR="0017054D" w:rsidRPr="00EA7694" w:rsidRDefault="00233473" w:rsidP="00EA7694">
      <w:pPr>
        <w:spacing w:after="0" w:line="360" w:lineRule="auto"/>
        <w:jc w:val="both"/>
        <w:rPr>
          <w:rFonts w:ascii="Arial" w:hAnsi="Arial" w:cs="Arial"/>
          <w:sz w:val="24"/>
          <w:szCs w:val="24"/>
        </w:rPr>
      </w:pPr>
      <w:r w:rsidRPr="00EA7694">
        <w:rPr>
          <w:rFonts w:ascii="Arial" w:hAnsi="Arial" w:cs="Arial"/>
          <w:sz w:val="24"/>
          <w:szCs w:val="24"/>
        </w:rPr>
        <w:t xml:space="preserve">Sloan, P., Legrand, W. and Chen, J.S. (2017) Sustainability in the hospitality industry : principles of sustainable operations. 3rd </w:t>
      </w:r>
      <w:proofErr w:type="spellStart"/>
      <w:r w:rsidRPr="00EA7694">
        <w:rPr>
          <w:rFonts w:ascii="Arial" w:hAnsi="Arial" w:cs="Arial"/>
          <w:sz w:val="24"/>
          <w:szCs w:val="24"/>
        </w:rPr>
        <w:t>edn</w:t>
      </w:r>
      <w:proofErr w:type="spellEnd"/>
      <w:r w:rsidRPr="00EA7694">
        <w:rPr>
          <w:rFonts w:ascii="Arial" w:hAnsi="Arial" w:cs="Arial"/>
          <w:sz w:val="24"/>
          <w:szCs w:val="24"/>
        </w:rPr>
        <w:t>. London: Butterworth-Heinemann</w:t>
      </w:r>
    </w:p>
    <w:p w14:paraId="7652B547" w14:textId="77777777" w:rsidR="00EA7694" w:rsidRPr="00EA7694" w:rsidRDefault="00EA7694" w:rsidP="00EA7694">
      <w:pPr>
        <w:spacing w:after="0" w:line="360" w:lineRule="auto"/>
        <w:jc w:val="both"/>
        <w:rPr>
          <w:rFonts w:ascii="Arial" w:hAnsi="Arial" w:cs="Arial"/>
          <w:sz w:val="24"/>
          <w:szCs w:val="24"/>
        </w:rPr>
      </w:pPr>
    </w:p>
    <w:p w14:paraId="37EFA4C3" w14:textId="32383B2C" w:rsidR="007A5836" w:rsidRPr="00EA7694" w:rsidRDefault="00EA7694" w:rsidP="00EA7694">
      <w:pPr>
        <w:spacing w:after="0" w:line="360" w:lineRule="auto"/>
        <w:jc w:val="both"/>
        <w:rPr>
          <w:rFonts w:ascii="Arial" w:hAnsi="Arial" w:cs="Arial"/>
          <w:sz w:val="24"/>
          <w:szCs w:val="24"/>
        </w:rPr>
      </w:pPr>
      <w:proofErr w:type="spellStart"/>
      <w:r w:rsidRPr="00EA7694">
        <w:rPr>
          <w:rFonts w:ascii="Arial" w:hAnsi="Arial" w:cs="Arial"/>
          <w:color w:val="222222"/>
          <w:sz w:val="24"/>
          <w:szCs w:val="24"/>
          <w:shd w:val="clear" w:color="auto" w:fill="FFFFFF"/>
        </w:rPr>
        <w:t>Tark</w:t>
      </w:r>
      <w:proofErr w:type="spellEnd"/>
      <w:r w:rsidRPr="00EA7694">
        <w:rPr>
          <w:rFonts w:ascii="Arial" w:hAnsi="Arial" w:cs="Arial"/>
          <w:color w:val="222222"/>
          <w:sz w:val="24"/>
          <w:szCs w:val="24"/>
          <w:shd w:val="clear" w:color="auto" w:fill="FFFFFF"/>
        </w:rPr>
        <w:t>, J. and Oh, W.Y., 2021. Hilton Faces Greenwashing Challenge. In </w:t>
      </w:r>
      <w:r w:rsidRPr="00EA7694">
        <w:rPr>
          <w:rFonts w:ascii="Arial" w:hAnsi="Arial" w:cs="Arial"/>
          <w:i/>
          <w:iCs/>
          <w:color w:val="222222"/>
          <w:sz w:val="24"/>
          <w:szCs w:val="24"/>
          <w:shd w:val="clear" w:color="auto" w:fill="FFFFFF"/>
        </w:rPr>
        <w:t>Social and Sustainability Marketing</w:t>
      </w:r>
      <w:r w:rsidRPr="00EA7694">
        <w:rPr>
          <w:rFonts w:ascii="Arial" w:hAnsi="Arial" w:cs="Arial"/>
          <w:color w:val="222222"/>
          <w:sz w:val="24"/>
          <w:szCs w:val="24"/>
          <w:shd w:val="clear" w:color="auto" w:fill="FFFFFF"/>
        </w:rPr>
        <w:t> (pp. 865-868). Productivity Press.</w:t>
      </w:r>
    </w:p>
    <w:p w14:paraId="6A855C52" w14:textId="334E5ADD" w:rsidR="007A5836" w:rsidRPr="0017054D" w:rsidRDefault="007A5836" w:rsidP="00EA7694">
      <w:pPr>
        <w:spacing w:after="0" w:line="360" w:lineRule="auto"/>
        <w:jc w:val="both"/>
        <w:rPr>
          <w:rFonts w:ascii="Arial" w:eastAsia="Times New Roman" w:hAnsi="Arial" w:cs="Arial"/>
          <w:kern w:val="0"/>
          <w:sz w:val="24"/>
          <w:szCs w:val="24"/>
          <w:lang w:eastAsia="en-GB"/>
          <w14:ligatures w14:val="none"/>
        </w:rPr>
      </w:pPr>
      <w:r w:rsidRPr="00EA7694">
        <w:rPr>
          <w:rFonts w:ascii="Arial" w:hAnsi="Arial" w:cs="Arial"/>
          <w:sz w:val="24"/>
          <w:szCs w:val="24"/>
        </w:rPr>
        <w:t>Wickham, Donnelly, T., &amp; French, L. (2021). Strategic Sustainability Management in the Event Sector. Event Management, 25(3), 279–296</w:t>
      </w:r>
    </w:p>
    <w:p w14:paraId="7DC1B8B8" w14:textId="77777777" w:rsidR="0017054D" w:rsidRPr="00EA7694" w:rsidRDefault="0017054D" w:rsidP="00EA7694">
      <w:pPr>
        <w:spacing w:after="0" w:line="360" w:lineRule="auto"/>
        <w:jc w:val="both"/>
        <w:rPr>
          <w:rFonts w:ascii="Arial" w:eastAsia="Times New Roman" w:hAnsi="Arial" w:cs="Arial"/>
          <w:kern w:val="0"/>
          <w:sz w:val="24"/>
          <w:szCs w:val="24"/>
          <w:lang w:eastAsia="en-GB"/>
          <w14:ligatures w14:val="none"/>
        </w:rPr>
      </w:pPr>
    </w:p>
    <w:p w14:paraId="7B3ED277" w14:textId="77777777" w:rsidR="00151A84" w:rsidRPr="00EA7694" w:rsidRDefault="00151A84" w:rsidP="00EA7694">
      <w:pPr>
        <w:pStyle w:val="NormalWeb"/>
        <w:spacing w:before="0" w:beforeAutospacing="0" w:after="0" w:afterAutospacing="0" w:line="360" w:lineRule="auto"/>
        <w:jc w:val="both"/>
        <w:rPr>
          <w:rFonts w:ascii="Arial" w:hAnsi="Arial" w:cs="Arial"/>
          <w:color w:val="000000"/>
        </w:rPr>
      </w:pPr>
      <w:proofErr w:type="spellStart"/>
      <w:r w:rsidRPr="00EA7694">
        <w:rPr>
          <w:rFonts w:ascii="Arial" w:hAnsi="Arial" w:cs="Arial"/>
          <w:color w:val="000000"/>
        </w:rPr>
        <w:t>Zientara</w:t>
      </w:r>
      <w:proofErr w:type="spellEnd"/>
      <w:r w:rsidRPr="00EA7694">
        <w:rPr>
          <w:rFonts w:ascii="Arial" w:hAnsi="Arial" w:cs="Arial"/>
          <w:color w:val="000000"/>
        </w:rPr>
        <w:t xml:space="preserve">, P., </w:t>
      </w:r>
      <w:proofErr w:type="spellStart"/>
      <w:r w:rsidRPr="00EA7694">
        <w:rPr>
          <w:rFonts w:ascii="Arial" w:hAnsi="Arial" w:cs="Arial"/>
          <w:color w:val="000000"/>
        </w:rPr>
        <w:t>Bohdanowicz-Godfrey</w:t>
      </w:r>
      <w:proofErr w:type="spellEnd"/>
      <w:r w:rsidRPr="00EA7694">
        <w:rPr>
          <w:rFonts w:ascii="Arial" w:hAnsi="Arial" w:cs="Arial"/>
          <w:color w:val="000000"/>
        </w:rPr>
        <w:t xml:space="preserve">, P., Whitely, C. and </w:t>
      </w:r>
      <w:proofErr w:type="spellStart"/>
      <w:r w:rsidRPr="00EA7694">
        <w:rPr>
          <w:rFonts w:ascii="Arial" w:hAnsi="Arial" w:cs="Arial"/>
          <w:color w:val="000000"/>
        </w:rPr>
        <w:t>Maciejewski</w:t>
      </w:r>
      <w:proofErr w:type="spellEnd"/>
      <w:r w:rsidRPr="00EA7694">
        <w:rPr>
          <w:rFonts w:ascii="Arial" w:hAnsi="Arial" w:cs="Arial"/>
          <w:color w:val="000000"/>
        </w:rPr>
        <w:t>, G. (2020). A Case Study of LightStay (2010–2017)—Hilton’s Corporate Responsibility Management System. </w:t>
      </w:r>
      <w:r w:rsidRPr="00EA7694">
        <w:rPr>
          <w:rFonts w:ascii="Arial" w:hAnsi="Arial" w:cs="Arial"/>
          <w:i/>
          <w:iCs/>
          <w:color w:val="000000"/>
        </w:rPr>
        <w:t>Energies</w:t>
      </w:r>
      <w:r w:rsidRPr="00EA7694">
        <w:rPr>
          <w:rFonts w:ascii="Arial" w:hAnsi="Arial" w:cs="Arial"/>
          <w:color w:val="000000"/>
        </w:rPr>
        <w:t>, 13(9), p.2303. doi:https://doi.org/10.3390/en13092303.</w:t>
      </w:r>
    </w:p>
    <w:p w14:paraId="341D2880" w14:textId="77777777" w:rsidR="00151A84" w:rsidRPr="00EA7694" w:rsidRDefault="00151A84" w:rsidP="00EA7694">
      <w:pPr>
        <w:pStyle w:val="NormalWeb"/>
        <w:spacing w:line="360" w:lineRule="auto"/>
        <w:jc w:val="both"/>
        <w:rPr>
          <w:rFonts w:ascii="Arial" w:hAnsi="Arial" w:cs="Arial"/>
          <w:color w:val="000000"/>
        </w:rPr>
      </w:pPr>
      <w:r w:rsidRPr="00EA7694">
        <w:rPr>
          <w:rFonts w:ascii="Arial" w:hAnsi="Arial" w:cs="Arial"/>
          <w:color w:val="000000"/>
        </w:rPr>
        <w:t>‌</w:t>
      </w:r>
    </w:p>
    <w:p w14:paraId="4456BDA6" w14:textId="77777777" w:rsidR="00151A84" w:rsidRPr="00EA7694" w:rsidRDefault="00151A84" w:rsidP="00EA7694">
      <w:pPr>
        <w:spacing w:after="0" w:line="360" w:lineRule="auto"/>
        <w:jc w:val="both"/>
        <w:rPr>
          <w:rFonts w:ascii="Arial" w:eastAsia="Times New Roman" w:hAnsi="Arial" w:cs="Arial"/>
          <w:kern w:val="0"/>
          <w:sz w:val="24"/>
          <w:szCs w:val="24"/>
          <w:lang w:eastAsia="en-GB"/>
          <w14:ligatures w14:val="none"/>
        </w:rPr>
      </w:pPr>
    </w:p>
    <w:p w14:paraId="3BE32264" w14:textId="77777777" w:rsidR="0017054D" w:rsidRPr="00EA7694" w:rsidRDefault="0017054D" w:rsidP="00EA7694">
      <w:pPr>
        <w:spacing w:after="0" w:line="360" w:lineRule="auto"/>
        <w:jc w:val="both"/>
        <w:rPr>
          <w:rFonts w:ascii="Arial" w:eastAsia="Times New Roman" w:hAnsi="Arial" w:cs="Arial"/>
          <w:kern w:val="0"/>
          <w:sz w:val="24"/>
          <w:szCs w:val="24"/>
          <w:lang w:eastAsia="en-GB"/>
          <w14:ligatures w14:val="none"/>
        </w:rPr>
      </w:pPr>
    </w:p>
    <w:p w14:paraId="27024EB6" w14:textId="77777777" w:rsidR="0017054D" w:rsidRPr="0017054D" w:rsidRDefault="0017054D" w:rsidP="00EA7694">
      <w:pPr>
        <w:spacing w:after="0" w:line="360" w:lineRule="auto"/>
        <w:jc w:val="both"/>
        <w:rPr>
          <w:rFonts w:ascii="Arial" w:eastAsia="Times New Roman" w:hAnsi="Arial" w:cs="Arial"/>
          <w:kern w:val="0"/>
          <w:sz w:val="24"/>
          <w:szCs w:val="24"/>
          <w:lang w:eastAsia="en-GB"/>
          <w14:ligatures w14:val="none"/>
        </w:rPr>
      </w:pPr>
    </w:p>
    <w:p w14:paraId="3E261E32" w14:textId="77777777" w:rsidR="00466B85" w:rsidRPr="00EA7694" w:rsidRDefault="00466B85" w:rsidP="00EA7694">
      <w:pPr>
        <w:spacing w:line="360" w:lineRule="auto"/>
        <w:jc w:val="both"/>
        <w:rPr>
          <w:rFonts w:ascii="Arial" w:eastAsia="Times New Roman" w:hAnsi="Arial" w:cs="Arial"/>
          <w:kern w:val="0"/>
          <w:sz w:val="24"/>
          <w:szCs w:val="24"/>
          <w:lang w:eastAsia="en-GB"/>
          <w14:ligatures w14:val="none"/>
        </w:rPr>
      </w:pPr>
    </w:p>
    <w:p w14:paraId="30525734" w14:textId="1C50613D" w:rsidR="00466B85" w:rsidRPr="00466B85" w:rsidRDefault="00466B85" w:rsidP="00EA7694">
      <w:pPr>
        <w:spacing w:after="0" w:line="360" w:lineRule="auto"/>
        <w:jc w:val="both"/>
        <w:rPr>
          <w:rFonts w:ascii="Arial" w:eastAsia="Times New Roman" w:hAnsi="Arial" w:cs="Arial"/>
          <w:kern w:val="0"/>
          <w:sz w:val="24"/>
          <w:szCs w:val="24"/>
          <w:lang w:eastAsia="en-GB"/>
          <w14:ligatures w14:val="none"/>
        </w:rPr>
      </w:pPr>
    </w:p>
    <w:p w14:paraId="20CB2FCE" w14:textId="77777777" w:rsidR="00466B85" w:rsidRPr="00466B85" w:rsidRDefault="00466B85" w:rsidP="0017054D">
      <w:pPr>
        <w:spacing w:after="0" w:line="360" w:lineRule="auto"/>
        <w:jc w:val="both"/>
        <w:rPr>
          <w:rFonts w:ascii="Arial" w:eastAsia="Times New Roman" w:hAnsi="Arial" w:cs="Arial"/>
          <w:kern w:val="0"/>
          <w:sz w:val="24"/>
          <w:szCs w:val="24"/>
          <w:lang w:eastAsia="en-GB"/>
          <w14:ligatures w14:val="none"/>
        </w:rPr>
      </w:pPr>
    </w:p>
    <w:p w14:paraId="21DB62B0" w14:textId="77777777" w:rsidR="00466B85" w:rsidRPr="0017054D" w:rsidRDefault="00466B85" w:rsidP="0017054D">
      <w:pPr>
        <w:spacing w:line="360" w:lineRule="auto"/>
        <w:jc w:val="both"/>
        <w:rPr>
          <w:rFonts w:ascii="Arial" w:hAnsi="Arial" w:cs="Arial"/>
          <w:sz w:val="24"/>
          <w:szCs w:val="24"/>
        </w:rPr>
      </w:pPr>
    </w:p>
    <w:sectPr w:rsidR="00466B85" w:rsidRPr="0017054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15388" w14:textId="77777777" w:rsidR="00334A7E" w:rsidRDefault="00334A7E" w:rsidP="00640D7A">
      <w:pPr>
        <w:spacing w:after="0" w:line="240" w:lineRule="auto"/>
      </w:pPr>
      <w:r>
        <w:separator/>
      </w:r>
    </w:p>
  </w:endnote>
  <w:endnote w:type="continuationSeparator" w:id="0">
    <w:p w14:paraId="43EEBC6E" w14:textId="77777777" w:rsidR="00334A7E" w:rsidRDefault="00334A7E" w:rsidP="00640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825193"/>
      <w:docPartObj>
        <w:docPartGallery w:val="Page Numbers (Bottom of Page)"/>
        <w:docPartUnique/>
      </w:docPartObj>
    </w:sdtPr>
    <w:sdtEndPr>
      <w:rPr>
        <w:noProof/>
      </w:rPr>
    </w:sdtEndPr>
    <w:sdtContent>
      <w:p w14:paraId="15C2F8DF" w14:textId="614AB90C" w:rsidR="00640D7A" w:rsidRDefault="00640D7A">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1B43B6CC" w14:textId="77777777" w:rsidR="00640D7A" w:rsidRDefault="00640D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8645" w14:textId="77777777" w:rsidR="00334A7E" w:rsidRDefault="00334A7E" w:rsidP="00640D7A">
      <w:pPr>
        <w:spacing w:after="0" w:line="240" w:lineRule="auto"/>
      </w:pPr>
      <w:r>
        <w:separator/>
      </w:r>
    </w:p>
  </w:footnote>
  <w:footnote w:type="continuationSeparator" w:id="0">
    <w:p w14:paraId="3FB6F975" w14:textId="77777777" w:rsidR="00334A7E" w:rsidRDefault="00334A7E" w:rsidP="00640D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D7A"/>
    <w:rsid w:val="001251AD"/>
    <w:rsid w:val="00151A84"/>
    <w:rsid w:val="0017054D"/>
    <w:rsid w:val="00233473"/>
    <w:rsid w:val="00334A7E"/>
    <w:rsid w:val="00466B85"/>
    <w:rsid w:val="004F4A9E"/>
    <w:rsid w:val="0053229A"/>
    <w:rsid w:val="00640D7A"/>
    <w:rsid w:val="0073760E"/>
    <w:rsid w:val="007A5836"/>
    <w:rsid w:val="007B0CC3"/>
    <w:rsid w:val="00813510"/>
    <w:rsid w:val="00B151A8"/>
    <w:rsid w:val="00C82D1F"/>
    <w:rsid w:val="00DF153F"/>
    <w:rsid w:val="00EA7694"/>
    <w:rsid w:val="00F66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F82D1"/>
  <w15:chartTrackingRefBased/>
  <w15:docId w15:val="{ED37DF8D-3B17-415A-89B3-A26D00AE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44C"/>
  </w:style>
  <w:style w:type="paragraph" w:styleId="Titlu1">
    <w:name w:val="heading 1"/>
    <w:basedOn w:val="Normal"/>
    <w:next w:val="Normal"/>
    <w:link w:val="Titlu1Caracte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semiHidden/>
    <w:unhideWhenUsed/>
    <w:qFormat/>
    <w:rsid w:val="00640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40D7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40D7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40D7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40D7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40D7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40D7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40D7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semiHidden/>
    <w:rsid w:val="00640D7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40D7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40D7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40D7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40D7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40D7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40D7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40D7A"/>
    <w:rPr>
      <w:rFonts w:eastAsiaTheme="majorEastAsia" w:cstheme="majorBidi"/>
      <w:color w:val="272727" w:themeColor="text1" w:themeTint="D8"/>
    </w:rPr>
  </w:style>
  <w:style w:type="paragraph" w:styleId="Titlu">
    <w:name w:val="Title"/>
    <w:basedOn w:val="Normal"/>
    <w:next w:val="Normal"/>
    <w:link w:val="TitluCaracter"/>
    <w:uiPriority w:val="10"/>
    <w:qFormat/>
    <w:rsid w:val="00640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40D7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40D7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40D7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40D7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40D7A"/>
    <w:rPr>
      <w:i/>
      <w:iCs/>
      <w:color w:val="404040" w:themeColor="text1" w:themeTint="BF"/>
    </w:rPr>
  </w:style>
  <w:style w:type="paragraph" w:styleId="Listparagraf">
    <w:name w:val="List Paragraph"/>
    <w:basedOn w:val="Normal"/>
    <w:uiPriority w:val="34"/>
    <w:qFormat/>
    <w:rsid w:val="00640D7A"/>
    <w:pPr>
      <w:ind w:left="720"/>
      <w:contextualSpacing/>
    </w:pPr>
  </w:style>
  <w:style w:type="character" w:styleId="Accentuareintens">
    <w:name w:val="Intense Emphasis"/>
    <w:basedOn w:val="Fontdeparagrafimplicit"/>
    <w:uiPriority w:val="21"/>
    <w:qFormat/>
    <w:rsid w:val="00640D7A"/>
    <w:rPr>
      <w:i/>
      <w:iCs/>
      <w:color w:val="0F4761" w:themeColor="accent1" w:themeShade="BF"/>
    </w:rPr>
  </w:style>
  <w:style w:type="paragraph" w:styleId="Citatintens">
    <w:name w:val="Intense Quote"/>
    <w:basedOn w:val="Normal"/>
    <w:next w:val="Normal"/>
    <w:link w:val="CitatintensCaracter"/>
    <w:uiPriority w:val="30"/>
    <w:qFormat/>
    <w:rsid w:val="00640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40D7A"/>
    <w:rPr>
      <w:i/>
      <w:iCs/>
      <w:color w:val="0F4761" w:themeColor="accent1" w:themeShade="BF"/>
    </w:rPr>
  </w:style>
  <w:style w:type="character" w:styleId="Referireintens">
    <w:name w:val="Intense Reference"/>
    <w:basedOn w:val="Fontdeparagrafimplicit"/>
    <w:uiPriority w:val="32"/>
    <w:qFormat/>
    <w:rsid w:val="00640D7A"/>
    <w:rPr>
      <w:b/>
      <w:bCs/>
      <w:smallCaps/>
      <w:color w:val="0F4761" w:themeColor="accent1" w:themeShade="BF"/>
      <w:spacing w:val="5"/>
    </w:rPr>
  </w:style>
  <w:style w:type="paragraph" w:styleId="Antet">
    <w:name w:val="header"/>
    <w:basedOn w:val="Normal"/>
    <w:link w:val="AntetCaracter"/>
    <w:uiPriority w:val="99"/>
    <w:unhideWhenUsed/>
    <w:rsid w:val="00640D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40D7A"/>
  </w:style>
  <w:style w:type="paragraph" w:styleId="Subsol">
    <w:name w:val="footer"/>
    <w:basedOn w:val="Normal"/>
    <w:link w:val="SubsolCaracter"/>
    <w:uiPriority w:val="99"/>
    <w:unhideWhenUsed/>
    <w:rsid w:val="00640D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40D7A"/>
  </w:style>
  <w:style w:type="paragraph" w:styleId="NormalWeb">
    <w:name w:val="Normal (Web)"/>
    <w:basedOn w:val="Normal"/>
    <w:uiPriority w:val="99"/>
    <w:unhideWhenUsed/>
    <w:rsid w:val="002334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151A84"/>
    <w:rPr>
      <w:color w:val="467886" w:themeColor="hyperlink"/>
      <w:u w:val="single"/>
    </w:rPr>
  </w:style>
  <w:style w:type="character" w:styleId="MeniuneNerezolvat">
    <w:name w:val="Unresolved Mention"/>
    <w:basedOn w:val="Fontdeparagrafimplicit"/>
    <w:uiPriority w:val="99"/>
    <w:semiHidden/>
    <w:unhideWhenUsed/>
    <w:rsid w:val="00151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6691">
      <w:bodyDiv w:val="1"/>
      <w:marLeft w:val="0"/>
      <w:marRight w:val="0"/>
      <w:marTop w:val="0"/>
      <w:marBottom w:val="0"/>
      <w:divBdr>
        <w:top w:val="none" w:sz="0" w:space="0" w:color="auto"/>
        <w:left w:val="none" w:sz="0" w:space="0" w:color="auto"/>
        <w:bottom w:val="none" w:sz="0" w:space="0" w:color="auto"/>
        <w:right w:val="none" w:sz="0" w:space="0" w:color="auto"/>
      </w:divBdr>
    </w:div>
    <w:div w:id="128934799">
      <w:bodyDiv w:val="1"/>
      <w:marLeft w:val="0"/>
      <w:marRight w:val="0"/>
      <w:marTop w:val="0"/>
      <w:marBottom w:val="0"/>
      <w:divBdr>
        <w:top w:val="none" w:sz="0" w:space="0" w:color="auto"/>
        <w:left w:val="none" w:sz="0" w:space="0" w:color="auto"/>
        <w:bottom w:val="none" w:sz="0" w:space="0" w:color="auto"/>
        <w:right w:val="none" w:sz="0" w:space="0" w:color="auto"/>
      </w:divBdr>
    </w:div>
    <w:div w:id="202794913">
      <w:bodyDiv w:val="1"/>
      <w:marLeft w:val="0"/>
      <w:marRight w:val="0"/>
      <w:marTop w:val="0"/>
      <w:marBottom w:val="0"/>
      <w:divBdr>
        <w:top w:val="none" w:sz="0" w:space="0" w:color="auto"/>
        <w:left w:val="none" w:sz="0" w:space="0" w:color="auto"/>
        <w:bottom w:val="none" w:sz="0" w:space="0" w:color="auto"/>
        <w:right w:val="none" w:sz="0" w:space="0" w:color="auto"/>
      </w:divBdr>
    </w:div>
    <w:div w:id="331108752">
      <w:bodyDiv w:val="1"/>
      <w:marLeft w:val="0"/>
      <w:marRight w:val="0"/>
      <w:marTop w:val="0"/>
      <w:marBottom w:val="0"/>
      <w:divBdr>
        <w:top w:val="none" w:sz="0" w:space="0" w:color="auto"/>
        <w:left w:val="none" w:sz="0" w:space="0" w:color="auto"/>
        <w:bottom w:val="none" w:sz="0" w:space="0" w:color="auto"/>
        <w:right w:val="none" w:sz="0" w:space="0" w:color="auto"/>
      </w:divBdr>
    </w:div>
    <w:div w:id="377435844">
      <w:bodyDiv w:val="1"/>
      <w:marLeft w:val="0"/>
      <w:marRight w:val="0"/>
      <w:marTop w:val="0"/>
      <w:marBottom w:val="0"/>
      <w:divBdr>
        <w:top w:val="none" w:sz="0" w:space="0" w:color="auto"/>
        <w:left w:val="none" w:sz="0" w:space="0" w:color="auto"/>
        <w:bottom w:val="none" w:sz="0" w:space="0" w:color="auto"/>
        <w:right w:val="none" w:sz="0" w:space="0" w:color="auto"/>
      </w:divBdr>
    </w:div>
    <w:div w:id="591091292">
      <w:bodyDiv w:val="1"/>
      <w:marLeft w:val="0"/>
      <w:marRight w:val="0"/>
      <w:marTop w:val="0"/>
      <w:marBottom w:val="0"/>
      <w:divBdr>
        <w:top w:val="none" w:sz="0" w:space="0" w:color="auto"/>
        <w:left w:val="none" w:sz="0" w:space="0" w:color="auto"/>
        <w:bottom w:val="none" w:sz="0" w:space="0" w:color="auto"/>
        <w:right w:val="none" w:sz="0" w:space="0" w:color="auto"/>
      </w:divBdr>
    </w:div>
    <w:div w:id="591547857">
      <w:bodyDiv w:val="1"/>
      <w:marLeft w:val="0"/>
      <w:marRight w:val="0"/>
      <w:marTop w:val="0"/>
      <w:marBottom w:val="0"/>
      <w:divBdr>
        <w:top w:val="none" w:sz="0" w:space="0" w:color="auto"/>
        <w:left w:val="none" w:sz="0" w:space="0" w:color="auto"/>
        <w:bottom w:val="none" w:sz="0" w:space="0" w:color="auto"/>
        <w:right w:val="none" w:sz="0" w:space="0" w:color="auto"/>
      </w:divBdr>
    </w:div>
    <w:div w:id="594167028">
      <w:bodyDiv w:val="1"/>
      <w:marLeft w:val="0"/>
      <w:marRight w:val="0"/>
      <w:marTop w:val="0"/>
      <w:marBottom w:val="0"/>
      <w:divBdr>
        <w:top w:val="none" w:sz="0" w:space="0" w:color="auto"/>
        <w:left w:val="none" w:sz="0" w:space="0" w:color="auto"/>
        <w:bottom w:val="none" w:sz="0" w:space="0" w:color="auto"/>
        <w:right w:val="none" w:sz="0" w:space="0" w:color="auto"/>
      </w:divBdr>
    </w:div>
    <w:div w:id="654646399">
      <w:bodyDiv w:val="1"/>
      <w:marLeft w:val="0"/>
      <w:marRight w:val="0"/>
      <w:marTop w:val="0"/>
      <w:marBottom w:val="0"/>
      <w:divBdr>
        <w:top w:val="none" w:sz="0" w:space="0" w:color="auto"/>
        <w:left w:val="none" w:sz="0" w:space="0" w:color="auto"/>
        <w:bottom w:val="none" w:sz="0" w:space="0" w:color="auto"/>
        <w:right w:val="none" w:sz="0" w:space="0" w:color="auto"/>
      </w:divBdr>
    </w:div>
    <w:div w:id="704674971">
      <w:bodyDiv w:val="1"/>
      <w:marLeft w:val="0"/>
      <w:marRight w:val="0"/>
      <w:marTop w:val="0"/>
      <w:marBottom w:val="0"/>
      <w:divBdr>
        <w:top w:val="none" w:sz="0" w:space="0" w:color="auto"/>
        <w:left w:val="none" w:sz="0" w:space="0" w:color="auto"/>
        <w:bottom w:val="none" w:sz="0" w:space="0" w:color="auto"/>
        <w:right w:val="none" w:sz="0" w:space="0" w:color="auto"/>
      </w:divBdr>
    </w:div>
    <w:div w:id="716783345">
      <w:bodyDiv w:val="1"/>
      <w:marLeft w:val="0"/>
      <w:marRight w:val="0"/>
      <w:marTop w:val="0"/>
      <w:marBottom w:val="0"/>
      <w:divBdr>
        <w:top w:val="none" w:sz="0" w:space="0" w:color="auto"/>
        <w:left w:val="none" w:sz="0" w:space="0" w:color="auto"/>
        <w:bottom w:val="none" w:sz="0" w:space="0" w:color="auto"/>
        <w:right w:val="none" w:sz="0" w:space="0" w:color="auto"/>
      </w:divBdr>
    </w:div>
    <w:div w:id="756487336">
      <w:bodyDiv w:val="1"/>
      <w:marLeft w:val="0"/>
      <w:marRight w:val="0"/>
      <w:marTop w:val="0"/>
      <w:marBottom w:val="0"/>
      <w:divBdr>
        <w:top w:val="none" w:sz="0" w:space="0" w:color="auto"/>
        <w:left w:val="none" w:sz="0" w:space="0" w:color="auto"/>
        <w:bottom w:val="none" w:sz="0" w:space="0" w:color="auto"/>
        <w:right w:val="none" w:sz="0" w:space="0" w:color="auto"/>
      </w:divBdr>
    </w:div>
    <w:div w:id="827094293">
      <w:bodyDiv w:val="1"/>
      <w:marLeft w:val="0"/>
      <w:marRight w:val="0"/>
      <w:marTop w:val="0"/>
      <w:marBottom w:val="0"/>
      <w:divBdr>
        <w:top w:val="none" w:sz="0" w:space="0" w:color="auto"/>
        <w:left w:val="none" w:sz="0" w:space="0" w:color="auto"/>
        <w:bottom w:val="none" w:sz="0" w:space="0" w:color="auto"/>
        <w:right w:val="none" w:sz="0" w:space="0" w:color="auto"/>
      </w:divBdr>
    </w:div>
    <w:div w:id="1560433049">
      <w:bodyDiv w:val="1"/>
      <w:marLeft w:val="0"/>
      <w:marRight w:val="0"/>
      <w:marTop w:val="0"/>
      <w:marBottom w:val="0"/>
      <w:divBdr>
        <w:top w:val="none" w:sz="0" w:space="0" w:color="auto"/>
        <w:left w:val="none" w:sz="0" w:space="0" w:color="auto"/>
        <w:bottom w:val="none" w:sz="0" w:space="0" w:color="auto"/>
        <w:right w:val="none" w:sz="0" w:space="0" w:color="auto"/>
      </w:divBdr>
    </w:div>
    <w:div w:id="1709993247">
      <w:bodyDiv w:val="1"/>
      <w:marLeft w:val="0"/>
      <w:marRight w:val="0"/>
      <w:marTop w:val="0"/>
      <w:marBottom w:val="0"/>
      <w:divBdr>
        <w:top w:val="none" w:sz="0" w:space="0" w:color="auto"/>
        <w:left w:val="none" w:sz="0" w:space="0" w:color="auto"/>
        <w:bottom w:val="none" w:sz="0" w:space="0" w:color="auto"/>
        <w:right w:val="none" w:sz="0" w:space="0" w:color="auto"/>
      </w:divBdr>
    </w:div>
    <w:div w:id="1756970356">
      <w:bodyDiv w:val="1"/>
      <w:marLeft w:val="0"/>
      <w:marRight w:val="0"/>
      <w:marTop w:val="0"/>
      <w:marBottom w:val="0"/>
      <w:divBdr>
        <w:top w:val="none" w:sz="0" w:space="0" w:color="auto"/>
        <w:left w:val="none" w:sz="0" w:space="0" w:color="auto"/>
        <w:bottom w:val="none" w:sz="0" w:space="0" w:color="auto"/>
        <w:right w:val="none" w:sz="0" w:space="0" w:color="auto"/>
      </w:divBdr>
    </w:div>
    <w:div w:id="1867325296">
      <w:bodyDiv w:val="1"/>
      <w:marLeft w:val="0"/>
      <w:marRight w:val="0"/>
      <w:marTop w:val="0"/>
      <w:marBottom w:val="0"/>
      <w:divBdr>
        <w:top w:val="none" w:sz="0" w:space="0" w:color="auto"/>
        <w:left w:val="none" w:sz="0" w:space="0" w:color="auto"/>
        <w:bottom w:val="none" w:sz="0" w:space="0" w:color="auto"/>
        <w:right w:val="none" w:sz="0" w:space="0" w:color="auto"/>
      </w:divBdr>
    </w:div>
    <w:div w:id="1879781151">
      <w:bodyDiv w:val="1"/>
      <w:marLeft w:val="0"/>
      <w:marRight w:val="0"/>
      <w:marTop w:val="0"/>
      <w:marBottom w:val="0"/>
      <w:divBdr>
        <w:top w:val="none" w:sz="0" w:space="0" w:color="auto"/>
        <w:left w:val="none" w:sz="0" w:space="0" w:color="auto"/>
        <w:bottom w:val="none" w:sz="0" w:space="0" w:color="auto"/>
        <w:right w:val="none" w:sz="0" w:space="0" w:color="auto"/>
      </w:divBdr>
    </w:div>
    <w:div w:id="189931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sg.hilton.com/our-progr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r.hilton.com/corporate-governance/governance-documents/2020-environmental-social-and-governance-esg-repor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10</Pages>
  <Words>2890</Words>
  <Characters>16768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6</cp:revision>
  <cp:lastPrinted>2024-05-13T17:20:00Z</cp:lastPrinted>
  <dcterms:created xsi:type="dcterms:W3CDTF">2024-05-13T16:57:00Z</dcterms:created>
  <dcterms:modified xsi:type="dcterms:W3CDTF">2024-05-13T20:05:00Z</dcterms:modified>
</cp:coreProperties>
</file>