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81AA7" w14:textId="60307B81" w:rsidR="00814A0B" w:rsidRDefault="00E22072">
      <w:r>
        <w:t>Origins and Innovation</w:t>
      </w:r>
    </w:p>
    <w:p w14:paraId="3EFEEA11" w14:textId="6F789EE5" w:rsidR="00E22072" w:rsidRDefault="00E22072">
      <w:r>
        <w:t xml:space="preserve">Discuss whether the appearance of the palaces on Crete is better characterised by a model of secondary state formation or a model of </w:t>
      </w:r>
      <w:proofErr w:type="spellStart"/>
      <w:r>
        <w:t>heterarchy</w:t>
      </w:r>
      <w:proofErr w:type="spellEnd"/>
      <w:r>
        <w:t>.</w:t>
      </w:r>
    </w:p>
    <w:p w14:paraId="08E47EE2" w14:textId="6A40A707" w:rsidR="00E22072" w:rsidRDefault="00E22072">
      <w:r>
        <w:t>Intro</w:t>
      </w:r>
    </w:p>
    <w:p w14:paraId="48753ED4" w14:textId="5205A8B7" w:rsidR="008B337D" w:rsidRDefault="00A87C40" w:rsidP="001C6D7C">
      <w:pPr>
        <w:spacing w:line="360" w:lineRule="auto"/>
        <w:ind w:firstLine="720"/>
        <w:jc w:val="both"/>
      </w:pPr>
      <w:r>
        <w:t xml:space="preserve">This piece of work, will consider whether the aspects of secondary state formation is a viable interpretation of the </w:t>
      </w:r>
      <w:r w:rsidR="00B61FA3">
        <w:t>M</w:t>
      </w:r>
      <w:r>
        <w:t xml:space="preserve">inoan palaces of </w:t>
      </w:r>
      <w:r w:rsidR="00B61FA3">
        <w:t>C</w:t>
      </w:r>
      <w:r>
        <w:t>rete or whet</w:t>
      </w:r>
      <w:r w:rsidR="00B61FA3">
        <w:t>h</w:t>
      </w:r>
      <w:r>
        <w:t xml:space="preserve">er a </w:t>
      </w:r>
      <w:proofErr w:type="spellStart"/>
      <w:r w:rsidR="00B61FA3">
        <w:t>H</w:t>
      </w:r>
      <w:r>
        <w:t>eterarchcal</w:t>
      </w:r>
      <w:proofErr w:type="spellEnd"/>
      <w:r>
        <w:t xml:space="preserve"> society would better </w:t>
      </w:r>
      <w:r w:rsidR="00665407">
        <w:t>suit</w:t>
      </w:r>
      <w:r>
        <w:t xml:space="preserve"> the </w:t>
      </w:r>
      <w:r w:rsidR="004A22B6">
        <w:t>social evolution</w:t>
      </w:r>
      <w:r>
        <w:t xml:space="preserve"> of the palaces. Due to the lack of preservation and documentary evidence</w:t>
      </w:r>
      <w:r w:rsidR="004A22B6">
        <w:t>,</w:t>
      </w:r>
      <w:r>
        <w:t xml:space="preserve"> it is not possible to say with any cert</w:t>
      </w:r>
      <w:r w:rsidR="00B61FA3">
        <w:t>a</w:t>
      </w:r>
      <w:r>
        <w:t>inty the exact structure of soci</w:t>
      </w:r>
      <w:r w:rsidR="00B61FA3">
        <w:t>e</w:t>
      </w:r>
      <w:r>
        <w:t xml:space="preserve">ty within the </w:t>
      </w:r>
      <w:proofErr w:type="spellStart"/>
      <w:r w:rsidR="00B61FA3">
        <w:t>P</w:t>
      </w:r>
      <w:r>
        <w:t>repalatial</w:t>
      </w:r>
      <w:proofErr w:type="spellEnd"/>
      <w:r>
        <w:t xml:space="preserve"> period running through to MMIII A – LM IB. Using </w:t>
      </w:r>
      <w:r w:rsidR="00B61FA3">
        <w:t>a number of social and archaeological</w:t>
      </w:r>
      <w:r>
        <w:t xml:space="preserve"> theories </w:t>
      </w:r>
      <w:r w:rsidR="00665407">
        <w:t xml:space="preserve">alongside archaeological evidence </w:t>
      </w:r>
      <w:r w:rsidR="00B61FA3">
        <w:t xml:space="preserve">to hypothesise credible outcomes </w:t>
      </w:r>
      <w:r w:rsidR="00665407">
        <w:t>and</w:t>
      </w:r>
      <w:r w:rsidR="00B61FA3">
        <w:t xml:space="preserve"> construct a feasible interpretation</w:t>
      </w:r>
      <w:r w:rsidR="002D0920">
        <w:t xml:space="preserve"> (Semiotics</w:t>
      </w:r>
      <w:r w:rsidR="00B47EA9">
        <w:t>, Social evolution</w:t>
      </w:r>
      <w:r w:rsidR="002E10B8">
        <w:t xml:space="preserve">, </w:t>
      </w:r>
      <w:r w:rsidR="00C87BCA">
        <w:t>Marxism</w:t>
      </w:r>
      <w:r w:rsidR="002D0920">
        <w:t>)</w:t>
      </w:r>
      <w:r w:rsidR="00B61FA3">
        <w:t xml:space="preserve">, in </w:t>
      </w:r>
      <w:r w:rsidR="00665407">
        <w:t>correlation</w:t>
      </w:r>
      <w:r w:rsidR="00B61FA3">
        <w:t xml:space="preserve"> specifically </w:t>
      </w:r>
      <w:r w:rsidR="00665407">
        <w:t xml:space="preserve">with </w:t>
      </w:r>
      <w:r w:rsidR="00B61FA3">
        <w:t xml:space="preserve">the palaces of Knossos and Phaistos to </w:t>
      </w:r>
      <w:r w:rsidR="00C87BCA">
        <w:t>illustrate</w:t>
      </w:r>
      <w:r w:rsidR="00B61FA3">
        <w:t xml:space="preserve"> alternative coherent outcomes.</w:t>
      </w:r>
      <w:r w:rsidR="00665407">
        <w:t xml:space="preserve"> Focusing primarily from </w:t>
      </w:r>
      <w:r w:rsidR="00C87BCA">
        <w:t>t</w:t>
      </w:r>
      <w:r w:rsidR="00665407">
        <w:t xml:space="preserve">he </w:t>
      </w:r>
      <w:proofErr w:type="spellStart"/>
      <w:r w:rsidR="00665407">
        <w:t>protopalatial</w:t>
      </w:r>
      <w:proofErr w:type="spellEnd"/>
      <w:r w:rsidR="00665407">
        <w:t xml:space="preserve"> period </w:t>
      </w:r>
    </w:p>
    <w:p w14:paraId="651AD533" w14:textId="1C2CECE6" w:rsidR="00665407" w:rsidRDefault="00C87BCA" w:rsidP="001C6D7C">
      <w:pPr>
        <w:spacing w:line="360" w:lineRule="auto"/>
        <w:ind w:firstLine="720"/>
        <w:jc w:val="both"/>
      </w:pPr>
      <w:r>
        <w:t>T</w:t>
      </w:r>
      <w:r w:rsidR="00B61FA3">
        <w:t xml:space="preserve">his essay, I will be defining the meaning of </w:t>
      </w:r>
      <w:proofErr w:type="spellStart"/>
      <w:r w:rsidR="00B61FA3">
        <w:t>Heterarchy</w:t>
      </w:r>
      <w:proofErr w:type="spellEnd"/>
      <w:r w:rsidR="00B61FA3">
        <w:t xml:space="preserve"> </w:t>
      </w:r>
      <w:r w:rsidR="00B61FA3" w:rsidRPr="00B61FA3">
        <w:t>using</w:t>
      </w:r>
      <w:r w:rsidR="00B61FA3" w:rsidRPr="00B61FA3">
        <w:rPr>
          <w:color w:val="FF0000"/>
        </w:rPr>
        <w:t xml:space="preserve"> </w:t>
      </w:r>
      <w:r w:rsidR="0096558E" w:rsidRPr="00626E06">
        <w:t xml:space="preserve">Cromwell’s definition of </w:t>
      </w:r>
      <w:proofErr w:type="spellStart"/>
      <w:r w:rsidR="0096558E" w:rsidRPr="00626E06">
        <w:t>heterarchy</w:t>
      </w:r>
      <w:proofErr w:type="spellEnd"/>
      <w:r w:rsidR="0096558E" w:rsidRPr="00626E06">
        <w:t xml:space="preserve"> as being </w:t>
      </w:r>
      <w:r w:rsidR="0096558E">
        <w:t>‘the relation of elements to one another when they are unranked or when th</w:t>
      </w:r>
      <w:r w:rsidR="002D0920">
        <w:t>e</w:t>
      </w:r>
      <w:r w:rsidR="0096558E">
        <w:t>y possess the potential for being ranked in a number of different ways’</w:t>
      </w:r>
      <w:r w:rsidR="0073448C">
        <w:t xml:space="preserve"> </w:t>
      </w:r>
      <w:sdt>
        <w:sdtPr>
          <w:id w:val="-1237310461"/>
          <w:citation/>
        </w:sdtPr>
        <w:sdtContent>
          <w:r>
            <w:fldChar w:fldCharType="begin"/>
          </w:r>
          <w:r>
            <w:instrText xml:space="preserve"> CITATION Bar04 \l 2057 </w:instrText>
          </w:r>
          <w:r>
            <w:fldChar w:fldCharType="separate"/>
          </w:r>
          <w:r w:rsidRPr="00C87BCA">
            <w:rPr>
              <w:noProof/>
            </w:rPr>
            <w:t>(Barrett, 2004)</w:t>
          </w:r>
          <w:r>
            <w:fldChar w:fldCharType="end"/>
          </w:r>
        </w:sdtContent>
      </w:sdt>
      <w:r>
        <w:t>.</w:t>
      </w:r>
      <w:r w:rsidR="0096558E">
        <w:rPr>
          <w:color w:val="FF0000"/>
        </w:rPr>
        <w:t xml:space="preserve"> </w:t>
      </w:r>
      <w:r w:rsidR="00B61FA3" w:rsidRPr="00E348C2">
        <w:t>Barrett and Halstead in</w:t>
      </w:r>
      <w:r w:rsidR="00DC618B" w:rsidRPr="00E348C2">
        <w:t xml:space="preserve"> </w:t>
      </w:r>
      <w:r w:rsidRPr="00E348C2">
        <w:rPr>
          <w:i/>
        </w:rPr>
        <w:t>the</w:t>
      </w:r>
      <w:r w:rsidR="00DC618B" w:rsidRPr="00E348C2">
        <w:rPr>
          <w:i/>
        </w:rPr>
        <w:t xml:space="preserve"> emergence of Civilisation Revisited </w:t>
      </w:r>
      <w:r w:rsidR="00B61FA3" w:rsidRPr="00E348C2">
        <w:t>(2004)</w:t>
      </w:r>
      <w:r w:rsidR="00485776" w:rsidRPr="00E348C2">
        <w:t xml:space="preserve"> associate this definition</w:t>
      </w:r>
      <w:r w:rsidR="0081044D">
        <w:t xml:space="preserve"> coherently</w:t>
      </w:r>
      <w:r w:rsidR="00485776" w:rsidRPr="00E348C2">
        <w:t xml:space="preserve"> </w:t>
      </w:r>
      <w:r w:rsidR="0081044D">
        <w:t>by</w:t>
      </w:r>
      <w:r w:rsidR="00485776" w:rsidRPr="00E348C2">
        <w:t xml:space="preserve"> being compared to</w:t>
      </w:r>
      <w:r w:rsidR="0081044D">
        <w:t xml:space="preserve"> that of</w:t>
      </w:r>
      <w:r w:rsidR="00485776" w:rsidRPr="00E348C2">
        <w:t xml:space="preserve"> a </w:t>
      </w:r>
      <w:r w:rsidR="00E348C2" w:rsidRPr="00E348C2">
        <w:t>self-colonising</w:t>
      </w:r>
      <w:r w:rsidR="00485776" w:rsidRPr="00E348C2">
        <w:t xml:space="preserve"> co</w:t>
      </w:r>
      <w:r w:rsidR="006B22EB" w:rsidRPr="00E348C2">
        <w:t>lo</w:t>
      </w:r>
      <w:r w:rsidR="00485776" w:rsidRPr="00E348C2">
        <w:t>ny of ants</w:t>
      </w:r>
      <w:r w:rsidR="005D1EF6" w:rsidRPr="00E348C2">
        <w:t xml:space="preserve">. </w:t>
      </w:r>
      <w:r w:rsidR="00B47EA9">
        <w:tab/>
      </w:r>
      <w:r w:rsidR="00580827" w:rsidRPr="00E348C2">
        <w:t>In t</w:t>
      </w:r>
      <w:r w:rsidR="00580827">
        <w:t>erms of</w:t>
      </w:r>
      <w:r w:rsidR="005D1EF6">
        <w:t xml:space="preserve"> hierarchy I am applying the</w:t>
      </w:r>
      <w:r w:rsidR="002E10B8">
        <w:t xml:space="preserve"> widely </w:t>
      </w:r>
      <w:r w:rsidR="00580827">
        <w:t>accepted</w:t>
      </w:r>
      <w:r w:rsidR="005D1EF6">
        <w:t xml:space="preserve"> </w:t>
      </w:r>
      <w:r w:rsidR="002E10B8">
        <w:t xml:space="preserve">principles of </w:t>
      </w:r>
      <w:r w:rsidR="005D1EF6">
        <w:t>Marxis</w:t>
      </w:r>
      <w:r w:rsidR="002E10B8">
        <w:t xml:space="preserve">t social theory. </w:t>
      </w:r>
      <w:r w:rsidR="00BD208A">
        <w:t>Briefly, w</w:t>
      </w:r>
      <w:r w:rsidR="00665407">
        <w:t>here there consists a social structure where one is less equal to another</w:t>
      </w:r>
      <w:r w:rsidR="00BD208A">
        <w:t>,</w:t>
      </w:r>
      <w:r w:rsidR="00665407">
        <w:t xml:space="preserve"> dependant on </w:t>
      </w:r>
      <w:r w:rsidR="0041635D">
        <w:t>one’s</w:t>
      </w:r>
      <w:r w:rsidR="00E72302">
        <w:t xml:space="preserve"> social standing within society.</w:t>
      </w:r>
      <w:r w:rsidR="005D1EF6">
        <w:t xml:space="preserve"> However,</w:t>
      </w:r>
      <w:r w:rsidR="0041635D">
        <w:t xml:space="preserve"> throughout history a number of societies have demonstrated that it is possible for</w:t>
      </w:r>
      <w:r w:rsidR="005D1EF6">
        <w:t xml:space="preserve"> both concepts </w:t>
      </w:r>
      <w:r w:rsidR="0041635D">
        <w:t xml:space="preserve">to </w:t>
      </w:r>
      <w:r w:rsidR="005D1EF6">
        <w:t>symbiotically co-exist with one another</w:t>
      </w:r>
      <w:r w:rsidR="00580827">
        <w:t xml:space="preserve"> in retrospect t</w:t>
      </w:r>
      <w:r w:rsidR="006B22EB">
        <w:t>o</w:t>
      </w:r>
      <w:r w:rsidR="00580827">
        <w:t xml:space="preserve"> the</w:t>
      </w:r>
      <w:r w:rsidR="006B22EB">
        <w:t xml:space="preserve"> social</w:t>
      </w:r>
      <w:r w:rsidR="00580827">
        <w:t xml:space="preserve"> evolu</w:t>
      </w:r>
      <w:r w:rsidR="006B22EB">
        <w:t xml:space="preserve">tion </w:t>
      </w:r>
      <w:r w:rsidR="002E3DC3">
        <w:t>and</w:t>
      </w:r>
      <w:r w:rsidR="006B22EB">
        <w:t xml:space="preserve"> the</w:t>
      </w:r>
      <w:r w:rsidR="002E3DC3">
        <w:t xml:space="preserve"> growing</w:t>
      </w:r>
      <w:r w:rsidR="006B22EB">
        <w:t xml:space="preserve"> complex</w:t>
      </w:r>
      <w:r w:rsidR="0041635D">
        <w:t>ity of the</w:t>
      </w:r>
      <w:r w:rsidR="006B22EB">
        <w:t xml:space="preserve"> society.</w:t>
      </w:r>
      <w:r w:rsidR="001504E1">
        <w:t xml:space="preserve"> It is possible for us to enact and </w:t>
      </w:r>
      <w:r w:rsidR="00665407">
        <w:t xml:space="preserve">examine ways in which hierarchy and </w:t>
      </w:r>
      <w:proofErr w:type="spellStart"/>
      <w:r w:rsidR="00665407">
        <w:t>heterarchy</w:t>
      </w:r>
      <w:proofErr w:type="spellEnd"/>
      <w:r w:rsidR="00665407">
        <w:t xml:space="preserve"> can work for each other and against each other within a single complex system</w:t>
      </w:r>
      <w:r w:rsidR="001504E1">
        <w:t>. I will be discussing whether this is a more viable interpretation of the palace complex and the society behind it</w:t>
      </w:r>
      <w:r w:rsidR="0032156A">
        <w:t xml:space="preserve">, or whether other academics interpretations of either a </w:t>
      </w:r>
      <w:r w:rsidR="00295BF2">
        <w:t xml:space="preserve">model of a </w:t>
      </w:r>
      <w:r w:rsidR="0032156A">
        <w:t>hierarchical or heterarc</w:t>
      </w:r>
      <w:r w:rsidR="00295BF2">
        <w:t>hi</w:t>
      </w:r>
      <w:r w:rsidR="0032156A">
        <w:t>cal state would better fit the interpretations of the complex society.</w:t>
      </w:r>
    </w:p>
    <w:p w14:paraId="6C2D88D8" w14:textId="3D9AA74C" w:rsidR="006D73D7" w:rsidRDefault="002E3DC3" w:rsidP="001C6D7C">
      <w:pPr>
        <w:spacing w:line="360" w:lineRule="auto"/>
        <w:ind w:firstLine="720"/>
        <w:jc w:val="both"/>
      </w:pPr>
      <w:r>
        <w:t>One of the more traditional methods of</w:t>
      </w:r>
      <w:r w:rsidR="006D73D7">
        <w:t xml:space="preserve"> delving into the various</w:t>
      </w:r>
      <w:r>
        <w:t xml:space="preserve"> interpret</w:t>
      </w:r>
      <w:r w:rsidR="006D73D7">
        <w:t>at</w:t>
      </w:r>
      <w:r>
        <w:t>i</w:t>
      </w:r>
      <w:r w:rsidR="006D73D7">
        <w:t>ons of</w:t>
      </w:r>
      <w:r>
        <w:t xml:space="preserve"> the possible function and purpose of the palaces is by using </w:t>
      </w:r>
      <w:r w:rsidR="0081044D">
        <w:t xml:space="preserve">Spencer’s theory of Social evolution </w:t>
      </w:r>
      <w:r>
        <w:t>model and taking the basic principle</w:t>
      </w:r>
      <w:r w:rsidR="00B70C9F">
        <w:t>;</w:t>
      </w:r>
      <w:r w:rsidR="000F7C3C">
        <w:t xml:space="preserve"> </w:t>
      </w:r>
      <w:r w:rsidR="00AC6E17">
        <w:t>that a single process</w:t>
      </w:r>
      <w:r w:rsidR="00DA6CAF">
        <w:t xml:space="preserve"> or significant development</w:t>
      </w:r>
      <w:r w:rsidR="00AC6E17">
        <w:t xml:space="preserve"> links to the next as an evolutionary process. But further still, incorporating that process with the evolutionary development of </w:t>
      </w:r>
      <w:r w:rsidR="00B70C9F">
        <w:t xml:space="preserve">the </w:t>
      </w:r>
      <w:r w:rsidR="00AC6E17">
        <w:t xml:space="preserve">Cretan Minoan society </w:t>
      </w:r>
      <w:r w:rsidR="00B70C9F">
        <w:t>while</w:t>
      </w:r>
      <w:r w:rsidR="00AC6E17">
        <w:t xml:space="preserve"> pressing on Spencer’s idea, the result of which, ‘hoped to show that a similar evolutionary mechanism determined which form of society prospered and which failed.</w:t>
      </w:r>
      <w:r w:rsidR="00DA6CAF">
        <w:t>’</w:t>
      </w:r>
      <w:sdt>
        <w:sdtPr>
          <w:id w:val="2072535115"/>
          <w:citation/>
        </w:sdtPr>
        <w:sdtEndPr/>
        <w:sdtContent>
          <w:r w:rsidR="00DA6CAF">
            <w:fldChar w:fldCharType="begin"/>
          </w:r>
          <w:r w:rsidR="00DA6CAF">
            <w:instrText xml:space="preserve"> CITATION Ran10 \l 2057 </w:instrText>
          </w:r>
          <w:r w:rsidR="00DA6CAF">
            <w:fldChar w:fldCharType="separate"/>
          </w:r>
          <w:r w:rsidR="00DA6CAF">
            <w:rPr>
              <w:noProof/>
            </w:rPr>
            <w:t xml:space="preserve"> </w:t>
          </w:r>
          <w:r w:rsidR="00DA6CAF" w:rsidRPr="00DA6CAF">
            <w:rPr>
              <w:noProof/>
            </w:rPr>
            <w:t>(Ransome, 2010)</w:t>
          </w:r>
          <w:r w:rsidR="00DA6CAF">
            <w:fldChar w:fldCharType="end"/>
          </w:r>
        </w:sdtContent>
      </w:sdt>
      <w:r w:rsidR="00DA6CAF">
        <w:t xml:space="preserve">. </w:t>
      </w:r>
      <w:r w:rsidR="00B70C9F">
        <w:t xml:space="preserve">Could it be presumed that one reason for the civilisation to last so long and prosperous is a result of the way society was run? And if so was this due to the society being a secondary state </w:t>
      </w:r>
      <w:r w:rsidR="00B70C9F">
        <w:lastRenderedPageBreak/>
        <w:t xml:space="preserve">formation or a heterarchical state? </w:t>
      </w:r>
      <w:r w:rsidR="00FE750A">
        <w:t xml:space="preserve">As Crete develops with international trade and making more connections, the state becomes more complex. How much do they rely on international trade links to support the </w:t>
      </w:r>
      <w:r w:rsidR="00295BF2">
        <w:t>economy?</w:t>
      </w:r>
      <w:r w:rsidR="00FE750A">
        <w:t xml:space="preserve"> Would this then make the state more stable?</w:t>
      </w:r>
    </w:p>
    <w:p w14:paraId="50F44589" w14:textId="0D3CAFB6" w:rsidR="0081044D" w:rsidRPr="00860E06" w:rsidRDefault="0081044D" w:rsidP="00860E06">
      <w:pPr>
        <w:spacing w:line="360" w:lineRule="auto"/>
        <w:jc w:val="center"/>
        <w:rPr>
          <w:i/>
        </w:rPr>
      </w:pPr>
      <w:r w:rsidRPr="00860E06">
        <w:rPr>
          <w:i/>
        </w:rPr>
        <w:t xml:space="preserve">‘the basic principle of Spencer’s theory is that primitive or simple society tends to be unstable, and thus prone to failure (extinction), while forms of society that do survive are those which have become more complex and thus more stable.’ </w:t>
      </w:r>
      <w:sdt>
        <w:sdtPr>
          <w:rPr>
            <w:i/>
          </w:rPr>
          <w:id w:val="52053621"/>
          <w:citation/>
        </w:sdtPr>
        <w:sdtEndPr/>
        <w:sdtContent>
          <w:r w:rsidRPr="00860E06">
            <w:rPr>
              <w:i/>
            </w:rPr>
            <w:fldChar w:fldCharType="begin"/>
          </w:r>
          <w:r w:rsidRPr="00860E06">
            <w:rPr>
              <w:i/>
            </w:rPr>
            <w:instrText xml:space="preserve"> CITATION Ran10 \l 2057 </w:instrText>
          </w:r>
          <w:r w:rsidRPr="00860E06">
            <w:rPr>
              <w:i/>
            </w:rPr>
            <w:fldChar w:fldCharType="separate"/>
          </w:r>
          <w:r w:rsidRPr="00860E06">
            <w:rPr>
              <w:i/>
              <w:noProof/>
            </w:rPr>
            <w:t>(Ransome, 2010)</w:t>
          </w:r>
          <w:r w:rsidRPr="00860E06">
            <w:rPr>
              <w:i/>
            </w:rPr>
            <w:fldChar w:fldCharType="end"/>
          </w:r>
        </w:sdtContent>
      </w:sdt>
      <w:r w:rsidRPr="00860E06">
        <w:rPr>
          <w:i/>
        </w:rPr>
        <w:t xml:space="preserve"> </w:t>
      </w:r>
      <w:r w:rsidRPr="00860E06">
        <w:rPr>
          <w:i/>
          <w:color w:val="7030A0"/>
        </w:rPr>
        <w:t>(ref in bib)</w:t>
      </w:r>
    </w:p>
    <w:p w14:paraId="4DBE8CD3" w14:textId="4B2D888E" w:rsidR="0081044D" w:rsidRDefault="0081044D" w:rsidP="002C4B01">
      <w:pPr>
        <w:pStyle w:val="ListParagraph"/>
        <w:numPr>
          <w:ilvl w:val="0"/>
          <w:numId w:val="2"/>
        </w:numPr>
      </w:pPr>
      <w:proofErr w:type="spellStart"/>
      <w:r>
        <w:t>Heterarchy</w:t>
      </w:r>
      <w:proofErr w:type="spellEnd"/>
      <w:r>
        <w:t xml:space="preserve"> – </w:t>
      </w:r>
      <w:r w:rsidR="002C4B01">
        <w:t xml:space="preserve"> an </w:t>
      </w:r>
      <w:r>
        <w:t>alternative view stein</w:t>
      </w:r>
      <w:r w:rsidR="002C4B01">
        <w:t xml:space="preserve"> b</w:t>
      </w:r>
      <w:r>
        <w:t xml:space="preserve">ecause they operate within an ideological, political and social framework that advocates equality even when this is not necessarily achieved (Osbourne 2007) in </w:t>
      </w:r>
      <w:r w:rsidRPr="002C4B01">
        <w:rPr>
          <w:rFonts w:ascii="Arial" w:hAnsi="Arial" w:cs="Arial"/>
          <w:color w:val="666666"/>
          <w:sz w:val="20"/>
          <w:szCs w:val="20"/>
          <w:shd w:val="clear" w:color="auto" w:fill="FFF5AA"/>
        </w:rPr>
        <w:t>(</w:t>
      </w:r>
      <w:proofErr w:type="spellStart"/>
      <w:r w:rsidRPr="002C4B01">
        <w:rPr>
          <w:rFonts w:ascii="Arial" w:hAnsi="Arial" w:cs="Arial"/>
          <w:color w:val="666666"/>
          <w:sz w:val="20"/>
          <w:szCs w:val="20"/>
          <w:shd w:val="clear" w:color="auto" w:fill="FFF5AA"/>
        </w:rPr>
        <w:t>Schoep</w:t>
      </w:r>
      <w:proofErr w:type="spellEnd"/>
      <w:r w:rsidRPr="002C4B01">
        <w:rPr>
          <w:rFonts w:ascii="Arial" w:hAnsi="Arial" w:cs="Arial"/>
          <w:color w:val="666666"/>
          <w:sz w:val="20"/>
          <w:szCs w:val="20"/>
          <w:shd w:val="clear" w:color="auto" w:fill="FFF5AA"/>
        </w:rPr>
        <w:t xml:space="preserve">, Tomkins and Driessen, 2012) </w:t>
      </w:r>
      <w:r w:rsidRPr="002C4B01">
        <w:rPr>
          <w:rFonts w:ascii="Arial" w:hAnsi="Arial" w:cs="Arial"/>
          <w:color w:val="666666"/>
          <w:sz w:val="20"/>
          <w:szCs w:val="20"/>
          <w:shd w:val="clear" w:color="auto" w:fill="FFF5AA"/>
        </w:rPr>
        <w:softHyphen/>
      </w:r>
      <w:r>
        <w:t>- Good to note that biases in gender, age and sex are still real factors in light of goals for equality</w:t>
      </w:r>
    </w:p>
    <w:p w14:paraId="222D583D" w14:textId="77777777" w:rsidR="0081044D" w:rsidRDefault="0081044D" w:rsidP="0081044D">
      <w:pPr>
        <w:pStyle w:val="ListParagraph"/>
        <w:numPr>
          <w:ilvl w:val="1"/>
          <w:numId w:val="2"/>
        </w:numPr>
      </w:pPr>
      <w:r>
        <w:t>Complex society organisation of urbanism, production, craft specialisation, exchange</w:t>
      </w:r>
    </w:p>
    <w:p w14:paraId="1BD3FC34" w14:textId="696E1FFD" w:rsidR="0081044D" w:rsidRDefault="00217134" w:rsidP="002C42FC">
      <w:pPr>
        <w:spacing w:line="360" w:lineRule="auto"/>
        <w:jc w:val="both"/>
      </w:pPr>
      <w:r>
        <w:t xml:space="preserve">The notion of a secondary state </w:t>
      </w:r>
      <w:r w:rsidR="00D412F8">
        <w:t xml:space="preserve">model refined by Barbara Price (1978) holds two forms of what is considered to distinguish a secondary state </w:t>
      </w:r>
      <w:r w:rsidR="00D412F8" w:rsidRPr="002C42FC">
        <w:t>as ‘those that developed via historical succession from a pre-existing state, and those that formed via interaction between less and more politically complex societies’</w:t>
      </w:r>
      <w:r w:rsidR="006D402C" w:rsidRPr="002C42FC">
        <w:t xml:space="preserve"> </w:t>
      </w:r>
      <w:sdt>
        <w:sdtPr>
          <w:id w:val="905641648"/>
          <w:citation/>
        </w:sdtPr>
        <w:sdtEndPr/>
        <w:sdtContent>
          <w:r w:rsidR="002C42FC" w:rsidRPr="002C42FC">
            <w:fldChar w:fldCharType="begin"/>
          </w:r>
          <w:r w:rsidR="002C42FC" w:rsidRPr="002C42FC">
            <w:instrText xml:space="preserve"> CITATION Par07 \l 2057 </w:instrText>
          </w:r>
          <w:r w:rsidR="002C42FC" w:rsidRPr="002C42FC">
            <w:fldChar w:fldCharType="separate"/>
          </w:r>
          <w:r w:rsidR="002C42FC" w:rsidRPr="002C42FC">
            <w:rPr>
              <w:noProof/>
            </w:rPr>
            <w:t>(Parkinson, 2007)</w:t>
          </w:r>
          <w:r w:rsidR="002C42FC" w:rsidRPr="002C42FC">
            <w:fldChar w:fldCharType="end"/>
          </w:r>
        </w:sdtContent>
      </w:sdt>
      <w:r w:rsidR="002C42FC">
        <w:t>. The latter would conform to the data already collected</w:t>
      </w:r>
      <w:r w:rsidR="006D6119">
        <w:t xml:space="preserve"> and catalogued</w:t>
      </w:r>
      <w:r w:rsidR="002C42FC">
        <w:t xml:space="preserve"> </w:t>
      </w:r>
      <w:r w:rsidR="006D6119">
        <w:t>currently in</w:t>
      </w:r>
      <w:r w:rsidR="002C42FC">
        <w:t xml:space="preserve"> the archaeological record.</w:t>
      </w:r>
    </w:p>
    <w:p w14:paraId="114AEAEE" w14:textId="77777777" w:rsidR="006D6119" w:rsidRPr="00173E1E" w:rsidRDefault="006D6119" w:rsidP="006D6119">
      <w:pPr>
        <w:pStyle w:val="ListParagraph"/>
        <w:numPr>
          <w:ilvl w:val="0"/>
          <w:numId w:val="2"/>
        </w:numPr>
        <w:spacing w:line="360" w:lineRule="auto"/>
        <w:jc w:val="both"/>
      </w:pPr>
      <w:r>
        <w:t xml:space="preserve">Secondary State Formation - </w:t>
      </w:r>
      <w:r w:rsidRPr="00173E1E">
        <w:rPr>
          <w:color w:val="FF0000"/>
        </w:rPr>
        <w:t>Among</w:t>
      </w:r>
      <w:r>
        <w:rPr>
          <w:color w:val="FF0000"/>
        </w:rPr>
        <w:t xml:space="preserve"> </w:t>
      </w:r>
      <w:r w:rsidRPr="00173E1E">
        <w:rPr>
          <w:color w:val="FF0000"/>
        </w:rPr>
        <w:t>these</w:t>
      </w:r>
      <w:r>
        <w:rPr>
          <w:color w:val="FF0000"/>
        </w:rPr>
        <w:t xml:space="preserve"> </w:t>
      </w:r>
      <w:r w:rsidRPr="00173E1E">
        <w:rPr>
          <w:color w:val="FF0000"/>
        </w:rPr>
        <w:t>latter</w:t>
      </w:r>
      <w:r>
        <w:rPr>
          <w:color w:val="FF0000"/>
        </w:rPr>
        <w:t xml:space="preserve"> </w:t>
      </w:r>
      <w:r w:rsidRPr="00173E1E">
        <w:rPr>
          <w:color w:val="FF0000"/>
        </w:rPr>
        <w:t>“secondary-via-interaction” states, Price identiﬁed two subtypes that she understood as poles on a continuum: one that required direct political or economic incorporation or takeover by an outside power, and another that involved indirect transformations of existing socioeconomic and political institutions.</w:t>
      </w:r>
    </w:p>
    <w:p w14:paraId="02236F73" w14:textId="77777777" w:rsidR="006D6119" w:rsidRDefault="006B01F9" w:rsidP="006D6119">
      <w:pPr>
        <w:pStyle w:val="ListParagraph"/>
        <w:spacing w:line="360" w:lineRule="auto"/>
        <w:jc w:val="both"/>
      </w:pPr>
      <w:hyperlink r:id="rId8" w:history="1">
        <w:r w:rsidR="006D6119" w:rsidRPr="00872562">
          <w:rPr>
            <w:rStyle w:val="Hyperlink"/>
            <w:rFonts w:cstheme="minorHAnsi"/>
          </w:rPr>
          <w:t>https://pdfs.semanticscholar.org/9368/bb8ab358a3008e946330a72c87a244badd61.pdf</w:t>
        </w:r>
      </w:hyperlink>
    </w:p>
    <w:p w14:paraId="3780AECB" w14:textId="77777777" w:rsidR="006D6119" w:rsidRPr="002C42FC" w:rsidRDefault="006D6119" w:rsidP="002C42FC">
      <w:pPr>
        <w:spacing w:line="360" w:lineRule="auto"/>
        <w:jc w:val="both"/>
      </w:pPr>
    </w:p>
    <w:p w14:paraId="2E7F0C04" w14:textId="77777777" w:rsidR="0081044D" w:rsidRDefault="0081044D" w:rsidP="0081044D">
      <w:pPr>
        <w:spacing w:line="360" w:lineRule="auto"/>
        <w:jc w:val="both"/>
      </w:pPr>
      <w:r>
        <w:t xml:space="preserve">Secondary state formation and model of </w:t>
      </w:r>
      <w:proofErr w:type="spellStart"/>
      <w:r>
        <w:t>heterarchy</w:t>
      </w:r>
      <w:proofErr w:type="spellEnd"/>
      <w:r>
        <w:t xml:space="preserve"> (negotiated space, examine ways in which hierarchy and </w:t>
      </w:r>
      <w:proofErr w:type="spellStart"/>
      <w:r>
        <w:t>heterarchy</w:t>
      </w:r>
      <w:proofErr w:type="spellEnd"/>
      <w:r>
        <w:t xml:space="preserve"> can work for each other and against each other within a single complex system (complexity theory concerns itself with complex adaptive systems and the </w:t>
      </w:r>
      <w:proofErr w:type="spellStart"/>
      <w:r>
        <w:t>self organising</w:t>
      </w:r>
      <w:proofErr w:type="spellEnd"/>
      <w:r>
        <w:t xml:space="preserve">) no evidence to the contrary) overview – what makes it? </w:t>
      </w:r>
    </w:p>
    <w:p w14:paraId="5AFCC6F9" w14:textId="5E64B7C1" w:rsidR="0081044D" w:rsidRDefault="00860E06" w:rsidP="0081044D">
      <w:pPr>
        <w:spacing w:line="360" w:lineRule="auto"/>
        <w:jc w:val="both"/>
      </w:pPr>
      <w:r>
        <w:t>In Evan’s view that the palaces were the residence of the highest political and religious authority within a hierarchically structured society.</w:t>
      </w:r>
    </w:p>
    <w:p w14:paraId="435509E4" w14:textId="77777777" w:rsidR="0081044D" w:rsidRDefault="0081044D" w:rsidP="00872562">
      <w:pPr>
        <w:spacing w:line="360" w:lineRule="auto"/>
        <w:jc w:val="both"/>
      </w:pPr>
    </w:p>
    <w:p w14:paraId="069C634C" w14:textId="7E028FD6" w:rsidR="00706F6C" w:rsidRPr="00B62C8C" w:rsidRDefault="00706F6C" w:rsidP="00872562">
      <w:pPr>
        <w:spacing w:line="360" w:lineRule="auto"/>
        <w:jc w:val="both"/>
      </w:pPr>
      <w:r>
        <w:t xml:space="preserve">It is a viable theory that the palaces of Crete symbolised the characteristics as a model of </w:t>
      </w:r>
      <w:r w:rsidR="005A5582">
        <w:t xml:space="preserve">a </w:t>
      </w:r>
      <w:r>
        <w:t>heterarch</w:t>
      </w:r>
      <w:r w:rsidR="005A5582">
        <w:t xml:space="preserve">ical </w:t>
      </w:r>
      <w:r w:rsidR="001B6EB3">
        <w:t>state by the architectural design of the complex</w:t>
      </w:r>
      <w:r w:rsidR="001B2477">
        <w:t>es</w:t>
      </w:r>
      <w:r w:rsidR="001B6EB3">
        <w:t>. (whether this was deliberate or not?) The throne room and the hall</w:t>
      </w:r>
      <w:r w:rsidR="001B2477">
        <w:t>s</w:t>
      </w:r>
      <w:r w:rsidR="001B6EB3">
        <w:t xml:space="preserve">? Could be seen as a space used for </w:t>
      </w:r>
      <w:r w:rsidR="006B3A24">
        <w:t xml:space="preserve">important </w:t>
      </w:r>
      <w:r w:rsidR="001B6EB3">
        <w:t>negotiation</w:t>
      </w:r>
      <w:r w:rsidR="0078574B">
        <w:t xml:space="preserve">, </w:t>
      </w:r>
      <w:r w:rsidR="001B2477">
        <w:t xml:space="preserve">the space </w:t>
      </w:r>
      <w:r w:rsidR="0078574B">
        <w:lastRenderedPageBreak/>
        <w:t xml:space="preserve">can also be perceived through Peirce’s systematic theory of semiotics. Houser best explains Peirce’s theory by </w:t>
      </w:r>
      <w:r w:rsidR="002C7D73">
        <w:t xml:space="preserve">the 3 </w:t>
      </w:r>
      <w:r w:rsidR="0078574B">
        <w:t>categorising</w:t>
      </w:r>
      <w:r w:rsidR="002C7D73">
        <w:t xml:space="preserve"> of</w:t>
      </w:r>
      <w:r w:rsidR="0078574B">
        <w:t xml:space="preserve"> </w:t>
      </w:r>
      <w:r w:rsidR="00521B1F">
        <w:t>signs</w:t>
      </w:r>
      <w:r w:rsidR="002C7D73">
        <w:t>. All three categories</w:t>
      </w:r>
      <w:r w:rsidR="00386B4E">
        <w:t xml:space="preserve"> (</w:t>
      </w:r>
      <w:r w:rsidR="009015F3">
        <w:t>firstness, secondness, and thirdness)</w:t>
      </w:r>
      <w:r w:rsidR="002C7D73">
        <w:t xml:space="preserve"> aid in the description of the meanings of space.</w:t>
      </w:r>
      <w:r w:rsidR="00521B1F">
        <w:t xml:space="preserve"> </w:t>
      </w:r>
      <w:r w:rsidR="002C7D73">
        <w:t>When</w:t>
      </w:r>
      <w:r w:rsidR="00521B1F">
        <w:t xml:space="preserve"> </w:t>
      </w:r>
      <w:r w:rsidR="001B2477">
        <w:t>combining</w:t>
      </w:r>
      <w:r w:rsidR="00521B1F">
        <w:t xml:space="preserve"> this to the space within the</w:t>
      </w:r>
      <w:r w:rsidR="009015F3">
        <w:t xml:space="preserve"> palace</w:t>
      </w:r>
      <w:r w:rsidR="001B2477">
        <w:t>s</w:t>
      </w:r>
      <w:r w:rsidR="009015F3">
        <w:t>, the</w:t>
      </w:r>
      <w:r w:rsidR="00521B1F">
        <w:t xml:space="preserve"> throne room and the hall</w:t>
      </w:r>
      <w:r w:rsidR="002C7D73">
        <w:t xml:space="preserve"> </w:t>
      </w:r>
      <w:r w:rsidR="009015F3">
        <w:t xml:space="preserve">specifically, the description of secondness; </w:t>
      </w:r>
      <w:r w:rsidR="009015F3" w:rsidRPr="009015F3">
        <w:t>‘</w:t>
      </w:r>
      <w:r w:rsidR="0078574B" w:rsidRPr="009015F3">
        <w:t>Secondness is that which is as it is relative to something else</w:t>
      </w:r>
      <w:r w:rsidR="002C7D73" w:rsidRPr="009015F3">
        <w:t>.</w:t>
      </w:r>
      <w:r w:rsidR="009015F3" w:rsidRPr="009015F3">
        <w:t>’ (Gaines, 2006)</w:t>
      </w:r>
      <w:r w:rsidR="001B2477">
        <w:t>, the secondness applies in this scenario</w:t>
      </w:r>
      <w:r w:rsidR="009015F3" w:rsidRPr="009015F3">
        <w:t>.</w:t>
      </w:r>
      <w:r w:rsidR="00E13A4B">
        <w:t xml:space="preserve"> Furthermore, t</w:t>
      </w:r>
      <w:r w:rsidR="00B62C8C">
        <w:t xml:space="preserve">his implies </w:t>
      </w:r>
      <w:r w:rsidR="001B2477">
        <w:t>a space that is representative to all who enter. A space in which each person’s voice is heard. That in itself beholds such importance and for the people visiting the palace, one could only presume the emotional connection between the space and the throne room and hall walls.</w:t>
      </w:r>
    </w:p>
    <w:p w14:paraId="07385148" w14:textId="7748197C" w:rsidR="000B4DD3" w:rsidRPr="00AD2157" w:rsidRDefault="00626E06" w:rsidP="00AD2157">
      <w:pPr>
        <w:spacing w:line="360" w:lineRule="auto"/>
        <w:jc w:val="both"/>
        <w:rPr>
          <w:rFonts w:cstheme="minorHAnsi"/>
        </w:rPr>
      </w:pPr>
      <w:r>
        <w:t xml:space="preserve">An argument can be made that the palaces </w:t>
      </w:r>
      <w:r w:rsidR="00295BF2">
        <w:t>can be seen a</w:t>
      </w:r>
      <w:r w:rsidR="006D0A70">
        <w:t>s a secondary state formation due to the evolving influences and pre-existing connections between Crete</w:t>
      </w:r>
      <w:r>
        <w:t xml:space="preserve"> and other ‘exotic’ societies extending from Anatolia and the Near East including Cyprus</w:t>
      </w:r>
      <w:r w:rsidR="006D0A70">
        <w:t xml:space="preserve"> and Egypt as archaeological evidence enhances our knowledge of the economic value of goods in retrospect to trade and exchange methods and systems</w:t>
      </w:r>
      <w:r w:rsidR="000A0B37">
        <w:t xml:space="preserve"> integrated deep within the societ</w:t>
      </w:r>
      <w:r w:rsidR="00F25427">
        <w:t>ies</w:t>
      </w:r>
      <w:r w:rsidR="006D0A70">
        <w:t xml:space="preserve">. </w:t>
      </w:r>
      <w:r w:rsidR="00173E1E">
        <w:t>Thus,</w:t>
      </w:r>
      <w:r w:rsidR="00A5710D">
        <w:t xml:space="preserve"> creating a complex network of communication and interaction all around the Near East with Crete becoming one of the main states in which to acquire</w:t>
      </w:r>
      <w:r w:rsidR="0081044D">
        <w:t xml:space="preserve"> highly valued copper.</w:t>
      </w:r>
      <w:r w:rsidR="00F25427">
        <w:t xml:space="preserve"> Consequential to the direct contact, hierarchical societies within Greece were adopting outside influences in order to integrate within a more heterogeneous society. </w:t>
      </w:r>
      <w:sdt>
        <w:sdtPr>
          <w:id w:val="1344051569"/>
          <w:citation/>
        </w:sdtPr>
        <w:sdtContent>
          <w:r w:rsidR="008A3586">
            <w:fldChar w:fldCharType="begin"/>
          </w:r>
          <w:r w:rsidR="008A3586">
            <w:instrText xml:space="preserve"> CITATION Par07 \l 2057 </w:instrText>
          </w:r>
          <w:r w:rsidR="008A3586">
            <w:fldChar w:fldCharType="separate"/>
          </w:r>
          <w:r w:rsidR="008A3586" w:rsidRPr="008A3586">
            <w:rPr>
              <w:noProof/>
            </w:rPr>
            <w:t>(Parkinson, 2007)</w:t>
          </w:r>
          <w:r w:rsidR="008A3586">
            <w:fldChar w:fldCharType="end"/>
          </w:r>
        </w:sdtContent>
      </w:sdt>
    </w:p>
    <w:p w14:paraId="307431E0" w14:textId="6E8F2FEE" w:rsidR="009A7F81" w:rsidRDefault="00C12C73" w:rsidP="006D2621">
      <w:pPr>
        <w:spacing w:line="360" w:lineRule="auto"/>
        <w:ind w:firstLine="720"/>
        <w:jc w:val="both"/>
      </w:pPr>
      <w:r>
        <w:t>Knossos</w:t>
      </w:r>
      <w:r w:rsidR="006D2621">
        <w:t xml:space="preserve"> </w:t>
      </w:r>
      <w:r w:rsidR="006D2621">
        <w:t>(map ref; 35</w:t>
      </w:r>
      <w:r w:rsidR="006D2621">
        <w:rPr>
          <w:rFonts w:cstheme="minorHAnsi"/>
        </w:rPr>
        <w:t>°</w:t>
      </w:r>
      <w:r w:rsidR="006D2621">
        <w:t xml:space="preserve"> 18’N, 25</w:t>
      </w:r>
      <w:r w:rsidR="006D2621">
        <w:rPr>
          <w:rFonts w:cstheme="minorHAnsi"/>
        </w:rPr>
        <w:t>°</w:t>
      </w:r>
      <w:r w:rsidR="006D2621">
        <w:t xml:space="preserve"> 10’E.)</w:t>
      </w:r>
      <w:r>
        <w:t xml:space="preserve"> is and was a unique site being the earliest as well as the longest continuously occupied site on Crete</w:t>
      </w:r>
      <w:r w:rsidR="00AD2157">
        <w:t>,</w:t>
      </w:r>
      <w:r>
        <w:t xml:space="preserve"> not to mention the largest settlements from the Neolithic right through to late Minoan </w:t>
      </w:r>
      <w:r w:rsidR="008A3586">
        <w:t>I</w:t>
      </w:r>
      <w:r>
        <w:t xml:space="preserve"> </w:t>
      </w:r>
      <w:sdt>
        <w:sdtPr>
          <w:id w:val="939340116"/>
          <w:citation/>
        </w:sdtPr>
        <w:sdtContent>
          <w:r w:rsidR="0099549D">
            <w:fldChar w:fldCharType="begin"/>
          </w:r>
          <w:r w:rsidR="0099549D">
            <w:instrText xml:space="preserve"> CITATION Kna04 \l 2057 </w:instrText>
          </w:r>
          <w:r w:rsidR="0099549D">
            <w:fldChar w:fldCharType="separate"/>
          </w:r>
          <w:r w:rsidR="0099549D" w:rsidRPr="0099549D">
            <w:rPr>
              <w:noProof/>
            </w:rPr>
            <w:t>(Knappett, 2004)</w:t>
          </w:r>
          <w:r w:rsidR="0099549D">
            <w:fldChar w:fldCharType="end"/>
          </w:r>
        </w:sdtContent>
      </w:sdt>
      <w:r w:rsidR="002C4B01">
        <w:t xml:space="preserve">. </w:t>
      </w:r>
      <w:r w:rsidR="00AD2157">
        <w:t>Founded in a l</w:t>
      </w:r>
      <w:r w:rsidR="00FA7FB0">
        <w:t xml:space="preserve">ow and inland </w:t>
      </w:r>
      <w:r w:rsidR="00B10B03">
        <w:t>position on a shelf jutting out from the West side of the valley</w:t>
      </w:r>
      <w:r w:rsidR="009A7F81">
        <w:t xml:space="preserve"> should have been chosen as the site of what became the capital of Minoan Crete.</w:t>
      </w:r>
      <w:r w:rsidR="007D6DF3">
        <w:t xml:space="preserve"> </w:t>
      </w:r>
      <w:r w:rsidR="00AD2157">
        <w:t>It was a hill set in the valley in the 7</w:t>
      </w:r>
      <w:r w:rsidR="00AD2157" w:rsidRPr="00AD2157">
        <w:rPr>
          <w:vertAlign w:val="superscript"/>
        </w:rPr>
        <w:t>th</w:t>
      </w:r>
      <w:r w:rsidR="00AD2157">
        <w:t xml:space="preserve"> millennium – levelled in MMII which created the West court as a result.</w:t>
      </w:r>
      <w:r w:rsidR="002C4B01">
        <w:t xml:space="preserve"> </w:t>
      </w:r>
      <w:r w:rsidR="00AD2157">
        <w:t>There</w:t>
      </w:r>
      <w:r w:rsidR="002C4B01">
        <w:t xml:space="preserve"> </w:t>
      </w:r>
      <w:r w:rsidR="006D2621">
        <w:t>consist</w:t>
      </w:r>
      <w:r w:rsidR="00AD2157">
        <w:t xml:space="preserve"> numerous a</w:t>
      </w:r>
      <w:r w:rsidR="009A7F81">
        <w:t>dvantages of</w:t>
      </w:r>
      <w:r w:rsidR="00AD2157">
        <w:t xml:space="preserve"> the</w:t>
      </w:r>
      <w:r w:rsidR="009A7F81">
        <w:t xml:space="preserve"> location </w:t>
      </w:r>
      <w:r w:rsidR="00AD2157">
        <w:t>of the palace as it is close</w:t>
      </w:r>
      <w:r w:rsidR="009A7F81">
        <w:t xml:space="preserve"> to the sea for trade</w:t>
      </w:r>
      <w:r w:rsidR="00AD2157">
        <w:t xml:space="preserve"> </w:t>
      </w:r>
      <w:r w:rsidR="00F50B3F">
        <w:t xml:space="preserve">and economic </w:t>
      </w:r>
      <w:r w:rsidR="00AD2157">
        <w:t>p</w:t>
      </w:r>
      <w:r w:rsidR="00F50B3F">
        <w:t>u</w:t>
      </w:r>
      <w:r w:rsidR="00AD2157">
        <w:t>rposes</w:t>
      </w:r>
      <w:r w:rsidR="009A7F81">
        <w:t xml:space="preserve">, </w:t>
      </w:r>
      <w:r w:rsidR="00AD2157">
        <w:t>although</w:t>
      </w:r>
      <w:r w:rsidR="00F50B3F">
        <w:t xml:space="preserve"> holding</w:t>
      </w:r>
      <w:r w:rsidR="009A7F81">
        <w:t xml:space="preserve"> further </w:t>
      </w:r>
      <w:r w:rsidR="00F50B3F">
        <w:t xml:space="preserve">strategic advantages, erected further </w:t>
      </w:r>
      <w:r w:rsidR="009A7F81">
        <w:t>in land to allow for time for an escape from</w:t>
      </w:r>
      <w:r w:rsidR="00AD2157">
        <w:t xml:space="preserve"> possible</w:t>
      </w:r>
      <w:r w:rsidR="009A7F81">
        <w:t xml:space="preserve"> invaders</w:t>
      </w:r>
      <w:r w:rsidR="00F50B3F" w:rsidRPr="00F50B3F">
        <w:t xml:space="preserve"> </w:t>
      </w:r>
      <w:r w:rsidR="00F50B3F">
        <w:t>and a</w:t>
      </w:r>
      <w:r w:rsidR="00F50B3F">
        <w:t>lso located close to higher ground in case of refuge</w:t>
      </w:r>
      <w:r w:rsidR="00F50B3F">
        <w:t>. In terms of agriculture the palace had access to</w:t>
      </w:r>
      <w:r w:rsidR="009A7F81">
        <w:t xml:space="preserve"> supplies of fresh water with a rich farming land in the surrounding area to grow crops</w:t>
      </w:r>
      <w:r w:rsidR="00F50B3F">
        <w:t xml:space="preserve"> which enhances the maritime trading connections.</w:t>
      </w:r>
    </w:p>
    <w:p w14:paraId="0006F61F" w14:textId="39092FD5" w:rsidR="009A7F81" w:rsidRDefault="00517C9F" w:rsidP="006D2621">
      <w:pPr>
        <w:spacing w:line="360" w:lineRule="auto"/>
        <w:ind w:firstLine="720"/>
        <w:jc w:val="both"/>
      </w:pPr>
      <w:r>
        <w:t>The palace of Knossos expanded exponentially to almost t</w:t>
      </w:r>
      <w:r w:rsidR="009A7F81">
        <w:t>wice the size of Phaistos palace</w:t>
      </w:r>
      <w:r>
        <w:t xml:space="preserve">, however, archaeological dating of the site raises further speculation as it would seem that the palace was not originally constructed for such a significant population. Through the archaeological data recovered from previous excavations, it is clear that the palace expanded and was built upon the foundations to </w:t>
      </w:r>
      <w:r w:rsidR="00D54FB2">
        <w:t xml:space="preserve">enable to evolve as the Minoan society becomes more developed and complex. The </w:t>
      </w:r>
      <w:r w:rsidR="00D54FB2">
        <w:lastRenderedPageBreak/>
        <w:t>foundations of the complex suggest areas of communal gatherings in such case a theatre production for entertainment purposes</w:t>
      </w:r>
      <w:r w:rsidR="006D2621">
        <w:t>.</w:t>
      </w:r>
      <w:r w:rsidR="00221111">
        <w:t xml:space="preserve"> </w:t>
      </w:r>
    </w:p>
    <w:p w14:paraId="0E71065D" w14:textId="778BF7EF" w:rsidR="00C12C73" w:rsidRDefault="00C12C73" w:rsidP="002C4B01">
      <w:pPr>
        <w:spacing w:line="360" w:lineRule="auto"/>
        <w:jc w:val="both"/>
      </w:pPr>
      <w:r>
        <w:t>The palace of Phaistos</w:t>
      </w:r>
      <w:r w:rsidR="006D2621">
        <w:t xml:space="preserve"> on the other hand</w:t>
      </w:r>
      <w:bookmarkStart w:id="0" w:name="_GoBack"/>
      <w:bookmarkEnd w:id="0"/>
      <w:r>
        <w:t xml:space="preserve"> is located to the south of the island</w:t>
      </w:r>
      <w:r w:rsidR="002C4B01">
        <w:t xml:space="preserve"> (</w:t>
      </w:r>
      <w:r w:rsidR="002C4B01" w:rsidRPr="002C4B01">
        <w:t>Map references of 35°03’ N, 24°49’E</w:t>
      </w:r>
      <w:r w:rsidR="002C4B01">
        <w:t>)</w:t>
      </w:r>
      <w:r>
        <w:t>, home to the origins of mythological tales representing the</w:t>
      </w:r>
      <w:r w:rsidR="00C60EA4">
        <w:t xml:space="preserve"> legendary</w:t>
      </w:r>
      <w:r>
        <w:t xml:space="preserve"> brother of Minos. The site was thought to have been perceived as a more spiritual environment in comparison to the palace of Knossos which was deemed more economic. </w:t>
      </w:r>
    </w:p>
    <w:p w14:paraId="5880F4F0" w14:textId="3EAE7A55" w:rsidR="00C12C73" w:rsidRPr="00AD2157" w:rsidRDefault="00C60EA4" w:rsidP="002C4B01">
      <w:pPr>
        <w:spacing w:line="360" w:lineRule="auto"/>
        <w:jc w:val="both"/>
      </w:pPr>
      <w:r>
        <w:t xml:space="preserve">Old palace built </w:t>
      </w:r>
      <w:r w:rsidR="005801A6">
        <w:t xml:space="preserve">in the </w:t>
      </w:r>
      <w:proofErr w:type="spellStart"/>
      <w:r w:rsidR="005801A6">
        <w:t>protopalatial</w:t>
      </w:r>
      <w:proofErr w:type="spellEnd"/>
      <w:r w:rsidR="005801A6">
        <w:t xml:space="preserve"> period (C.1900 - 1700BCE)</w:t>
      </w:r>
      <w:r w:rsidR="00AD2157">
        <w:t xml:space="preserve"> r</w:t>
      </w:r>
      <w:r w:rsidR="00C12C73">
        <w:t xml:space="preserve">ests on an acropolis erected on three low level hills allows for the oversight of the </w:t>
      </w:r>
      <w:proofErr w:type="spellStart"/>
      <w:r w:rsidR="00C12C73">
        <w:t>Mesara</w:t>
      </w:r>
      <w:proofErr w:type="spellEnd"/>
      <w:r w:rsidR="00C12C73">
        <w:t xml:space="preserve"> plain.</w:t>
      </w:r>
      <w:r w:rsidR="00C12C73" w:rsidRPr="00C12C73">
        <w:rPr>
          <w:color w:val="FF0000"/>
        </w:rPr>
        <w:t xml:space="preserve"> </w:t>
      </w:r>
      <w:r w:rsidR="00C12C73" w:rsidRPr="00C12C73">
        <w:t xml:space="preserve">(Wilson Myers </w:t>
      </w:r>
      <w:proofErr w:type="spellStart"/>
      <w:r w:rsidR="00C12C73" w:rsidRPr="00C12C73">
        <w:t>etal</w:t>
      </w:r>
      <w:proofErr w:type="spellEnd"/>
      <w:r w:rsidR="00C12C73" w:rsidRPr="00C12C73">
        <w:t xml:space="preserve"> 1992)</w:t>
      </w:r>
      <w:r w:rsidR="002C4B01" w:rsidRPr="002C4B01">
        <w:t xml:space="preserve"> </w:t>
      </w:r>
      <w:r w:rsidR="002C4B01">
        <w:t>It w</w:t>
      </w:r>
      <w:r w:rsidR="002C4B01">
        <w:t xml:space="preserve">as originally excavated by </w:t>
      </w:r>
      <w:proofErr w:type="spellStart"/>
      <w:r w:rsidR="002C4B01">
        <w:t>Pernier</w:t>
      </w:r>
      <w:proofErr w:type="spellEnd"/>
      <w:r w:rsidR="002C4B01">
        <w:t xml:space="preserve"> in 1900 and Levi in 1950,1966,1969 and 1971 with The Italian Archaeological Mission publishing the archaeological excavations</w:t>
      </w:r>
      <w:r w:rsidR="002C4B01">
        <w:t>.</w:t>
      </w:r>
    </w:p>
    <w:p w14:paraId="669D11E8" w14:textId="1F090AA6" w:rsidR="002C4B01" w:rsidRDefault="00C12C73" w:rsidP="002C4B01">
      <w:pPr>
        <w:spacing w:line="360" w:lineRule="auto"/>
        <w:jc w:val="both"/>
      </w:pPr>
      <w:r>
        <w:t>The palace complex situated around the central court with</w:t>
      </w:r>
      <w:r w:rsidR="00C60EA4">
        <w:t>in a</w:t>
      </w:r>
      <w:r>
        <w:t xml:space="preserve"> North-South alignment, the main entrance of the palace would have been from a westerly direction. With the steps to the</w:t>
      </w:r>
      <w:r w:rsidR="00C60EA4">
        <w:t xml:space="preserve"> main entrance of the palace, with the</w:t>
      </w:r>
      <w:r>
        <w:t xml:space="preserve"> foundation of the palace still surviving, </w:t>
      </w:r>
      <w:r w:rsidR="00AD2157">
        <w:t>it is</w:t>
      </w:r>
      <w:r>
        <w:t xml:space="preserve"> believe</w:t>
      </w:r>
      <w:r w:rsidR="00AD2157">
        <w:t>d that one possibility that</w:t>
      </w:r>
      <w:r>
        <w:t xml:space="preserve"> the palaces are the result of a hierarchical society, </w:t>
      </w:r>
      <w:r w:rsidR="002C4B01">
        <w:t xml:space="preserve">one could </w:t>
      </w:r>
      <w:r>
        <w:t>interpret to enhance their theory that the notion of hierarchy coincides with the representation to the entrance of the palace steps as they reside on a raised platform and originally would have been difficult for onlookers to observe the activities taking place.</w:t>
      </w:r>
    </w:p>
    <w:p w14:paraId="59523785" w14:textId="1E54448A" w:rsidR="0012468D" w:rsidRPr="00C12C73" w:rsidRDefault="00C12C73" w:rsidP="002C4B01">
      <w:pPr>
        <w:spacing w:line="360" w:lineRule="auto"/>
        <w:ind w:firstLine="360"/>
        <w:jc w:val="both"/>
      </w:pPr>
      <w:r w:rsidRPr="00C87BCA">
        <w:t xml:space="preserve">‘The round hut at the southwest corner of the central court has a unique plan and is important evidence for discussions of how the round plan of the </w:t>
      </w:r>
      <w:proofErr w:type="spellStart"/>
      <w:r w:rsidRPr="00C87BCA">
        <w:t>Mesara</w:t>
      </w:r>
      <w:proofErr w:type="spellEnd"/>
      <w:r w:rsidRPr="00C87BCA">
        <w:t xml:space="preserve"> tholos tombs developed’ (Wilson Myers </w:t>
      </w:r>
      <w:proofErr w:type="spellStart"/>
      <w:r w:rsidRPr="00C87BCA">
        <w:t>etal</w:t>
      </w:r>
      <w:proofErr w:type="spellEnd"/>
      <w:r w:rsidRPr="00C87BCA">
        <w:t xml:space="preserve"> 1992)</w:t>
      </w:r>
      <w:r w:rsidRPr="002C4B01">
        <w:t xml:space="preserve"> –</w:t>
      </w:r>
      <w:r w:rsidR="00021C51" w:rsidRPr="002C4B01">
        <w:t xml:space="preserve"> </w:t>
      </w:r>
      <w:r w:rsidR="002C4B01" w:rsidRPr="002C4B01">
        <w:t xml:space="preserve">these round huts were considered to be the </w:t>
      </w:r>
      <w:r w:rsidR="00021C51" w:rsidRPr="002C4B01">
        <w:t xml:space="preserve">major architectural structures of the time </w:t>
      </w:r>
      <w:r w:rsidR="002C4B01">
        <w:t>–</w:t>
      </w:r>
      <w:r w:rsidRPr="002C4B01">
        <w:t xml:space="preserve"> </w:t>
      </w:r>
      <w:r w:rsidR="002C4B01">
        <w:t>looking closely at</w:t>
      </w:r>
      <w:r>
        <w:t xml:space="preserve"> funerary aspects</w:t>
      </w:r>
      <w:r w:rsidR="002C4B01">
        <w:t xml:space="preserve"> and in what way it</w:t>
      </w:r>
      <w:r>
        <w:t xml:space="preserve"> </w:t>
      </w:r>
      <w:r w:rsidR="002C4B01">
        <w:t>impacted the society in terms of the palace complex and the daily proceedings</w:t>
      </w:r>
      <w:r w:rsidR="002C4B01">
        <w:t xml:space="preserve">, i.e. in the forms of </w:t>
      </w:r>
      <w:r>
        <w:t>rituals, gifts, offerings and from other societies</w:t>
      </w:r>
      <w:r w:rsidR="002C4B01">
        <w:t xml:space="preserve">. </w:t>
      </w:r>
      <w:r w:rsidR="00361AE4">
        <w:t xml:space="preserve">The manner in which the dead were buried in these tombs indicate a society without hierarchical structure. The tombs were used for centuries by the community and later by other villages and clans. Moving the </w:t>
      </w:r>
      <w:r w:rsidR="002C4B01">
        <w:t>previous</w:t>
      </w:r>
      <w:r w:rsidR="00361AE4">
        <w:t xml:space="preserve"> offerings to one side while making room for a new burial. Human remains have been found in small bone chambers outside the </w:t>
      </w:r>
      <w:proofErr w:type="spellStart"/>
      <w:r w:rsidR="002C4B01">
        <w:t>T</w:t>
      </w:r>
      <w:r w:rsidR="00361AE4">
        <w:t>halos</w:t>
      </w:r>
      <w:proofErr w:type="spellEnd"/>
      <w:r w:rsidR="00361AE4">
        <w:t xml:space="preserve"> structure which suggest the removal of the previous deceased</w:t>
      </w:r>
      <w:r w:rsidR="002C4B01">
        <w:t>.</w:t>
      </w:r>
      <w:r w:rsidR="00361AE4">
        <w:t xml:space="preserve"> </w:t>
      </w:r>
    </w:p>
    <w:p w14:paraId="40224DD2" w14:textId="5BD1F7E4" w:rsidR="006D0A70" w:rsidRPr="002C4B01" w:rsidRDefault="00C12C73" w:rsidP="002C4B01">
      <w:pPr>
        <w:spacing w:line="360" w:lineRule="auto"/>
        <w:ind w:firstLine="360"/>
        <w:jc w:val="both"/>
        <w:rPr>
          <w:color w:val="FF0000"/>
        </w:rPr>
      </w:pPr>
      <w:r>
        <w:t xml:space="preserve">Archaeological evidence </w:t>
      </w:r>
      <w:r w:rsidR="00E36B89">
        <w:t xml:space="preserve">places large quantities of pottery sherds </w:t>
      </w:r>
      <w:proofErr w:type="spellStart"/>
      <w:r w:rsidR="00E36B89">
        <w:t>spreaded</w:t>
      </w:r>
      <w:proofErr w:type="spellEnd"/>
      <w:r w:rsidR="00E36B89">
        <w:t xml:space="preserve"> all around the palace complex. </w:t>
      </w:r>
      <w:r>
        <w:t xml:space="preserve"> </w:t>
      </w:r>
      <w:r w:rsidR="00E36B89" w:rsidRPr="00E36B89">
        <w:t xml:space="preserve">These can be </w:t>
      </w:r>
      <w:r w:rsidR="0012468D" w:rsidRPr="00E36B89">
        <w:t>dat</w:t>
      </w:r>
      <w:r w:rsidR="00E36B89" w:rsidRPr="00E36B89">
        <w:t>ed</w:t>
      </w:r>
      <w:r w:rsidR="0012468D" w:rsidRPr="00E36B89">
        <w:t xml:space="preserve"> from the early Minoan period (C.3000-1900BC). </w:t>
      </w:r>
      <w:r w:rsidR="00E36B89" w:rsidRPr="00E36B89">
        <w:t xml:space="preserve">Further </w:t>
      </w:r>
      <w:r w:rsidR="0012468D" w:rsidRPr="00E36B89">
        <w:t xml:space="preserve">pottery fragments have </w:t>
      </w:r>
      <w:r w:rsidR="00E36B89" w:rsidRPr="00E36B89">
        <w:t>additionally</w:t>
      </w:r>
      <w:r w:rsidR="0012468D" w:rsidRPr="00E36B89">
        <w:t xml:space="preserve"> been found in the older </w:t>
      </w:r>
      <w:r w:rsidR="00E36B89" w:rsidRPr="00E36B89">
        <w:t xml:space="preserve">foundations of the </w:t>
      </w:r>
      <w:r w:rsidR="0012468D" w:rsidRPr="00E36B89">
        <w:t xml:space="preserve">palace. In comparison we can see the development of the Minoan pottery in a gradual process of development through the characteristics of the style and designs of the pottery. </w:t>
      </w:r>
      <w:r w:rsidR="00E36B89" w:rsidRPr="00E36B89">
        <w:t xml:space="preserve">This would also include artistic design influences </w:t>
      </w:r>
      <w:r w:rsidR="00E36B89" w:rsidRPr="00E36B89">
        <w:lastRenderedPageBreak/>
        <w:t>and in the shape of which the pottery would have originally moulded.</w:t>
      </w:r>
      <w:r w:rsidR="00E36B89">
        <w:t xml:space="preserve"> However, through developing influences with outside connections, the Minoans have obtained certain concepts and incorporated that into their pottery to create a new hyb</w:t>
      </w:r>
      <w:r w:rsidR="00C87BCA">
        <w:t>r</w:t>
      </w:r>
      <w:r w:rsidR="00E36B89">
        <w:t xml:space="preserve">id object resembling the distinguishing relationship between Crete and </w:t>
      </w:r>
      <w:r w:rsidR="00C87BCA">
        <w:t>other foreign influences.</w:t>
      </w:r>
    </w:p>
    <w:p w14:paraId="29E7BB5C" w14:textId="77C33DF0" w:rsidR="006D73D7" w:rsidRDefault="006D73D7" w:rsidP="002C4B01">
      <w:pPr>
        <w:spacing w:line="360" w:lineRule="auto"/>
        <w:ind w:firstLine="360"/>
        <w:jc w:val="both"/>
      </w:pPr>
      <w:r>
        <w:t>The Minoan civilisation lasted approximately 1500 years as a whole and one has to consider the way in which the Minoans adapted to each evolutionary advancement whether that be outside influences from other lands and the impact upon the economic aspects</w:t>
      </w:r>
      <w:r w:rsidR="00AA1646">
        <w:t>.</w:t>
      </w:r>
    </w:p>
    <w:p w14:paraId="303B95DC" w14:textId="78F0DA08" w:rsidR="006D0A70" w:rsidRDefault="006D0A70" w:rsidP="00E22072"/>
    <w:p w14:paraId="4AE95F30" w14:textId="75F59F0F" w:rsidR="006D0A70" w:rsidRDefault="006D0A70" w:rsidP="00E22072"/>
    <w:p w14:paraId="6AE3EE7E" w14:textId="45415547" w:rsidR="006D0A70" w:rsidRDefault="006D0A70" w:rsidP="00E22072"/>
    <w:p w14:paraId="76716838" w14:textId="77B82DF7" w:rsidR="006D0A70" w:rsidRDefault="006D0A70" w:rsidP="00E22072"/>
    <w:p w14:paraId="6FC86639" w14:textId="76067E88" w:rsidR="006D0A70" w:rsidRDefault="006D0A70" w:rsidP="00E22072"/>
    <w:p w14:paraId="723121E9" w14:textId="61EEE73F" w:rsidR="006D0A70" w:rsidRDefault="006D0A70" w:rsidP="00E22072"/>
    <w:p w14:paraId="252A429E" w14:textId="614A5BFF" w:rsidR="006D0A70" w:rsidRDefault="006D0A70" w:rsidP="00E22072"/>
    <w:p w14:paraId="7CB8331B" w14:textId="418D7B1C" w:rsidR="006D0A70" w:rsidRDefault="006D0A70" w:rsidP="00E22072"/>
    <w:p w14:paraId="6BB8B504" w14:textId="28053E1C" w:rsidR="006D0A70" w:rsidRDefault="006D0A70" w:rsidP="00E22072"/>
    <w:p w14:paraId="6C2C8220" w14:textId="0288EA2F" w:rsidR="006D0A70" w:rsidRDefault="006D0A70" w:rsidP="00E22072"/>
    <w:p w14:paraId="598CB78F" w14:textId="066AC26B" w:rsidR="006D0A70" w:rsidRDefault="006D0A70" w:rsidP="00E22072"/>
    <w:p w14:paraId="48B148B4" w14:textId="543F0651" w:rsidR="006D0A70" w:rsidRDefault="006D0A70" w:rsidP="00E22072"/>
    <w:p w14:paraId="10E244F8" w14:textId="537C9504" w:rsidR="006D0A70" w:rsidRDefault="006D0A70" w:rsidP="00E22072"/>
    <w:p w14:paraId="6D6D99C2" w14:textId="20B0A97B" w:rsidR="006D0A70" w:rsidRDefault="006D0A70" w:rsidP="00E22072"/>
    <w:p w14:paraId="34628CDB" w14:textId="43C277BD" w:rsidR="006D0A70" w:rsidRDefault="006D0A70" w:rsidP="00E22072"/>
    <w:p w14:paraId="167860C2" w14:textId="2324B6D0" w:rsidR="006D0A70" w:rsidRDefault="006D0A70" w:rsidP="00E22072"/>
    <w:p w14:paraId="52861637" w14:textId="7D0F0ED9" w:rsidR="006D0A70" w:rsidRDefault="006D0A70" w:rsidP="00E22072"/>
    <w:p w14:paraId="45B996FD" w14:textId="7BE240FF" w:rsidR="006D0A70" w:rsidRDefault="006D0A70" w:rsidP="00E22072"/>
    <w:p w14:paraId="529D36B0" w14:textId="7447F273" w:rsidR="006D0A70" w:rsidRDefault="006D0A70" w:rsidP="00E22072"/>
    <w:p w14:paraId="072D10EE" w14:textId="77777777" w:rsidR="006D0A70" w:rsidRDefault="006D0A70" w:rsidP="00E22072"/>
    <w:p w14:paraId="70DA65A5" w14:textId="77777777" w:rsidR="002D0920" w:rsidRDefault="002D0920" w:rsidP="00E22072"/>
    <w:sdt>
      <w:sdtPr>
        <w:id w:val="-190737369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EE99540" w14:textId="439F08F9" w:rsidR="0099549D" w:rsidRDefault="0099549D">
          <w:pPr>
            <w:pStyle w:val="Heading1"/>
          </w:pPr>
          <w:r>
            <w:t>Bibliography</w:t>
          </w:r>
        </w:p>
        <w:sdt>
          <w:sdtPr>
            <w:id w:val="111145805"/>
            <w:bibliography/>
          </w:sdtPr>
          <w:sdtContent>
            <w:p w14:paraId="05CB7B74" w14:textId="53F6DCCD" w:rsidR="0099549D" w:rsidRDefault="0099549D" w:rsidP="0099549D">
              <w:pPr>
                <w:pStyle w:val="Bibliography"/>
                <w:rPr>
                  <w:noProof/>
                  <w:lang w:val="en-US"/>
                </w:rPr>
              </w:pPr>
              <w:r>
                <w:fldChar w:fldCharType="begin"/>
              </w:r>
              <w:r>
                <w:instrText xml:space="preserve"> BIBLIOGRAPHY </w:instrText>
              </w:r>
              <w:r>
                <w:fldChar w:fldCharType="separate"/>
              </w:r>
              <w:r>
                <w:rPr>
                  <w:noProof/>
                  <w:lang w:val="en-US"/>
                </w:rPr>
                <w:t xml:space="preserve">Barrett, J. a. H. P., 2004. </w:t>
              </w:r>
              <w:r>
                <w:rPr>
                  <w:i/>
                  <w:iCs/>
                  <w:noProof/>
                  <w:lang w:val="en-US"/>
                </w:rPr>
                <w:t xml:space="preserve">The Emergence of Civilisation Revisited. </w:t>
              </w:r>
              <w:r>
                <w:rPr>
                  <w:noProof/>
                  <w:lang w:val="en-US"/>
                </w:rPr>
                <w:t>Oxford: Oxbow Books.</w:t>
              </w:r>
            </w:p>
            <w:p w14:paraId="40817E3D" w14:textId="0FFD4209" w:rsidR="009B05EE" w:rsidRPr="009B05EE" w:rsidRDefault="009B05EE" w:rsidP="009B05EE">
              <w:r>
                <w:t xml:space="preserve">Crumley, C.L (1995), </w:t>
              </w:r>
              <w:proofErr w:type="spellStart"/>
              <w:r>
                <w:t>Heterarchy</w:t>
              </w:r>
              <w:proofErr w:type="spellEnd"/>
              <w:r>
                <w:t xml:space="preserve"> and the analysis of complex societies. In R.</w:t>
              </w:r>
            </w:p>
            <w:p w14:paraId="2D6D7AFA" w14:textId="77777777" w:rsidR="009B05EE" w:rsidRPr="009B05EE" w:rsidRDefault="009B05EE" w:rsidP="009B05EE">
              <w:pPr>
                <w:rPr>
                  <w:rFonts w:cstheme="minorHAnsi"/>
                  <w:shd w:val="clear" w:color="auto" w:fill="FFF5AA"/>
                </w:rPr>
              </w:pPr>
              <w:r w:rsidRPr="009B05EE">
                <w:rPr>
                  <w:rFonts w:cstheme="minorHAnsi"/>
                  <w:shd w:val="clear" w:color="auto" w:fill="FFF5AA"/>
                </w:rPr>
                <w:lastRenderedPageBreak/>
                <w:t>Gaines, E. (2006). Communication and the Semiotics of Space. </w:t>
              </w:r>
              <w:r w:rsidRPr="009B05EE">
                <w:rPr>
                  <w:rFonts w:cstheme="minorHAnsi"/>
                  <w:i/>
                  <w:iCs/>
                  <w:shd w:val="clear" w:color="auto" w:fill="FFF5AA"/>
                </w:rPr>
                <w:t>Journal of Creative Communications</w:t>
              </w:r>
              <w:r w:rsidRPr="009B05EE">
                <w:rPr>
                  <w:rFonts w:cstheme="minorHAnsi"/>
                  <w:shd w:val="clear" w:color="auto" w:fill="FFF5AA"/>
                </w:rPr>
                <w:t>, [online] 1(2), pp.173-181. Available at: http://www.wright.edu/~elliot.gaines/space.pdf [Accessed 11 Apr. 2018].</w:t>
              </w:r>
            </w:p>
            <w:p w14:paraId="799FDD99" w14:textId="6D63A98C" w:rsidR="0099549D" w:rsidRDefault="0099549D" w:rsidP="0099549D">
              <w:pPr>
                <w:pStyle w:val="Bibliography"/>
                <w:rPr>
                  <w:noProof/>
                  <w:lang w:val="en-US"/>
                </w:rPr>
              </w:pPr>
              <w:r>
                <w:rPr>
                  <w:noProof/>
                  <w:lang w:val="en-US"/>
                </w:rPr>
                <w:t xml:space="preserve">Knappett, C., 2004. </w:t>
              </w:r>
              <w:r>
                <w:rPr>
                  <w:i/>
                  <w:iCs/>
                  <w:noProof/>
                  <w:lang w:val="en-US"/>
                </w:rPr>
                <w:t xml:space="preserve">Knossos, Palace, City, State. </w:t>
              </w:r>
              <w:r>
                <w:rPr>
                  <w:noProof/>
                  <w:lang w:val="en-US"/>
                </w:rPr>
                <w:t>London, The British School at Athens.</w:t>
              </w:r>
            </w:p>
            <w:p w14:paraId="236C4D2F" w14:textId="177A6CDD" w:rsidR="009B05EE" w:rsidRPr="009B05EE" w:rsidRDefault="009B05EE" w:rsidP="009B05EE">
              <w:r>
                <w:t xml:space="preserve">M. Ehrenreich, C.L Crumley and J.E Levy, </w:t>
              </w:r>
              <w:proofErr w:type="spellStart"/>
              <w:r w:rsidRPr="00CF527E">
                <w:rPr>
                  <w:i/>
                </w:rPr>
                <w:t>Heterarchy</w:t>
              </w:r>
              <w:proofErr w:type="spellEnd"/>
              <w:r w:rsidRPr="00CF527E">
                <w:rPr>
                  <w:i/>
                </w:rPr>
                <w:t xml:space="preserve"> and the analysis of complex societies</w:t>
              </w:r>
              <w:r>
                <w:rPr>
                  <w:i/>
                </w:rPr>
                <w:t xml:space="preserve">: 1-5. </w:t>
              </w:r>
              <w:r w:rsidRPr="00CF527E">
                <w:t>Arlington:</w:t>
              </w:r>
              <w:r>
                <w:t xml:space="preserve"> </w:t>
              </w:r>
              <w:r w:rsidRPr="00CF527E">
                <w:t xml:space="preserve">American </w:t>
              </w:r>
              <w:proofErr w:type="spellStart"/>
              <w:r w:rsidRPr="00CF527E">
                <w:t>Anthropologial</w:t>
              </w:r>
              <w:proofErr w:type="spellEnd"/>
              <w:r w:rsidRPr="00CF527E">
                <w:t xml:space="preserve"> Association</w:t>
              </w:r>
            </w:p>
            <w:p w14:paraId="72B86B73" w14:textId="77777777" w:rsidR="009B05EE" w:rsidRPr="009B05EE" w:rsidRDefault="009B05EE" w:rsidP="009B05EE">
              <w:pPr>
                <w:rPr>
                  <w:rFonts w:ascii="Arial" w:hAnsi="Arial" w:cs="Arial"/>
                  <w:sz w:val="20"/>
                  <w:szCs w:val="20"/>
                  <w:shd w:val="clear" w:color="auto" w:fill="FFF5AA"/>
                </w:rPr>
              </w:pPr>
              <w:r w:rsidRPr="009B05EE">
                <w:rPr>
                  <w:rFonts w:ascii="Arial" w:hAnsi="Arial" w:cs="Arial"/>
                  <w:sz w:val="20"/>
                  <w:szCs w:val="20"/>
                  <w:shd w:val="clear" w:color="auto" w:fill="FFF5AA"/>
                </w:rPr>
                <w:t>PARKINSON, W. and GALATY, M. (2007). Secondary States in Perspective: An Integrated Approach to State Formation in the Prehistoric Aegean. </w:t>
              </w:r>
              <w:r w:rsidRPr="009B05EE">
                <w:rPr>
                  <w:rFonts w:ascii="Arial" w:hAnsi="Arial" w:cs="Arial"/>
                  <w:i/>
                  <w:iCs/>
                  <w:sz w:val="20"/>
                  <w:szCs w:val="20"/>
                  <w:shd w:val="clear" w:color="auto" w:fill="FFF5AA"/>
                </w:rPr>
                <w:t>American Anthropologist</w:t>
              </w:r>
              <w:r w:rsidRPr="009B05EE">
                <w:rPr>
                  <w:rFonts w:ascii="Arial" w:hAnsi="Arial" w:cs="Arial"/>
                  <w:sz w:val="20"/>
                  <w:szCs w:val="20"/>
                  <w:shd w:val="clear" w:color="auto" w:fill="FFF5AA"/>
                </w:rPr>
                <w:t>, [online] 109(1), pp.113-129. Available at: http://www.jstor.org/stable/pdf/4496592.pdf [Accessed 12 Apr. 2018].</w:t>
              </w:r>
            </w:p>
            <w:p w14:paraId="34F9846C" w14:textId="77777777" w:rsidR="0099549D" w:rsidRDefault="0099549D" w:rsidP="0099549D">
              <w:pPr>
                <w:pStyle w:val="Bibliography"/>
                <w:rPr>
                  <w:noProof/>
                  <w:lang w:val="en-US"/>
                </w:rPr>
              </w:pPr>
              <w:r>
                <w:rPr>
                  <w:noProof/>
                  <w:lang w:val="en-US"/>
                </w:rPr>
                <w:t xml:space="preserve">Ransome, P., 2010. </w:t>
              </w:r>
              <w:r>
                <w:rPr>
                  <w:i/>
                  <w:iCs/>
                  <w:noProof/>
                  <w:lang w:val="en-US"/>
                </w:rPr>
                <w:t xml:space="preserve">Social Theory For Beginners. </w:t>
              </w:r>
              <w:r>
                <w:rPr>
                  <w:noProof/>
                  <w:lang w:val="en-US"/>
                </w:rPr>
                <w:t>Bristol: The Policy Press.</w:t>
              </w:r>
            </w:p>
            <w:p w14:paraId="7E877A46" w14:textId="77777777" w:rsidR="009B05EE" w:rsidRPr="00CF527E" w:rsidRDefault="009B05EE" w:rsidP="009B05EE">
              <w:proofErr w:type="spellStart"/>
              <w:r>
                <w:rPr>
                  <w:rFonts w:ascii="Arial" w:hAnsi="Arial" w:cs="Arial"/>
                  <w:color w:val="666666"/>
                  <w:sz w:val="20"/>
                  <w:szCs w:val="20"/>
                  <w:shd w:val="clear" w:color="auto" w:fill="FFF5AA"/>
                </w:rPr>
                <w:t>Schoep</w:t>
              </w:r>
              <w:proofErr w:type="spellEnd"/>
              <w:r>
                <w:rPr>
                  <w:rFonts w:ascii="Arial" w:hAnsi="Arial" w:cs="Arial"/>
                  <w:color w:val="666666"/>
                  <w:sz w:val="20"/>
                  <w:szCs w:val="20"/>
                  <w:shd w:val="clear" w:color="auto" w:fill="FFF5AA"/>
                </w:rPr>
                <w:t>, I., Tomkins, P. and Driessen, J. (2012). </w:t>
              </w:r>
              <w:r>
                <w:rPr>
                  <w:rFonts w:ascii="Arial" w:hAnsi="Arial" w:cs="Arial"/>
                  <w:i/>
                  <w:iCs/>
                  <w:color w:val="666666"/>
                  <w:sz w:val="20"/>
                  <w:szCs w:val="20"/>
                  <w:shd w:val="clear" w:color="auto" w:fill="FFF5AA"/>
                </w:rPr>
                <w:t>Back to the Beginning Reassessing Social and Political Complexity on Crete During the Early and Middle Bronze Age</w:t>
              </w:r>
              <w:r>
                <w:rPr>
                  <w:rFonts w:ascii="Arial" w:hAnsi="Arial" w:cs="Arial"/>
                  <w:color w:val="666666"/>
                  <w:sz w:val="20"/>
                  <w:szCs w:val="20"/>
                  <w:shd w:val="clear" w:color="auto" w:fill="FFF5AA"/>
                </w:rPr>
                <w:t>. [</w:t>
              </w:r>
              <w:proofErr w:type="spellStart"/>
              <w:r>
                <w:rPr>
                  <w:rFonts w:ascii="Arial" w:hAnsi="Arial" w:cs="Arial"/>
                  <w:color w:val="666666"/>
                  <w:sz w:val="20"/>
                  <w:szCs w:val="20"/>
                  <w:shd w:val="clear" w:color="auto" w:fill="FFF5AA"/>
                </w:rPr>
                <w:t>ebook</w:t>
              </w:r>
              <w:proofErr w:type="spellEnd"/>
              <w:r>
                <w:rPr>
                  <w:rFonts w:ascii="Arial" w:hAnsi="Arial" w:cs="Arial"/>
                  <w:color w:val="666666"/>
                  <w:sz w:val="20"/>
                  <w:szCs w:val="20"/>
                  <w:shd w:val="clear" w:color="auto" w:fill="FFF5AA"/>
                </w:rPr>
                <w:t>] Oxford: Oxbow Books. Available at: https://scholar.google.co.uk/scholar?hl=en&amp;as_sdt=0%2C5&amp;q=phaistos+palace+heterarchy+society&amp;btnG= [Accessed 11 Apr. 2018].</w:t>
              </w:r>
            </w:p>
            <w:p w14:paraId="220F9CF5" w14:textId="7DD08584" w:rsidR="0099549D" w:rsidRDefault="0099549D" w:rsidP="0099549D">
              <w:r>
                <w:rPr>
                  <w:b/>
                  <w:bCs/>
                  <w:noProof/>
                </w:rPr>
                <w:fldChar w:fldCharType="end"/>
              </w:r>
            </w:p>
          </w:sdtContent>
        </w:sdt>
      </w:sdtContent>
    </w:sdt>
    <w:p w14:paraId="63C4798F" w14:textId="77777777" w:rsidR="001C6D7C" w:rsidRDefault="001C6D7C" w:rsidP="00E22072">
      <w:pPr>
        <w:rPr>
          <w:rFonts w:ascii="Arial" w:hAnsi="Arial" w:cs="Arial"/>
          <w:color w:val="666666"/>
          <w:sz w:val="20"/>
          <w:szCs w:val="20"/>
          <w:shd w:val="clear" w:color="auto" w:fill="FFF5AA"/>
        </w:rPr>
      </w:pPr>
    </w:p>
    <w:sectPr w:rsidR="001C6D7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13F92" w14:textId="77777777" w:rsidR="006B01F9" w:rsidRDefault="006B01F9" w:rsidP="006D2621">
      <w:pPr>
        <w:spacing w:after="0" w:line="240" w:lineRule="auto"/>
      </w:pPr>
      <w:r>
        <w:separator/>
      </w:r>
    </w:p>
  </w:endnote>
  <w:endnote w:type="continuationSeparator" w:id="0">
    <w:p w14:paraId="3EE0CB6D" w14:textId="77777777" w:rsidR="006B01F9" w:rsidRDefault="006B01F9" w:rsidP="006D2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D2C51" w14:textId="4859AB3E" w:rsidR="006D2621" w:rsidRDefault="006D2621">
    <w:pPr>
      <w:pStyle w:val="Footer"/>
    </w:pPr>
    <w:r>
      <w:t>Lucy Owens</w:t>
    </w:r>
    <w:r>
      <w:ptab w:relativeTo="margin" w:alignment="center" w:leader="none"/>
    </w:r>
    <w:r>
      <w:t>Origins and Innovation</w:t>
    </w:r>
    <w:r>
      <w:ptab w:relativeTo="margin" w:alignment="right" w:leader="none"/>
    </w:r>
    <w:r>
      <w:t>1501525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73A08" w14:textId="77777777" w:rsidR="006B01F9" w:rsidRDefault="006B01F9" w:rsidP="006D2621">
      <w:pPr>
        <w:spacing w:after="0" w:line="240" w:lineRule="auto"/>
      </w:pPr>
      <w:r>
        <w:separator/>
      </w:r>
    </w:p>
  </w:footnote>
  <w:footnote w:type="continuationSeparator" w:id="0">
    <w:p w14:paraId="15970BAA" w14:textId="77777777" w:rsidR="006B01F9" w:rsidRDefault="006B01F9" w:rsidP="006D26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83190"/>
    <w:multiLevelType w:val="hybridMultilevel"/>
    <w:tmpl w:val="590488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4C41FB"/>
    <w:multiLevelType w:val="hybridMultilevel"/>
    <w:tmpl w:val="1C6A7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AA009B"/>
    <w:multiLevelType w:val="hybridMultilevel"/>
    <w:tmpl w:val="C1DCB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AC0FC9"/>
    <w:multiLevelType w:val="hybridMultilevel"/>
    <w:tmpl w:val="84982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F20F72"/>
    <w:multiLevelType w:val="hybridMultilevel"/>
    <w:tmpl w:val="483C9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072"/>
    <w:rsid w:val="00021C51"/>
    <w:rsid w:val="000A0B37"/>
    <w:rsid w:val="000B4DD3"/>
    <w:rsid w:val="000F7C3C"/>
    <w:rsid w:val="0012292D"/>
    <w:rsid w:val="0012468D"/>
    <w:rsid w:val="00130529"/>
    <w:rsid w:val="00142387"/>
    <w:rsid w:val="001504E1"/>
    <w:rsid w:val="00166C95"/>
    <w:rsid w:val="00173E1E"/>
    <w:rsid w:val="001B2477"/>
    <w:rsid w:val="001B6EB3"/>
    <w:rsid w:val="001C3441"/>
    <w:rsid w:val="001C6D7C"/>
    <w:rsid w:val="002043BF"/>
    <w:rsid w:val="00217134"/>
    <w:rsid w:val="00221111"/>
    <w:rsid w:val="00267AA2"/>
    <w:rsid w:val="00280C65"/>
    <w:rsid w:val="00295BF2"/>
    <w:rsid w:val="002B2876"/>
    <w:rsid w:val="002C42FC"/>
    <w:rsid w:val="002C4B01"/>
    <w:rsid w:val="002C7D73"/>
    <w:rsid w:val="002D0920"/>
    <w:rsid w:val="002E10B8"/>
    <w:rsid w:val="002E3DC3"/>
    <w:rsid w:val="003203A1"/>
    <w:rsid w:val="0032156A"/>
    <w:rsid w:val="00357277"/>
    <w:rsid w:val="00361AE4"/>
    <w:rsid w:val="00386B4E"/>
    <w:rsid w:val="003C157C"/>
    <w:rsid w:val="004118B4"/>
    <w:rsid w:val="0041635D"/>
    <w:rsid w:val="00417614"/>
    <w:rsid w:val="00485776"/>
    <w:rsid w:val="004A22B6"/>
    <w:rsid w:val="005071E0"/>
    <w:rsid w:val="00517C9F"/>
    <w:rsid w:val="00521B1F"/>
    <w:rsid w:val="00553B4C"/>
    <w:rsid w:val="005726B6"/>
    <w:rsid w:val="005801A6"/>
    <w:rsid w:val="00580827"/>
    <w:rsid w:val="005A5582"/>
    <w:rsid w:val="005B74E0"/>
    <w:rsid w:val="005D1EF6"/>
    <w:rsid w:val="005E26B2"/>
    <w:rsid w:val="00626E06"/>
    <w:rsid w:val="00642B64"/>
    <w:rsid w:val="00665407"/>
    <w:rsid w:val="006B01F9"/>
    <w:rsid w:val="006B22EB"/>
    <w:rsid w:val="006B3A24"/>
    <w:rsid w:val="006D0A70"/>
    <w:rsid w:val="006D2621"/>
    <w:rsid w:val="006D402C"/>
    <w:rsid w:val="006D6119"/>
    <w:rsid w:val="006D73D7"/>
    <w:rsid w:val="006E5985"/>
    <w:rsid w:val="00706F6C"/>
    <w:rsid w:val="0073448C"/>
    <w:rsid w:val="007640AA"/>
    <w:rsid w:val="007662E2"/>
    <w:rsid w:val="00774578"/>
    <w:rsid w:val="0078574B"/>
    <w:rsid w:val="007D6DF3"/>
    <w:rsid w:val="007E4477"/>
    <w:rsid w:val="0081044D"/>
    <w:rsid w:val="00814A0B"/>
    <w:rsid w:val="008151CB"/>
    <w:rsid w:val="00860E06"/>
    <w:rsid w:val="00864E06"/>
    <w:rsid w:val="00872562"/>
    <w:rsid w:val="008A3586"/>
    <w:rsid w:val="008B337D"/>
    <w:rsid w:val="008B58B5"/>
    <w:rsid w:val="008E09DD"/>
    <w:rsid w:val="008E4ABB"/>
    <w:rsid w:val="009015F3"/>
    <w:rsid w:val="009375F1"/>
    <w:rsid w:val="0096558E"/>
    <w:rsid w:val="0099549D"/>
    <w:rsid w:val="009A7F81"/>
    <w:rsid w:val="009B05EE"/>
    <w:rsid w:val="009B2C62"/>
    <w:rsid w:val="009F1ED6"/>
    <w:rsid w:val="00A5710D"/>
    <w:rsid w:val="00A87C40"/>
    <w:rsid w:val="00AA1646"/>
    <w:rsid w:val="00AC0D18"/>
    <w:rsid w:val="00AC6E17"/>
    <w:rsid w:val="00AD2157"/>
    <w:rsid w:val="00B10B03"/>
    <w:rsid w:val="00B47EA9"/>
    <w:rsid w:val="00B61FA3"/>
    <w:rsid w:val="00B62C8C"/>
    <w:rsid w:val="00B70C9F"/>
    <w:rsid w:val="00BD208A"/>
    <w:rsid w:val="00BE10C5"/>
    <w:rsid w:val="00C00D21"/>
    <w:rsid w:val="00C12C73"/>
    <w:rsid w:val="00C35012"/>
    <w:rsid w:val="00C60EA4"/>
    <w:rsid w:val="00C87BCA"/>
    <w:rsid w:val="00CF527E"/>
    <w:rsid w:val="00D412F8"/>
    <w:rsid w:val="00D54FB2"/>
    <w:rsid w:val="00D7341C"/>
    <w:rsid w:val="00D82B28"/>
    <w:rsid w:val="00DA1303"/>
    <w:rsid w:val="00DA25AC"/>
    <w:rsid w:val="00DA6CAF"/>
    <w:rsid w:val="00DC618B"/>
    <w:rsid w:val="00DD5A79"/>
    <w:rsid w:val="00E13A4B"/>
    <w:rsid w:val="00E22072"/>
    <w:rsid w:val="00E348C2"/>
    <w:rsid w:val="00E36B89"/>
    <w:rsid w:val="00E72302"/>
    <w:rsid w:val="00E749F7"/>
    <w:rsid w:val="00EF3963"/>
    <w:rsid w:val="00F25427"/>
    <w:rsid w:val="00F50B3F"/>
    <w:rsid w:val="00FA7FB0"/>
    <w:rsid w:val="00FE7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F3A44"/>
  <w15:chartTrackingRefBased/>
  <w15:docId w15:val="{0BBBE681-259B-448A-8234-ADA06FACA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D7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072"/>
    <w:pPr>
      <w:ind w:left="720"/>
      <w:contextualSpacing/>
    </w:pPr>
  </w:style>
  <w:style w:type="character" w:styleId="Hyperlink">
    <w:name w:val="Hyperlink"/>
    <w:basedOn w:val="DefaultParagraphFont"/>
    <w:uiPriority w:val="99"/>
    <w:unhideWhenUsed/>
    <w:rsid w:val="00872562"/>
    <w:rPr>
      <w:color w:val="0563C1" w:themeColor="hyperlink"/>
      <w:u w:val="single"/>
    </w:rPr>
  </w:style>
  <w:style w:type="character" w:styleId="UnresolvedMention">
    <w:name w:val="Unresolved Mention"/>
    <w:basedOn w:val="DefaultParagraphFont"/>
    <w:uiPriority w:val="99"/>
    <w:semiHidden/>
    <w:unhideWhenUsed/>
    <w:rsid w:val="00872562"/>
    <w:rPr>
      <w:color w:val="808080"/>
      <w:shd w:val="clear" w:color="auto" w:fill="E6E6E6"/>
    </w:rPr>
  </w:style>
  <w:style w:type="character" w:styleId="FollowedHyperlink">
    <w:name w:val="FollowedHyperlink"/>
    <w:basedOn w:val="DefaultParagraphFont"/>
    <w:uiPriority w:val="99"/>
    <w:semiHidden/>
    <w:unhideWhenUsed/>
    <w:rsid w:val="009F1ED6"/>
    <w:rPr>
      <w:color w:val="954F72" w:themeColor="followedHyperlink"/>
      <w:u w:val="single"/>
    </w:rPr>
  </w:style>
  <w:style w:type="character" w:customStyle="1" w:styleId="Heading1Char">
    <w:name w:val="Heading 1 Char"/>
    <w:basedOn w:val="DefaultParagraphFont"/>
    <w:link w:val="Heading1"/>
    <w:uiPriority w:val="9"/>
    <w:rsid w:val="001C6D7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C6D7C"/>
  </w:style>
  <w:style w:type="paragraph" w:styleId="Header">
    <w:name w:val="header"/>
    <w:basedOn w:val="Normal"/>
    <w:link w:val="HeaderChar"/>
    <w:uiPriority w:val="99"/>
    <w:unhideWhenUsed/>
    <w:rsid w:val="006D2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621"/>
  </w:style>
  <w:style w:type="paragraph" w:styleId="Footer">
    <w:name w:val="footer"/>
    <w:basedOn w:val="Normal"/>
    <w:link w:val="FooterChar"/>
    <w:uiPriority w:val="99"/>
    <w:unhideWhenUsed/>
    <w:rsid w:val="006D2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08833">
      <w:bodyDiv w:val="1"/>
      <w:marLeft w:val="0"/>
      <w:marRight w:val="0"/>
      <w:marTop w:val="0"/>
      <w:marBottom w:val="0"/>
      <w:divBdr>
        <w:top w:val="none" w:sz="0" w:space="0" w:color="auto"/>
        <w:left w:val="none" w:sz="0" w:space="0" w:color="auto"/>
        <w:bottom w:val="none" w:sz="0" w:space="0" w:color="auto"/>
        <w:right w:val="none" w:sz="0" w:space="0" w:color="auto"/>
      </w:divBdr>
    </w:div>
    <w:div w:id="183977784">
      <w:bodyDiv w:val="1"/>
      <w:marLeft w:val="0"/>
      <w:marRight w:val="0"/>
      <w:marTop w:val="0"/>
      <w:marBottom w:val="0"/>
      <w:divBdr>
        <w:top w:val="none" w:sz="0" w:space="0" w:color="auto"/>
        <w:left w:val="none" w:sz="0" w:space="0" w:color="auto"/>
        <w:bottom w:val="none" w:sz="0" w:space="0" w:color="auto"/>
        <w:right w:val="none" w:sz="0" w:space="0" w:color="auto"/>
      </w:divBdr>
    </w:div>
    <w:div w:id="549148542">
      <w:bodyDiv w:val="1"/>
      <w:marLeft w:val="0"/>
      <w:marRight w:val="0"/>
      <w:marTop w:val="0"/>
      <w:marBottom w:val="0"/>
      <w:divBdr>
        <w:top w:val="none" w:sz="0" w:space="0" w:color="auto"/>
        <w:left w:val="none" w:sz="0" w:space="0" w:color="auto"/>
        <w:bottom w:val="none" w:sz="0" w:space="0" w:color="auto"/>
        <w:right w:val="none" w:sz="0" w:space="0" w:color="auto"/>
      </w:divBdr>
    </w:div>
    <w:div w:id="687678658">
      <w:bodyDiv w:val="1"/>
      <w:marLeft w:val="0"/>
      <w:marRight w:val="0"/>
      <w:marTop w:val="0"/>
      <w:marBottom w:val="0"/>
      <w:divBdr>
        <w:top w:val="none" w:sz="0" w:space="0" w:color="auto"/>
        <w:left w:val="none" w:sz="0" w:space="0" w:color="auto"/>
        <w:bottom w:val="none" w:sz="0" w:space="0" w:color="auto"/>
        <w:right w:val="none" w:sz="0" w:space="0" w:color="auto"/>
      </w:divBdr>
    </w:div>
    <w:div w:id="927423917">
      <w:bodyDiv w:val="1"/>
      <w:marLeft w:val="0"/>
      <w:marRight w:val="0"/>
      <w:marTop w:val="0"/>
      <w:marBottom w:val="0"/>
      <w:divBdr>
        <w:top w:val="none" w:sz="0" w:space="0" w:color="auto"/>
        <w:left w:val="none" w:sz="0" w:space="0" w:color="auto"/>
        <w:bottom w:val="none" w:sz="0" w:space="0" w:color="auto"/>
        <w:right w:val="none" w:sz="0" w:space="0" w:color="auto"/>
      </w:divBdr>
    </w:div>
    <w:div w:id="1193031367">
      <w:bodyDiv w:val="1"/>
      <w:marLeft w:val="0"/>
      <w:marRight w:val="0"/>
      <w:marTop w:val="0"/>
      <w:marBottom w:val="0"/>
      <w:divBdr>
        <w:top w:val="none" w:sz="0" w:space="0" w:color="auto"/>
        <w:left w:val="none" w:sz="0" w:space="0" w:color="auto"/>
        <w:bottom w:val="none" w:sz="0" w:space="0" w:color="auto"/>
        <w:right w:val="none" w:sz="0" w:space="0" w:color="auto"/>
      </w:divBdr>
    </w:div>
    <w:div w:id="1232426538">
      <w:bodyDiv w:val="1"/>
      <w:marLeft w:val="0"/>
      <w:marRight w:val="0"/>
      <w:marTop w:val="0"/>
      <w:marBottom w:val="0"/>
      <w:divBdr>
        <w:top w:val="none" w:sz="0" w:space="0" w:color="auto"/>
        <w:left w:val="none" w:sz="0" w:space="0" w:color="auto"/>
        <w:bottom w:val="none" w:sz="0" w:space="0" w:color="auto"/>
        <w:right w:val="none" w:sz="0" w:space="0" w:color="auto"/>
      </w:divBdr>
    </w:div>
    <w:div w:id="1275362036">
      <w:bodyDiv w:val="1"/>
      <w:marLeft w:val="0"/>
      <w:marRight w:val="0"/>
      <w:marTop w:val="0"/>
      <w:marBottom w:val="0"/>
      <w:divBdr>
        <w:top w:val="none" w:sz="0" w:space="0" w:color="auto"/>
        <w:left w:val="none" w:sz="0" w:space="0" w:color="auto"/>
        <w:bottom w:val="none" w:sz="0" w:space="0" w:color="auto"/>
        <w:right w:val="none" w:sz="0" w:space="0" w:color="auto"/>
      </w:divBdr>
    </w:div>
    <w:div w:id="1335189264">
      <w:bodyDiv w:val="1"/>
      <w:marLeft w:val="0"/>
      <w:marRight w:val="0"/>
      <w:marTop w:val="0"/>
      <w:marBottom w:val="0"/>
      <w:divBdr>
        <w:top w:val="none" w:sz="0" w:space="0" w:color="auto"/>
        <w:left w:val="none" w:sz="0" w:space="0" w:color="auto"/>
        <w:bottom w:val="none" w:sz="0" w:space="0" w:color="auto"/>
        <w:right w:val="none" w:sz="0" w:space="0" w:color="auto"/>
      </w:divBdr>
    </w:div>
    <w:div w:id="1448087318">
      <w:bodyDiv w:val="1"/>
      <w:marLeft w:val="0"/>
      <w:marRight w:val="0"/>
      <w:marTop w:val="0"/>
      <w:marBottom w:val="0"/>
      <w:divBdr>
        <w:top w:val="none" w:sz="0" w:space="0" w:color="auto"/>
        <w:left w:val="none" w:sz="0" w:space="0" w:color="auto"/>
        <w:bottom w:val="none" w:sz="0" w:space="0" w:color="auto"/>
        <w:right w:val="none" w:sz="0" w:space="0" w:color="auto"/>
      </w:divBdr>
    </w:div>
    <w:div w:id="1486507671">
      <w:bodyDiv w:val="1"/>
      <w:marLeft w:val="0"/>
      <w:marRight w:val="0"/>
      <w:marTop w:val="0"/>
      <w:marBottom w:val="0"/>
      <w:divBdr>
        <w:top w:val="none" w:sz="0" w:space="0" w:color="auto"/>
        <w:left w:val="none" w:sz="0" w:space="0" w:color="auto"/>
        <w:bottom w:val="none" w:sz="0" w:space="0" w:color="auto"/>
        <w:right w:val="none" w:sz="0" w:space="0" w:color="auto"/>
      </w:divBdr>
    </w:div>
    <w:div w:id="2015571986">
      <w:bodyDiv w:val="1"/>
      <w:marLeft w:val="0"/>
      <w:marRight w:val="0"/>
      <w:marTop w:val="0"/>
      <w:marBottom w:val="0"/>
      <w:divBdr>
        <w:top w:val="none" w:sz="0" w:space="0" w:color="auto"/>
        <w:left w:val="none" w:sz="0" w:space="0" w:color="auto"/>
        <w:bottom w:val="none" w:sz="0" w:space="0" w:color="auto"/>
        <w:right w:val="none" w:sz="0" w:space="0" w:color="auto"/>
      </w:divBdr>
    </w:div>
    <w:div w:id="2123651510">
      <w:bodyDiv w:val="1"/>
      <w:marLeft w:val="0"/>
      <w:marRight w:val="0"/>
      <w:marTop w:val="0"/>
      <w:marBottom w:val="0"/>
      <w:divBdr>
        <w:top w:val="none" w:sz="0" w:space="0" w:color="auto"/>
        <w:left w:val="none" w:sz="0" w:space="0" w:color="auto"/>
        <w:bottom w:val="none" w:sz="0" w:space="0" w:color="auto"/>
        <w:right w:val="none" w:sz="0" w:space="0" w:color="auto"/>
      </w:divBdr>
    </w:div>
    <w:div w:id="214546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s.semanticscholar.org/9368/bb8ab358a3008e946330a72c87a244badd6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A55"/>
    <w:rsid w:val="003B4A55"/>
    <w:rsid w:val="00E81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E40BCA8341462A9E808BEF3E91AD2E">
    <w:name w:val="5BE40BCA8341462A9E808BEF3E91AD2E"/>
    <w:rsid w:val="003B4A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Gai06</b:Tag>
    <b:SourceType>JournalArticle</b:SourceType>
    <b:Guid>{5ED78B26-5BE2-474F-807C-12D54DDF82E2}</b:Guid>
    <b:Author>
      <b:Author>
        <b:NameList>
          <b:Person>
            <b:Last>Gaines</b:Last>
            <b:First>E</b:First>
          </b:Person>
        </b:NameList>
      </b:Author>
    </b:Author>
    <b:Title>Communication and the Semiotics of Space</b:Title>
    <b:JournalName>Journal of Creative Communications</b:JournalName>
    <b:Year>2006</b:Year>
    <b:Pages>137-181</b:Pages>
    <b:RefOrder>5</b:RefOrder>
  </b:Source>
  <b:Source>
    <b:Tag>Sch12</b:Tag>
    <b:SourceType>Book</b:SourceType>
    <b:Guid>{FD8F76AC-ABDF-4C87-9473-E382CFF77A11}</b:Guid>
    <b:Author>
      <b:Author>
        <b:NameList>
          <b:Person>
            <b:Last>Schoep</b:Last>
            <b:First>I.,</b:First>
            <b:Middle>Tomkins, P., and Driessen, J</b:Middle>
          </b:Person>
        </b:NameList>
      </b:Author>
    </b:Author>
    <b:Title>Back to the Beginning Reassessing Social and Political Complexity on Crete During the Early and Middle Bronze Age</b:Title>
    <b:Year>2012</b:Year>
    <b:City>Oxford</b:City>
    <b:Publisher>Oxbow Books</b:Publisher>
    <b:RefOrder>6</b:RefOrder>
  </b:Source>
  <b:Source>
    <b:Tag>Ran10</b:Tag>
    <b:SourceType>Book</b:SourceType>
    <b:Guid>{FB1E0DA8-39CE-44D0-8B2F-089696F2AAF6}</b:Guid>
    <b:Author>
      <b:Author>
        <b:NameList>
          <b:Person>
            <b:Last>Ransome</b:Last>
            <b:First>P</b:First>
          </b:Person>
        </b:NameList>
      </b:Author>
    </b:Author>
    <b:Title>Social Theory For Beginners</b:Title>
    <b:Year>2010</b:Year>
    <b:City>Bristol</b:City>
    <b:Publisher>The Policy Press</b:Publisher>
    <b:RefOrder>2</b:RefOrder>
  </b:Source>
  <b:Source>
    <b:Tag>Bar04</b:Tag>
    <b:SourceType>Book</b:SourceType>
    <b:Guid>{4572A977-0704-42EF-ADBD-77AE3372D757}</b:Guid>
    <b:Author>
      <b:Author>
        <b:NameList>
          <b:Person>
            <b:Last>Barrett</b:Last>
            <b:First>J.</b:First>
            <b:Middle>and Halstead, P</b:Middle>
          </b:Person>
        </b:NameList>
      </b:Author>
    </b:Author>
    <b:Title>The Emergence of Civilisation Revisited</b:Title>
    <b:Year>2004</b:Year>
    <b:City>Oxford</b:City>
    <b:Publisher>Oxbow Books</b:Publisher>
    <b:RefOrder>1</b:RefOrder>
  </b:Source>
  <b:Source>
    <b:Tag>Par07</b:Tag>
    <b:SourceType>JournalArticle</b:SourceType>
    <b:Guid>{68CF7EDB-461D-47C2-8075-4277C745AD83}</b:Guid>
    <b:Title>Secondary States in Perspective:</b:Title>
    <b:Year>2007</b:Year>
    <b:Author>
      <b:Author>
        <b:NameList>
          <b:Person>
            <b:Last>Parkinson</b:Last>
            <b:First>W.</b:First>
            <b:Middle>A. and Galaty,M.L</b:Middle>
          </b:Person>
        </b:NameList>
      </b:Author>
    </b:Author>
    <b:JournalName>An Integrated Approach to State Formation in the Prehistoric Aegean</b:JournalName>
    <b:Pages>113-129</b:Pages>
    <b:Volume>109</b:Volume>
    <b:Issue>1</b:Issue>
    <b:RefOrder>3</b:RefOrder>
  </b:Source>
  <b:Source>
    <b:Tag>Kna04</b:Tag>
    <b:SourceType>ConferenceProceedings</b:SourceType>
    <b:Guid>{BF31485A-B42F-40EA-8684-D011A3FF7FF1}</b:Guid>
    <b:Title>Knossos, Palace, City, State</b:Title>
    <b:Year>2004</b:Year>
    <b:City>London</b:City>
    <b:Publisher>The British School at Athens</b:Publisher>
    <b:Author>
      <b:Author>
        <b:NameList>
          <b:Person>
            <b:Last>Knappett</b:Last>
            <b:First>C</b:First>
          </b:Person>
        </b:NameList>
      </b:Author>
    </b:Author>
    <b:RefOrder>4</b:RefOrder>
  </b:Source>
</b:Sources>
</file>

<file path=customXml/itemProps1.xml><?xml version="1.0" encoding="utf-8"?>
<ds:datastoreItem xmlns:ds="http://schemas.openxmlformats.org/officeDocument/2006/customXml" ds:itemID="{BEB43AC0-D27E-487B-9C0F-8CEC7B7DC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10585</TotalTime>
  <Pages>6</Pages>
  <Words>2075</Words>
  <Characters>11829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44</cp:revision>
  <dcterms:created xsi:type="dcterms:W3CDTF">2018-04-02T15:33:00Z</dcterms:created>
  <dcterms:modified xsi:type="dcterms:W3CDTF">2018-04-24T22:58:00Z</dcterms:modified>
</cp:coreProperties>
</file>