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372D08A0">
      <w:r w:rsidR="444E25DD">
        <w:rPr/>
        <w:t>Student name: Dominique Mussington</w:t>
      </w:r>
    </w:p>
    <w:p w:rsidR="444E25DD" w:rsidRDefault="444E25DD" w14:paraId="48300615" w14:textId="01BF01F6">
      <w:r w:rsidR="444E25DD">
        <w:rPr/>
        <w:t>Student number: 2328189</w:t>
      </w:r>
    </w:p>
    <w:p w:rsidR="444E25DD" w:rsidRDefault="444E25DD" w14:paraId="3B62A640" w14:textId="04896ABB">
      <w:r w:rsidR="444E25DD">
        <w:rPr/>
        <w:t xml:space="preserve">Teacher name: </w:t>
      </w:r>
      <w:r w:rsidR="28F4AC6D">
        <w:rPr/>
        <w:t xml:space="preserve"> Helen Parsons</w:t>
      </w:r>
    </w:p>
    <w:p w:rsidR="28F4AC6D" w:rsidRDefault="28F4AC6D" w14:paraId="3A9E0360" w14:textId="38947F2E">
      <w:r w:rsidR="28F4AC6D">
        <w:rPr/>
        <w:t>Module name: Principles of health and social care practice</w:t>
      </w:r>
    </w:p>
    <w:p w:rsidR="0A09F57F" w:rsidRDefault="0A09F57F" w14:paraId="4F9534F5" w14:textId="2DECCC5F"/>
    <w:p w:rsidR="0A09F57F" w:rsidRDefault="0A09F57F" w14:paraId="22BE93D9" w14:textId="5CEFC9ED"/>
    <w:p w:rsidR="0A09F57F" w:rsidRDefault="0A09F57F" w14:paraId="64EAFA99" w14:textId="29936044"/>
    <w:p w:rsidR="0A09F57F" w:rsidRDefault="0A09F57F" w14:paraId="1D4F91D7" w14:textId="411FD1E3"/>
    <w:p w:rsidR="0A09F57F" w:rsidRDefault="0A09F57F" w14:paraId="0BB93011" w14:textId="4877DC1C"/>
    <w:p w:rsidR="0A09F57F" w:rsidRDefault="0A09F57F" w14:paraId="4AF90E57" w14:textId="3AA9C76D"/>
    <w:p w:rsidR="0A09F57F" w:rsidRDefault="0A09F57F" w14:paraId="6B4C3DBD" w14:textId="6EA28EE4"/>
    <w:p w:rsidR="0A09F57F" w:rsidRDefault="0A09F57F" w14:paraId="4501BA5B" w14:textId="3B9F6437"/>
    <w:p w:rsidR="0A09F57F" w:rsidRDefault="0A09F57F" w14:paraId="7B2B7CAC" w14:textId="2DE141B1"/>
    <w:p w:rsidR="0A09F57F" w:rsidRDefault="0A09F57F" w14:paraId="5B352E15" w14:textId="446FF5B9"/>
    <w:p w:rsidR="0A09F57F" w:rsidRDefault="0A09F57F" w14:paraId="061E1BD6" w14:textId="7D0E654E"/>
    <w:p w:rsidR="0A09F57F" w:rsidRDefault="0A09F57F" w14:paraId="1D780C08" w14:textId="598DB725"/>
    <w:p w:rsidR="0A09F57F" w:rsidRDefault="0A09F57F" w14:paraId="7256B3F7" w14:textId="0939C818"/>
    <w:p w:rsidR="0A09F57F" w:rsidRDefault="0A09F57F" w14:paraId="22B129C7" w14:textId="34A10A9A"/>
    <w:p w:rsidR="0A09F57F" w:rsidRDefault="0A09F57F" w14:paraId="5EB55454" w14:textId="5A55E493"/>
    <w:p w:rsidR="0A09F57F" w:rsidRDefault="0A09F57F" w14:paraId="107AD337" w14:textId="2365DC09"/>
    <w:p w:rsidR="0A09F57F" w:rsidRDefault="0A09F57F" w14:paraId="23AE704D" w14:textId="5DB0B707"/>
    <w:p w:rsidR="0A09F57F" w:rsidRDefault="0A09F57F" w14:paraId="3A03382A" w14:textId="7018335A"/>
    <w:p w:rsidR="0A09F57F" w:rsidRDefault="0A09F57F" w14:paraId="7836347B" w14:textId="4941CD93"/>
    <w:p w:rsidR="0A09F57F" w:rsidP="0A09F57F" w:rsidRDefault="0A09F57F" w14:paraId="5EFA3B98" w14:textId="5610037A">
      <w:pPr>
        <w:pStyle w:val="Normal"/>
      </w:pPr>
    </w:p>
    <w:p w:rsidR="7DD56E20" w:rsidP="0A09F57F" w:rsidRDefault="7DD56E20" w14:paraId="126ACA5E" w14:textId="21A908C1">
      <w:pPr>
        <w:pStyle w:val="Normal"/>
      </w:pPr>
      <w:r w:rsidR="7DD56E20">
        <w:rPr/>
        <w:t xml:space="preserve"> </w:t>
      </w:r>
    </w:p>
    <w:p w:rsidR="2A1A5374" w:rsidP="0A09F57F" w:rsidRDefault="2A1A5374" w14:paraId="3B8D5831" w14:textId="5359DC13">
      <w:pPr>
        <w:pStyle w:val="Normal"/>
      </w:pPr>
      <w:r w:rsidR="2A1A5374">
        <w:rPr/>
        <w:t xml:space="preserve"> </w:t>
      </w:r>
    </w:p>
    <w:p w:rsidR="0A09F57F" w:rsidP="0A09F57F" w:rsidRDefault="0A09F57F" w14:paraId="59333C80" w14:textId="4FED5E46">
      <w:pPr>
        <w:pStyle w:val="Normal"/>
      </w:pPr>
    </w:p>
    <w:p w:rsidR="7E470357" w:rsidP="0A09F57F" w:rsidRDefault="7E470357" w14:paraId="6964E329" w14:textId="08E86ED0">
      <w:pPr>
        <w:pStyle w:val="ListParagraph"/>
        <w:numPr>
          <w:ilvl w:val="0"/>
          <w:numId w:val="1"/>
        </w:numPr>
        <w:rPr>
          <w:sz w:val="24"/>
          <w:szCs w:val="24"/>
        </w:rPr>
      </w:pPr>
      <w:r w:rsidRPr="0A09F57F" w:rsidR="7E470357">
        <w:rPr>
          <w:sz w:val="24"/>
          <w:szCs w:val="24"/>
        </w:rPr>
        <w:t>Person centered care Definition benefits and limitations</w:t>
      </w:r>
    </w:p>
    <w:p w:rsidR="2A1A5374" w:rsidP="0A09F57F" w:rsidRDefault="2A1A5374" w14:paraId="7E17B336" w14:textId="5828303F">
      <w:pPr>
        <w:pStyle w:val="Normal"/>
      </w:pPr>
      <w:r w:rsidR="2A1A5374">
        <w:rPr/>
        <w:t>Person-centred care is an approach to health and social care that focuses on the individual’s unique needs, preferences, and values rather than just their illness or condition. It recognises each person as an active partner in their own care, ensuring that decisions are made collaboratively and that care is respectful, dignified, and responsive to what matters most to them. The main aim is to treat people holistically—addressing their physical, emotional, social, and spiritual needs—while promoting independence, choice, and empowerment.</w:t>
      </w:r>
    </w:p>
    <w:p w:rsidR="2A1A5374" w:rsidP="0A09F57F" w:rsidRDefault="2A1A5374" w14:paraId="029B7036" w14:textId="3EE099E6">
      <w:pPr>
        <w:pStyle w:val="Normal"/>
      </w:pPr>
      <w:r w:rsidR="2A1A5374">
        <w:rPr/>
        <w:t xml:space="preserve"> </w:t>
      </w:r>
    </w:p>
    <w:p w:rsidR="2A1A5374" w:rsidP="0A09F57F" w:rsidRDefault="2A1A5374" w14:paraId="640A6D65" w14:textId="6FC4E872">
      <w:pPr>
        <w:pStyle w:val="Normal"/>
      </w:pPr>
      <w:r w:rsidR="2A1A5374">
        <w:rPr/>
        <w:t>The main benefits of person-centred care include improved satisfaction and wellbeing. When individuals feel listened to and involved in their care, they are more likely to trust professionals and follow treatment plans. This can lead to better health outcomes, greater confidence in managing their own health, and enhanced quality of life. The approach also promotes dignity and respect, ensuring that care supports a person’s identity and values. In addition, it fosters stronger relationships between service users and professionals through open communication and mutual understanding.</w:t>
      </w:r>
    </w:p>
    <w:p w:rsidR="2A1A5374" w:rsidP="0A09F57F" w:rsidRDefault="2A1A5374" w14:paraId="700F1108" w14:textId="225F0540">
      <w:pPr>
        <w:pStyle w:val="Normal"/>
      </w:pPr>
      <w:r w:rsidR="2A1A5374">
        <w:rPr/>
        <w:t xml:space="preserve"> </w:t>
      </w:r>
    </w:p>
    <w:p w:rsidR="2A1A5374" w:rsidP="0A09F57F" w:rsidRDefault="2A1A5374" w14:paraId="0E147558" w14:textId="1896854C">
      <w:pPr>
        <w:pStyle w:val="Normal"/>
      </w:pPr>
      <w:r w:rsidR="2A1A5374">
        <w:rPr/>
        <w:t>However, there are some limitations. Person-centred care can be time-consuming and difficult to implement in busy environments with staff shortages and limited resources. It also requires effective communication skills and training for staff, as well as consistent teamwork and documentation. In some cases, a person’s preferences may conflict with clinical guidelines or safety standards, making it challenging to balance autonomy with professional duty.</w:t>
      </w:r>
    </w:p>
    <w:p w:rsidR="2A1A5374" w:rsidP="0A09F57F" w:rsidRDefault="2A1A5374" w14:paraId="11328770" w14:textId="7533D3CB">
      <w:pPr>
        <w:pStyle w:val="Normal"/>
      </w:pPr>
      <w:r w:rsidR="2A1A5374">
        <w:rPr/>
        <w:t xml:space="preserve"> </w:t>
      </w:r>
    </w:p>
    <w:p w:rsidR="2A1A5374" w:rsidP="0A09F57F" w:rsidRDefault="2A1A5374" w14:paraId="4069DA52" w14:textId="1F9F7446">
      <w:pPr>
        <w:pStyle w:val="Normal"/>
      </w:pPr>
      <w:r w:rsidR="2A1A5374">
        <w:rPr/>
        <w:t>Overall, person-</w:t>
      </w:r>
      <w:r w:rsidR="2A1A5374">
        <w:rPr/>
        <w:t>centred</w:t>
      </w:r>
      <w:r w:rsidR="2A1A5374">
        <w:rPr/>
        <w:t xml:space="preserve"> care enhances satisfaction and wellbeing but relies on sufficient time, resources, and staff commitment to be effective.</w:t>
      </w:r>
    </w:p>
    <w:p w:rsidR="0A09F57F" w:rsidP="0A09F57F" w:rsidRDefault="0A09F57F" w14:paraId="159645C0" w14:textId="3418DBB0">
      <w:pPr>
        <w:pStyle w:val="Normal"/>
      </w:pPr>
    </w:p>
    <w:p w:rsidR="0A09F57F" w:rsidP="0A09F57F" w:rsidRDefault="0A09F57F" w14:paraId="3E090B86" w14:textId="4A3F1B6A">
      <w:pPr>
        <w:pStyle w:val="Normal"/>
      </w:pPr>
    </w:p>
    <w:p w:rsidR="0BA3CAD6" w:rsidP="0A09F57F" w:rsidRDefault="0BA3CAD6" w14:paraId="12872B88" w14:textId="5C182D95">
      <w:pPr>
        <w:pStyle w:val="ListParagraph"/>
        <w:numPr>
          <w:ilvl w:val="0"/>
          <w:numId w:val="2"/>
        </w:numPr>
        <w:rPr/>
      </w:pPr>
      <w:r w:rsidR="0BA3CAD6">
        <w:rPr/>
        <w:t xml:space="preserve"> </w:t>
      </w:r>
      <w:r w:rsidR="38314BB2">
        <w:rPr/>
        <w:t>Critical examination of mental health facility</w:t>
      </w:r>
    </w:p>
    <w:p w:rsidR="0C43EBF8" w:rsidP="0A09F57F" w:rsidRDefault="0C43EBF8" w14:paraId="018BC8EA" w14:textId="04FCF1B5">
      <w:pPr>
        <w:pStyle w:val="ListParagraph"/>
        <w:ind w:left="720"/>
      </w:pPr>
      <w:r w:rsidR="0C43EBF8">
        <w:rPr/>
        <w:t xml:space="preserve"> </w:t>
      </w:r>
    </w:p>
    <w:p w:rsidR="0C43EBF8" w:rsidP="0A09F57F" w:rsidRDefault="0C43EBF8" w14:paraId="2CD0E16B" w14:textId="5EB000E9">
      <w:pPr>
        <w:pStyle w:val="Normal"/>
      </w:pPr>
      <w:r w:rsidR="0C43EBF8">
        <w:rPr/>
        <w:t>A mental health facility plays a vital role in providing assessment, treatment, and rehabilitation for individuals experiencing mental illness. Effective facilities adopt a holistic, person-centred approach, offering both medical and therapeutic interventions to promote recovery and social reintegration. A well-functioning mental health facility should provide a safe, supportive environment where patients are treated with dignity and respect, while also maintaining strong multidisciplinary teamwork involving psychiatrists, nurses, psychologists, and social workers.</w:t>
      </w:r>
    </w:p>
    <w:p w:rsidR="0C43EBF8" w:rsidP="0A09F57F" w:rsidRDefault="0C43EBF8" w14:paraId="7366E4B6" w14:textId="14C4A566">
      <w:pPr>
        <w:pStyle w:val="Normal"/>
      </w:pPr>
      <w:r w:rsidR="0C43EBF8">
        <w:rPr/>
        <w:t xml:space="preserve"> </w:t>
      </w:r>
    </w:p>
    <w:p w:rsidR="0C43EBF8" w:rsidP="0A09F57F" w:rsidRDefault="0C43EBF8" w14:paraId="2E9C0444" w14:textId="70EBA70E">
      <w:pPr>
        <w:pStyle w:val="Normal"/>
      </w:pPr>
      <w:r w:rsidR="0C43EBF8">
        <w:rPr/>
        <w:t>However, a critical examination reveals several challenges. Staffing shortages and limited funding often compromise the quality of care, leading to high workloads, burnout, and reduced patient engagement. In some facilities, an overemphasis on medication can overshadow therapeutic and recovery-oriented approaches, limiting opportunities for empowerment and self-management. Furthermore, stigma and discrimination may persist within institutional settings, impacting patient dignity and recovery outcomes. Inadequate infrastructure, such as overcrowded wards or insufficient privacy, can also increase distress and hinder therapeutic progress.</w:t>
      </w:r>
    </w:p>
    <w:p w:rsidR="0C43EBF8" w:rsidP="0A09F57F" w:rsidRDefault="0C43EBF8" w14:paraId="62F72580" w14:textId="0751D607">
      <w:pPr>
        <w:pStyle w:val="Normal"/>
      </w:pPr>
      <w:r w:rsidR="0C43EBF8">
        <w:rPr/>
        <w:t xml:space="preserve"> </w:t>
      </w:r>
    </w:p>
    <w:p w:rsidR="0C43EBF8" w:rsidP="0A09F57F" w:rsidRDefault="0C43EBF8" w14:paraId="03AAE473" w14:textId="4FC20F57">
      <w:pPr>
        <w:pStyle w:val="Normal"/>
      </w:pPr>
      <w:r w:rsidR="0C43EBF8">
        <w:rPr/>
        <w:t>On the positive side, many modern mental health facilities are moving towards community-based and person-centred models, focusing on early intervention, rehabilitation, and inclusion. Facilities that prioritise patient involvement in care planning, provide access to psychological therapies, and promote peer support demonstrate better recovery outcomes and satisfaction levels.</w:t>
      </w:r>
    </w:p>
    <w:p w:rsidR="0C43EBF8" w:rsidP="0A09F57F" w:rsidRDefault="0C43EBF8" w14:paraId="24745B73" w14:textId="271333AC">
      <w:pPr>
        <w:pStyle w:val="Normal"/>
      </w:pPr>
      <w:r w:rsidR="0C43EBF8">
        <w:rPr/>
        <w:t xml:space="preserve"> </w:t>
      </w:r>
    </w:p>
    <w:p w:rsidR="0C43EBF8" w:rsidP="0A09F57F" w:rsidRDefault="0C43EBF8" w14:paraId="382D8D0B" w14:textId="6E3350F1">
      <w:pPr>
        <w:pStyle w:val="Normal"/>
      </w:pPr>
      <w:r w:rsidR="0C43EBF8">
        <w:rPr/>
        <w:t>In conclusion, while mental health facilities are essential for treatment and recovery, their effectiveness depends on adequate staffing, funding, and commitment to person-</w:t>
      </w:r>
      <w:r w:rsidR="0C43EBF8">
        <w:rPr/>
        <w:t>centred</w:t>
      </w:r>
      <w:r w:rsidR="0C43EBF8">
        <w:rPr/>
        <w:t>, recovery-oriented care. Continuous evaluation, staff training, and investment are needed to create compassionate environments that truly support mental wellbeing.</w:t>
      </w:r>
    </w:p>
    <w:p w:rsidR="0A09F57F" w:rsidP="0A09F57F" w:rsidRDefault="0A09F57F" w14:paraId="3944C1A8" w14:textId="176F0865">
      <w:pPr>
        <w:pStyle w:val="Normal"/>
      </w:pPr>
    </w:p>
    <w:p w:rsidR="61A24966" w:rsidP="0A09F57F" w:rsidRDefault="61A24966" w14:paraId="6BE57353" w14:textId="54CCEFAD">
      <w:pPr>
        <w:pStyle w:val="ListParagraph"/>
        <w:numPr>
          <w:ilvl w:val="0"/>
          <w:numId w:val="3"/>
        </w:numPr>
        <w:rPr>
          <w:sz w:val="24"/>
          <w:szCs w:val="24"/>
        </w:rPr>
      </w:pPr>
      <w:r w:rsidR="61A24966">
        <w:rPr/>
        <w:t>Analysis of the Ethical Fundamentals of Health and Social Care</w:t>
      </w:r>
    </w:p>
    <w:p w:rsidR="61A24966" w:rsidP="0A09F57F" w:rsidRDefault="61A24966" w14:paraId="2665A422" w14:textId="491F931E">
      <w:pPr>
        <w:pStyle w:val="Normal"/>
      </w:pPr>
      <w:r w:rsidR="61A24966">
        <w:rPr/>
        <w:t xml:space="preserve"> </w:t>
      </w:r>
      <w:r w:rsidR="61A24966">
        <w:rPr/>
        <w:t xml:space="preserve">Ethical fundamentals in health and social care provide the moral framework that guides professional </w:t>
      </w:r>
      <w:r w:rsidR="61A24966">
        <w:rPr/>
        <w:t>behaviour</w:t>
      </w:r>
      <w:r w:rsidR="61A24966">
        <w:rPr/>
        <w:t xml:space="preserve"> and decision-making. They ensure that care is delivered safely, fairly, and with respect </w:t>
      </w:r>
      <w:r w:rsidR="61A24966">
        <w:rPr/>
        <w:t>for</w:t>
      </w:r>
      <w:r w:rsidR="61A24966">
        <w:rPr/>
        <w:t xml:space="preserve"> </w:t>
      </w:r>
      <w:r w:rsidR="61A24966">
        <w:rPr/>
        <w:t>each individual’s</w:t>
      </w:r>
      <w:r w:rsidR="61A24966">
        <w:rPr/>
        <w:t xml:space="preserve"> rights and dignity. The main ethical principles include autonomy, beneficence, non-maleficence, justice, and confidentiality.</w:t>
      </w:r>
    </w:p>
    <w:p w:rsidR="61A24966" w:rsidP="0A09F57F" w:rsidRDefault="61A24966" w14:paraId="5982992A" w14:textId="3B0CB7B3">
      <w:pPr>
        <w:pStyle w:val="Normal"/>
      </w:pPr>
      <w:r w:rsidR="61A24966">
        <w:rPr/>
        <w:t xml:space="preserve"> </w:t>
      </w:r>
    </w:p>
    <w:p w:rsidR="61A24966" w:rsidP="0A09F57F" w:rsidRDefault="61A24966" w14:paraId="45694B92" w14:textId="0E9F9182">
      <w:pPr>
        <w:pStyle w:val="Normal"/>
      </w:pPr>
      <w:r w:rsidR="61A24966">
        <w:rPr/>
        <w:t>Autonomy is the principle that individuals have the right to make their own decisions about care and treatment. Health and social care professionals must respect a person’s choices, even if they disagree with them, as long as the individual has the capacity to decide. This links closely to informed consent, which ensures that people are given clear information before agreeing to any intervention.</w:t>
      </w:r>
    </w:p>
    <w:p w:rsidR="61A24966" w:rsidP="0A09F57F" w:rsidRDefault="61A24966" w14:paraId="45A81854" w14:textId="21FBA265">
      <w:pPr>
        <w:pStyle w:val="Normal"/>
      </w:pPr>
      <w:r w:rsidR="61A24966">
        <w:rPr/>
        <w:t xml:space="preserve"> </w:t>
      </w:r>
    </w:p>
    <w:p w:rsidR="61A24966" w:rsidP="0A09F57F" w:rsidRDefault="61A24966" w14:paraId="69B94FAE" w14:textId="620DCD83">
      <w:pPr>
        <w:pStyle w:val="Normal"/>
      </w:pPr>
      <w:r w:rsidR="61A24966">
        <w:rPr/>
        <w:t>Beneficence refers to acting in the best interests of the person, promoting their health and wellbeing. It is balanced with non-maleficence, the duty to avoid causing harm. Professionals must carefully weigh potential benefits and risks when making decisions, ensuring interventions are safe and justified.</w:t>
      </w:r>
    </w:p>
    <w:p w:rsidR="61A24966" w:rsidP="0A09F57F" w:rsidRDefault="61A24966" w14:paraId="18F03FE8" w14:textId="0CF58486">
      <w:pPr>
        <w:pStyle w:val="Normal"/>
      </w:pPr>
      <w:r w:rsidR="61A24966">
        <w:rPr/>
        <w:t xml:space="preserve"> </w:t>
      </w:r>
    </w:p>
    <w:p w:rsidR="61A24966" w:rsidP="0A09F57F" w:rsidRDefault="61A24966" w14:paraId="0274B9E9" w14:textId="101AA5D1">
      <w:pPr>
        <w:pStyle w:val="Normal"/>
      </w:pPr>
      <w:r w:rsidR="61A24966">
        <w:rPr/>
        <w:t>Justice focuses on fairness and equality within care. It requires that all individuals receive the same quality of care regardless of age, gender, race, or socioeconomic background. This principle also underpins the fair distribution of resources within healthcare systems.</w:t>
      </w:r>
    </w:p>
    <w:p w:rsidR="61A24966" w:rsidP="0A09F57F" w:rsidRDefault="61A24966" w14:paraId="49C8C368" w14:textId="6CC6A1F1">
      <w:pPr>
        <w:pStyle w:val="Normal"/>
      </w:pPr>
      <w:r w:rsidR="61A24966">
        <w:rPr/>
        <w:t xml:space="preserve"> </w:t>
      </w:r>
    </w:p>
    <w:p w:rsidR="61A24966" w:rsidP="0A09F57F" w:rsidRDefault="61A24966" w14:paraId="49F57E8E" w14:textId="29FFD69B">
      <w:pPr>
        <w:pStyle w:val="Normal"/>
      </w:pPr>
      <w:r w:rsidR="61A24966">
        <w:rPr/>
        <w:t>Finally, confidentiality is essential for building trust between professionals and service users. Protecting personal information encourages honesty and openness, which are vital for effective care.</w:t>
      </w:r>
    </w:p>
    <w:p w:rsidR="61A24966" w:rsidP="0A09F57F" w:rsidRDefault="61A24966" w14:paraId="22B6E81F" w14:textId="68B6A850">
      <w:pPr>
        <w:pStyle w:val="Normal"/>
      </w:pPr>
      <w:r w:rsidR="61A24966">
        <w:rPr/>
        <w:t xml:space="preserve"> </w:t>
      </w:r>
    </w:p>
    <w:p w:rsidR="61A24966" w:rsidP="0A09F57F" w:rsidRDefault="61A24966" w14:paraId="050CA492" w14:textId="5B36AE1A">
      <w:pPr>
        <w:pStyle w:val="Normal"/>
      </w:pPr>
      <w:r w:rsidR="61A24966">
        <w:rPr/>
        <w:t>In summary, these ethical fundamentals form the basis of compassionate, fair, and person-centred practice, ensuring that health and social care professionals act with integrity and respect in all situations.</w:t>
      </w:r>
    </w:p>
    <w:p w:rsidR="0A09F57F" w:rsidP="0A09F57F" w:rsidRDefault="0A09F57F" w14:paraId="5E9982FD" w14:textId="44533500">
      <w:pPr>
        <w:pStyle w:val="Normal"/>
      </w:pPr>
    </w:p>
    <w:p w:rsidR="31CAB425" w:rsidP="0A09F57F" w:rsidRDefault="31CAB425" w14:paraId="768EE0A6" w14:textId="345F406A">
      <w:pPr>
        <w:pStyle w:val="ListParagraph"/>
        <w:numPr>
          <w:ilvl w:val="0"/>
          <w:numId w:val="4"/>
        </w:numPr>
        <w:rPr>
          <w:sz w:val="24"/>
          <w:szCs w:val="24"/>
        </w:rPr>
      </w:pPr>
      <w:r w:rsidRPr="0A09F57F" w:rsidR="31CAB425">
        <w:rPr>
          <w:sz w:val="24"/>
          <w:szCs w:val="24"/>
        </w:rPr>
        <w:t>Evaluation of partnership working in health and social care</w:t>
      </w:r>
    </w:p>
    <w:p w:rsidR="415A1389" w:rsidP="0A09F57F" w:rsidRDefault="415A1389" w14:paraId="500D06C9" w14:textId="0A90EF1F">
      <w:pPr>
        <w:pStyle w:val="Normal"/>
      </w:pPr>
      <w:r w:rsidR="415A1389">
        <w:rPr/>
        <w:t>Partnership working in health and social care refers to different professionals, services, and organisations collaborating to provide coordinated, effective, and person-centred support. It brings together a range of expertise—from nurses and social workers to mental health teams, GPs, occupational therapists, and voluntary organisations—to improve outcomes for individuals with complex needs. A critical evaluation shows that partnership working has significant strengths but also notable challenges.</w:t>
      </w:r>
    </w:p>
    <w:p w:rsidR="415A1389" w:rsidP="0A09F57F" w:rsidRDefault="415A1389" w14:paraId="4838CB7A" w14:textId="756F32B1">
      <w:pPr>
        <w:pStyle w:val="Normal"/>
      </w:pPr>
      <w:r w:rsidR="415A1389">
        <w:rPr/>
        <w:t xml:space="preserve"> </w:t>
      </w:r>
    </w:p>
    <w:p w:rsidR="415A1389" w:rsidP="0A09F57F" w:rsidRDefault="415A1389" w14:paraId="731633A6" w14:textId="23ED6DF0">
      <w:pPr>
        <w:pStyle w:val="Normal"/>
      </w:pPr>
      <w:r w:rsidR="415A1389">
        <w:rPr/>
        <w:t>One of the major benefits is improved continuity and quality of care. When professionals share information and work towards common goals, individuals experience smoother transitions between services and more holistic support. This is especially important for people with long-term conditions, mental health needs, or multiple social care requirements. Partnership working also allows for shared expertise, meaning better decision-making and more comprehensive care plans. Additionally, joined-up working reduces duplication and delays, making services more efficient and improving patient safety.</w:t>
      </w:r>
    </w:p>
    <w:p w:rsidR="415A1389" w:rsidP="0A09F57F" w:rsidRDefault="415A1389" w14:paraId="6167EA95" w14:textId="59371729">
      <w:pPr>
        <w:pStyle w:val="Normal"/>
      </w:pPr>
      <w:r w:rsidR="415A1389">
        <w:rPr/>
        <w:t xml:space="preserve"> </w:t>
      </w:r>
    </w:p>
    <w:p w:rsidR="415A1389" w:rsidP="0A09F57F" w:rsidRDefault="415A1389" w14:paraId="4A566861" w14:textId="1980660B">
      <w:pPr>
        <w:pStyle w:val="Normal"/>
      </w:pPr>
      <w:r w:rsidR="415A1389">
        <w:rPr/>
        <w:t>Partnerships also promote person-centred care, as they ensure that the individual’s needs, preferences, and goals inform coordinated planning across agencies. Families and carers can be included more effectively, ensuring support is both collaborative and empowering.</w:t>
      </w:r>
    </w:p>
    <w:p w:rsidR="415A1389" w:rsidP="0A09F57F" w:rsidRDefault="415A1389" w14:paraId="51AF2A74" w14:textId="4D9301E7">
      <w:pPr>
        <w:pStyle w:val="Normal"/>
      </w:pPr>
      <w:r w:rsidR="415A1389">
        <w:rPr/>
        <w:t xml:space="preserve"> </w:t>
      </w:r>
    </w:p>
    <w:p w:rsidR="415A1389" w:rsidP="0A09F57F" w:rsidRDefault="415A1389" w14:paraId="54242699" w14:textId="5AC1D2D0">
      <w:pPr>
        <w:pStyle w:val="Normal"/>
      </w:pPr>
      <w:r w:rsidR="415A1389">
        <w:rPr/>
        <w:t xml:space="preserve">However, challenges </w:t>
      </w:r>
      <w:r w:rsidR="415A1389">
        <w:rPr/>
        <w:t>remain</w:t>
      </w:r>
      <w:r w:rsidR="415A1389">
        <w:rPr/>
        <w:t xml:space="preserve">. Effective </w:t>
      </w:r>
      <w:r w:rsidR="415A1389">
        <w:rPr/>
        <w:t>partnership working</w:t>
      </w:r>
      <w:r w:rsidR="415A1389">
        <w:rPr/>
        <w:t xml:space="preserve"> requires </w:t>
      </w:r>
      <w:r w:rsidR="415A1389">
        <w:rPr/>
        <w:t>strong communication</w:t>
      </w:r>
      <w:r w:rsidR="415A1389">
        <w:rPr/>
        <w:t xml:space="preserve">, and breakdowns can lead to gaps, delays, or conflicting plans. Differences in </w:t>
      </w:r>
      <w:r w:rsidR="415A1389">
        <w:rPr/>
        <w:t>organisational</w:t>
      </w:r>
      <w:r w:rsidR="415A1389">
        <w:rPr/>
        <w:t xml:space="preserve"> culture, priorities, and funding structures can create tension between agencies. Time pressures, heavy workloads, and staff turnover also make collaboration harder to sustain. Issues around information sharing, especially with privacy regulations, can limit how smoothly teams work together.</w:t>
      </w:r>
    </w:p>
    <w:p w:rsidR="0A09F57F" w:rsidP="0A09F57F" w:rsidRDefault="0A09F57F" w14:paraId="0CADF6CB" w14:textId="3333ECAC">
      <w:pPr>
        <w:pStyle w:val="Normal"/>
      </w:pPr>
    </w:p>
    <w:p w:rsidR="3EAAEC39" w:rsidP="0A09F57F" w:rsidRDefault="3EAAEC39" w14:paraId="19118754" w14:textId="40772FC5">
      <w:pPr>
        <w:pStyle w:val="ListParagraph"/>
        <w:numPr>
          <w:ilvl w:val="0"/>
          <w:numId w:val="5"/>
        </w:numPr>
        <w:rPr>
          <w:sz w:val="24"/>
          <w:szCs w:val="24"/>
        </w:rPr>
      </w:pPr>
      <w:r w:rsidRPr="0A09F57F" w:rsidR="3EAAEC39">
        <w:rPr>
          <w:sz w:val="24"/>
          <w:szCs w:val="24"/>
        </w:rPr>
        <w:t xml:space="preserve">Application of partnership working </w:t>
      </w:r>
      <w:r w:rsidRPr="0A09F57F" w:rsidR="3EAAEC39">
        <w:rPr>
          <w:sz w:val="24"/>
          <w:szCs w:val="24"/>
        </w:rPr>
        <w:t>in</w:t>
      </w:r>
      <w:r w:rsidRPr="0A09F57F" w:rsidR="0393BE16">
        <w:rPr>
          <w:sz w:val="24"/>
          <w:szCs w:val="24"/>
        </w:rPr>
        <w:t xml:space="preserve"> </w:t>
      </w:r>
      <w:r w:rsidRPr="0A09F57F" w:rsidR="3EAAEC39">
        <w:rPr>
          <w:sz w:val="24"/>
          <w:szCs w:val="24"/>
        </w:rPr>
        <w:t>a</w:t>
      </w:r>
      <w:r w:rsidRPr="0A09F57F" w:rsidR="3EAAEC39">
        <w:rPr>
          <w:sz w:val="24"/>
          <w:szCs w:val="24"/>
        </w:rPr>
        <w:t xml:space="preserve"> person </w:t>
      </w:r>
      <w:r w:rsidRPr="0A09F57F" w:rsidR="3EAAEC39">
        <w:rPr>
          <w:sz w:val="24"/>
          <w:szCs w:val="24"/>
        </w:rPr>
        <w:t>centred</w:t>
      </w:r>
      <w:r w:rsidRPr="0A09F57F" w:rsidR="3EAAEC39">
        <w:rPr>
          <w:sz w:val="24"/>
          <w:szCs w:val="24"/>
        </w:rPr>
        <w:t xml:space="preserve"> care home</w:t>
      </w:r>
    </w:p>
    <w:p w:rsidR="3EAAEC39" w:rsidP="0A09F57F" w:rsidRDefault="3EAAEC39" w14:paraId="1C993DA5" w14:textId="0B5F09B5">
      <w:pPr>
        <w:pStyle w:val="ListParagraph"/>
        <w:ind w:left="720"/>
        <w:rPr>
          <w:sz w:val="24"/>
          <w:szCs w:val="24"/>
        </w:rPr>
      </w:pPr>
      <w:r w:rsidRPr="0A09F57F" w:rsidR="3EAAEC39">
        <w:rPr>
          <w:sz w:val="24"/>
          <w:szCs w:val="24"/>
        </w:rPr>
        <w:t xml:space="preserve"> </w:t>
      </w:r>
    </w:p>
    <w:p w:rsidR="3EAAEC39" w:rsidP="0A09F57F" w:rsidRDefault="3EAAEC39" w14:paraId="480CE932" w14:textId="44E8883B">
      <w:pPr>
        <w:pStyle w:val="ListParagraph"/>
        <w:ind w:left="720"/>
      </w:pPr>
      <w:r w:rsidRPr="0A09F57F" w:rsidR="3EAAEC39">
        <w:rPr>
          <w:sz w:val="24"/>
          <w:szCs w:val="24"/>
        </w:rPr>
        <w:t>Partnership working is fundamental in a person-centred care (PCC) home as it ensures that residents receive coordinated, holistic, and individualised support. Residents often have complex or multiple needs, so effective collaboration between professionals, families, and external agencies is essential to delivering high-quality care.</w:t>
      </w:r>
    </w:p>
    <w:p w:rsidR="3EAAEC39" w:rsidP="0A09F57F" w:rsidRDefault="3EAAEC39" w14:paraId="02102106" w14:textId="55142049">
      <w:pPr>
        <w:pStyle w:val="ListParagraph"/>
        <w:ind w:left="720"/>
      </w:pPr>
      <w:r w:rsidRPr="0A09F57F" w:rsidR="3EAAEC39">
        <w:rPr>
          <w:sz w:val="24"/>
          <w:szCs w:val="24"/>
        </w:rPr>
        <w:t xml:space="preserve"> </w:t>
      </w:r>
    </w:p>
    <w:p w:rsidR="3EAAEC39" w:rsidP="0A09F57F" w:rsidRDefault="3EAAEC39" w14:paraId="4CB0C16E" w14:textId="0BFB361C">
      <w:pPr>
        <w:pStyle w:val="ListParagraph"/>
        <w:ind w:left="720"/>
      </w:pPr>
      <w:r w:rsidRPr="0A09F57F" w:rsidR="3EAAEC39">
        <w:rPr>
          <w:sz w:val="24"/>
          <w:szCs w:val="24"/>
        </w:rPr>
        <w:t>Within a PCC home, partnership working is applied through multidisciplinary teamwork. Nurses, care workers, GPs, social workers, physiotherapists, pharmacists, and mental health specialists work together to assess needs and develop personalised care plans. Each professional contributes their expertise, allowing the home to address physical health, emotional wellbeing, mobility, medication management, and social needs in a coherent and consistent way. Regular multidisciplinary meetings help ensure that all team members understand the resident’s goals and preferences, supporting continuity of care.</w:t>
      </w:r>
    </w:p>
    <w:p w:rsidR="3EAAEC39" w:rsidP="0A09F57F" w:rsidRDefault="3EAAEC39" w14:paraId="7D3D83DE" w14:textId="551546B6">
      <w:pPr>
        <w:pStyle w:val="ListParagraph"/>
        <w:ind w:left="720"/>
      </w:pPr>
      <w:r w:rsidRPr="0A09F57F" w:rsidR="3EAAEC39">
        <w:rPr>
          <w:sz w:val="24"/>
          <w:szCs w:val="24"/>
        </w:rPr>
        <w:t xml:space="preserve"> </w:t>
      </w:r>
    </w:p>
    <w:p w:rsidR="3EAAEC39" w:rsidP="0A09F57F" w:rsidRDefault="3EAAEC39" w14:paraId="0A75E53A" w14:textId="4261CC26">
      <w:pPr>
        <w:pStyle w:val="ListParagraph"/>
        <w:ind w:left="720"/>
      </w:pPr>
      <w:r w:rsidRPr="0A09F57F" w:rsidR="3EAAEC39">
        <w:rPr>
          <w:sz w:val="24"/>
          <w:szCs w:val="24"/>
        </w:rPr>
        <w:t>Family involvement is another key application. PCC homes value the knowledge families have about a resident’s history, culture, routines, and preferences. By involving families in reviews, decision-making, and care planning, the care home can deliver support that truly reflects the resident’s identity and wishes.</w:t>
      </w:r>
    </w:p>
    <w:p w:rsidR="3EAAEC39" w:rsidP="0A09F57F" w:rsidRDefault="3EAAEC39" w14:paraId="00A44F4D" w14:textId="6E2F80FD">
      <w:pPr>
        <w:pStyle w:val="ListParagraph"/>
        <w:ind w:left="720"/>
      </w:pPr>
      <w:r w:rsidRPr="0A09F57F" w:rsidR="3EAAEC39">
        <w:rPr>
          <w:sz w:val="24"/>
          <w:szCs w:val="24"/>
        </w:rPr>
        <w:t xml:space="preserve"> </w:t>
      </w:r>
    </w:p>
    <w:p w:rsidR="3EAAEC39" w:rsidP="0A09F57F" w:rsidRDefault="3EAAEC39" w14:paraId="72596731" w14:textId="2C9DE931">
      <w:pPr>
        <w:pStyle w:val="ListParagraph"/>
        <w:ind w:left="720"/>
      </w:pPr>
      <w:r w:rsidRPr="0A09F57F" w:rsidR="3EAAEC39">
        <w:rPr>
          <w:sz w:val="24"/>
          <w:szCs w:val="24"/>
        </w:rPr>
        <w:t>Partnerships also extend to external organisations and community services. This may include safeguarding teams, community mental health teams, voluntary groups, dietitians, and palliative care specialists. Such collaboration improves access to specialist input and ensures safe, responsive care—particularly during transitions between hospital and the care home.</w:t>
      </w:r>
    </w:p>
    <w:p w:rsidR="3EAAEC39" w:rsidP="0A09F57F" w:rsidRDefault="3EAAEC39" w14:paraId="1CEFDB78" w14:textId="24EDB22A">
      <w:pPr>
        <w:pStyle w:val="ListParagraph"/>
        <w:ind w:left="720"/>
      </w:pPr>
      <w:r w:rsidRPr="0A09F57F" w:rsidR="3EAAEC39">
        <w:rPr>
          <w:sz w:val="24"/>
          <w:szCs w:val="24"/>
        </w:rPr>
        <w:t xml:space="preserve"> </w:t>
      </w:r>
    </w:p>
    <w:p w:rsidR="3EAAEC39" w:rsidP="0A09F57F" w:rsidRDefault="3EAAEC39" w14:paraId="1180B1FC" w14:textId="00D9F1C9">
      <w:pPr>
        <w:pStyle w:val="ListParagraph"/>
        <w:ind w:left="720"/>
      </w:pPr>
      <w:r w:rsidRPr="0A09F57F" w:rsidR="3EAAEC39">
        <w:rPr>
          <w:sz w:val="24"/>
          <w:szCs w:val="24"/>
        </w:rPr>
        <w:t>Central to all partnership working is effective communication, including shared records, regular updates, and clear information-sharing protocols. Overall, partnership working in a PCC home enhances quality, safety, and personalisation, ensuring residents receive holistic support tailored to their individual needs.</w:t>
      </w:r>
    </w:p>
    <w:p w:rsidR="0A09F57F" w:rsidP="0A09F57F" w:rsidRDefault="0A09F57F" w14:paraId="6D3BE10E" w14:textId="6BD5AA54">
      <w:pPr>
        <w:pStyle w:val="ListParagraph"/>
        <w:ind w:left="720"/>
        <w:rPr>
          <w:sz w:val="24"/>
          <w:szCs w:val="24"/>
        </w:rPr>
      </w:pPr>
    </w:p>
    <w:p w:rsidR="1C1FF9CE" w:rsidP="0A09F57F" w:rsidRDefault="1C1FF9CE" w14:paraId="6CE9F2BA" w14:textId="6E75C1C4">
      <w:pPr>
        <w:pStyle w:val="ListParagraph"/>
        <w:numPr>
          <w:ilvl w:val="0"/>
          <w:numId w:val="7"/>
        </w:numPr>
        <w:rPr>
          <w:sz w:val="24"/>
          <w:szCs w:val="24"/>
        </w:rPr>
      </w:pPr>
      <w:r w:rsidRPr="0A09F57F" w:rsidR="1C1FF9CE">
        <w:rPr>
          <w:sz w:val="24"/>
          <w:szCs w:val="24"/>
        </w:rPr>
        <w:t>Policies and Legislation Relating to Person-</w:t>
      </w:r>
      <w:r w:rsidRPr="0A09F57F" w:rsidR="1C1FF9CE">
        <w:rPr>
          <w:sz w:val="24"/>
          <w:szCs w:val="24"/>
        </w:rPr>
        <w:t>Centred</w:t>
      </w:r>
      <w:r w:rsidRPr="0A09F57F" w:rsidR="1C1FF9CE">
        <w:rPr>
          <w:sz w:val="24"/>
          <w:szCs w:val="24"/>
        </w:rPr>
        <w:t xml:space="preserve"> Care (PCC) and Partnership Working (PW)</w:t>
      </w:r>
    </w:p>
    <w:p w:rsidR="1C1FF9CE" w:rsidP="0A09F57F" w:rsidRDefault="1C1FF9CE" w14:paraId="5A81802D" w14:textId="6181C3A9">
      <w:pPr>
        <w:pStyle w:val="Normal"/>
      </w:pPr>
      <w:r w:rsidRPr="0A09F57F" w:rsidR="1C1FF9CE">
        <w:rPr>
          <w:sz w:val="24"/>
          <w:szCs w:val="24"/>
        </w:rPr>
        <w:t xml:space="preserve"> </w:t>
      </w:r>
    </w:p>
    <w:p w:rsidR="1C1FF9CE" w:rsidP="0A09F57F" w:rsidRDefault="1C1FF9CE" w14:paraId="30F7241C" w14:textId="0492F327">
      <w:pPr>
        <w:pStyle w:val="Normal"/>
      </w:pPr>
      <w:r w:rsidRPr="0A09F57F" w:rsidR="1C1FF9CE">
        <w:rPr>
          <w:sz w:val="24"/>
          <w:szCs w:val="24"/>
        </w:rPr>
        <w:t>Person-centred care (PCC) and partnership working (PW) are strongly supported by key UK policies and legislation that shape the delivery of modern health and social care. These frameworks ensure that individuals receive care that is dignified, collaborative, and tailored to their needs.</w:t>
      </w:r>
    </w:p>
    <w:p w:rsidR="1C1FF9CE" w:rsidP="0A09F57F" w:rsidRDefault="1C1FF9CE" w14:paraId="3C0E4DD9" w14:textId="068D5C2F">
      <w:pPr>
        <w:pStyle w:val="Normal"/>
      </w:pPr>
      <w:r w:rsidRPr="0A09F57F" w:rsidR="1C1FF9CE">
        <w:rPr>
          <w:sz w:val="24"/>
          <w:szCs w:val="24"/>
        </w:rPr>
        <w:t xml:space="preserve"> </w:t>
      </w:r>
    </w:p>
    <w:p w:rsidR="1C1FF9CE" w:rsidP="0A09F57F" w:rsidRDefault="1C1FF9CE" w14:paraId="25598CE4" w14:textId="4C8F0AB4">
      <w:pPr>
        <w:pStyle w:val="Normal"/>
      </w:pPr>
      <w:r w:rsidRPr="0A09F57F" w:rsidR="1C1FF9CE">
        <w:rPr>
          <w:sz w:val="24"/>
          <w:szCs w:val="24"/>
        </w:rPr>
        <w:t>The Care Act 2014 is one of the most significant pieces of legislation supporting PCC. It places the individual at the centre of all care and support decisions through principles of wellbeing, prevention, choice, and control. The Act also legally requires multi-agency cooperation, ensuring health services, social care, housing, and other agencies work in partnership to meet a person’s needs effectively.</w:t>
      </w:r>
    </w:p>
    <w:p w:rsidR="1C1FF9CE" w:rsidP="0A09F57F" w:rsidRDefault="1C1FF9CE" w14:paraId="12146243" w14:textId="2850808E">
      <w:pPr>
        <w:pStyle w:val="Normal"/>
      </w:pPr>
      <w:r w:rsidRPr="0A09F57F" w:rsidR="1C1FF9CE">
        <w:rPr>
          <w:sz w:val="24"/>
          <w:szCs w:val="24"/>
        </w:rPr>
        <w:t xml:space="preserve"> </w:t>
      </w:r>
    </w:p>
    <w:p w:rsidR="1C1FF9CE" w:rsidP="0A09F57F" w:rsidRDefault="1C1FF9CE" w14:paraId="2D5CBC42" w14:textId="61B35C42">
      <w:pPr>
        <w:pStyle w:val="Normal"/>
      </w:pPr>
      <w:r w:rsidRPr="0A09F57F" w:rsidR="1C1FF9CE">
        <w:rPr>
          <w:sz w:val="24"/>
          <w:szCs w:val="24"/>
        </w:rPr>
        <w:t>The Health and Social Care Act 2012 further promotes PCC by emphasising patient involvement, informed choice, and shared decision-making. It also strengthens partnership working by supporting integrated care models across the NHS and local authorities, ensuring services collaborate rather than work in isolation.</w:t>
      </w:r>
    </w:p>
    <w:p w:rsidR="1C1FF9CE" w:rsidP="0A09F57F" w:rsidRDefault="1C1FF9CE" w14:paraId="64B5A5F5" w14:textId="00D36832">
      <w:pPr>
        <w:pStyle w:val="Normal"/>
      </w:pPr>
      <w:r w:rsidRPr="0A09F57F" w:rsidR="1C1FF9CE">
        <w:rPr>
          <w:sz w:val="24"/>
          <w:szCs w:val="24"/>
        </w:rPr>
        <w:t xml:space="preserve"> </w:t>
      </w:r>
    </w:p>
    <w:p w:rsidR="1C1FF9CE" w:rsidP="0A09F57F" w:rsidRDefault="1C1FF9CE" w14:paraId="4025F4BA" w14:textId="3D0FD55A">
      <w:pPr>
        <w:pStyle w:val="Normal"/>
      </w:pPr>
      <w:r w:rsidRPr="0A09F57F" w:rsidR="1C1FF9CE">
        <w:rPr>
          <w:sz w:val="24"/>
          <w:szCs w:val="24"/>
        </w:rPr>
        <w:t>The Mental Capacity Act 2005 reinforces PCC through principles that protect autonomy. It ensures individuals are supported to make their own decisions where possible and, when they cannot, decisions must be made in their best interests, involving families, advocates, and multidisciplinary teams—an example of strong partnership working.</w:t>
      </w:r>
    </w:p>
    <w:p w:rsidR="1C1FF9CE" w:rsidP="0A09F57F" w:rsidRDefault="1C1FF9CE" w14:paraId="5355A219" w14:textId="3105963C">
      <w:pPr>
        <w:pStyle w:val="Normal"/>
      </w:pPr>
      <w:r w:rsidRPr="0A09F57F" w:rsidR="1C1FF9CE">
        <w:rPr>
          <w:sz w:val="24"/>
          <w:szCs w:val="24"/>
        </w:rPr>
        <w:t xml:space="preserve"> </w:t>
      </w:r>
    </w:p>
    <w:p w:rsidR="1C1FF9CE" w:rsidP="0A09F57F" w:rsidRDefault="1C1FF9CE" w14:paraId="1DD76FDF" w14:textId="42CF2242">
      <w:pPr>
        <w:pStyle w:val="Normal"/>
      </w:pPr>
      <w:r w:rsidRPr="0A09F57F" w:rsidR="1C1FF9CE">
        <w:rPr>
          <w:sz w:val="24"/>
          <w:szCs w:val="24"/>
        </w:rPr>
        <w:t>The Human Rights Act 1998 underpins PCC by safeguarding dignity, respect, privacy, and the right to family life, ensuring care practices align with fundamental rights.</w:t>
      </w:r>
    </w:p>
    <w:p w:rsidR="1C1FF9CE" w:rsidP="0A09F57F" w:rsidRDefault="1C1FF9CE" w14:paraId="6F50B59F" w14:textId="67E40803">
      <w:pPr>
        <w:pStyle w:val="Normal"/>
      </w:pPr>
      <w:r w:rsidRPr="0A09F57F" w:rsidR="1C1FF9CE">
        <w:rPr>
          <w:sz w:val="24"/>
          <w:szCs w:val="24"/>
        </w:rPr>
        <w:t xml:space="preserve"> </w:t>
      </w:r>
    </w:p>
    <w:p w:rsidR="1C1FF9CE" w:rsidP="0A09F57F" w:rsidRDefault="1C1FF9CE" w14:paraId="3D71A184" w14:textId="541A9A77">
      <w:pPr>
        <w:pStyle w:val="Normal"/>
      </w:pPr>
      <w:r w:rsidRPr="0A09F57F" w:rsidR="1C1FF9CE">
        <w:rPr>
          <w:sz w:val="24"/>
          <w:szCs w:val="24"/>
        </w:rPr>
        <w:t>Additionally, NICE guidelines and the NHS Long Term Plan emphasise integrated, personalised care pathways, promoting collaborative working and shared responsibility.</w:t>
      </w:r>
    </w:p>
    <w:p w:rsidR="1C1FF9CE" w:rsidP="0A09F57F" w:rsidRDefault="1C1FF9CE" w14:paraId="65489267" w14:textId="0DD849B7">
      <w:pPr>
        <w:pStyle w:val="Normal"/>
      </w:pPr>
      <w:r w:rsidRPr="0A09F57F" w:rsidR="1C1FF9CE">
        <w:rPr>
          <w:sz w:val="24"/>
          <w:szCs w:val="24"/>
        </w:rPr>
        <w:t xml:space="preserve"> </w:t>
      </w:r>
    </w:p>
    <w:p w:rsidR="1C1FF9CE" w:rsidP="0A09F57F" w:rsidRDefault="1C1FF9CE" w14:paraId="07110B3F" w14:textId="3C3B9BAD">
      <w:pPr>
        <w:pStyle w:val="Normal"/>
      </w:pPr>
      <w:r w:rsidRPr="0A09F57F" w:rsidR="1C1FF9CE">
        <w:rPr>
          <w:sz w:val="24"/>
          <w:szCs w:val="24"/>
        </w:rPr>
        <w:t xml:space="preserve">Overall, legislation and policy frameworks collectively reinforce PCC and PW by </w:t>
      </w:r>
      <w:r w:rsidRPr="0A09F57F" w:rsidR="1C1FF9CE">
        <w:rPr>
          <w:sz w:val="24"/>
          <w:szCs w:val="24"/>
        </w:rPr>
        <w:t>prioritising</w:t>
      </w:r>
      <w:r w:rsidRPr="0A09F57F" w:rsidR="1C1FF9CE">
        <w:rPr>
          <w:sz w:val="24"/>
          <w:szCs w:val="24"/>
        </w:rPr>
        <w:t xml:space="preserve"> autonomy, dignity, safety, and coordinated support.</w:t>
      </w:r>
    </w:p>
    <w:p w:rsidR="0A09F57F" w:rsidP="0A09F57F" w:rsidRDefault="0A09F57F" w14:paraId="085FCEC1" w14:textId="287EBFBB">
      <w:pPr>
        <w:pStyle w:val="Normal"/>
        <w:rPr>
          <w:sz w:val="24"/>
          <w:szCs w:val="24"/>
        </w:rPr>
      </w:pPr>
    </w:p>
    <w:p w:rsidR="27167762" w:rsidP="0A09F57F" w:rsidRDefault="27167762" w14:paraId="6902A991" w14:textId="481CEE70">
      <w:pPr>
        <w:pStyle w:val="ListParagraph"/>
        <w:numPr>
          <w:ilvl w:val="0"/>
          <w:numId w:val="8"/>
        </w:numPr>
        <w:rPr>
          <w:sz w:val="24"/>
          <w:szCs w:val="24"/>
        </w:rPr>
      </w:pPr>
      <w:r w:rsidRPr="0A09F57F" w:rsidR="27167762">
        <w:rPr>
          <w:sz w:val="24"/>
          <w:szCs w:val="24"/>
        </w:rPr>
        <w:t>Recommendations for Future Development of Person-</w:t>
      </w:r>
      <w:r w:rsidRPr="0A09F57F" w:rsidR="27167762">
        <w:rPr>
          <w:sz w:val="24"/>
          <w:szCs w:val="24"/>
        </w:rPr>
        <w:t>Centred</w:t>
      </w:r>
      <w:r w:rsidRPr="0A09F57F" w:rsidR="27167762">
        <w:rPr>
          <w:sz w:val="24"/>
          <w:szCs w:val="24"/>
        </w:rPr>
        <w:t xml:space="preserve"> Care (PCC) and Partnership Working (PW) </w:t>
      </w:r>
    </w:p>
    <w:p w:rsidR="27167762" w:rsidP="0A09F57F" w:rsidRDefault="27167762" w14:paraId="38632CD4" w14:textId="334EC398">
      <w:pPr>
        <w:pStyle w:val="ListParagraph"/>
        <w:spacing w:before="240" w:beforeAutospacing="off" w:after="240" w:afterAutospacing="off"/>
        <w:ind w:left="720"/>
        <w:rPr>
          <w:noProof w:val="0"/>
          <w:lang w:val="en-US"/>
        </w:rPr>
      </w:pPr>
      <w:r w:rsidRPr="0A09F57F" w:rsidR="27167762">
        <w:rPr>
          <w:noProof w:val="0"/>
          <w:lang w:val="en-US"/>
        </w:rPr>
        <w:t xml:space="preserve"> </w:t>
      </w:r>
    </w:p>
    <w:p w:rsidR="27167762" w:rsidP="0A09F57F" w:rsidRDefault="27167762" w14:paraId="6E998A5C" w14:textId="055251DD">
      <w:pPr>
        <w:pStyle w:val="ListParagraph"/>
        <w:spacing w:before="240" w:beforeAutospacing="off" w:after="240" w:afterAutospacing="off"/>
        <w:ind w:left="720"/>
        <w:rPr>
          <w:noProof w:val="0"/>
          <w:lang w:val="en-US"/>
        </w:rPr>
      </w:pPr>
      <w:r w:rsidRPr="0A09F57F" w:rsidR="27167762">
        <w:rPr>
          <w:noProof w:val="0"/>
          <w:lang w:val="en-US"/>
        </w:rPr>
        <w:t>Future development of person-</w:t>
      </w:r>
      <w:r w:rsidRPr="0A09F57F" w:rsidR="27167762">
        <w:rPr>
          <w:noProof w:val="0"/>
          <w:lang w:val="en-US"/>
        </w:rPr>
        <w:t>centred</w:t>
      </w:r>
      <w:r w:rsidRPr="0A09F57F" w:rsidR="27167762">
        <w:rPr>
          <w:noProof w:val="0"/>
          <w:lang w:val="en-US"/>
        </w:rPr>
        <w:t xml:space="preserve"> care (PCC) and partnership working (PW) requires a more sustainable, integrated, and empowering approach that addresses current gaps in practice. Although policies strongly promote PCC and collaborative working, many </w:t>
      </w:r>
      <w:r w:rsidRPr="0A09F57F" w:rsidR="27167762">
        <w:rPr>
          <w:noProof w:val="0"/>
          <w:lang w:val="en-US"/>
        </w:rPr>
        <w:t>organisations</w:t>
      </w:r>
      <w:r w:rsidRPr="0A09F57F" w:rsidR="27167762">
        <w:rPr>
          <w:noProof w:val="0"/>
          <w:lang w:val="en-US"/>
        </w:rPr>
        <w:t xml:space="preserve"> still struggle with fragmented services, limited resources, and inconsistent staff training. Strengthening these areas will help create a more responsive and </w:t>
      </w:r>
      <w:r w:rsidRPr="0A09F57F" w:rsidR="27167762">
        <w:rPr>
          <w:noProof w:val="0"/>
          <w:lang w:val="en-US"/>
        </w:rPr>
        <w:t>personalised</w:t>
      </w:r>
      <w:r w:rsidRPr="0A09F57F" w:rsidR="27167762">
        <w:rPr>
          <w:noProof w:val="0"/>
          <w:lang w:val="en-US"/>
        </w:rPr>
        <w:t xml:space="preserve"> health and social care system.</w:t>
      </w:r>
    </w:p>
    <w:p w:rsidR="27167762" w:rsidP="0A09F57F" w:rsidRDefault="27167762" w14:paraId="02475806" w14:textId="1442E980">
      <w:pPr>
        <w:pStyle w:val="ListParagraph"/>
        <w:spacing w:before="240" w:beforeAutospacing="off" w:after="240" w:afterAutospacing="off"/>
        <w:ind w:left="720"/>
        <w:rPr>
          <w:noProof w:val="0"/>
          <w:lang w:val="en-US"/>
        </w:rPr>
      </w:pPr>
      <w:r w:rsidRPr="0A09F57F" w:rsidR="27167762">
        <w:rPr>
          <w:noProof w:val="0"/>
          <w:lang w:val="en-US"/>
        </w:rPr>
        <w:t xml:space="preserve"> </w:t>
      </w:r>
    </w:p>
    <w:p w:rsidR="27167762" w:rsidP="0A09F57F" w:rsidRDefault="27167762" w14:paraId="3DAD143F" w14:textId="516F6711">
      <w:pPr>
        <w:pStyle w:val="ListParagraph"/>
        <w:spacing w:before="240" w:beforeAutospacing="off" w:after="240" w:afterAutospacing="off"/>
        <w:ind w:left="720"/>
        <w:rPr>
          <w:noProof w:val="0"/>
          <w:lang w:val="en-US"/>
        </w:rPr>
      </w:pPr>
      <w:r w:rsidRPr="0A09F57F" w:rsidR="27167762">
        <w:rPr>
          <w:noProof w:val="0"/>
          <w:lang w:val="en-US"/>
        </w:rPr>
        <w:t xml:space="preserve">A key recommendation is the continued enhancement of workforce training and professional development. Staff require </w:t>
      </w:r>
      <w:r w:rsidRPr="0A09F57F" w:rsidR="27167762">
        <w:rPr>
          <w:noProof w:val="0"/>
          <w:lang w:val="en-US"/>
        </w:rPr>
        <w:t>strong communication</w:t>
      </w:r>
      <w:r w:rsidRPr="0A09F57F" w:rsidR="27167762">
        <w:rPr>
          <w:noProof w:val="0"/>
          <w:lang w:val="en-US"/>
        </w:rPr>
        <w:t xml:space="preserve"> skills, cultural awareness, empathy, and confidence in shared decision-making to deliver genuine person-</w:t>
      </w:r>
      <w:r w:rsidRPr="0A09F57F" w:rsidR="27167762">
        <w:rPr>
          <w:noProof w:val="0"/>
          <w:lang w:val="en-US"/>
        </w:rPr>
        <w:t>centred</w:t>
      </w:r>
      <w:r w:rsidRPr="0A09F57F" w:rsidR="27167762">
        <w:rPr>
          <w:noProof w:val="0"/>
          <w:lang w:val="en-US"/>
        </w:rPr>
        <w:t xml:space="preserve"> support. Ongoing training in trauma-informed care, values-based practice, and collaborative working would equip professionals to build therapeutic relationships and understand the person’s </w:t>
      </w:r>
      <w:r w:rsidRPr="0A09F57F" w:rsidR="27167762">
        <w:rPr>
          <w:noProof w:val="0"/>
          <w:lang w:val="en-US"/>
        </w:rPr>
        <w:t>lived</w:t>
      </w:r>
      <w:r w:rsidRPr="0A09F57F" w:rsidR="27167762">
        <w:rPr>
          <w:noProof w:val="0"/>
          <w:lang w:val="en-US"/>
        </w:rPr>
        <w:t xml:space="preserve"> experience. Reflective supervision and mentorship should also be expanded to help staff apply PCC principles consistently in daily practice.</w:t>
      </w:r>
    </w:p>
    <w:p w:rsidR="27167762" w:rsidP="0A09F57F" w:rsidRDefault="27167762" w14:paraId="5F924A10" w14:textId="5040EB6C">
      <w:pPr>
        <w:pStyle w:val="ListParagraph"/>
        <w:spacing w:before="240" w:beforeAutospacing="off" w:after="240" w:afterAutospacing="off"/>
        <w:ind w:left="720"/>
        <w:rPr>
          <w:noProof w:val="0"/>
          <w:lang w:val="en-US"/>
        </w:rPr>
      </w:pPr>
      <w:r w:rsidRPr="0A09F57F" w:rsidR="27167762">
        <w:rPr>
          <w:noProof w:val="0"/>
          <w:lang w:val="en-US"/>
        </w:rPr>
        <w:t xml:space="preserve"> </w:t>
      </w:r>
    </w:p>
    <w:p w:rsidR="27167762" w:rsidP="0A09F57F" w:rsidRDefault="27167762" w14:paraId="49EDA403" w14:textId="6A0A2E70">
      <w:pPr>
        <w:pStyle w:val="ListParagraph"/>
        <w:spacing w:before="240" w:beforeAutospacing="off" w:after="240" w:afterAutospacing="off"/>
        <w:ind w:left="720"/>
        <w:rPr>
          <w:noProof w:val="0"/>
          <w:lang w:val="en-US"/>
        </w:rPr>
      </w:pPr>
      <w:r w:rsidRPr="0A09F57F" w:rsidR="27167762">
        <w:rPr>
          <w:noProof w:val="0"/>
          <w:lang w:val="en-US"/>
        </w:rPr>
        <w:t xml:space="preserve">Improving integration between services is essential for advancing partnership </w:t>
      </w:r>
      <w:r w:rsidRPr="0A09F57F" w:rsidR="27167762">
        <w:rPr>
          <w:noProof w:val="0"/>
          <w:lang w:val="en-US"/>
        </w:rPr>
        <w:t>working</w:t>
      </w:r>
      <w:r w:rsidRPr="0A09F57F" w:rsidR="27167762">
        <w:rPr>
          <w:noProof w:val="0"/>
          <w:lang w:val="en-US"/>
        </w:rPr>
        <w:t xml:space="preserve">. Care is often fragmented across health, social care, mental health, housing, and voluntary </w:t>
      </w:r>
      <w:r w:rsidRPr="0A09F57F" w:rsidR="27167762">
        <w:rPr>
          <w:noProof w:val="0"/>
          <w:lang w:val="en-US"/>
        </w:rPr>
        <w:t>organisations</w:t>
      </w:r>
      <w:r w:rsidRPr="0A09F57F" w:rsidR="27167762">
        <w:rPr>
          <w:noProof w:val="0"/>
          <w:lang w:val="en-US"/>
        </w:rPr>
        <w:t xml:space="preserve">. Enhancing multidisciplinary teamwork through shared meetings, joint assessments, and effective communication processes would ensure continuity and reduce duplication. Further development of shared digital care records would also support seamless information exchange, enabling professionals to collaborate more efficiently while </w:t>
      </w:r>
      <w:r w:rsidRPr="0A09F57F" w:rsidR="27167762">
        <w:rPr>
          <w:noProof w:val="0"/>
          <w:lang w:val="en-US"/>
        </w:rPr>
        <w:t>maintaining</w:t>
      </w:r>
      <w:r w:rsidRPr="0A09F57F" w:rsidR="27167762">
        <w:rPr>
          <w:noProof w:val="0"/>
          <w:lang w:val="en-US"/>
        </w:rPr>
        <w:t xml:space="preserve"> confidentiality and data protection standards.</w:t>
      </w:r>
    </w:p>
    <w:p w:rsidR="27167762" w:rsidP="0A09F57F" w:rsidRDefault="27167762" w14:paraId="4E4801E6" w14:textId="77E26F4B">
      <w:pPr>
        <w:pStyle w:val="ListParagraph"/>
        <w:spacing w:before="240" w:beforeAutospacing="off" w:after="240" w:afterAutospacing="off"/>
        <w:ind w:left="720"/>
        <w:rPr>
          <w:noProof w:val="0"/>
          <w:lang w:val="en-US"/>
        </w:rPr>
      </w:pPr>
      <w:r w:rsidRPr="0A09F57F" w:rsidR="27167762">
        <w:rPr>
          <w:noProof w:val="0"/>
          <w:lang w:val="en-US"/>
        </w:rPr>
        <w:t xml:space="preserve"> </w:t>
      </w:r>
    </w:p>
    <w:p w:rsidR="27167762" w:rsidP="0A09F57F" w:rsidRDefault="27167762" w14:paraId="6D714710" w14:textId="051E26BB">
      <w:pPr>
        <w:pStyle w:val="ListParagraph"/>
        <w:spacing w:before="240" w:beforeAutospacing="off" w:after="240" w:afterAutospacing="off"/>
        <w:ind w:left="720"/>
        <w:rPr>
          <w:noProof w:val="0"/>
          <w:lang w:val="en-US"/>
        </w:rPr>
      </w:pPr>
      <w:r w:rsidRPr="0A09F57F" w:rsidR="27167762">
        <w:rPr>
          <w:noProof w:val="0"/>
          <w:lang w:val="en-US"/>
        </w:rPr>
        <w:t xml:space="preserve">Greater emphasis should be placed on co-production with individuals, families, and communities. True PCC involves working alongside people, </w:t>
      </w:r>
      <w:r w:rsidRPr="0A09F57F" w:rsidR="27167762">
        <w:rPr>
          <w:noProof w:val="0"/>
          <w:lang w:val="en-US"/>
        </w:rPr>
        <w:t>recognising</w:t>
      </w:r>
      <w:r w:rsidRPr="0A09F57F" w:rsidR="27167762">
        <w:rPr>
          <w:noProof w:val="0"/>
          <w:lang w:val="en-US"/>
        </w:rPr>
        <w:t xml:space="preserve"> their </w:t>
      </w:r>
      <w:r w:rsidRPr="0A09F57F" w:rsidR="27167762">
        <w:rPr>
          <w:noProof w:val="0"/>
          <w:lang w:val="en-US"/>
        </w:rPr>
        <w:t>expertise</w:t>
      </w:r>
      <w:r w:rsidRPr="0A09F57F" w:rsidR="27167762">
        <w:rPr>
          <w:noProof w:val="0"/>
          <w:lang w:val="en-US"/>
        </w:rPr>
        <w:t xml:space="preserve"> </w:t>
      </w:r>
      <w:r w:rsidRPr="0A09F57F" w:rsidR="27167762">
        <w:rPr>
          <w:noProof w:val="0"/>
          <w:lang w:val="en-US"/>
        </w:rPr>
        <w:t>by</w:t>
      </w:r>
      <w:r w:rsidRPr="0A09F57F" w:rsidR="27167762">
        <w:rPr>
          <w:noProof w:val="0"/>
          <w:lang w:val="en-US"/>
        </w:rPr>
        <w:t xml:space="preserve"> lived experience, and supporting them to shape their own care plans. Future development could include </w:t>
      </w:r>
      <w:r w:rsidRPr="0A09F57F" w:rsidR="27167762">
        <w:rPr>
          <w:noProof w:val="0"/>
          <w:lang w:val="en-US"/>
        </w:rPr>
        <w:t>establishing</w:t>
      </w:r>
      <w:r w:rsidRPr="0A09F57F" w:rsidR="27167762">
        <w:rPr>
          <w:noProof w:val="0"/>
          <w:lang w:val="en-US"/>
        </w:rPr>
        <w:t xml:space="preserve"> user-led advisory groups, involving families in service evaluation, and designing care pathways that reflect cultural values, preferences, and personal goals. Co-production fosters shared ownership of care and improves trust, satisfaction, and outcomes.</w:t>
      </w:r>
    </w:p>
    <w:p w:rsidR="27167762" w:rsidP="0A09F57F" w:rsidRDefault="27167762" w14:paraId="2F05A601" w14:textId="413D1907">
      <w:pPr>
        <w:pStyle w:val="ListParagraph"/>
        <w:spacing w:before="240" w:beforeAutospacing="off" w:after="240" w:afterAutospacing="off"/>
        <w:ind w:left="720"/>
        <w:rPr>
          <w:noProof w:val="0"/>
          <w:lang w:val="en-US"/>
        </w:rPr>
      </w:pPr>
      <w:r w:rsidRPr="0A09F57F" w:rsidR="27167762">
        <w:rPr>
          <w:noProof w:val="0"/>
          <w:lang w:val="en-US"/>
        </w:rPr>
        <w:t xml:space="preserve"> </w:t>
      </w:r>
    </w:p>
    <w:p w:rsidR="27167762" w:rsidP="0A09F57F" w:rsidRDefault="27167762" w14:paraId="664C57B7" w14:textId="0355D3BB">
      <w:pPr>
        <w:pStyle w:val="ListParagraph"/>
        <w:spacing w:before="240" w:beforeAutospacing="off" w:after="240" w:afterAutospacing="off"/>
        <w:ind w:left="720"/>
        <w:rPr>
          <w:noProof w:val="0"/>
          <w:lang w:val="en-US"/>
        </w:rPr>
      </w:pPr>
      <w:r w:rsidRPr="0A09F57F" w:rsidR="27167762">
        <w:rPr>
          <w:noProof w:val="0"/>
          <w:lang w:val="en-US"/>
        </w:rPr>
        <w:t>Investment in technology and innovative practices is another important recommendation. Digital tools such as personal health records, telehealth, and communication apps can support independence, self-management, and real-time decision-making. Ensuring these technologies are accessible, inclusive, and user-friendly will help prevent digital exclusion and promote autonomy, especially for individuals with disabilities or those living in remote areas.</w:t>
      </w:r>
    </w:p>
    <w:p w:rsidR="27167762" w:rsidP="0A09F57F" w:rsidRDefault="27167762" w14:paraId="4A0A0DE2" w14:textId="00607718">
      <w:pPr>
        <w:pStyle w:val="ListParagraph"/>
        <w:spacing w:before="240" w:beforeAutospacing="off" w:after="240" w:afterAutospacing="off"/>
        <w:ind w:left="720"/>
        <w:rPr>
          <w:noProof w:val="0"/>
          <w:lang w:val="en-US"/>
        </w:rPr>
      </w:pPr>
      <w:r w:rsidRPr="0A09F57F" w:rsidR="27167762">
        <w:rPr>
          <w:noProof w:val="0"/>
          <w:lang w:val="en-US"/>
        </w:rPr>
        <w:t xml:space="preserve"> </w:t>
      </w:r>
    </w:p>
    <w:p w:rsidR="27167762" w:rsidP="0A09F57F" w:rsidRDefault="27167762" w14:paraId="47F08ECE" w14:textId="545B7126">
      <w:pPr>
        <w:pStyle w:val="ListParagraph"/>
        <w:spacing w:before="240" w:beforeAutospacing="off" w:after="240" w:afterAutospacing="off"/>
        <w:ind w:left="720"/>
        <w:rPr>
          <w:noProof w:val="0"/>
          <w:lang w:val="en-US"/>
        </w:rPr>
      </w:pPr>
      <w:r w:rsidRPr="0A09F57F" w:rsidR="27167762">
        <w:rPr>
          <w:noProof w:val="0"/>
          <w:lang w:val="en-US"/>
        </w:rPr>
        <w:t xml:space="preserve">Long-term investment in staffing, resources, and community services is vital. PCC and partnership </w:t>
      </w:r>
      <w:r w:rsidRPr="0A09F57F" w:rsidR="27167762">
        <w:rPr>
          <w:noProof w:val="0"/>
          <w:lang w:val="en-US"/>
        </w:rPr>
        <w:t>working</w:t>
      </w:r>
      <w:r w:rsidRPr="0A09F57F" w:rsidR="27167762">
        <w:rPr>
          <w:noProof w:val="0"/>
          <w:lang w:val="en-US"/>
        </w:rPr>
        <w:t xml:space="preserve"> require time for meaningful conversations, collaborative planning, and coordinated interventions. Adequate funding would allow </w:t>
      </w:r>
      <w:r w:rsidRPr="0A09F57F" w:rsidR="27167762">
        <w:rPr>
          <w:noProof w:val="0"/>
          <w:lang w:val="en-US"/>
        </w:rPr>
        <w:t>organisations</w:t>
      </w:r>
      <w:r w:rsidRPr="0A09F57F" w:rsidR="27167762">
        <w:rPr>
          <w:noProof w:val="0"/>
          <w:lang w:val="en-US"/>
        </w:rPr>
        <w:t xml:space="preserve"> to reduce workload pressures, offer more </w:t>
      </w:r>
      <w:r w:rsidRPr="0A09F57F" w:rsidR="27167762">
        <w:rPr>
          <w:noProof w:val="0"/>
          <w:lang w:val="en-US"/>
        </w:rPr>
        <w:t>personalised</w:t>
      </w:r>
      <w:r w:rsidRPr="0A09F57F" w:rsidR="27167762">
        <w:rPr>
          <w:noProof w:val="0"/>
          <w:lang w:val="en-US"/>
        </w:rPr>
        <w:t xml:space="preserve"> support, and create stable teams that build trusting relationships with service users. Community-based services, peer support, and preventative care should also be expanded to reduce pressure on hospitals and care homes.</w:t>
      </w:r>
    </w:p>
    <w:p w:rsidR="27167762" w:rsidP="0A09F57F" w:rsidRDefault="27167762" w14:paraId="45AA2157" w14:textId="409986C7">
      <w:pPr>
        <w:pStyle w:val="ListParagraph"/>
        <w:spacing w:before="240" w:beforeAutospacing="off" w:after="240" w:afterAutospacing="off"/>
        <w:ind w:left="720"/>
        <w:rPr>
          <w:noProof w:val="0"/>
          <w:lang w:val="en-US"/>
        </w:rPr>
      </w:pPr>
      <w:r w:rsidRPr="0A09F57F" w:rsidR="27167762">
        <w:rPr>
          <w:noProof w:val="0"/>
          <w:lang w:val="en-US"/>
        </w:rPr>
        <w:t xml:space="preserve"> </w:t>
      </w:r>
    </w:p>
    <w:p w:rsidR="27167762" w:rsidP="0A09F57F" w:rsidRDefault="27167762" w14:paraId="52A9AD43" w14:textId="36AF3081">
      <w:pPr>
        <w:pStyle w:val="ListParagraph"/>
        <w:spacing w:before="240" w:beforeAutospacing="off" w:after="240" w:afterAutospacing="off"/>
        <w:ind w:left="720"/>
        <w:rPr>
          <w:noProof w:val="0"/>
          <w:lang w:val="en-US"/>
        </w:rPr>
      </w:pPr>
      <w:r w:rsidRPr="0A09F57F" w:rsidR="27167762">
        <w:rPr>
          <w:noProof w:val="0"/>
          <w:lang w:val="en-US"/>
        </w:rPr>
        <w:t>Finally, stronger accountability and policy enforcement would support more consistent implementation of PCC and PW. Regulatory bodies could focus more closely on person-</w:t>
      </w:r>
      <w:r w:rsidRPr="0A09F57F" w:rsidR="27167762">
        <w:rPr>
          <w:noProof w:val="0"/>
          <w:lang w:val="en-US"/>
        </w:rPr>
        <w:t>centred</w:t>
      </w:r>
      <w:r w:rsidRPr="0A09F57F" w:rsidR="27167762">
        <w:rPr>
          <w:noProof w:val="0"/>
          <w:lang w:val="en-US"/>
        </w:rPr>
        <w:t xml:space="preserve"> outcomes, shared decision-making, and collaboration during inspections. </w:t>
      </w:r>
      <w:r w:rsidRPr="0A09F57F" w:rsidR="27167762">
        <w:rPr>
          <w:noProof w:val="0"/>
          <w:lang w:val="en-US"/>
        </w:rPr>
        <w:t>Organisations</w:t>
      </w:r>
      <w:r w:rsidRPr="0A09F57F" w:rsidR="27167762">
        <w:rPr>
          <w:noProof w:val="0"/>
          <w:lang w:val="en-US"/>
        </w:rPr>
        <w:t xml:space="preserve"> should </w:t>
      </w:r>
      <w:r w:rsidRPr="0A09F57F" w:rsidR="27167762">
        <w:rPr>
          <w:noProof w:val="0"/>
          <w:lang w:val="en-US"/>
        </w:rPr>
        <w:t>monitor</w:t>
      </w:r>
      <w:r w:rsidRPr="0A09F57F" w:rsidR="27167762">
        <w:rPr>
          <w:noProof w:val="0"/>
          <w:lang w:val="en-US"/>
        </w:rPr>
        <w:t xml:space="preserve"> their performance through user feedback and outcome measures that reflect dignity, independence, and wellbeing.</w:t>
      </w:r>
    </w:p>
    <w:p w:rsidR="27167762" w:rsidP="0A09F57F" w:rsidRDefault="27167762" w14:paraId="5E4CA953" w14:textId="600CB548">
      <w:pPr>
        <w:pStyle w:val="ListParagraph"/>
        <w:spacing w:before="240" w:beforeAutospacing="off" w:after="240" w:afterAutospacing="off"/>
        <w:ind w:left="720"/>
        <w:rPr>
          <w:noProof w:val="0"/>
          <w:lang w:val="en-US"/>
        </w:rPr>
      </w:pPr>
      <w:r w:rsidRPr="0A09F57F" w:rsidR="27167762">
        <w:rPr>
          <w:noProof w:val="0"/>
          <w:lang w:val="en-US"/>
        </w:rPr>
        <w:t xml:space="preserve"> </w:t>
      </w:r>
    </w:p>
    <w:p w:rsidR="27167762" w:rsidP="0A09F57F" w:rsidRDefault="27167762" w14:paraId="1E5E0EE0" w14:textId="7C2597AE">
      <w:pPr>
        <w:pStyle w:val="ListParagraph"/>
        <w:spacing w:before="240" w:beforeAutospacing="off" w:after="240" w:afterAutospacing="off"/>
        <w:ind w:left="720"/>
        <w:rPr>
          <w:noProof w:val="0"/>
          <w:lang w:val="en-US"/>
        </w:rPr>
      </w:pPr>
      <w:r w:rsidRPr="0A09F57F" w:rsidR="27167762">
        <w:rPr>
          <w:noProof w:val="0"/>
          <w:lang w:val="en-US"/>
        </w:rPr>
        <w:t xml:space="preserve">Overall, developing PCC and partnership </w:t>
      </w:r>
      <w:r w:rsidRPr="0A09F57F" w:rsidR="27167762">
        <w:rPr>
          <w:noProof w:val="0"/>
          <w:lang w:val="en-US"/>
        </w:rPr>
        <w:t>working</w:t>
      </w:r>
      <w:r w:rsidRPr="0A09F57F" w:rsidR="27167762">
        <w:rPr>
          <w:noProof w:val="0"/>
          <w:lang w:val="en-US"/>
        </w:rPr>
        <w:t xml:space="preserve"> requires cultural change, </w:t>
      </w:r>
      <w:r w:rsidRPr="0A09F57F" w:rsidR="27167762">
        <w:rPr>
          <w:noProof w:val="0"/>
          <w:lang w:val="en-US"/>
        </w:rPr>
        <w:t>organisational</w:t>
      </w:r>
      <w:r w:rsidRPr="0A09F57F" w:rsidR="27167762">
        <w:rPr>
          <w:noProof w:val="0"/>
          <w:lang w:val="en-US"/>
        </w:rPr>
        <w:t xml:space="preserve"> commitment, adequate resources, and genuine involvement of those receiving care. By strengthening these areas, health and social care services can deliver more compassionate, coordinated, and meaningful support that respects the individuality and rights of every person.</w:t>
      </w:r>
    </w:p>
    <w:p w:rsidR="0A09F57F" w:rsidP="0A09F57F" w:rsidRDefault="0A09F57F" w14:paraId="696473C5" w14:textId="221513E6">
      <w:pPr>
        <w:pStyle w:val="ListParagraph"/>
        <w:ind w:left="720"/>
        <w:rPr>
          <w:sz w:val="24"/>
          <w:szCs w:val="24"/>
        </w:rPr>
      </w:pPr>
    </w:p>
    <w:p w:rsidR="0A09F57F" w:rsidP="0A09F57F" w:rsidRDefault="0A09F57F" w14:paraId="59ACEB44" w14:textId="6AA4FFDA">
      <w:pPr>
        <w:pStyle w:val="ListParagraph"/>
        <w:ind w:left="720"/>
        <w:rPr>
          <w:sz w:val="24"/>
          <w:szCs w:val="24"/>
        </w:rPr>
      </w:pPr>
    </w:p>
    <w:p w:rsidR="0A09F57F" w:rsidP="0A09F57F" w:rsidRDefault="0A09F57F" w14:paraId="620621DA" w14:textId="3968C7D0">
      <w:pPr>
        <w:pStyle w:val="ListParagraph"/>
        <w:ind w:left="720"/>
        <w:rPr>
          <w:sz w:val="24"/>
          <w:szCs w:val="24"/>
        </w:rPr>
      </w:pPr>
    </w:p>
    <w:p w:rsidR="0A09F57F" w:rsidP="0A09F57F" w:rsidRDefault="0A09F57F" w14:paraId="00CBF03C" w14:textId="1E1B3D4C">
      <w:pPr>
        <w:pStyle w:val="ListParagraph"/>
        <w:ind w:left="720"/>
        <w:rPr>
          <w:sz w:val="24"/>
          <w:szCs w:val="24"/>
        </w:rPr>
      </w:pPr>
    </w:p>
    <w:p w:rsidR="0A09F57F" w:rsidP="0A09F57F" w:rsidRDefault="0A09F57F" w14:paraId="7101EB07" w14:textId="43D9BE0B">
      <w:pPr>
        <w:pStyle w:val="ListParagraph"/>
        <w:ind w:left="720"/>
        <w:rPr>
          <w:sz w:val="24"/>
          <w:szCs w:val="24"/>
        </w:rPr>
      </w:pPr>
    </w:p>
    <w:p w:rsidR="0A09F57F" w:rsidP="0A09F57F" w:rsidRDefault="0A09F57F" w14:paraId="1CF60FC0" w14:textId="72E3267B">
      <w:pPr>
        <w:pStyle w:val="ListParagraph"/>
        <w:ind w:left="720"/>
        <w:rPr>
          <w:sz w:val="24"/>
          <w:szCs w:val="24"/>
        </w:rPr>
      </w:pPr>
    </w:p>
    <w:p w:rsidR="0A09F57F" w:rsidP="0A09F57F" w:rsidRDefault="0A09F57F" w14:paraId="766F63B4" w14:textId="594CEE0B">
      <w:pPr>
        <w:pStyle w:val="ListParagraph"/>
        <w:ind w:left="720"/>
        <w:rPr>
          <w:sz w:val="24"/>
          <w:szCs w:val="24"/>
        </w:rPr>
      </w:pPr>
    </w:p>
    <w:p w:rsidR="0A09F57F" w:rsidP="0A09F57F" w:rsidRDefault="0A09F57F" w14:paraId="4DEEED6E" w14:textId="23F15C79">
      <w:pPr>
        <w:pStyle w:val="ListParagraph"/>
        <w:ind w:left="720"/>
        <w:rPr>
          <w:sz w:val="24"/>
          <w:szCs w:val="24"/>
        </w:rPr>
      </w:pPr>
    </w:p>
    <w:p w:rsidR="0A09F57F" w:rsidP="0A09F57F" w:rsidRDefault="0A09F57F" w14:paraId="6AF2E55E" w14:textId="3186D6F8">
      <w:pPr>
        <w:pStyle w:val="ListParagraph"/>
        <w:ind w:left="720"/>
        <w:rPr>
          <w:sz w:val="24"/>
          <w:szCs w:val="24"/>
        </w:rPr>
      </w:pPr>
    </w:p>
    <w:p w:rsidR="0A09F57F" w:rsidP="0A09F57F" w:rsidRDefault="0A09F57F" w14:paraId="07950477" w14:textId="66ADFFA1">
      <w:pPr>
        <w:pStyle w:val="ListParagraph"/>
        <w:ind w:left="720"/>
        <w:rPr>
          <w:sz w:val="24"/>
          <w:szCs w:val="24"/>
        </w:rPr>
      </w:pPr>
    </w:p>
    <w:p w:rsidR="0A09F57F" w:rsidP="0A09F57F" w:rsidRDefault="0A09F57F" w14:paraId="6BF7F1B0" w14:textId="431F0C2C">
      <w:pPr>
        <w:pStyle w:val="ListParagraph"/>
        <w:ind w:left="720"/>
        <w:rPr>
          <w:sz w:val="24"/>
          <w:szCs w:val="24"/>
        </w:rPr>
      </w:pPr>
    </w:p>
    <w:p w:rsidR="0A09F57F" w:rsidP="0A09F57F" w:rsidRDefault="0A09F57F" w14:paraId="285027F3" w14:textId="7594DF96">
      <w:pPr>
        <w:pStyle w:val="ListParagraph"/>
        <w:ind w:left="720"/>
        <w:rPr>
          <w:sz w:val="24"/>
          <w:szCs w:val="24"/>
        </w:rPr>
      </w:pPr>
    </w:p>
    <w:p w:rsidR="0A09F57F" w:rsidP="0A09F57F" w:rsidRDefault="0A09F57F" w14:paraId="3AC59484" w14:textId="2A901EF1">
      <w:pPr>
        <w:pStyle w:val="ListParagraph"/>
        <w:ind w:left="720"/>
        <w:rPr>
          <w:sz w:val="24"/>
          <w:szCs w:val="24"/>
        </w:rPr>
      </w:pPr>
    </w:p>
    <w:p w:rsidR="09F95D6F" w:rsidP="0A09F57F" w:rsidRDefault="09F95D6F" w14:paraId="72FF9526" w14:textId="7AD07B29">
      <w:pPr>
        <w:pStyle w:val="Heading1"/>
        <w:spacing w:before="0" w:beforeAutospacing="off" w:after="360" w:afterAutospacing="off" w:line="360" w:lineRule="auto"/>
        <w:jc w:val="left"/>
        <w:rPr>
          <w:rFonts w:ascii="Times New Roman" w:hAnsi="Times New Roman" w:eastAsia="Times New Roman" w:cs="Times New Roman"/>
          <w:b w:val="0"/>
          <w:bCs w:val="0"/>
          <w:noProof w:val="0"/>
          <w:color w:val="auto"/>
          <w:sz w:val="36"/>
          <w:szCs w:val="36"/>
          <w:lang w:val="en-US"/>
        </w:rPr>
      </w:pPr>
      <w:r w:rsidRPr="0A09F57F" w:rsidR="09F95D6F">
        <w:rPr>
          <w:rFonts w:ascii="Times New Roman" w:hAnsi="Times New Roman" w:eastAsia="Times New Roman" w:cs="Times New Roman"/>
          <w:b w:val="0"/>
          <w:bCs w:val="0"/>
          <w:noProof w:val="0"/>
          <w:color w:val="auto"/>
          <w:sz w:val="36"/>
          <w:szCs w:val="36"/>
          <w:lang w:val="en-US"/>
        </w:rPr>
        <w:t>Reference list</w:t>
      </w:r>
    </w:p>
    <w:p w:rsidR="09F95D6F" w:rsidP="0A09F57F" w:rsidRDefault="09F95D6F" w14:paraId="44582869" w14:textId="205F50A3">
      <w:pPr>
        <w:spacing w:before="0" w:beforeAutospacing="off" w:after="240" w:afterAutospacing="off" w:line="360" w:lineRule="auto"/>
      </w:pPr>
      <w:r w:rsidRPr="0A09F57F" w:rsidR="09F95D6F">
        <w:rPr>
          <w:rFonts w:ascii="Times New Roman" w:hAnsi="Times New Roman" w:eastAsia="Times New Roman" w:cs="Times New Roman"/>
          <w:noProof w:val="0"/>
          <w:sz w:val="24"/>
          <w:szCs w:val="24"/>
          <w:lang w:val="en-US"/>
        </w:rPr>
        <w:t xml:space="preserve">Apax Support (2025). </w:t>
      </w:r>
      <w:r w:rsidRPr="0A09F57F" w:rsidR="09F95D6F">
        <w:rPr>
          <w:rFonts w:ascii="Times New Roman" w:hAnsi="Times New Roman" w:eastAsia="Times New Roman" w:cs="Times New Roman"/>
          <w:i w:val="1"/>
          <w:iCs w:val="1"/>
          <w:noProof w:val="0"/>
          <w:sz w:val="24"/>
          <w:szCs w:val="24"/>
          <w:lang w:val="en-US"/>
        </w:rPr>
        <w:t>Ethical Principles in Health and Social Care</w:t>
      </w:r>
      <w:r w:rsidRPr="0A09F57F" w:rsidR="09F95D6F">
        <w:rPr>
          <w:rFonts w:ascii="Times New Roman" w:hAnsi="Times New Roman" w:eastAsia="Times New Roman" w:cs="Times New Roman"/>
          <w:noProof w:val="0"/>
          <w:sz w:val="24"/>
          <w:szCs w:val="24"/>
          <w:lang w:val="en-US"/>
        </w:rPr>
        <w:t xml:space="preserve">. [online] Apax.org.uk. Available at: </w:t>
      </w:r>
      <w:hyperlink r:id="R48af90a8223f4f60">
        <w:r w:rsidRPr="0A09F57F" w:rsidR="09F95D6F">
          <w:rPr>
            <w:rStyle w:val="Hyperlink"/>
            <w:rFonts w:ascii="Times New Roman" w:hAnsi="Times New Roman" w:eastAsia="Times New Roman" w:cs="Times New Roman"/>
            <w:noProof w:val="0"/>
            <w:sz w:val="24"/>
            <w:szCs w:val="24"/>
            <w:lang w:val="en-US"/>
          </w:rPr>
          <w:t>https://www.apax.org.uk/article/ethical-principles-in-health-and-social-care</w:t>
        </w:r>
      </w:hyperlink>
      <w:r w:rsidRPr="0A09F57F" w:rsidR="09F95D6F">
        <w:rPr>
          <w:rFonts w:ascii="Times New Roman" w:hAnsi="Times New Roman" w:eastAsia="Times New Roman" w:cs="Times New Roman"/>
          <w:noProof w:val="0"/>
          <w:sz w:val="24"/>
          <w:szCs w:val="24"/>
          <w:lang w:val="en-US"/>
        </w:rPr>
        <w:t>.</w:t>
      </w:r>
    </w:p>
    <w:p w:rsidR="09F95D6F" w:rsidP="0A09F57F" w:rsidRDefault="09F95D6F" w14:paraId="6524E492" w14:textId="4B33530B">
      <w:pPr>
        <w:spacing w:before="0" w:beforeAutospacing="off" w:after="240" w:afterAutospacing="off" w:line="360" w:lineRule="auto"/>
      </w:pPr>
      <w:r w:rsidRPr="0A09F57F" w:rsidR="09F95D6F">
        <w:rPr>
          <w:rFonts w:ascii="Times New Roman" w:hAnsi="Times New Roman" w:eastAsia="Times New Roman" w:cs="Times New Roman"/>
          <w:noProof w:val="0"/>
          <w:sz w:val="24"/>
          <w:szCs w:val="24"/>
          <w:lang w:val="en-US"/>
        </w:rPr>
        <w:t xml:space="preserve">Care Quality Commission (2022). </w:t>
      </w:r>
      <w:r w:rsidRPr="0A09F57F" w:rsidR="09F95D6F">
        <w:rPr>
          <w:rFonts w:ascii="Times New Roman" w:hAnsi="Times New Roman" w:eastAsia="Times New Roman" w:cs="Times New Roman"/>
          <w:i w:val="1"/>
          <w:iCs w:val="1"/>
          <w:noProof w:val="0"/>
          <w:sz w:val="24"/>
          <w:szCs w:val="24"/>
          <w:lang w:val="en-US"/>
        </w:rPr>
        <w:t>Patient-centred Care - Care Quality Commission</w:t>
      </w:r>
      <w:r w:rsidRPr="0A09F57F" w:rsidR="09F95D6F">
        <w:rPr>
          <w:rFonts w:ascii="Times New Roman" w:hAnsi="Times New Roman" w:eastAsia="Times New Roman" w:cs="Times New Roman"/>
          <w:noProof w:val="0"/>
          <w:sz w:val="24"/>
          <w:szCs w:val="24"/>
          <w:lang w:val="en-US"/>
        </w:rPr>
        <w:t xml:space="preserve">. [online] </w:t>
      </w:r>
      <w:hyperlink r:id="R7d5838574dfa4458">
        <w:r w:rsidRPr="0A09F57F" w:rsidR="09F95D6F">
          <w:rPr>
            <w:rStyle w:val="Hyperlink"/>
            <w:rFonts w:ascii="Times New Roman" w:hAnsi="Times New Roman" w:eastAsia="Times New Roman" w:cs="Times New Roman"/>
            <w:noProof w:val="0"/>
            <w:sz w:val="24"/>
            <w:szCs w:val="24"/>
            <w:lang w:val="en-US"/>
          </w:rPr>
          <w:t>www.cqc.org.uk</w:t>
        </w:r>
      </w:hyperlink>
      <w:r w:rsidRPr="0A09F57F" w:rsidR="09F95D6F">
        <w:rPr>
          <w:rFonts w:ascii="Times New Roman" w:hAnsi="Times New Roman" w:eastAsia="Times New Roman" w:cs="Times New Roman"/>
          <w:noProof w:val="0"/>
          <w:sz w:val="24"/>
          <w:szCs w:val="24"/>
          <w:lang w:val="en-US"/>
        </w:rPr>
        <w:t xml:space="preserve">. Available at: </w:t>
      </w:r>
      <w:hyperlink r:id="Rce5813d42a194a15">
        <w:r w:rsidRPr="0A09F57F" w:rsidR="09F95D6F">
          <w:rPr>
            <w:rStyle w:val="Hyperlink"/>
            <w:rFonts w:ascii="Times New Roman" w:hAnsi="Times New Roman" w:eastAsia="Times New Roman" w:cs="Times New Roman"/>
            <w:noProof w:val="0"/>
            <w:sz w:val="24"/>
            <w:szCs w:val="24"/>
            <w:lang w:val="en-US"/>
          </w:rPr>
          <w:t>https://www.cqc.org.uk/publications/monitoring-mental-health-act/2021-2022/patient-centred-care</w:t>
        </w:r>
      </w:hyperlink>
      <w:r w:rsidRPr="0A09F57F" w:rsidR="09F95D6F">
        <w:rPr>
          <w:rFonts w:ascii="Times New Roman" w:hAnsi="Times New Roman" w:eastAsia="Times New Roman" w:cs="Times New Roman"/>
          <w:noProof w:val="0"/>
          <w:sz w:val="24"/>
          <w:szCs w:val="24"/>
          <w:lang w:val="en-US"/>
        </w:rPr>
        <w:t>.</w:t>
      </w:r>
    </w:p>
    <w:p w:rsidR="09F95D6F" w:rsidP="0A09F57F" w:rsidRDefault="09F95D6F" w14:paraId="74543C13" w14:textId="74F73DB3">
      <w:pPr>
        <w:spacing w:before="0" w:beforeAutospacing="off" w:after="240" w:afterAutospacing="off" w:line="360" w:lineRule="auto"/>
      </w:pPr>
      <w:r w:rsidRPr="0A09F57F" w:rsidR="09F95D6F">
        <w:rPr>
          <w:rFonts w:ascii="Times New Roman" w:hAnsi="Times New Roman" w:eastAsia="Times New Roman" w:cs="Times New Roman"/>
          <w:noProof w:val="0"/>
          <w:sz w:val="24"/>
          <w:szCs w:val="24"/>
          <w:lang w:val="en-US"/>
        </w:rPr>
        <w:t xml:space="preserve">Chase, P. (2020). </w:t>
      </w:r>
      <w:r w:rsidRPr="0A09F57F" w:rsidR="09F95D6F">
        <w:rPr>
          <w:rFonts w:ascii="Times New Roman" w:hAnsi="Times New Roman" w:eastAsia="Times New Roman" w:cs="Times New Roman"/>
          <w:i w:val="1"/>
          <w:iCs w:val="1"/>
          <w:noProof w:val="0"/>
          <w:sz w:val="24"/>
          <w:szCs w:val="24"/>
          <w:lang w:val="en-US"/>
        </w:rPr>
        <w:t>What are the benefits and importance of person-centred care?</w:t>
      </w:r>
      <w:r w:rsidRPr="0A09F57F" w:rsidR="09F95D6F">
        <w:rPr>
          <w:rFonts w:ascii="Times New Roman" w:hAnsi="Times New Roman" w:eastAsia="Times New Roman" w:cs="Times New Roman"/>
          <w:noProof w:val="0"/>
          <w:sz w:val="24"/>
          <w:szCs w:val="24"/>
          <w:lang w:val="en-US"/>
        </w:rPr>
        <w:t xml:space="preserve"> [online] Nurses Group Homecare. Available at: </w:t>
      </w:r>
      <w:hyperlink r:id="R9d4eff12e5324e22">
        <w:r w:rsidRPr="0A09F57F" w:rsidR="09F95D6F">
          <w:rPr>
            <w:rStyle w:val="Hyperlink"/>
            <w:rFonts w:ascii="Times New Roman" w:hAnsi="Times New Roman" w:eastAsia="Times New Roman" w:cs="Times New Roman"/>
            <w:noProof w:val="0"/>
            <w:sz w:val="24"/>
            <w:szCs w:val="24"/>
            <w:lang w:val="en-US"/>
          </w:rPr>
          <w:t>https://nursesgrouphomecare.co.uk/person-centred-care-importance</w:t>
        </w:r>
      </w:hyperlink>
      <w:r w:rsidRPr="0A09F57F" w:rsidR="09F95D6F">
        <w:rPr>
          <w:rFonts w:ascii="Times New Roman" w:hAnsi="Times New Roman" w:eastAsia="Times New Roman" w:cs="Times New Roman"/>
          <w:noProof w:val="0"/>
          <w:sz w:val="24"/>
          <w:szCs w:val="24"/>
          <w:lang w:val="en-US"/>
        </w:rPr>
        <w:t>.</w:t>
      </w:r>
    </w:p>
    <w:p w:rsidR="09F95D6F" w:rsidP="0A09F57F" w:rsidRDefault="09F95D6F" w14:paraId="38348167" w14:textId="502B030A">
      <w:pPr>
        <w:spacing w:before="0" w:beforeAutospacing="off" w:after="240" w:afterAutospacing="off" w:line="360" w:lineRule="auto"/>
      </w:pPr>
      <w:r w:rsidRPr="0A09F57F" w:rsidR="09F95D6F">
        <w:rPr>
          <w:rFonts w:ascii="Times New Roman" w:hAnsi="Times New Roman" w:eastAsia="Times New Roman" w:cs="Times New Roman"/>
          <w:noProof w:val="0"/>
          <w:sz w:val="24"/>
          <w:szCs w:val="24"/>
          <w:lang w:val="en-US"/>
        </w:rPr>
        <w:t xml:space="preserve">Moore, L., Britten, N., Lydahl, D., Naldemirci, Ö., Elam, M. and Wolf, A. (2017). Barriers and Facilitators to the Implementation of person-centred Care in Different Healthcare Contexts. </w:t>
      </w:r>
      <w:r w:rsidRPr="0A09F57F" w:rsidR="09F95D6F">
        <w:rPr>
          <w:rFonts w:ascii="Times New Roman" w:hAnsi="Times New Roman" w:eastAsia="Times New Roman" w:cs="Times New Roman"/>
          <w:i w:val="1"/>
          <w:iCs w:val="1"/>
          <w:noProof w:val="0"/>
          <w:sz w:val="24"/>
          <w:szCs w:val="24"/>
          <w:lang w:val="en-US"/>
        </w:rPr>
        <w:t>Scandinavian Journal of Caring Sciences</w:t>
      </w:r>
      <w:r w:rsidRPr="0A09F57F" w:rsidR="09F95D6F">
        <w:rPr>
          <w:rFonts w:ascii="Times New Roman" w:hAnsi="Times New Roman" w:eastAsia="Times New Roman" w:cs="Times New Roman"/>
          <w:noProof w:val="0"/>
          <w:sz w:val="24"/>
          <w:szCs w:val="24"/>
          <w:lang w:val="en-US"/>
        </w:rPr>
        <w:t>, 31(4), pp.662–673. doi:https://doi.org/10.1111/scs.12376.</w:t>
      </w:r>
    </w:p>
    <w:p w:rsidR="09F95D6F" w:rsidP="0A09F57F" w:rsidRDefault="09F95D6F" w14:paraId="1F7EA026" w14:textId="5E1E9316">
      <w:pPr>
        <w:spacing w:before="0" w:beforeAutospacing="off" w:after="240" w:afterAutospacing="off" w:line="360" w:lineRule="auto"/>
      </w:pPr>
      <w:r w:rsidRPr="0A09F57F" w:rsidR="09F95D6F">
        <w:rPr>
          <w:rFonts w:ascii="Times New Roman" w:hAnsi="Times New Roman" w:eastAsia="Times New Roman" w:cs="Times New Roman"/>
          <w:noProof w:val="0"/>
          <w:sz w:val="24"/>
          <w:szCs w:val="24"/>
          <w:lang w:val="en-US"/>
        </w:rPr>
        <w:t xml:space="preserve">NHS England (2023). </w:t>
      </w:r>
      <w:r w:rsidRPr="0A09F57F" w:rsidR="09F95D6F">
        <w:rPr>
          <w:rFonts w:ascii="Times New Roman" w:hAnsi="Times New Roman" w:eastAsia="Times New Roman" w:cs="Times New Roman"/>
          <w:i w:val="1"/>
          <w:iCs w:val="1"/>
          <w:noProof w:val="0"/>
          <w:sz w:val="24"/>
          <w:szCs w:val="24"/>
          <w:lang w:val="en-US"/>
        </w:rPr>
        <w:t>Working in Partnership with People and communities: Statutory Guidance</w:t>
      </w:r>
      <w:r w:rsidRPr="0A09F57F" w:rsidR="09F95D6F">
        <w:rPr>
          <w:rFonts w:ascii="Times New Roman" w:hAnsi="Times New Roman" w:eastAsia="Times New Roman" w:cs="Times New Roman"/>
          <w:noProof w:val="0"/>
          <w:sz w:val="24"/>
          <w:szCs w:val="24"/>
          <w:lang w:val="en-US"/>
        </w:rPr>
        <w:t xml:space="preserve">. [online] NHS England. Available at: </w:t>
      </w:r>
      <w:hyperlink r:id="Re5462022680d4433">
        <w:r w:rsidRPr="0A09F57F" w:rsidR="09F95D6F">
          <w:rPr>
            <w:rStyle w:val="Hyperlink"/>
            <w:rFonts w:ascii="Times New Roman" w:hAnsi="Times New Roman" w:eastAsia="Times New Roman" w:cs="Times New Roman"/>
            <w:noProof w:val="0"/>
            <w:sz w:val="24"/>
            <w:szCs w:val="24"/>
            <w:lang w:val="en-US"/>
          </w:rPr>
          <w:t>https://www.england.nhs.uk/long-read/working-in-partnership-with-people-and-communities-statutory-guidance/</w:t>
        </w:r>
      </w:hyperlink>
      <w:r w:rsidRPr="0A09F57F" w:rsidR="09F95D6F">
        <w:rPr>
          <w:rFonts w:ascii="Times New Roman" w:hAnsi="Times New Roman" w:eastAsia="Times New Roman" w:cs="Times New Roman"/>
          <w:noProof w:val="0"/>
          <w:sz w:val="24"/>
          <w:szCs w:val="24"/>
          <w:lang w:val="en-US"/>
        </w:rPr>
        <w:t>.</w:t>
      </w:r>
    </w:p>
    <w:p w:rsidR="09F95D6F" w:rsidP="0A09F57F" w:rsidRDefault="09F95D6F" w14:paraId="6E24E14A" w14:textId="5E25F8FB">
      <w:pPr>
        <w:spacing w:before="0" w:beforeAutospacing="off" w:after="240" w:afterAutospacing="off" w:line="360" w:lineRule="auto"/>
      </w:pPr>
      <w:r w:rsidRPr="0A09F57F" w:rsidR="09F95D6F">
        <w:rPr>
          <w:rFonts w:ascii="Times New Roman" w:hAnsi="Times New Roman" w:eastAsia="Times New Roman" w:cs="Times New Roman"/>
          <w:noProof w:val="0"/>
          <w:sz w:val="24"/>
          <w:szCs w:val="24"/>
          <w:lang w:val="en-US"/>
        </w:rPr>
        <w:t xml:space="preserve">Voss, R.M. and Das, J.M. (2024). </w:t>
      </w:r>
      <w:r w:rsidRPr="0A09F57F" w:rsidR="09F95D6F">
        <w:rPr>
          <w:rFonts w:ascii="Times New Roman" w:hAnsi="Times New Roman" w:eastAsia="Times New Roman" w:cs="Times New Roman"/>
          <w:i w:val="1"/>
          <w:iCs w:val="1"/>
          <w:noProof w:val="0"/>
          <w:sz w:val="24"/>
          <w:szCs w:val="24"/>
          <w:lang w:val="en-US"/>
        </w:rPr>
        <w:t>Mental Status Examination</w:t>
      </w:r>
      <w:r w:rsidRPr="0A09F57F" w:rsidR="09F95D6F">
        <w:rPr>
          <w:rFonts w:ascii="Times New Roman" w:hAnsi="Times New Roman" w:eastAsia="Times New Roman" w:cs="Times New Roman"/>
          <w:noProof w:val="0"/>
          <w:sz w:val="24"/>
          <w:szCs w:val="24"/>
          <w:lang w:val="en-US"/>
        </w:rPr>
        <w:t xml:space="preserve">. [online] National Library of Medicine. Available at: </w:t>
      </w:r>
      <w:hyperlink r:id="Ra7b5881a74ed4b77">
        <w:r w:rsidRPr="0A09F57F" w:rsidR="09F95D6F">
          <w:rPr>
            <w:rStyle w:val="Hyperlink"/>
            <w:rFonts w:ascii="Times New Roman" w:hAnsi="Times New Roman" w:eastAsia="Times New Roman" w:cs="Times New Roman"/>
            <w:noProof w:val="0"/>
            <w:sz w:val="24"/>
            <w:szCs w:val="24"/>
            <w:lang w:val="en-US"/>
          </w:rPr>
          <w:t>https://www.ncbi.nlm.nih.gov/books/NBK546682/</w:t>
        </w:r>
      </w:hyperlink>
      <w:r w:rsidRPr="0A09F57F" w:rsidR="09F95D6F">
        <w:rPr>
          <w:rFonts w:ascii="Times New Roman" w:hAnsi="Times New Roman" w:eastAsia="Times New Roman" w:cs="Times New Roman"/>
          <w:noProof w:val="0"/>
          <w:sz w:val="24"/>
          <w:szCs w:val="24"/>
          <w:lang w:val="en-US"/>
        </w:rPr>
        <w:t>.</w:t>
      </w:r>
    </w:p>
    <w:p w:rsidR="0A09F57F" w:rsidP="0A09F57F" w:rsidRDefault="0A09F57F" w14:paraId="533404CC" w14:textId="38834E27">
      <w:pPr>
        <w:pStyle w:val="Normal"/>
        <w:ind w:left="0"/>
        <w:rPr>
          <w:sz w:val="24"/>
          <w:szCs w:val="24"/>
        </w:rPr>
      </w:pPr>
    </w:p>
    <w:p w:rsidR="0A09F57F" w:rsidP="0A09F57F" w:rsidRDefault="0A09F57F" w14:paraId="7742D891" w14:textId="05FCDDC4">
      <w:pPr>
        <w:pStyle w:val="ListParagraph"/>
        <w:ind w:left="720"/>
        <w:rPr>
          <w:sz w:val="24"/>
          <w:szCs w:val="24"/>
        </w:rPr>
      </w:pPr>
    </w:p>
    <w:p w:rsidR="0A09F57F" w:rsidP="0A09F57F" w:rsidRDefault="0A09F57F" w14:paraId="2CD8EBDA" w14:textId="5BF3A193">
      <w:pPr>
        <w:pStyle w:val="ListParagraph"/>
        <w:ind w:left="720"/>
        <w:rPr>
          <w:sz w:val="24"/>
          <w:szCs w:val="24"/>
        </w:rPr>
      </w:pPr>
    </w:p>
    <w:p w:rsidR="0A09F57F" w:rsidP="0A09F57F" w:rsidRDefault="0A09F57F" w14:paraId="14D69518" w14:textId="5E633C27">
      <w:pPr>
        <w:pStyle w:val="ListParagraph"/>
        <w:ind w:left="720"/>
        <w:rPr>
          <w:sz w:val="24"/>
          <w:szCs w:val="24"/>
        </w:rPr>
      </w:pPr>
    </w:p>
    <w:p w:rsidR="0A09F57F" w:rsidP="0A09F57F" w:rsidRDefault="0A09F57F" w14:paraId="43F8DBF4" w14:textId="5791FEC3">
      <w:pPr>
        <w:pStyle w:val="ListParagraph"/>
        <w:ind w:left="720"/>
        <w:rPr>
          <w:sz w:val="24"/>
          <w:szCs w:val="24"/>
        </w:rPr>
      </w:pPr>
    </w:p>
    <w:p w:rsidR="0A09F57F" w:rsidP="0A09F57F" w:rsidRDefault="0A09F57F" w14:paraId="5400A22A" w14:textId="12F8E0F9">
      <w:pPr>
        <w:pStyle w:val="ListParagraph"/>
        <w:ind w:left="720"/>
        <w:rPr>
          <w:sz w:val="24"/>
          <w:szCs w:val="24"/>
        </w:rPr>
      </w:pPr>
    </w:p>
    <w:p w:rsidR="0A09F57F" w:rsidP="0A09F57F" w:rsidRDefault="0A09F57F" w14:paraId="1EC7E7BC" w14:textId="6BECFB59">
      <w:pPr>
        <w:pStyle w:val="ListParagraph"/>
        <w:ind w:left="720"/>
        <w:rPr>
          <w:sz w:val="24"/>
          <w:szCs w:val="24"/>
        </w:rPr>
      </w:pPr>
    </w:p>
    <w:p w:rsidR="0A09F57F" w:rsidP="0A09F57F" w:rsidRDefault="0A09F57F" w14:paraId="3590034F" w14:textId="4EACAF21">
      <w:pPr>
        <w:pStyle w:val="ListParagraph"/>
        <w:ind w:left="720"/>
        <w:rPr>
          <w:sz w:val="24"/>
          <w:szCs w:val="24"/>
        </w:rPr>
      </w:pPr>
    </w:p>
    <w:p w:rsidR="0A09F57F" w:rsidP="0A09F57F" w:rsidRDefault="0A09F57F" w14:paraId="4F0FD318" w14:textId="2609B3E4">
      <w:pPr>
        <w:pStyle w:val="ListParagraph"/>
        <w:ind w:left="720"/>
        <w:rPr>
          <w:sz w:val="24"/>
          <w:szCs w:val="24"/>
        </w:rPr>
      </w:pPr>
    </w:p>
    <w:p w:rsidR="0A09F57F" w:rsidP="0A09F57F" w:rsidRDefault="0A09F57F" w14:paraId="5E1FBA9F" w14:textId="5898C980">
      <w:pPr>
        <w:pStyle w:val="Normal"/>
        <w:ind w:left="0"/>
        <w:rPr>
          <w:sz w:val="24"/>
          <w:szCs w:val="24"/>
        </w:rPr>
      </w:pPr>
    </w:p>
    <w:p w:rsidR="0A09F57F" w:rsidP="0A09F57F" w:rsidRDefault="0A09F57F" w14:paraId="54602167" w14:textId="021F3B32">
      <w:pPr>
        <w:pStyle w:val="ListParagraph"/>
        <w:ind w:left="720"/>
        <w:rPr>
          <w:sz w:val="24"/>
          <w:szCs w:val="24"/>
        </w:rPr>
      </w:pPr>
    </w:p>
    <w:p w:rsidR="0A09F57F" w:rsidP="0A09F57F" w:rsidRDefault="0A09F57F" w14:paraId="509B9D57" w14:textId="74C26D14">
      <w:pPr>
        <w:pStyle w:val="ListParagraph"/>
        <w:ind w:left="720"/>
        <w:rPr>
          <w:sz w:val="24"/>
          <w:szCs w:val="24"/>
        </w:rPr>
      </w:pPr>
    </w:p>
    <w:p w:rsidR="0A09F57F" w:rsidP="0A09F57F" w:rsidRDefault="0A09F57F" w14:paraId="08EF6358" w14:textId="4A63DB95">
      <w:pPr>
        <w:pStyle w:val="ListParagraph"/>
        <w:ind w:left="720"/>
        <w:rPr>
          <w:sz w:val="24"/>
          <w:szCs w:val="24"/>
        </w:rPr>
      </w:pPr>
    </w:p>
    <w:p w:rsidR="0A09F57F" w:rsidP="0A09F57F" w:rsidRDefault="0A09F57F" w14:paraId="7392DEF1" w14:textId="5950F56F">
      <w:pPr>
        <w:pStyle w:val="ListParagraph"/>
        <w:ind w:left="720"/>
        <w:rPr>
          <w:sz w:val="24"/>
          <w:szCs w:val="24"/>
        </w:rPr>
      </w:pPr>
    </w:p>
    <w:p w:rsidR="0A09F57F" w:rsidP="0A09F57F" w:rsidRDefault="0A09F57F" w14:paraId="2350FDC9" w14:textId="06D5B8E2">
      <w:pPr>
        <w:pStyle w:val="ListParagraph"/>
        <w:ind w:left="720"/>
        <w:rPr>
          <w:sz w:val="24"/>
          <w:szCs w:val="24"/>
        </w:rPr>
      </w:pPr>
    </w:p>
    <w:p w:rsidR="0A09F57F" w:rsidP="0A09F57F" w:rsidRDefault="0A09F57F" w14:paraId="7BC22135" w14:textId="7EE327B1">
      <w:pPr>
        <w:pStyle w:val="ListParagraph"/>
        <w:ind w:left="720"/>
        <w:rPr>
          <w:sz w:val="24"/>
          <w:szCs w:val="24"/>
        </w:rPr>
      </w:pPr>
    </w:p>
    <w:p w:rsidR="0A09F57F" w:rsidP="0A09F57F" w:rsidRDefault="0A09F57F" w14:paraId="3F9D0DE5" w14:textId="238736B0">
      <w:pPr>
        <w:pStyle w:val="ListParagraph"/>
        <w:ind w:left="720"/>
        <w:rPr>
          <w:sz w:val="24"/>
          <w:szCs w:val="24"/>
        </w:rPr>
      </w:pPr>
    </w:p>
    <w:p w:rsidR="0A09F57F" w:rsidP="0A09F57F" w:rsidRDefault="0A09F57F" w14:paraId="0351AB9B" w14:textId="259E772C">
      <w:pPr>
        <w:pStyle w:val="ListParagraph"/>
        <w:ind w:left="720"/>
        <w:rPr>
          <w:sz w:val="24"/>
          <w:szCs w:val="24"/>
        </w:rPr>
      </w:pPr>
    </w:p>
    <w:p w:rsidR="0A09F57F" w:rsidP="0A09F57F" w:rsidRDefault="0A09F57F" w14:paraId="24C5E599" w14:textId="787DB886">
      <w:pPr>
        <w:pStyle w:val="ListParagraph"/>
        <w:ind w:left="720"/>
        <w:rPr>
          <w:sz w:val="24"/>
          <w:szCs w:val="24"/>
        </w:rPr>
      </w:pPr>
    </w:p>
    <w:p w:rsidR="0A09F57F" w:rsidP="0A09F57F" w:rsidRDefault="0A09F57F" w14:paraId="1A76438B" w14:textId="4C8175A1">
      <w:pPr>
        <w:pStyle w:val="ListParagraph"/>
        <w:ind w:left="720"/>
        <w:rPr>
          <w:sz w:val="24"/>
          <w:szCs w:val="24"/>
        </w:rPr>
      </w:pPr>
    </w:p>
    <w:p w:rsidR="0A09F57F" w:rsidP="0A09F57F" w:rsidRDefault="0A09F57F" w14:paraId="1F797EF6" w14:textId="0E4B06C4">
      <w:pPr>
        <w:pStyle w:val="ListParagraph"/>
        <w:ind w:left="720"/>
        <w:rPr>
          <w:sz w:val="24"/>
          <w:szCs w:val="24"/>
        </w:rPr>
      </w:pPr>
    </w:p>
    <w:p w:rsidR="0A09F57F" w:rsidP="0A09F57F" w:rsidRDefault="0A09F57F" w14:paraId="25C98759" w14:textId="72116D91">
      <w:pPr>
        <w:pStyle w:val="ListParagraph"/>
        <w:ind w:left="720"/>
        <w:rPr>
          <w:sz w:val="24"/>
          <w:szCs w:val="24"/>
        </w:rPr>
      </w:pPr>
    </w:p>
    <w:sectPr>
      <w:pgSz w:w="12240" w:h="15840" w:orient="portrait"/>
      <w:pgMar w:top="1440" w:right="1440" w:bottom="1440" w:left="1440" w:header="720" w:footer="720" w:gutter="0"/>
      <w:cols w:space="720"/>
      <w:docGrid w:linePitch="360"/>
      <w:headerReference w:type="default" r:id="Refd571aabc834238"/>
      <w:footerReference w:type="default" r:id="Ra9677840708547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A09F57F" w:rsidTr="0A09F57F" w14:paraId="5C8ABF70">
      <w:trPr>
        <w:trHeight w:val="300"/>
      </w:trPr>
      <w:tc>
        <w:tcPr>
          <w:tcW w:w="3120" w:type="dxa"/>
          <w:tcMar/>
        </w:tcPr>
        <w:p w:rsidR="0A09F57F" w:rsidP="0A09F57F" w:rsidRDefault="0A09F57F" w14:paraId="4D4E1467" w14:textId="5473528B">
          <w:pPr>
            <w:pStyle w:val="Header"/>
            <w:bidi w:val="0"/>
            <w:ind w:left="-115"/>
            <w:jc w:val="left"/>
          </w:pPr>
        </w:p>
      </w:tc>
      <w:tc>
        <w:tcPr>
          <w:tcW w:w="3120" w:type="dxa"/>
          <w:tcMar/>
        </w:tcPr>
        <w:p w:rsidR="0A09F57F" w:rsidP="0A09F57F" w:rsidRDefault="0A09F57F" w14:paraId="2735B4E1" w14:textId="0B8FA25F">
          <w:pPr>
            <w:pStyle w:val="Header"/>
            <w:bidi w:val="0"/>
            <w:jc w:val="center"/>
          </w:pPr>
        </w:p>
      </w:tc>
      <w:tc>
        <w:tcPr>
          <w:tcW w:w="3120" w:type="dxa"/>
          <w:tcMar/>
        </w:tcPr>
        <w:p w:rsidR="0A09F57F" w:rsidP="0A09F57F" w:rsidRDefault="0A09F57F" w14:paraId="032A889B" w14:textId="128B9EA9">
          <w:pPr>
            <w:pStyle w:val="Header"/>
            <w:bidi w:val="0"/>
            <w:ind w:right="-115"/>
            <w:jc w:val="right"/>
          </w:pPr>
        </w:p>
      </w:tc>
    </w:tr>
  </w:tbl>
  <w:p w:rsidR="0A09F57F" w:rsidP="0A09F57F" w:rsidRDefault="0A09F57F" w14:paraId="4134AC8B" w14:textId="2CF195F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A09F57F" w:rsidTr="0A09F57F" w14:paraId="158E40D7">
      <w:trPr>
        <w:trHeight w:val="300"/>
      </w:trPr>
      <w:tc>
        <w:tcPr>
          <w:tcW w:w="3120" w:type="dxa"/>
          <w:tcMar/>
        </w:tcPr>
        <w:p w:rsidR="0A09F57F" w:rsidP="0A09F57F" w:rsidRDefault="0A09F57F" w14:paraId="05F84581" w14:textId="730AAFC7">
          <w:pPr>
            <w:pStyle w:val="Header"/>
            <w:bidi w:val="0"/>
            <w:ind w:left="-115"/>
            <w:jc w:val="left"/>
          </w:pPr>
        </w:p>
      </w:tc>
      <w:tc>
        <w:tcPr>
          <w:tcW w:w="3120" w:type="dxa"/>
          <w:tcMar/>
        </w:tcPr>
        <w:p w:rsidR="0A09F57F" w:rsidP="0A09F57F" w:rsidRDefault="0A09F57F" w14:paraId="5702D0A5" w14:textId="31CBCB21">
          <w:pPr>
            <w:pStyle w:val="Header"/>
            <w:bidi w:val="0"/>
            <w:jc w:val="center"/>
          </w:pPr>
        </w:p>
      </w:tc>
      <w:tc>
        <w:tcPr>
          <w:tcW w:w="3120" w:type="dxa"/>
          <w:tcMar/>
        </w:tcPr>
        <w:p w:rsidR="0A09F57F" w:rsidP="0A09F57F" w:rsidRDefault="0A09F57F" w14:paraId="6EE7BACA" w14:textId="328711AF">
          <w:pPr>
            <w:pStyle w:val="Header"/>
            <w:bidi w:val="0"/>
            <w:ind w:right="-115"/>
            <w:jc w:val="right"/>
          </w:pPr>
        </w:p>
      </w:tc>
    </w:tr>
  </w:tbl>
  <w:p w:rsidR="0A09F57F" w:rsidP="0A09F57F" w:rsidRDefault="0A09F57F" w14:paraId="1AB353D4" w14:textId="4697333C">
    <w:pPr>
      <w:pStyle w:val="Header"/>
      <w:bidi w:val="0"/>
    </w:pPr>
  </w:p>
</w:hdr>
</file>

<file path=word/numbering.xml><?xml version="1.0" encoding="utf-8"?>
<w:numbering xmlns:w="http://schemas.openxmlformats.org/wordprocessingml/2006/main">
  <w:abstractNum xmlns:w="http://schemas.openxmlformats.org/wordprocessingml/2006/main" w:abstractNumId="8">
    <w:nsid w:val="7a66a3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b5dd9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286c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181d7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4ee5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9e353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e204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85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FC69A5"/>
    <w:rsid w:val="0148422F"/>
    <w:rsid w:val="0393BE16"/>
    <w:rsid w:val="04DC0CB3"/>
    <w:rsid w:val="09F95D6F"/>
    <w:rsid w:val="0A09F57F"/>
    <w:rsid w:val="0BA3CAD6"/>
    <w:rsid w:val="0C43EBF8"/>
    <w:rsid w:val="0FFC69A5"/>
    <w:rsid w:val="170B4EEA"/>
    <w:rsid w:val="17CDAE6E"/>
    <w:rsid w:val="1C1FF9CE"/>
    <w:rsid w:val="27167762"/>
    <w:rsid w:val="28F4AC6D"/>
    <w:rsid w:val="29123D19"/>
    <w:rsid w:val="2A1A5374"/>
    <w:rsid w:val="2DB10638"/>
    <w:rsid w:val="2DC5CE20"/>
    <w:rsid w:val="2F26CF37"/>
    <w:rsid w:val="2F69471E"/>
    <w:rsid w:val="2FC29371"/>
    <w:rsid w:val="31CAB425"/>
    <w:rsid w:val="31E84229"/>
    <w:rsid w:val="38314BB2"/>
    <w:rsid w:val="3899BBAC"/>
    <w:rsid w:val="3EAAEC39"/>
    <w:rsid w:val="415A1389"/>
    <w:rsid w:val="42E5415E"/>
    <w:rsid w:val="43A720CA"/>
    <w:rsid w:val="43DA9BD8"/>
    <w:rsid w:val="444E25DD"/>
    <w:rsid w:val="44E1F547"/>
    <w:rsid w:val="44E77CF8"/>
    <w:rsid w:val="4E48A5A6"/>
    <w:rsid w:val="508825AA"/>
    <w:rsid w:val="51E3A23D"/>
    <w:rsid w:val="5628208C"/>
    <w:rsid w:val="5A50C926"/>
    <w:rsid w:val="5B574367"/>
    <w:rsid w:val="5DEDD7FF"/>
    <w:rsid w:val="611EDF73"/>
    <w:rsid w:val="61A24966"/>
    <w:rsid w:val="61A6A62A"/>
    <w:rsid w:val="61AA3A10"/>
    <w:rsid w:val="66FFECA5"/>
    <w:rsid w:val="6BF09827"/>
    <w:rsid w:val="6E13203C"/>
    <w:rsid w:val="6F61DA71"/>
    <w:rsid w:val="741C5E86"/>
    <w:rsid w:val="7467F193"/>
    <w:rsid w:val="76EDC164"/>
    <w:rsid w:val="7A369A16"/>
    <w:rsid w:val="7C05D559"/>
    <w:rsid w:val="7DD56E20"/>
    <w:rsid w:val="7E0E1C32"/>
    <w:rsid w:val="7E470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C69A5"/>
  <w15:chartTrackingRefBased/>
  <w15:docId w15:val="{78CE121E-9016-4032-860F-1396469853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A09F57F"/>
    <w:pPr>
      <w:spacing/>
      <w:ind w:left="720"/>
      <w:contextualSpacing/>
    </w:pPr>
  </w:style>
  <w:style w:type="character" w:styleId="Hyperlink">
    <w:uiPriority w:val="99"/>
    <w:name w:val="Hyperlink"/>
    <w:basedOn w:val="DefaultParagraphFont"/>
    <w:unhideWhenUsed/>
    <w:rsid w:val="0A09F57F"/>
    <w:rPr>
      <w:color w:val="467886"/>
      <w:u w:val="single"/>
    </w:rPr>
  </w:style>
  <w:style w:type="paragraph" w:styleId="Header">
    <w:uiPriority w:val="99"/>
    <w:name w:val="header"/>
    <w:basedOn w:val="Normal"/>
    <w:unhideWhenUsed/>
    <w:rsid w:val="0A09F57F"/>
    <w:pPr>
      <w:tabs>
        <w:tab w:val="center" w:leader="none" w:pos="4680"/>
        <w:tab w:val="right" w:leader="none" w:pos="9360"/>
      </w:tabs>
      <w:spacing w:after="0" w:line="240" w:lineRule="auto"/>
    </w:pPr>
  </w:style>
  <w:style w:type="paragraph" w:styleId="Footer">
    <w:uiPriority w:val="99"/>
    <w:name w:val="footer"/>
    <w:basedOn w:val="Normal"/>
    <w:unhideWhenUsed/>
    <w:rsid w:val="0A09F57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pax.org.uk/article/ethical-principles-in-health-and-social-care" TargetMode="External" Id="R48af90a8223f4f60" /><Relationship Type="http://schemas.openxmlformats.org/officeDocument/2006/relationships/hyperlink" Target="https://www.cqc.org.uk" TargetMode="External" Id="R7d5838574dfa4458" /><Relationship Type="http://schemas.openxmlformats.org/officeDocument/2006/relationships/hyperlink" Target="https://www.cqc.org.uk/publications/monitoring-mental-health-act/2021-2022/patient-centred-care" TargetMode="External" Id="Rce5813d42a194a15" /><Relationship Type="http://schemas.openxmlformats.org/officeDocument/2006/relationships/hyperlink" Target="https://nursesgrouphomecare.co.uk/person-centred-care-importance" TargetMode="External" Id="R9d4eff12e5324e22" /><Relationship Type="http://schemas.openxmlformats.org/officeDocument/2006/relationships/hyperlink" Target="https://www.england.nhs.uk/long-read/working-in-partnership-with-people-and-communities-statutory-guidance/" TargetMode="External" Id="Re5462022680d4433" /><Relationship Type="http://schemas.openxmlformats.org/officeDocument/2006/relationships/hyperlink" Target="https://www.ncbi.nlm.nih.gov/books/NBK546682/" TargetMode="External" Id="Ra7b5881a74ed4b77" /><Relationship Type="http://schemas.openxmlformats.org/officeDocument/2006/relationships/header" Target="header.xml" Id="Refd571aabc834238" /><Relationship Type="http://schemas.openxmlformats.org/officeDocument/2006/relationships/footer" Target="footer.xml" Id="Ra967784070854755" /><Relationship Type="http://schemas.openxmlformats.org/officeDocument/2006/relationships/numbering" Target="numbering.xml" Id="Re4be165970dd429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2025-11-14T11:03:56.3575694Z</dcterms:created>
  <dcterms:modified xsi:type="dcterms:W3CDTF">2025-11-14T13:43:11.1700545Z</dcterms:modified>
  <dc:creator>Dominique Mussington (2328189)</dc:creator>
  <lastModifiedBy>Dominique Mussington (2328189)</lastModifiedBy>
</coreProperties>
</file>