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b w:val="1"/>
          <w:bCs w:val="1"/>
          <w:sz w:val="46"/>
          <w:szCs w:val="46"/>
        </w:rPr>
      </w:pPr>
      <w:bookmarkStart w:colFirst="0" w:colLast="0" w:name="_bvlbr42k8q9t" w:id="0"/>
      <w:bookmarkEnd w:id="0"/>
      <w:r w:rsidDel="00000000" w:rsidR="00000000" w:rsidRPr="00000000">
        <w:rPr>
          <w:b w:val="1"/>
          <w:bCs w:val="1"/>
          <w:sz w:val="46"/>
          <w:szCs w:val="46"/>
          <w:rtl w:val="0"/>
        </w:rPr>
        <w:t xml:space="preserve">Reflective Reviews of Five Theological Readings</w:t>
      </w:r>
    </w:p>
    <w:p w:rsidR="00000000" w:rsidDel="00000000" w:rsidP="00000000" w:rsidRDefault="00000000" w:rsidRPr="00000000" w14:paraId="00000002">
      <w:pPr>
        <w:pStyle w:val="Heading2"/>
        <w:keepNext w:val="0"/>
        <w:keepLines w:val="0"/>
        <w:spacing w:after="80" w:lineRule="auto"/>
        <w:rPr>
          <w:b w:val="1"/>
          <w:bCs w:val="1"/>
          <w:sz w:val="34"/>
          <w:szCs w:val="34"/>
        </w:rPr>
      </w:pPr>
      <w:bookmarkStart w:colFirst="0" w:colLast="0" w:name="_kcucc7ams5pq" w:id="1"/>
      <w:bookmarkEnd w:id="1"/>
      <w:r w:rsidDel="00000000" w:rsidR="00000000" w:rsidRPr="00000000">
        <w:rPr>
          <w:b w:val="1"/>
          <w:bCs w:val="1"/>
          <w:sz w:val="34"/>
          <w:szCs w:val="34"/>
          <w:rtl w:val="0"/>
        </w:rPr>
        <w:t xml:space="preserve">1. Genesis 1–2: Creation and Human Identity</w:t>
      </w:r>
    </w:p>
    <w:p w:rsidR="00000000" w:rsidDel="00000000" w:rsidP="00000000" w:rsidRDefault="00000000" w:rsidRPr="00000000" w14:paraId="00000003">
      <w:pPr>
        <w:spacing w:after="240" w:before="240" w:lineRule="auto"/>
        <w:rPr/>
      </w:pPr>
      <w:r w:rsidDel="00000000" w:rsidR="00000000" w:rsidRPr="00000000">
        <w:rPr>
          <w:rtl w:val="0"/>
        </w:rPr>
        <w:t xml:space="preserve">Genesis 1–2 provides an essential starting point for Christian theology because it establishes fundamental claims about God, the created world and human identity. The central theological argument of these chapters is that creation has its origin in God and therefore possesses order, purpose and value. Genesis 1 does not portray the universe as accidental or independent of God. Instead, God speaks and creation comes into being. The repeated declaration that what God has made is ‘good’ gives the material world a positive theological significance.¹ Creation is not something from which humanity must escape; it belongs to God and forms the setting in which human beings are called to live.</w:t>
      </w:r>
    </w:p>
    <w:p w:rsidR="00000000" w:rsidDel="00000000" w:rsidP="00000000" w:rsidRDefault="00000000" w:rsidRPr="00000000" w14:paraId="00000004">
      <w:pPr>
        <w:spacing w:after="240" w:before="240" w:lineRule="auto"/>
        <w:rPr/>
      </w:pPr>
      <w:r w:rsidDel="00000000" w:rsidR="00000000" w:rsidRPr="00000000">
        <w:rPr>
          <w:rtl w:val="0"/>
        </w:rPr>
        <w:t xml:space="preserve">Within this wider account, the creation of humanity in the ‘image of God’ is particularly significant.² Human beings belong to the created order, but they also occupy a distinctive position within it. The language of the divine image has been interpreted in several ways, including human rationality, relationship and the responsibility to represent God within creation. Whatever interpretation is preferred, the passage gives a strong basis for human dignity. Human worth does not depend primarily upon wealth, achievement, social position or usefulness. It is grounded in the relationship between humanity and its Creator.</w:t>
      </w:r>
    </w:p>
    <w:p w:rsidR="00000000" w:rsidDel="00000000" w:rsidP="00000000" w:rsidRDefault="00000000" w:rsidRPr="00000000" w14:paraId="00000005">
      <w:pPr>
        <w:spacing w:after="240" w:before="240" w:lineRule="auto"/>
        <w:rPr/>
      </w:pPr>
      <w:r w:rsidDel="00000000" w:rsidR="00000000" w:rsidRPr="00000000">
        <w:rPr>
          <w:rtl w:val="0"/>
        </w:rPr>
        <w:t xml:space="preserve">The command for humanity to exercise dominion also introduces the question of responsibility. Read superficially, dominion could be taken to justify unlimited human control over the natural world. Yet such an interpretation becomes difficult when the earth is first understood as God’s creation rather than humanity’s possession. Human authority is therefore better understood as stewardship: people exercise responsibility within a world whose ultimate owner is God. This has obvious relevance to contemporary theological discussion about environmental responsibility. Ecological concerns are not necessarily separate from Christian doctrine; they can emerge directly from a theology of creation.</w:t>
      </w:r>
    </w:p>
    <w:p w:rsidR="00000000" w:rsidDel="00000000" w:rsidP="00000000" w:rsidRDefault="00000000" w:rsidRPr="00000000" w14:paraId="00000006">
      <w:pPr>
        <w:spacing w:after="240" w:before="240" w:lineRule="auto"/>
        <w:rPr/>
      </w:pPr>
      <w:r w:rsidDel="00000000" w:rsidR="00000000" w:rsidRPr="00000000">
        <w:rPr>
          <w:rtl w:val="0"/>
        </w:rPr>
        <w:t xml:space="preserve">Genesis 2 adds another dimension to this understanding of humanity. The human being is formed from the dust of the ground before receiving the breath of life from God.³ I find this image particularly powerful because it prevents either an exaggerated or diminished understanding of humanity. Humans are made from the earth and are therefore finite creatures. At the same time, their life is received from God. Dignity and dependence exist together. This challenges a modern tendency to treat independence as the highest expression of human freedom. Genesis presents dependence upon God not as a defect but as part of what it means to be created.</w:t>
      </w:r>
    </w:p>
    <w:p w:rsidR="00000000" w:rsidDel="00000000" w:rsidP="00000000" w:rsidRDefault="00000000" w:rsidRPr="00000000" w14:paraId="00000007">
      <w:pPr>
        <w:spacing w:after="240" w:before="240" w:lineRule="auto"/>
        <w:rPr/>
      </w:pPr>
      <w:r w:rsidDel="00000000" w:rsidR="00000000" w:rsidRPr="00000000">
        <w:rPr>
          <w:rtl w:val="0"/>
        </w:rPr>
        <w:t xml:space="preserve">Relationship also belongs to this picture. The declaration that it is ‘not good’ for the man to be alone is striking within a narrative that has repeatedly called creation good.⁴ Human isolation is the first condition explicitly described as ‘not good’. The passage therefore suggests that human identity cannot be understood entirely in individual terms. Human beings exist through relationships: with God, with one another and with the earth from which they are formed.</w:t>
      </w:r>
    </w:p>
    <w:p w:rsidR="00000000" w:rsidDel="00000000" w:rsidP="00000000" w:rsidRDefault="00000000" w:rsidRPr="00000000" w14:paraId="00000008">
      <w:pPr>
        <w:spacing w:after="240" w:before="240" w:lineRule="auto"/>
        <w:rPr/>
      </w:pPr>
      <w:r w:rsidDel="00000000" w:rsidR="00000000" w:rsidRPr="00000000">
        <w:rPr>
          <w:rtl w:val="0"/>
        </w:rPr>
        <w:t xml:space="preserve">Nevertheless, these chapters raise difficult interpretative questions. The most obvious concerns their relationship to modern scientific explanations of cosmic and human origins. Christians have responded in different ways, ranging from literal readings of the creation days to approaches that emphasise the theological and literary purposes of the text. I do not think the theological value of Genesis depends upon reading it as though it were written to answer modern scientific questions. Its deeper concerns are about why creation exists, to whom it belongs and what humanity’s place within it should be. Scientific explanations may describe processes of development, while Genesis addresses questions of theological meaning and dependence.</w:t>
      </w:r>
    </w:p>
    <w:p w:rsidR="00000000" w:rsidDel="00000000" w:rsidP="00000000" w:rsidRDefault="00000000" w:rsidRPr="00000000" w14:paraId="00000009">
      <w:pPr>
        <w:spacing w:after="240" w:before="240" w:lineRule="auto"/>
        <w:rPr/>
      </w:pPr>
      <w:r w:rsidDel="00000000" w:rsidR="00000000" w:rsidRPr="00000000">
        <w:rPr>
          <w:rtl w:val="0"/>
        </w:rPr>
        <w:t xml:space="preserve">Genesis 1–2 is therefore important because many later Christian doctrines depend upon its vision of creation. Salvation has greater meaning when one first understands what is being saved and restored. Human sin becomes more intelligible against the background of a creation originally declared good. Christian ethics likewise begins with the recognition that other people and the wider world are not merely objects for individual use. Most importantly, these chapters place humanity within a larger theological story. Human beings possess extraordinary dignity, but they remain creatures rather than the Creator. That distinction provides a foundation for Christian thinking about God, humanity and the world.</w:t>
      </w:r>
    </w:p>
    <w:p w:rsidR="00000000" w:rsidDel="00000000" w:rsidP="00000000" w:rsidRDefault="00000000" w:rsidRPr="00000000" w14:paraId="0000000A">
      <w:pPr>
        <w:pStyle w:val="Heading2"/>
        <w:keepNext w:val="0"/>
        <w:keepLines w:val="0"/>
        <w:spacing w:after="80" w:lineRule="auto"/>
        <w:rPr>
          <w:b w:val="1"/>
          <w:bCs w:val="1"/>
          <w:sz w:val="58"/>
          <w:szCs w:val="58"/>
        </w:rPr>
      </w:pPr>
      <w:bookmarkStart w:colFirst="0" w:colLast="0" w:name="_8bn85olffbno" w:id="2"/>
      <w:bookmarkEnd w:id="2"/>
      <w:r w:rsidDel="00000000" w:rsidR="00000000" w:rsidRPr="00000000">
        <w:rPr>
          <w:b w:val="1"/>
          <w:bCs w:val="1"/>
          <w:sz w:val="58"/>
          <w:szCs w:val="58"/>
          <w:rtl w:val="0"/>
        </w:rPr>
        <w:t xml:space="preserve">2. Irenaeus,</w:t>
      </w:r>
    </w:p>
    <w:p w:rsidR="00000000" w:rsidDel="00000000" w:rsidP="00000000" w:rsidRDefault="00000000" w:rsidRPr="00000000" w14:paraId="0000000B">
      <w:pPr>
        <w:pStyle w:val="Heading2"/>
        <w:keepNext w:val="0"/>
        <w:keepLines w:val="0"/>
        <w:spacing w:after="80" w:lineRule="auto"/>
        <w:rPr>
          <w:b w:val="1"/>
          <w:bCs w:val="1"/>
          <w:sz w:val="46"/>
          <w:szCs w:val="46"/>
        </w:rPr>
      </w:pPr>
      <w:bookmarkStart w:colFirst="0" w:colLast="0" w:name="_gt2gryqossfh" w:id="3"/>
      <w:bookmarkEnd w:id="3"/>
      <w:r w:rsidDel="00000000" w:rsidR="00000000" w:rsidRPr="00000000">
        <w:rPr>
          <w:b w:val="1"/>
          <w:bCs w:val="1"/>
          <w:sz w:val="46"/>
          <w:szCs w:val="46"/>
          <w:rtl w:val="0"/>
        </w:rPr>
        <w:t xml:space="preserve">Against Heresies</w:t>
      </w:r>
    </w:p>
    <w:p w:rsidR="00000000" w:rsidDel="00000000" w:rsidP="00000000" w:rsidRDefault="00000000" w:rsidRPr="00000000" w14:paraId="0000000C">
      <w:pPr>
        <w:pStyle w:val="Heading2"/>
        <w:keepNext w:val="0"/>
        <w:keepLines w:val="0"/>
        <w:spacing w:after="80" w:lineRule="auto"/>
        <w:rPr>
          <w:b w:val="1"/>
          <w:bCs w:val="1"/>
          <w:sz w:val="34"/>
          <w:szCs w:val="34"/>
        </w:rPr>
      </w:pPr>
      <w:bookmarkStart w:colFirst="0" w:colLast="0" w:name="_s198negh85s9" w:id="4"/>
      <w:bookmarkEnd w:id="4"/>
      <w:r w:rsidDel="00000000" w:rsidR="00000000" w:rsidRPr="00000000">
        <w:rPr>
          <w:b w:val="1"/>
          <w:bCs w:val="1"/>
          <w:sz w:val="34"/>
          <w:szCs w:val="34"/>
          <w:rtl w:val="0"/>
        </w:rPr>
        <w:t xml:space="preserve">IV.14: Obedience and Human Flourishing</w:t>
      </w:r>
    </w:p>
    <w:p w:rsidR="00000000" w:rsidDel="00000000" w:rsidP="00000000" w:rsidRDefault="00000000" w:rsidRPr="00000000" w14:paraId="0000000D">
      <w:pPr>
        <w:spacing w:after="240" w:before="240" w:lineRule="auto"/>
        <w:rPr/>
      </w:pPr>
      <w:r w:rsidDel="00000000" w:rsidR="00000000" w:rsidRPr="00000000">
        <w:rPr>
          <w:rtl w:val="0"/>
        </w:rPr>
        <w:t xml:space="preserve">In Book IV, Chapter 14 of </w:t>
      </w:r>
      <w:r w:rsidDel="00000000" w:rsidR="00000000" w:rsidRPr="00000000">
        <w:rPr>
          <w:i w:val="1"/>
          <w:iCs w:val="1"/>
          <w:rtl w:val="0"/>
        </w:rPr>
        <w:t xml:space="preserve">Against Heresies</w:t>
      </w:r>
      <w:r w:rsidDel="00000000" w:rsidR="00000000" w:rsidRPr="00000000">
        <w:rPr>
          <w:rtl w:val="0"/>
        </w:rPr>
        <w:t xml:space="preserve">, Irenaeus considers why God asks human beings to follow, worship and obey him. His argument begins with a significant claim about God’s nature: God is ‘rich, perfect, and in need of nothing’.⁵ God therefore does not command humanity because divine existence somehow depends upon human service. Instead, the benefit of obedience belongs to humanity. This transforms the meaning of obedience because it places divine commands within the context of God’s generosity rather than God’s need.</w:t>
      </w:r>
    </w:p>
    <w:p w:rsidR="00000000" w:rsidDel="00000000" w:rsidP="00000000" w:rsidRDefault="00000000" w:rsidRPr="00000000" w14:paraId="0000000E">
      <w:pPr>
        <w:spacing w:after="240" w:before="240" w:lineRule="auto"/>
        <w:rPr/>
      </w:pPr>
      <w:r w:rsidDel="00000000" w:rsidR="00000000" w:rsidRPr="00000000">
        <w:rPr>
          <w:rtl w:val="0"/>
        </w:rPr>
        <w:t xml:space="preserve">Irenaeus develops the point through the image of light. A person who enters the light does not contribute anything to the light itself; rather, that person becomes illuminated by it. Similarly, human beings do not make God greater through worship. They are changed through participation in the life God gives. The relationship is therefore unequal without being exploitative. God gives, while humanity receives and grows through that relationship.</w:t>
      </w:r>
    </w:p>
    <w:p w:rsidR="00000000" w:rsidDel="00000000" w:rsidP="00000000" w:rsidRDefault="00000000" w:rsidRPr="00000000" w14:paraId="0000000F">
      <w:pPr>
        <w:spacing w:after="240" w:before="240" w:lineRule="auto"/>
        <w:rPr/>
      </w:pPr>
      <w:r w:rsidDel="00000000" w:rsidR="00000000" w:rsidRPr="00000000">
        <w:rPr>
          <w:rtl w:val="0"/>
        </w:rPr>
        <w:t xml:space="preserve">This argument is important because religious obedience can otherwise be understood negatively. Modern ideas of freedom often emphasise independence, personal choice and freedom from external authority. From that perspective, obedience to God may appear to restrict human flourishing. Irenaeus offers almost the opposite account. Separation from God does not produce fuller humanity because God is the source of human life. Genuine flourishing occurs when the creature lives in the proper relationship with the Creator.</w:t>
      </w:r>
    </w:p>
    <w:p w:rsidR="00000000" w:rsidDel="00000000" w:rsidP="00000000" w:rsidRDefault="00000000" w:rsidRPr="00000000" w14:paraId="00000010">
      <w:pPr>
        <w:spacing w:after="240" w:before="240" w:lineRule="auto"/>
        <w:rPr/>
      </w:pPr>
      <w:r w:rsidDel="00000000" w:rsidR="00000000" w:rsidRPr="00000000">
        <w:rPr>
          <w:rtl w:val="0"/>
        </w:rPr>
        <w:t xml:space="preserve">Irenaeus also understands God’s dealings with humanity as a process of formation. He refers to the patriarchs, prophets and law as part of God’s preparation of humanity. The law is not given because God requires religious ceremonies to satisfy a divine need. It educates human beings and prepares them for communion with God.⁶ Salvation consequently has a historical character. God works patiently within human history rather than treating humanity as though it were immediately mature.</w:t>
      </w:r>
    </w:p>
    <w:p w:rsidR="00000000" w:rsidDel="00000000" w:rsidP="00000000" w:rsidRDefault="00000000" w:rsidRPr="00000000" w14:paraId="00000011">
      <w:pPr>
        <w:spacing w:after="240" w:before="240" w:lineRule="auto"/>
        <w:rPr/>
      </w:pPr>
      <w:r w:rsidDel="00000000" w:rsidR="00000000" w:rsidRPr="00000000">
        <w:rPr>
          <w:rtl w:val="0"/>
        </w:rPr>
        <w:t xml:space="preserve">I find this aspect particularly helpful because it avoids reducing salvation to a single transaction. Irenaeus’s account allows salvation to include growth, transformation and participation in God’s life. Human beings are being formed rather than merely having their status changed. Obedience therefore becomes part of a larger process through which humanity learns how to live in relationship with God.</w:t>
      </w:r>
    </w:p>
    <w:p w:rsidR="00000000" w:rsidDel="00000000" w:rsidP="00000000" w:rsidRDefault="00000000" w:rsidRPr="00000000" w14:paraId="00000012">
      <w:pPr>
        <w:spacing w:after="240" w:before="240" w:lineRule="auto"/>
        <w:rPr/>
      </w:pPr>
      <w:r w:rsidDel="00000000" w:rsidR="00000000" w:rsidRPr="00000000">
        <w:rPr>
          <w:rtl w:val="0"/>
        </w:rPr>
        <w:t xml:space="preserve">There are nevertheless reasons to approach the language critically. Obedience can become dangerous when divine authority is confused with the authority of religious leaders or institutions. Christian history provides enough evidence that appeals to obedience can be used to discourage legitimate criticism. Irenaeus’s argument should therefore not be transferred uncritically from obedience to God into unquestioning obedience to human authorities. His reasoning depends upon the assumption that the God being obeyed is perfectly good and seeks humanity’s flourishing.</w:t>
      </w:r>
    </w:p>
    <w:p w:rsidR="00000000" w:rsidDel="00000000" w:rsidP="00000000" w:rsidRDefault="00000000" w:rsidRPr="00000000" w14:paraId="00000013">
      <w:pPr>
        <w:spacing w:after="240" w:before="240" w:lineRule="auto"/>
        <w:rPr/>
      </w:pPr>
      <w:r w:rsidDel="00000000" w:rsidR="00000000" w:rsidRPr="00000000">
        <w:rPr>
          <w:rtl w:val="0"/>
        </w:rPr>
        <w:t xml:space="preserve">The passage also makes me reconsider what Christians mean by freedom. If freedom means having no obligations to anyone beyond oneself, Irenaeus’s theology will seem restrictive. If, however, freedom includes becoming what one was created to be, relationship with God may be understood as fulfilling rather than destroying human freedom.</w:t>
      </w:r>
    </w:p>
    <w:p w:rsidR="00000000" w:rsidDel="00000000" w:rsidP="00000000" w:rsidRDefault="00000000" w:rsidRPr="00000000" w14:paraId="00000014">
      <w:pPr>
        <w:spacing w:after="240" w:before="240" w:lineRule="auto"/>
        <w:rPr/>
      </w:pPr>
      <w:r w:rsidDel="00000000" w:rsidR="00000000" w:rsidRPr="00000000">
        <w:rPr>
          <w:rtl w:val="0"/>
        </w:rPr>
        <w:t xml:space="preserve">For theology, </w:t>
      </w:r>
      <w:r w:rsidDel="00000000" w:rsidR="00000000" w:rsidRPr="00000000">
        <w:rPr>
          <w:i w:val="1"/>
          <w:iCs w:val="1"/>
          <w:rtl w:val="0"/>
        </w:rPr>
        <w:t xml:space="preserve">Against Heresies</w:t>
      </w:r>
      <w:r w:rsidDel="00000000" w:rsidR="00000000" w:rsidRPr="00000000">
        <w:rPr>
          <w:rtl w:val="0"/>
        </w:rPr>
        <w:t xml:space="preserve"> IV.14 is valuable because it demonstrates how the doctrine of God influences the doctrine of humanity and salvation. A self-sufficient God does not need worship in order to become greater. Worship instead changes the worshipper. Irenaeus therefore presents divine grace as generous and formative. Theology here is not merely concerned with explaining what God demands; it asks what kind of God makes those demands and what they are intended to accomplish in human life.</w:t>
      </w:r>
    </w:p>
    <w:p w:rsidR="00000000" w:rsidDel="00000000" w:rsidP="00000000" w:rsidRDefault="00000000" w:rsidRPr="00000000" w14:paraId="00000015">
      <w:pPr>
        <w:pStyle w:val="Heading2"/>
        <w:keepNext w:val="0"/>
        <w:keepLines w:val="0"/>
        <w:spacing w:after="80" w:lineRule="auto"/>
        <w:rPr>
          <w:b w:val="1"/>
          <w:bCs w:val="1"/>
          <w:sz w:val="34"/>
          <w:szCs w:val="34"/>
        </w:rPr>
      </w:pPr>
      <w:bookmarkStart w:colFirst="0" w:colLast="0" w:name="_2n0z4jih69zp" w:id="5"/>
      <w:bookmarkEnd w:id="5"/>
      <w:r w:rsidDel="00000000" w:rsidR="00000000" w:rsidRPr="00000000">
        <w:rPr>
          <w:b w:val="1"/>
          <w:bCs w:val="1"/>
          <w:sz w:val="34"/>
          <w:szCs w:val="34"/>
          <w:rtl w:val="0"/>
        </w:rPr>
        <w:t xml:space="preserve">3. Philippians 2.1–18: Christ’s Humility and Christian Life</w:t>
      </w:r>
    </w:p>
    <w:p w:rsidR="00000000" w:rsidDel="00000000" w:rsidP="00000000" w:rsidRDefault="00000000" w:rsidRPr="00000000" w14:paraId="00000016">
      <w:pPr>
        <w:spacing w:after="240" w:before="240" w:lineRule="auto"/>
        <w:rPr/>
      </w:pPr>
      <w:r w:rsidDel="00000000" w:rsidR="00000000" w:rsidRPr="00000000">
        <w:rPr>
          <w:rtl w:val="0"/>
        </w:rPr>
        <w:t xml:space="preserve">Philippians 2.1–18 brings doctrine and Christian practice together with unusual clarity. Paul begins by addressing the relationships within the Christian community, warning against selfish ambition and encouraging believers to consider the interests of others.⁷ He then grounds this ethical instruction in the identity and actions of Christ. Humility is therefore not simply recommended because it makes communities more pleasant. It follows from the Christian confession of Jesus.</w:t>
      </w:r>
    </w:p>
    <w:p w:rsidR="00000000" w:rsidDel="00000000" w:rsidP="00000000" w:rsidRDefault="00000000" w:rsidRPr="00000000" w14:paraId="00000017">
      <w:pPr>
        <w:spacing w:after="240" w:before="240" w:lineRule="auto"/>
        <w:rPr/>
      </w:pPr>
      <w:r w:rsidDel="00000000" w:rsidR="00000000" w:rsidRPr="00000000">
        <w:rPr>
          <w:rtl w:val="0"/>
        </w:rPr>
        <w:t xml:space="preserve">The theological centre of the passage is Philippians 2.6–11. Christ is described as existing in the form of God, yet not using his status for his own advantage. Instead, he takes the form of a servant, enters human existence and becomes obedient to the point of death on a cross. God then exalts him.⁸ The passage moves through status, self-emptying, humiliation and finally exaltation. For this reason, it has played an important role in Christian reflection on Christ’s divinity, humanity and incarnation.</w:t>
      </w:r>
    </w:p>
    <w:p w:rsidR="00000000" w:rsidDel="00000000" w:rsidP="00000000" w:rsidRDefault="00000000" w:rsidRPr="00000000" w14:paraId="00000018">
      <w:pPr>
        <w:spacing w:after="240" w:before="240" w:lineRule="auto"/>
        <w:rPr/>
      </w:pPr>
      <w:r w:rsidDel="00000000" w:rsidR="00000000" w:rsidRPr="00000000">
        <w:rPr>
          <w:rtl w:val="0"/>
        </w:rPr>
        <w:t xml:space="preserve">What interests me most is the reason Paul uses such profound Christological material. He is not discussing Christ’s identity merely to provide abstract information. He tells his readers to have the same ‘mind’ or attitude found in Christ. Christology therefore becomes an ethical pattern. If divine power is revealed through self-giving rather than self-promotion, Christian understandings of leadership and status must be affected by that claim.</w:t>
      </w:r>
    </w:p>
    <w:p w:rsidR="00000000" w:rsidDel="00000000" w:rsidP="00000000" w:rsidRDefault="00000000" w:rsidRPr="00000000" w14:paraId="00000019">
      <w:pPr>
        <w:spacing w:after="240" w:before="240" w:lineRule="auto"/>
        <w:rPr/>
      </w:pPr>
      <w:r w:rsidDel="00000000" w:rsidR="00000000" w:rsidRPr="00000000">
        <w:rPr>
          <w:rtl w:val="0"/>
        </w:rPr>
        <w:t xml:space="preserve">This creates a serious challenge for Christian communities. It is possible to confess beliefs about Christ while organising relationships around competition, prestige or personal power. Philippians exposes the contradiction. Doctrine cannot remain isolated from behaviour because the Christ being confessed provides a pattern for Christian existence.</w:t>
      </w:r>
    </w:p>
    <w:p w:rsidR="00000000" w:rsidDel="00000000" w:rsidP="00000000" w:rsidRDefault="00000000" w:rsidRPr="00000000" w14:paraId="0000001A">
      <w:pPr>
        <w:spacing w:after="240" w:before="240" w:lineRule="auto"/>
        <w:rPr/>
      </w:pPr>
      <w:r w:rsidDel="00000000" w:rsidR="00000000" w:rsidRPr="00000000">
        <w:rPr>
          <w:rtl w:val="0"/>
        </w:rPr>
        <w:t xml:space="preserve">The passage also contains an important relationship between grace and human responsibility. Paul tells the Philippians to ‘work out’ their salvation, but immediately adds that God is at work within them.⁹ Human activity and divine activity are not treated as competitors. Christian life requires effort, yet that effort takes place within God’s prior and continuing action. This provides a more balanced theological account than either complete passivity or the belief that salvation is achieved by individual effort.</w:t>
      </w:r>
    </w:p>
    <w:p w:rsidR="00000000" w:rsidDel="00000000" w:rsidP="00000000" w:rsidRDefault="00000000" w:rsidRPr="00000000" w14:paraId="0000001B">
      <w:pPr>
        <w:spacing w:after="240" w:before="240" w:lineRule="auto"/>
        <w:rPr/>
      </w:pPr>
      <w:r w:rsidDel="00000000" w:rsidR="00000000" w:rsidRPr="00000000">
        <w:rPr>
          <w:rtl w:val="0"/>
        </w:rPr>
        <w:t xml:space="preserve">A critical question concerns how humility should be applied. Calls to imitate Christ’s self-emptying have sometimes been interpreted as requiring people to accept harmful treatment silently. Such an interpretation needs resistance. Christ’s humility in Philippians is not based upon worthlessness. The passage begins from an extraordinarily high understanding of Christ’s identity. His humility is a chosen orientation towards service rather than a denial that he has value. Christian humility should therefore challenge selfishness without becoming an excuse for abuse or the destruction of personal dignity.</w:t>
      </w:r>
    </w:p>
    <w:p w:rsidR="00000000" w:rsidDel="00000000" w:rsidP="00000000" w:rsidRDefault="00000000" w:rsidRPr="00000000" w14:paraId="0000001C">
      <w:pPr>
        <w:spacing w:after="240" w:before="240" w:lineRule="auto"/>
        <w:rPr/>
      </w:pPr>
      <w:r w:rsidDel="00000000" w:rsidR="00000000" w:rsidRPr="00000000">
        <w:rPr>
          <w:rtl w:val="0"/>
        </w:rPr>
        <w:t xml:space="preserve">Philippians 2 matters for theological study because it demonstrates that doctrine has consequences. Christology is not simply an intellectual exercise concerning how divine and human natures should be described. What Christians say about Christ influences what they should say about power, community and service. The passage therefore resists a separation between academic theology and lived Christianity. To understand Christ more deeply is also to encounter a challenge concerning the kind of life his followers should live.</w:t>
      </w:r>
    </w:p>
    <w:p w:rsidR="00000000" w:rsidDel="00000000" w:rsidP="00000000" w:rsidRDefault="00000000" w:rsidRPr="00000000" w14:paraId="0000001D">
      <w:pPr>
        <w:pStyle w:val="Heading2"/>
        <w:keepNext w:val="0"/>
        <w:keepLines w:val="0"/>
        <w:spacing w:after="80" w:lineRule="auto"/>
        <w:rPr>
          <w:b w:val="1"/>
          <w:bCs w:val="1"/>
          <w:sz w:val="58"/>
          <w:szCs w:val="58"/>
        </w:rPr>
      </w:pPr>
      <w:bookmarkStart w:colFirst="0" w:colLast="0" w:name="_v0v4as7n9in1" w:id="6"/>
      <w:bookmarkEnd w:id="6"/>
      <w:r w:rsidDel="00000000" w:rsidR="00000000" w:rsidRPr="00000000">
        <w:rPr>
          <w:b w:val="1"/>
          <w:bCs w:val="1"/>
          <w:sz w:val="58"/>
          <w:szCs w:val="58"/>
          <w:rtl w:val="0"/>
        </w:rPr>
        <w:t xml:space="preserve">4. Anselm,</w:t>
      </w:r>
    </w:p>
    <w:p w:rsidR="00000000" w:rsidDel="00000000" w:rsidP="00000000" w:rsidRDefault="00000000" w:rsidRPr="00000000" w14:paraId="0000001E">
      <w:pPr>
        <w:pStyle w:val="Heading2"/>
        <w:keepNext w:val="0"/>
        <w:keepLines w:val="0"/>
        <w:spacing w:after="80" w:lineRule="auto"/>
        <w:rPr>
          <w:b w:val="1"/>
          <w:bCs w:val="1"/>
          <w:sz w:val="46"/>
          <w:szCs w:val="46"/>
        </w:rPr>
      </w:pPr>
      <w:bookmarkStart w:colFirst="0" w:colLast="0" w:name="_f0d8tax9vu9g" w:id="7"/>
      <w:bookmarkEnd w:id="7"/>
      <w:r w:rsidDel="00000000" w:rsidR="00000000" w:rsidRPr="00000000">
        <w:rPr>
          <w:b w:val="1"/>
          <w:bCs w:val="1"/>
          <w:sz w:val="46"/>
          <w:szCs w:val="46"/>
          <w:rtl w:val="0"/>
        </w:rPr>
        <w:t xml:space="preserve">Cur Deus Homo</w:t>
      </w:r>
    </w:p>
    <w:p w:rsidR="00000000" w:rsidDel="00000000" w:rsidP="00000000" w:rsidRDefault="00000000" w:rsidRPr="00000000" w14:paraId="0000001F">
      <w:pPr>
        <w:pStyle w:val="Heading2"/>
        <w:keepNext w:val="0"/>
        <w:keepLines w:val="0"/>
        <w:spacing w:after="80" w:lineRule="auto"/>
        <w:rPr>
          <w:b w:val="1"/>
          <w:bCs w:val="1"/>
          <w:sz w:val="34"/>
          <w:szCs w:val="34"/>
        </w:rPr>
      </w:pPr>
      <w:bookmarkStart w:colFirst="0" w:colLast="0" w:name="_fvpp36nqkxpi" w:id="8"/>
      <w:bookmarkEnd w:id="8"/>
      <w:r w:rsidDel="00000000" w:rsidR="00000000" w:rsidRPr="00000000">
        <w:rPr>
          <w:b w:val="1"/>
          <w:bCs w:val="1"/>
          <w:sz w:val="34"/>
          <w:szCs w:val="34"/>
          <w:rtl w:val="0"/>
        </w:rPr>
        <w:t xml:space="preserve">I.11–15: Sin, Justice and Satisfaction</w:t>
      </w:r>
    </w:p>
    <w:p w:rsidR="00000000" w:rsidDel="00000000" w:rsidP="00000000" w:rsidRDefault="00000000" w:rsidRPr="00000000" w14:paraId="00000020">
      <w:pPr>
        <w:spacing w:after="240" w:before="240" w:lineRule="auto"/>
        <w:rPr/>
      </w:pPr>
      <w:r w:rsidDel="00000000" w:rsidR="00000000" w:rsidRPr="00000000">
        <w:rPr>
          <w:rtl w:val="0"/>
        </w:rPr>
        <w:t xml:space="preserve">Anselm’s </w:t>
      </w:r>
      <w:r w:rsidDel="00000000" w:rsidR="00000000" w:rsidRPr="00000000">
        <w:rPr>
          <w:i w:val="1"/>
          <w:iCs w:val="1"/>
          <w:rtl w:val="0"/>
        </w:rPr>
        <w:t xml:space="preserve">Cur Deus Homo</w:t>
      </w:r>
      <w:r w:rsidDel="00000000" w:rsidR="00000000" w:rsidRPr="00000000">
        <w:rPr>
          <w:rtl w:val="0"/>
        </w:rPr>
        <w:t xml:space="preserve"> approaches salvation through sustained theological reasoning. In Book I, Chapters 11–15, the dialogue between Anselm and Boso considers the nature of sin, the demands of justice and the need for satisfaction. Anselm defines sin as failing to render to God what is owed. The debt in question is fundamentally the proper ordering of the human will towards God.¹⁰ Sin is therefore more than breaking an isolated rule; it represents disorder within the relationship between creature and Creator.</w:t>
      </w:r>
    </w:p>
    <w:p w:rsidR="00000000" w:rsidDel="00000000" w:rsidP="00000000" w:rsidRDefault="00000000" w:rsidRPr="00000000" w14:paraId="00000021">
      <w:pPr>
        <w:spacing w:after="240" w:before="240" w:lineRule="auto"/>
        <w:rPr/>
      </w:pPr>
      <w:r w:rsidDel="00000000" w:rsidR="00000000" w:rsidRPr="00000000">
        <w:rPr>
          <w:rtl w:val="0"/>
        </w:rPr>
        <w:t xml:space="preserve">Anselm argues that simply returning to obedience does not entirely address the wrong that has already occurred. Something must also be done about the disruption caused by sin. From this develops his language of satisfaction. Forgiveness cannot mean treating evil as though it had never mattered, because doing so would raise questions about justice and the moral order. Chapters 12–15 develop precisely this concern: whether God can simply overlook sin and what it would mean for divine justice if the Creator’s honour could be violated without consequence.¹¹</w:t>
      </w:r>
    </w:p>
    <w:p w:rsidR="00000000" w:rsidDel="00000000" w:rsidP="00000000" w:rsidRDefault="00000000" w:rsidRPr="00000000" w14:paraId="00000022">
      <w:pPr>
        <w:spacing w:after="240" w:before="240" w:lineRule="auto"/>
        <w:rPr/>
      </w:pPr>
      <w:r w:rsidDel="00000000" w:rsidR="00000000" w:rsidRPr="00000000">
        <w:rPr>
          <w:rtl w:val="0"/>
        </w:rPr>
        <w:t xml:space="preserve">This was the most difficult of the five readings for me. The language of debt, honour and satisfaction initially feels distant from contemporary ways of describing relationships. It can make the relationship between God and humanity appear almost financial. Yet reducing Anselm’s argument to a financial transaction would miss his deeper concern. He is trying to explain why reconciliation must take wrongdoing seriously.</w:t>
      </w:r>
    </w:p>
    <w:p w:rsidR="00000000" w:rsidDel="00000000" w:rsidP="00000000" w:rsidRDefault="00000000" w:rsidRPr="00000000" w14:paraId="00000023">
      <w:pPr>
        <w:spacing w:after="240" w:before="240" w:lineRule="auto"/>
        <w:rPr/>
      </w:pPr>
      <w:r w:rsidDel="00000000" w:rsidR="00000000" w:rsidRPr="00000000">
        <w:rPr>
          <w:rtl w:val="0"/>
        </w:rPr>
        <w:t xml:space="preserve">That question remains relevant. Forgiveness sounds attractive until it is considered from the perspective of someone who has experienced serious injustice. A theology in which God simply declares that wrongdoing does not matter would hardly represent justice. Anselm recognises that reconciliation cannot be built upon pretending evil is insignificant. His strength lies in forcing theology to hold mercy and justice together.</w:t>
      </w:r>
    </w:p>
    <w:p w:rsidR="00000000" w:rsidDel="00000000" w:rsidP="00000000" w:rsidRDefault="00000000" w:rsidRPr="00000000" w14:paraId="00000024">
      <w:pPr>
        <w:spacing w:after="240" w:before="240" w:lineRule="auto"/>
        <w:rPr/>
      </w:pPr>
      <w:r w:rsidDel="00000000" w:rsidR="00000000" w:rsidRPr="00000000">
        <w:rPr>
          <w:rtl w:val="0"/>
        </w:rPr>
        <w:t xml:space="preserve">At the same time, his account should not be treated as the only possible Christian explanation of salvation. Scripture and Christian tradition employ several images, including sacrifice, reconciliation, liberation, victory and new creation. Anselm’s language also emerges from a particular intellectual and social context in which honour had considerable significance. His model illuminates certain aspects of salvation while other approaches may illuminate others.</w:t>
      </w:r>
    </w:p>
    <w:p w:rsidR="00000000" w:rsidDel="00000000" w:rsidP="00000000" w:rsidRDefault="00000000" w:rsidRPr="00000000" w14:paraId="00000025">
      <w:pPr>
        <w:spacing w:after="240" w:before="240" w:lineRule="auto"/>
        <w:rPr/>
      </w:pPr>
      <w:r w:rsidDel="00000000" w:rsidR="00000000" w:rsidRPr="00000000">
        <w:rPr>
          <w:rtl w:val="0"/>
        </w:rPr>
        <w:t xml:space="preserve">The dialogue with Boso is itself significant. Theology develops through objection and response. Questions are not treated as threats to faith but as instruments for understanding it more carefully. Even where I find Anselm’s conclusions difficult, his method is valuable because he refuses to settle for vague statements. He asks how beliefs about God’s justice, human sin and divine forgiveness can fit together coherently.</w:t>
      </w:r>
    </w:p>
    <w:p w:rsidR="00000000" w:rsidDel="00000000" w:rsidP="00000000" w:rsidRDefault="00000000" w:rsidRPr="00000000" w14:paraId="00000026">
      <w:pPr>
        <w:spacing w:after="240" w:before="240" w:lineRule="auto"/>
        <w:rPr/>
      </w:pPr>
      <w:r w:rsidDel="00000000" w:rsidR="00000000" w:rsidRPr="00000000">
        <w:rPr>
          <w:i w:val="1"/>
          <w:iCs w:val="1"/>
          <w:rtl w:val="0"/>
        </w:rPr>
        <w:t xml:space="preserve">Cur Deus Homo</w:t>
      </w:r>
      <w:r w:rsidDel="00000000" w:rsidR="00000000" w:rsidRPr="00000000">
        <w:rPr>
          <w:rtl w:val="0"/>
        </w:rPr>
        <w:t xml:space="preserve"> is therefore important not only because of its influence upon later theories of atonement, but because it demonstrates theology as disciplined reasoning. Christian beliefs are placed into conversation and their implications are tested. Anselm encourages the student of theology to ask not only what Christians believe about salvation, but whether the different parts of that belief form a coherent account of God and humanity.</w:t>
      </w:r>
    </w:p>
    <w:p w:rsidR="00000000" w:rsidDel="00000000" w:rsidP="00000000" w:rsidRDefault="00000000" w:rsidRPr="00000000" w14:paraId="00000027">
      <w:pPr>
        <w:pStyle w:val="Heading2"/>
        <w:keepNext w:val="0"/>
        <w:keepLines w:val="0"/>
        <w:spacing w:after="80" w:lineRule="auto"/>
        <w:rPr>
          <w:b w:val="1"/>
          <w:bCs w:val="1"/>
          <w:sz w:val="34"/>
          <w:szCs w:val="34"/>
        </w:rPr>
      </w:pPr>
      <w:bookmarkStart w:colFirst="0" w:colLast="0" w:name="_exqawa8hxjd6" w:id="9"/>
      <w:bookmarkEnd w:id="9"/>
      <w:r w:rsidDel="00000000" w:rsidR="00000000" w:rsidRPr="00000000">
        <w:rPr>
          <w:b w:val="1"/>
          <w:bCs w:val="1"/>
          <w:sz w:val="34"/>
          <w:szCs w:val="34"/>
          <w:rtl w:val="0"/>
        </w:rPr>
        <w:t xml:space="preserve">5. Revelation 21–22: New Creation and Christian Hope</w:t>
      </w:r>
    </w:p>
    <w:p w:rsidR="00000000" w:rsidDel="00000000" w:rsidP="00000000" w:rsidRDefault="00000000" w:rsidRPr="00000000" w14:paraId="00000028">
      <w:pPr>
        <w:spacing w:after="240" w:before="240" w:lineRule="auto"/>
        <w:rPr/>
      </w:pPr>
      <w:r w:rsidDel="00000000" w:rsidR="00000000" w:rsidRPr="00000000">
        <w:rPr>
          <w:rtl w:val="0"/>
        </w:rPr>
        <w:t xml:space="preserve">Revelation 21–22 provides a fitting conclusion to these readings because its central theme is the renewal towards which the biblical story moves. John describes ‘a new heaven and a new earth’, the New Jerusalem, the end of death and mourning, and the restoration of the tree of life.¹² Christian eschatology is therefore presented not merely as destruction or escape but as renewal.</w:t>
      </w:r>
    </w:p>
    <w:p w:rsidR="00000000" w:rsidDel="00000000" w:rsidP="00000000" w:rsidRDefault="00000000" w:rsidRPr="00000000" w14:paraId="00000029">
      <w:pPr>
        <w:spacing w:after="240" w:before="240" w:lineRule="auto"/>
        <w:rPr/>
      </w:pPr>
      <w:r w:rsidDel="00000000" w:rsidR="00000000" w:rsidRPr="00000000">
        <w:rPr>
          <w:rtl w:val="0"/>
        </w:rPr>
        <w:t xml:space="preserve">One of the most significant statements is that God’s dwelling will be with humanity.¹³ The direction of the imagery deserves attention. Christian hope is not presented simply as human souls leaving the created world to reach a distant spiritual realm. God dwells with humanity, while creation itself is made new. The declaration ‘See, I am making all things new’ reinforces this sense of restoration.¹⁴ The physical creation that Genesis describes as good is not finally discarded.</w:t>
      </w:r>
    </w:p>
    <w:p w:rsidR="00000000" w:rsidDel="00000000" w:rsidP="00000000" w:rsidRDefault="00000000" w:rsidRPr="00000000" w14:paraId="0000002A">
      <w:pPr>
        <w:spacing w:after="240" w:before="240" w:lineRule="auto"/>
        <w:rPr/>
      </w:pPr>
      <w:r w:rsidDel="00000000" w:rsidR="00000000" w:rsidRPr="00000000">
        <w:rPr>
          <w:rtl w:val="0"/>
        </w:rPr>
        <w:t xml:space="preserve">This changes the way I understand Christian hope. Popular presentations of Revelation can focus heavily upon catastrophe, prediction and attempts to identify signs of the end times. Revelation 21–22 shifts attention towards the goal of the story. Death, mourning and pain do not have the final word. God’s presence, life and healing do.</w:t>
      </w:r>
    </w:p>
    <w:p w:rsidR="00000000" w:rsidDel="00000000" w:rsidP="00000000" w:rsidRDefault="00000000" w:rsidRPr="00000000" w14:paraId="0000002B">
      <w:pPr>
        <w:spacing w:after="240" w:before="240" w:lineRule="auto"/>
        <w:rPr/>
      </w:pPr>
      <w:r w:rsidDel="00000000" w:rsidR="00000000" w:rsidRPr="00000000">
        <w:rPr>
          <w:rtl w:val="0"/>
        </w:rPr>
        <w:t xml:space="preserve">The tree of life in Revelation 22 strengthens this point by deliberately recalling Genesis.¹⁵ Scripture ends with an image that appeared near its beginning, but now the tree is associated with the healing of the nations. Genesis and Revelation can therefore be read together: creation begins as God’s good work, becomes marked by sin and death, and is finally pictured as renewed. Salvation concerns more than rescuing isolated individuals. It belongs within God’s purposes for creation as a whole.</w:t>
      </w:r>
    </w:p>
    <w:p w:rsidR="00000000" w:rsidDel="00000000" w:rsidP="00000000" w:rsidRDefault="00000000" w:rsidRPr="00000000" w14:paraId="0000002C">
      <w:pPr>
        <w:spacing w:after="240" w:before="240" w:lineRule="auto"/>
        <w:rPr/>
      </w:pPr>
      <w:r w:rsidDel="00000000" w:rsidR="00000000" w:rsidRPr="00000000">
        <w:rPr>
          <w:rtl w:val="0"/>
        </w:rPr>
        <w:t xml:space="preserve">There is also a necessary critical tension within these chapters because Revelation’s hope includes judgement. The final vision cannot simply be reduced to the idea that every human action is morally insignificant. Evil is overcome rather than ignored. As with Anselm, this raises questions about how divine justice and mercy relate. The promise that suffering will end is meaningful precisely because suffering and evil are treated seriously.</w:t>
      </w:r>
    </w:p>
    <w:p w:rsidR="00000000" w:rsidDel="00000000" w:rsidP="00000000" w:rsidRDefault="00000000" w:rsidRPr="00000000" w14:paraId="0000002D">
      <w:pPr>
        <w:spacing w:after="240" w:before="240" w:lineRule="auto"/>
        <w:rPr/>
      </w:pPr>
      <w:r w:rsidDel="00000000" w:rsidR="00000000" w:rsidRPr="00000000">
        <w:rPr>
          <w:rtl w:val="0"/>
        </w:rPr>
        <w:t xml:space="preserve">Revelation’s vision also has implications for present Christian ethics. If the future towards which God is moving creation is characterised by healing, restored relationship and God’s presence, Christian hope should not produce indifference towards present life. It should encourage Christians to live in ways that anticipate that future. Hope is therefore more than waiting for something to happen after death; it provides a theological direction for life now.</w:t>
      </w:r>
    </w:p>
    <w:p w:rsidR="00000000" w:rsidDel="00000000" w:rsidP="00000000" w:rsidRDefault="00000000" w:rsidRPr="00000000" w14:paraId="0000002E">
      <w:pPr>
        <w:spacing w:after="240" w:before="240" w:lineRule="auto"/>
        <w:rPr/>
      </w:pPr>
      <w:r w:rsidDel="00000000" w:rsidR="00000000" w:rsidRPr="00000000">
        <w:rPr>
          <w:rtl w:val="0"/>
        </w:rPr>
        <w:t xml:space="preserve">Of the five readings, Revelation 21–22 draws the themes together most clearly. Genesis begins with creation and humanity’s place within it. Irenaeus considers humanity’s growth towards life with God. Philippians places Christ’s self-giving at the centre of Christian existence. Anselm wrestles with the problem of sin and reconciliation. Revelation finally presents a world in which death and disorder no longer define creation. Together, these texts show theology as an interconnected discipline. Creation, anthropology, Christology, salvation and eschatology cannot finally be separated from one another. Christian theology attempts to understand them as parts of a larger account of God’s relationship with humanity and creation.</w:t>
      </w:r>
    </w:p>
    <w:p w:rsidR="00000000" w:rsidDel="00000000" w:rsidP="00000000" w:rsidRDefault="00000000" w:rsidRPr="00000000" w14:paraId="0000002F">
      <w:pPr>
        <w:spacing w:after="240" w:before="240" w:lineRule="auto"/>
        <w:rPr/>
      </w:pPr>
      <w:r w:rsidDel="00000000" w:rsidR="00000000" w:rsidRPr="00000000">
        <w:rPr>
          <w:rtl w:val="0"/>
        </w:rPr>
        <w:t xml:space="preserve">What I find most valuable across these five readings is precisely this connection. Theology is not simply the collection of separate doctrines. Each question leads into another. What Christians believe about creation affects their understanding of humanity; what they believe about humanity shapes their understanding of sin; beliefs about sin affect accounts of salvation; and salvation finally raises the question of what future God intends for creation. Reading these texts together therefore provides a broader understanding of theology as reflection upon the whole movement from creation, through reconciliation in Christ, towards new creation.</w:t>
      </w:r>
    </w:p>
    <w:p w:rsidR="00000000" w:rsidDel="00000000" w:rsidP="00000000" w:rsidRDefault="00000000" w:rsidRPr="00000000" w14:paraId="00000030">
      <w:pPr>
        <w:pStyle w:val="Heading2"/>
        <w:keepNext w:val="0"/>
        <w:keepLines w:val="0"/>
        <w:spacing w:after="80" w:lineRule="auto"/>
        <w:rPr>
          <w:b w:val="1"/>
          <w:bCs w:val="1"/>
          <w:sz w:val="34"/>
          <w:szCs w:val="34"/>
        </w:rPr>
      </w:pPr>
      <w:bookmarkStart w:colFirst="0" w:colLast="0" w:name="_lpjbiogmkuqj" w:id="10"/>
      <w:bookmarkEnd w:id="10"/>
      <w:r w:rsidDel="00000000" w:rsidR="00000000" w:rsidRPr="00000000">
        <w:rPr>
          <w:b w:val="1"/>
          <w:bCs w:val="1"/>
          <w:sz w:val="34"/>
          <w:szCs w:val="34"/>
          <w:rtl w:val="0"/>
        </w:rPr>
        <w:t xml:space="preserve">Bibliography</w:t>
      </w:r>
    </w:p>
    <w:p w:rsidR="00000000" w:rsidDel="00000000" w:rsidP="00000000" w:rsidRDefault="00000000" w:rsidRPr="00000000" w14:paraId="00000031">
      <w:pPr>
        <w:spacing w:after="240" w:before="240" w:lineRule="auto"/>
        <w:rPr/>
      </w:pPr>
      <w:r w:rsidDel="00000000" w:rsidR="00000000" w:rsidRPr="00000000">
        <w:rPr>
          <w:rtl w:val="0"/>
        </w:rPr>
        <w:t xml:space="preserve">Anselm of Canterbury, </w:t>
      </w:r>
      <w:r w:rsidDel="00000000" w:rsidR="00000000" w:rsidRPr="00000000">
        <w:rPr>
          <w:i w:val="1"/>
          <w:iCs w:val="1"/>
          <w:rtl w:val="0"/>
        </w:rPr>
        <w:t xml:space="preserve">Cur Deus Homo</w:t>
      </w:r>
      <w:r w:rsidDel="00000000" w:rsidR="00000000" w:rsidRPr="00000000">
        <w:rPr>
          <w:rtl w:val="0"/>
        </w:rPr>
        <w:t xml:space="preserve">, in </w:t>
      </w:r>
      <w:r w:rsidDel="00000000" w:rsidR="00000000" w:rsidRPr="00000000">
        <w:rPr>
          <w:i w:val="1"/>
          <w:iCs w:val="1"/>
          <w:rtl w:val="0"/>
        </w:rPr>
        <w:t xml:space="preserve">Anselm of Canterbury: The Major Works</w:t>
      </w:r>
      <w:r w:rsidDel="00000000" w:rsidR="00000000" w:rsidRPr="00000000">
        <w:rPr>
          <w:rtl w:val="0"/>
        </w:rPr>
        <w:t xml:space="preserve">, ed. by Brian Davies and G. R. Evans (Oxford: Oxford University Press, 1998)</w:t>
      </w:r>
    </w:p>
    <w:p w:rsidR="00000000" w:rsidDel="00000000" w:rsidP="00000000" w:rsidRDefault="00000000" w:rsidRPr="00000000" w14:paraId="00000032">
      <w:pPr>
        <w:spacing w:after="240" w:before="240" w:lineRule="auto"/>
        <w:rPr/>
      </w:pPr>
      <w:r w:rsidDel="00000000" w:rsidR="00000000" w:rsidRPr="00000000">
        <w:rPr>
          <w:rtl w:val="0"/>
        </w:rPr>
        <w:t xml:space="preserve">Irenaeus, </w:t>
      </w:r>
      <w:r w:rsidDel="00000000" w:rsidR="00000000" w:rsidRPr="00000000">
        <w:rPr>
          <w:i w:val="1"/>
          <w:iCs w:val="1"/>
          <w:rtl w:val="0"/>
        </w:rPr>
        <w:t xml:space="preserve">Against Heresies</w:t>
      </w:r>
      <w:r w:rsidDel="00000000" w:rsidR="00000000" w:rsidRPr="00000000">
        <w:rPr>
          <w:rtl w:val="0"/>
        </w:rPr>
        <w:t xml:space="preserve">, trans. by Alexander Roberts and William Rambaut, in </w:t>
      </w:r>
      <w:r w:rsidDel="00000000" w:rsidR="00000000" w:rsidRPr="00000000">
        <w:rPr>
          <w:i w:val="1"/>
          <w:iCs w:val="1"/>
          <w:rtl w:val="0"/>
        </w:rPr>
        <w:t xml:space="preserve">Ante-Nicene Fathers</w:t>
      </w:r>
      <w:r w:rsidDel="00000000" w:rsidR="00000000" w:rsidRPr="00000000">
        <w:rPr>
          <w:rtl w:val="0"/>
        </w:rPr>
        <w:t xml:space="preserve">, ed. by Alexander Roberts, James Donaldson, and A. Cleveland Coxe, 10 vols (Buffalo, NY: Christian Literature Publishing Company, 1885), I</w:t>
      </w:r>
    </w:p>
    <w:p w:rsidR="00000000" w:rsidDel="00000000" w:rsidP="00000000" w:rsidRDefault="00000000" w:rsidRPr="00000000" w14:paraId="00000033">
      <w:pPr>
        <w:spacing w:after="240" w:before="240" w:lineRule="auto"/>
        <w:rPr/>
      </w:pPr>
      <w:r w:rsidDel="00000000" w:rsidR="00000000" w:rsidRPr="00000000">
        <w:rPr>
          <w:i w:val="1"/>
          <w:iCs w:val="1"/>
          <w:rtl w:val="0"/>
        </w:rPr>
        <w:t xml:space="preserve">The Holy Bible: New Revised Standard Version, Anglicized Edition</w:t>
      </w:r>
      <w:r w:rsidDel="00000000" w:rsidR="00000000" w:rsidRPr="00000000">
        <w:rPr>
          <w:rtl w:val="0"/>
        </w:rPr>
        <w:t xml:space="preserve"> (Oxford: Oxford University Press, 1995)</w:t>
      </w:r>
    </w:p>
    <w:p w:rsidR="00000000" w:rsidDel="00000000" w:rsidP="00000000" w:rsidRDefault="00000000" w:rsidRPr="00000000" w14:paraId="00000034">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cs"/>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