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899260" w14:textId="77777777" w:rsidR="00AD2B43" w:rsidRPr="00AD2B43" w:rsidRDefault="00AD2B43" w:rsidP="00AD2B43">
      <w:pPr>
        <w:tabs>
          <w:tab w:val="left" w:pos="3737"/>
        </w:tabs>
        <w:spacing w:line="276" w:lineRule="auto"/>
        <w:jc w:val="center"/>
        <w:rPr>
          <w:sz w:val="44"/>
          <w:szCs w:val="44"/>
        </w:rPr>
      </w:pPr>
      <w:r w:rsidRPr="00AD2B43">
        <w:rPr>
          <w:sz w:val="44"/>
          <w:szCs w:val="44"/>
        </w:rPr>
        <w:t>Name: Diana Bechian</w:t>
      </w:r>
    </w:p>
    <w:p w14:paraId="21C1679C" w14:textId="77777777" w:rsidR="00AD2B43" w:rsidRPr="00AD2B43" w:rsidRDefault="00AD2B43" w:rsidP="00AD2B43">
      <w:pPr>
        <w:tabs>
          <w:tab w:val="left" w:pos="2564"/>
        </w:tabs>
        <w:spacing w:line="276" w:lineRule="auto"/>
        <w:jc w:val="center"/>
        <w:rPr>
          <w:sz w:val="44"/>
          <w:szCs w:val="44"/>
        </w:rPr>
      </w:pPr>
      <w:r w:rsidRPr="00AD2B43">
        <w:rPr>
          <w:sz w:val="44"/>
          <w:szCs w:val="44"/>
        </w:rPr>
        <w:t>Student Number:2419518</w:t>
      </w:r>
    </w:p>
    <w:p w14:paraId="13B09388" w14:textId="77777777" w:rsidR="00AD2B43" w:rsidRPr="00AD2B43" w:rsidRDefault="00AD2B43" w:rsidP="00AD2B43">
      <w:pPr>
        <w:tabs>
          <w:tab w:val="left" w:pos="2564"/>
        </w:tabs>
        <w:spacing w:line="276" w:lineRule="auto"/>
        <w:jc w:val="center"/>
        <w:rPr>
          <w:sz w:val="44"/>
          <w:szCs w:val="44"/>
        </w:rPr>
      </w:pPr>
      <w:r w:rsidRPr="00AD2B43">
        <w:rPr>
          <w:sz w:val="44"/>
          <w:szCs w:val="44"/>
        </w:rPr>
        <w:t>Module Title: Understanding and Engaging Stakeholders LCML5001:</w:t>
      </w:r>
    </w:p>
    <w:p w14:paraId="7818834C" w14:textId="77777777" w:rsidR="00AD2B43" w:rsidRPr="00AD2B43" w:rsidRDefault="00AD2B43" w:rsidP="00AD2B43">
      <w:pPr>
        <w:tabs>
          <w:tab w:val="left" w:pos="2564"/>
        </w:tabs>
        <w:spacing w:line="276" w:lineRule="auto"/>
        <w:jc w:val="center"/>
        <w:rPr>
          <w:sz w:val="44"/>
          <w:szCs w:val="44"/>
        </w:rPr>
      </w:pPr>
      <w:r w:rsidRPr="00AD2B43">
        <w:rPr>
          <w:sz w:val="44"/>
          <w:szCs w:val="44"/>
        </w:rPr>
        <w:t xml:space="preserve">Lecturer: </w:t>
      </w:r>
    </w:p>
    <w:p w14:paraId="5F71F1F8" w14:textId="77777777" w:rsidR="00AD2B43" w:rsidRPr="00AD2B43" w:rsidRDefault="00AD2B43" w:rsidP="00AD2B43">
      <w:pPr>
        <w:tabs>
          <w:tab w:val="left" w:pos="2564"/>
        </w:tabs>
        <w:spacing w:line="276" w:lineRule="auto"/>
        <w:jc w:val="center"/>
        <w:rPr>
          <w:sz w:val="44"/>
          <w:szCs w:val="44"/>
        </w:rPr>
      </w:pPr>
      <w:r w:rsidRPr="00AD2B43">
        <w:rPr>
          <w:sz w:val="44"/>
          <w:szCs w:val="44"/>
        </w:rPr>
        <w:t>Assignment Title: Understanding the importance of Stakeholder Engagement in Successful Commencement and Completion of Project</w:t>
      </w:r>
    </w:p>
    <w:p w14:paraId="315C9E92" w14:textId="77777777" w:rsidR="00AD2B43" w:rsidRPr="00AD2B43" w:rsidRDefault="00AD2B43" w:rsidP="00AD2B43">
      <w:pPr>
        <w:spacing w:line="276" w:lineRule="auto"/>
        <w:rPr>
          <w:sz w:val="44"/>
          <w:szCs w:val="44"/>
        </w:rPr>
      </w:pPr>
    </w:p>
    <w:p w14:paraId="493C1AF5" w14:textId="77777777" w:rsidR="00AD2B43" w:rsidRPr="00AD2B43" w:rsidRDefault="00AD2B43" w:rsidP="00AD2B43">
      <w:pPr>
        <w:spacing w:line="276" w:lineRule="auto"/>
      </w:pPr>
    </w:p>
    <w:p w14:paraId="21E313A1" w14:textId="77777777" w:rsidR="00AD2B43" w:rsidRPr="00AD2B43" w:rsidRDefault="00AD2B43" w:rsidP="00AD2B43">
      <w:pPr>
        <w:spacing w:line="276" w:lineRule="auto"/>
      </w:pPr>
    </w:p>
    <w:p w14:paraId="1F74CD2D" w14:textId="77777777" w:rsidR="00AD2B43" w:rsidRPr="00AD2B43" w:rsidRDefault="00AD2B43" w:rsidP="00AD2B43">
      <w:pPr>
        <w:spacing w:line="276" w:lineRule="auto"/>
      </w:pPr>
    </w:p>
    <w:p w14:paraId="5EEFE7F9" w14:textId="77777777" w:rsidR="00AD2B43" w:rsidRPr="00AD2B43" w:rsidRDefault="00AD2B43" w:rsidP="00AD2B43">
      <w:pPr>
        <w:spacing w:line="276" w:lineRule="auto"/>
      </w:pPr>
    </w:p>
    <w:p w14:paraId="34A3373D" w14:textId="77777777" w:rsidR="00AD2B43" w:rsidRPr="00AD2B43" w:rsidRDefault="00AD2B43" w:rsidP="00AD2B43">
      <w:pPr>
        <w:spacing w:line="276" w:lineRule="auto"/>
      </w:pPr>
    </w:p>
    <w:p w14:paraId="748AFBB2" w14:textId="77777777" w:rsidR="00AD2B43" w:rsidRPr="00AD2B43" w:rsidRDefault="00AD2B43" w:rsidP="00AD2B43">
      <w:pPr>
        <w:spacing w:line="276" w:lineRule="auto"/>
        <w:jc w:val="center"/>
      </w:pPr>
    </w:p>
    <w:p w14:paraId="12E6C205" w14:textId="77777777" w:rsidR="00AD2B43" w:rsidRPr="00AD2B43" w:rsidRDefault="00AD2B43" w:rsidP="00AD2B43">
      <w:pPr>
        <w:spacing w:line="276" w:lineRule="auto"/>
        <w:jc w:val="center"/>
      </w:pPr>
    </w:p>
    <w:p w14:paraId="39ADF217" w14:textId="77777777" w:rsidR="00AD2B43" w:rsidRPr="00AD2B43" w:rsidRDefault="00AD2B43" w:rsidP="00AD2B43">
      <w:pPr>
        <w:spacing w:line="276" w:lineRule="auto"/>
        <w:jc w:val="center"/>
      </w:pPr>
    </w:p>
    <w:p w14:paraId="612D1FA4" w14:textId="77777777" w:rsidR="00AD2B43" w:rsidRPr="00AD2B43" w:rsidRDefault="00AD2B43" w:rsidP="00AD2B43">
      <w:pPr>
        <w:spacing w:line="276" w:lineRule="auto"/>
        <w:jc w:val="center"/>
      </w:pPr>
    </w:p>
    <w:p w14:paraId="1B23B4C4" w14:textId="77777777" w:rsidR="00AD2B43" w:rsidRPr="00AD2B43" w:rsidRDefault="00AD2B43" w:rsidP="00AD2B43">
      <w:pPr>
        <w:spacing w:line="276" w:lineRule="auto"/>
        <w:jc w:val="center"/>
      </w:pPr>
    </w:p>
    <w:p w14:paraId="43DA830B" w14:textId="77777777" w:rsidR="00AD2B43" w:rsidRPr="00AD2B43" w:rsidRDefault="00AD2B43" w:rsidP="00AD2B43">
      <w:pPr>
        <w:spacing w:line="276" w:lineRule="auto"/>
        <w:jc w:val="center"/>
      </w:pPr>
    </w:p>
    <w:p w14:paraId="30E20D8C" w14:textId="77777777" w:rsidR="00AD2B43" w:rsidRPr="00AD2B43" w:rsidRDefault="00AD2B43" w:rsidP="00AD2B43">
      <w:pPr>
        <w:spacing w:line="276" w:lineRule="auto"/>
        <w:jc w:val="center"/>
      </w:pPr>
    </w:p>
    <w:p w14:paraId="6B2E7173" w14:textId="77777777" w:rsidR="00AD2B43" w:rsidRPr="00AD2B43" w:rsidRDefault="00AD2B43" w:rsidP="00AD2B43">
      <w:pPr>
        <w:spacing w:line="276" w:lineRule="auto"/>
        <w:jc w:val="center"/>
      </w:pPr>
    </w:p>
    <w:p w14:paraId="6FC32E74" w14:textId="77777777" w:rsidR="00AD2B43" w:rsidRPr="00AD2B43" w:rsidRDefault="00AD2B43" w:rsidP="00AD2B43">
      <w:pPr>
        <w:spacing w:line="276" w:lineRule="auto"/>
        <w:jc w:val="center"/>
      </w:pPr>
    </w:p>
    <w:p w14:paraId="2DDA04B7" w14:textId="77777777" w:rsidR="00AD2B43" w:rsidRPr="00AD2B43" w:rsidRDefault="00AD2B43" w:rsidP="00AD2B43">
      <w:pPr>
        <w:spacing w:line="276" w:lineRule="auto"/>
        <w:jc w:val="center"/>
      </w:pPr>
    </w:p>
    <w:sdt>
      <w:sdtPr>
        <w:rPr>
          <w:kern w:val="0"/>
          <w14:ligatures w14:val="none"/>
        </w:rPr>
        <w:id w:val="-881332499"/>
        <w:docPartObj>
          <w:docPartGallery w:val="Table of Contents"/>
          <w:docPartUnique/>
        </w:docPartObj>
      </w:sdtPr>
      <w:sdtEndPr/>
      <w:sdtContent>
        <w:p w14:paraId="1FF39B9A" w14:textId="77777777" w:rsidR="00AD2B43" w:rsidRPr="00AD2B43" w:rsidRDefault="00AD2B43" w:rsidP="00AD2B43">
          <w:pPr>
            <w:keepNext/>
            <w:keepLines/>
            <w:spacing w:before="240" w:after="0" w:line="256" w:lineRule="auto"/>
            <w:rPr>
              <w:rFonts w:asciiTheme="majorHAnsi" w:eastAsiaTheme="majorEastAsia" w:hAnsiTheme="majorHAnsi" w:cstheme="majorBidi"/>
              <w:color w:val="0F4761" w:themeColor="accent1" w:themeShade="BF"/>
              <w:kern w:val="0"/>
              <w:sz w:val="32"/>
              <w:szCs w:val="32"/>
              <w:lang w:eastAsia="en-GB"/>
              <w14:ligatures w14:val="none"/>
            </w:rPr>
          </w:pPr>
          <w:r w:rsidRPr="00AD2B43">
            <w:rPr>
              <w:rFonts w:asciiTheme="majorHAnsi" w:eastAsiaTheme="majorEastAsia" w:hAnsiTheme="majorHAnsi" w:cstheme="majorBidi"/>
              <w:color w:val="0F4761" w:themeColor="accent1" w:themeShade="BF"/>
              <w:kern w:val="0"/>
              <w:sz w:val="32"/>
              <w:szCs w:val="32"/>
              <w:lang w:eastAsia="en-GB"/>
              <w14:ligatures w14:val="none"/>
            </w:rPr>
            <w:t>Contents</w:t>
          </w:r>
        </w:p>
        <w:p w14:paraId="5FA5227C" w14:textId="77777777" w:rsidR="00AD2B43" w:rsidRPr="00AD2B43" w:rsidRDefault="00AD2B43" w:rsidP="00AD2B43">
          <w:pPr>
            <w:tabs>
              <w:tab w:val="right" w:leader="dot" w:pos="9016"/>
            </w:tabs>
            <w:spacing w:after="100" w:line="276" w:lineRule="auto"/>
            <w:rPr>
              <w:rFonts w:eastAsiaTheme="minorEastAsia"/>
              <w:noProof/>
              <w:lang w:eastAsia="en-GB"/>
            </w:rPr>
          </w:pPr>
          <w:r w:rsidRPr="00AD2B43">
            <w:fldChar w:fldCharType="begin"/>
          </w:r>
          <w:r w:rsidRPr="00AD2B43">
            <w:instrText xml:space="preserve"> TOC \o "1-3" \h \z \u </w:instrText>
          </w:r>
          <w:r w:rsidRPr="00AD2B43">
            <w:fldChar w:fldCharType="separate"/>
          </w:r>
          <w:hyperlink r:id="rId8" w:anchor="_Toc224570054" w:history="1">
            <w:r w:rsidRPr="00AD2B43">
              <w:rPr>
                <w:noProof/>
                <w:color w:val="467886" w:themeColor="hyperlink"/>
                <w:u w:val="single"/>
              </w:rPr>
              <w:t xml:space="preserve">Introduction Hilton Hotel </w:t>
            </w:r>
            <w:r w:rsidRPr="00AD2B43">
              <w:rPr>
                <w:noProof/>
                <w:webHidden/>
                <w:u w:val="single"/>
              </w:rPr>
              <w:tab/>
            </w:r>
            <w:r w:rsidRPr="00AD2B43">
              <w:rPr>
                <w:noProof/>
                <w:webHidden/>
                <w:u w:val="single"/>
              </w:rPr>
              <w:fldChar w:fldCharType="begin"/>
            </w:r>
            <w:r w:rsidRPr="00AD2B43">
              <w:rPr>
                <w:noProof/>
                <w:webHidden/>
                <w:u w:val="single"/>
              </w:rPr>
              <w:instrText xml:space="preserve"> PAGEREF _Toc224570054 \h </w:instrText>
            </w:r>
            <w:r w:rsidRPr="00AD2B43">
              <w:rPr>
                <w:noProof/>
                <w:webHidden/>
                <w:u w:val="single"/>
              </w:rPr>
            </w:r>
            <w:r w:rsidRPr="00AD2B43">
              <w:rPr>
                <w:noProof/>
                <w:webHidden/>
                <w:u w:val="single"/>
              </w:rPr>
              <w:fldChar w:fldCharType="separate"/>
            </w:r>
            <w:r w:rsidRPr="00AD2B43">
              <w:rPr>
                <w:noProof/>
                <w:webHidden/>
                <w:u w:val="single"/>
              </w:rPr>
              <w:t>3</w:t>
            </w:r>
            <w:r w:rsidRPr="00AD2B43">
              <w:rPr>
                <w:noProof/>
                <w:webHidden/>
                <w:u w:val="single"/>
              </w:rPr>
              <w:fldChar w:fldCharType="end"/>
            </w:r>
          </w:hyperlink>
        </w:p>
        <w:p w14:paraId="5D28CA15" w14:textId="77777777" w:rsidR="00AD2B43" w:rsidRPr="00AD2B43" w:rsidRDefault="00AD2B43" w:rsidP="00AD2B43">
          <w:pPr>
            <w:tabs>
              <w:tab w:val="right" w:leader="dot" w:pos="9016"/>
            </w:tabs>
            <w:spacing w:after="100" w:line="276" w:lineRule="auto"/>
            <w:rPr>
              <w:rFonts w:eastAsiaTheme="minorEastAsia"/>
              <w:noProof/>
              <w:lang w:eastAsia="en-GB"/>
            </w:rPr>
          </w:pPr>
          <w:hyperlink r:id="rId9" w:anchor="_Toc224570056" w:history="1">
            <w:r w:rsidRPr="00AD2B43">
              <w:rPr>
                <w:noProof/>
                <w:color w:val="467886" w:themeColor="hyperlink"/>
                <w:u w:val="single"/>
              </w:rPr>
              <w:t>Overview of StaySmart+ Project</w:t>
            </w:r>
            <w:r w:rsidRPr="00AD2B43">
              <w:rPr>
                <w:noProof/>
                <w:webHidden/>
                <w:u w:val="single"/>
              </w:rPr>
              <w:tab/>
            </w:r>
            <w:r w:rsidRPr="00AD2B43">
              <w:rPr>
                <w:noProof/>
                <w:webHidden/>
                <w:u w:val="single"/>
              </w:rPr>
              <w:fldChar w:fldCharType="begin"/>
            </w:r>
            <w:r w:rsidRPr="00AD2B43">
              <w:rPr>
                <w:noProof/>
                <w:webHidden/>
                <w:u w:val="single"/>
              </w:rPr>
              <w:instrText xml:space="preserve"> PAGEREF _Toc224570056 \h </w:instrText>
            </w:r>
            <w:r w:rsidRPr="00AD2B43">
              <w:rPr>
                <w:noProof/>
                <w:webHidden/>
                <w:u w:val="single"/>
              </w:rPr>
            </w:r>
            <w:r w:rsidRPr="00AD2B43">
              <w:rPr>
                <w:noProof/>
                <w:webHidden/>
                <w:u w:val="single"/>
              </w:rPr>
              <w:fldChar w:fldCharType="separate"/>
            </w:r>
            <w:r w:rsidRPr="00AD2B43">
              <w:rPr>
                <w:noProof/>
                <w:webHidden/>
                <w:u w:val="single"/>
              </w:rPr>
              <w:t>4</w:t>
            </w:r>
            <w:r w:rsidRPr="00AD2B43">
              <w:rPr>
                <w:noProof/>
                <w:webHidden/>
                <w:u w:val="single"/>
              </w:rPr>
              <w:fldChar w:fldCharType="end"/>
            </w:r>
          </w:hyperlink>
        </w:p>
        <w:p w14:paraId="00DD7C12" w14:textId="77777777" w:rsidR="00AD2B43" w:rsidRPr="00AD2B43" w:rsidRDefault="00AD2B43" w:rsidP="00AD2B43">
          <w:pPr>
            <w:tabs>
              <w:tab w:val="right" w:leader="dot" w:pos="9016"/>
            </w:tabs>
            <w:spacing w:after="100" w:line="276" w:lineRule="auto"/>
            <w:rPr>
              <w:rFonts w:eastAsiaTheme="minorEastAsia"/>
              <w:noProof/>
              <w:lang w:eastAsia="en-GB"/>
            </w:rPr>
          </w:pPr>
          <w:hyperlink r:id="rId10" w:anchor="_Toc224570057" w:history="1">
            <w:r w:rsidRPr="00AD2B43">
              <w:rPr>
                <w:noProof/>
                <w:color w:val="467886" w:themeColor="hyperlink"/>
                <w:u w:val="single"/>
              </w:rPr>
              <w:t>Situational Analysis: SWOT, Pestle and Smart Objectives</w:t>
            </w:r>
            <w:r w:rsidRPr="00AD2B43">
              <w:rPr>
                <w:noProof/>
                <w:webHidden/>
                <w:u w:val="single"/>
              </w:rPr>
              <w:tab/>
            </w:r>
            <w:r w:rsidRPr="00AD2B43">
              <w:rPr>
                <w:noProof/>
                <w:webHidden/>
                <w:u w:val="single"/>
              </w:rPr>
              <w:fldChar w:fldCharType="begin"/>
            </w:r>
            <w:r w:rsidRPr="00AD2B43">
              <w:rPr>
                <w:noProof/>
                <w:webHidden/>
                <w:u w:val="single"/>
              </w:rPr>
              <w:instrText xml:space="preserve"> PAGEREF _Toc224570057 \h </w:instrText>
            </w:r>
            <w:r w:rsidRPr="00AD2B43">
              <w:rPr>
                <w:noProof/>
                <w:webHidden/>
                <w:u w:val="single"/>
              </w:rPr>
            </w:r>
            <w:r w:rsidRPr="00AD2B43">
              <w:rPr>
                <w:noProof/>
                <w:webHidden/>
                <w:u w:val="single"/>
              </w:rPr>
              <w:fldChar w:fldCharType="separate"/>
            </w:r>
            <w:r w:rsidRPr="00AD2B43">
              <w:rPr>
                <w:noProof/>
                <w:webHidden/>
                <w:u w:val="single"/>
              </w:rPr>
              <w:t>5</w:t>
            </w:r>
            <w:r w:rsidRPr="00AD2B43">
              <w:rPr>
                <w:noProof/>
                <w:webHidden/>
                <w:u w:val="single"/>
              </w:rPr>
              <w:fldChar w:fldCharType="end"/>
            </w:r>
          </w:hyperlink>
        </w:p>
        <w:p w14:paraId="4BED7C5B" w14:textId="77777777" w:rsidR="00AD2B43" w:rsidRPr="00AD2B43" w:rsidRDefault="00AD2B43" w:rsidP="00AD2B43">
          <w:pPr>
            <w:tabs>
              <w:tab w:val="right" w:leader="dot" w:pos="9016"/>
            </w:tabs>
            <w:spacing w:after="100" w:line="276" w:lineRule="auto"/>
            <w:rPr>
              <w:rFonts w:eastAsiaTheme="minorEastAsia"/>
              <w:noProof/>
              <w:lang w:eastAsia="en-GB"/>
            </w:rPr>
          </w:pPr>
          <w:hyperlink r:id="rId11" w:anchor="_Toc224570061" w:history="1">
            <w:r w:rsidRPr="00AD2B43">
              <w:rPr>
                <w:noProof/>
                <w:color w:val="467886" w:themeColor="hyperlink"/>
                <w:u w:val="single"/>
              </w:rPr>
              <w:t>Identification and Categorisation of Stakeholders</w:t>
            </w:r>
            <w:r w:rsidRPr="00AD2B43">
              <w:rPr>
                <w:noProof/>
                <w:webHidden/>
                <w:u w:val="single"/>
              </w:rPr>
              <w:tab/>
            </w:r>
            <w:r w:rsidRPr="00AD2B43">
              <w:rPr>
                <w:noProof/>
                <w:webHidden/>
                <w:u w:val="single"/>
              </w:rPr>
              <w:fldChar w:fldCharType="begin"/>
            </w:r>
            <w:r w:rsidRPr="00AD2B43">
              <w:rPr>
                <w:noProof/>
                <w:webHidden/>
                <w:u w:val="single"/>
              </w:rPr>
              <w:instrText xml:space="preserve"> PAGEREF _Toc224570061 \h </w:instrText>
            </w:r>
            <w:r w:rsidRPr="00AD2B43">
              <w:rPr>
                <w:noProof/>
                <w:webHidden/>
                <w:u w:val="single"/>
              </w:rPr>
            </w:r>
            <w:r w:rsidRPr="00AD2B43">
              <w:rPr>
                <w:noProof/>
                <w:webHidden/>
                <w:u w:val="single"/>
              </w:rPr>
              <w:fldChar w:fldCharType="separate"/>
            </w:r>
            <w:r w:rsidRPr="00AD2B43">
              <w:rPr>
                <w:noProof/>
                <w:webHidden/>
                <w:u w:val="single"/>
              </w:rPr>
              <w:t>7</w:t>
            </w:r>
            <w:r w:rsidRPr="00AD2B43">
              <w:rPr>
                <w:noProof/>
                <w:webHidden/>
                <w:u w:val="single"/>
              </w:rPr>
              <w:fldChar w:fldCharType="end"/>
            </w:r>
          </w:hyperlink>
        </w:p>
        <w:p w14:paraId="70C88347" w14:textId="77777777" w:rsidR="00AD2B43" w:rsidRPr="00AD2B43" w:rsidRDefault="00AD2B43" w:rsidP="00AD2B43">
          <w:pPr>
            <w:tabs>
              <w:tab w:val="right" w:leader="dot" w:pos="9016"/>
            </w:tabs>
            <w:spacing w:after="100" w:line="276" w:lineRule="auto"/>
            <w:rPr>
              <w:rFonts w:eastAsiaTheme="minorEastAsia"/>
              <w:noProof/>
              <w:lang w:eastAsia="en-GB"/>
            </w:rPr>
          </w:pPr>
          <w:hyperlink r:id="rId12" w:anchor="_Toc224570062" w:history="1">
            <w:r w:rsidRPr="00AD2B43">
              <w:rPr>
                <w:noProof/>
                <w:color w:val="467886" w:themeColor="hyperlink"/>
                <w:u w:val="single"/>
              </w:rPr>
              <w:t>Roles, Responsibilities, Benefits and Challenges of Key Stakeholders</w:t>
            </w:r>
            <w:r w:rsidRPr="00AD2B43">
              <w:rPr>
                <w:noProof/>
                <w:webHidden/>
                <w:u w:val="single"/>
              </w:rPr>
              <w:tab/>
            </w:r>
            <w:r w:rsidRPr="00AD2B43">
              <w:rPr>
                <w:noProof/>
                <w:webHidden/>
                <w:u w:val="single"/>
              </w:rPr>
              <w:fldChar w:fldCharType="begin"/>
            </w:r>
            <w:r w:rsidRPr="00AD2B43">
              <w:rPr>
                <w:noProof/>
                <w:webHidden/>
                <w:u w:val="single"/>
              </w:rPr>
              <w:instrText xml:space="preserve"> PAGEREF _Toc224570062 \h </w:instrText>
            </w:r>
            <w:r w:rsidRPr="00AD2B43">
              <w:rPr>
                <w:noProof/>
                <w:webHidden/>
                <w:u w:val="single"/>
              </w:rPr>
            </w:r>
            <w:r w:rsidRPr="00AD2B43">
              <w:rPr>
                <w:noProof/>
                <w:webHidden/>
                <w:u w:val="single"/>
              </w:rPr>
              <w:fldChar w:fldCharType="separate"/>
            </w:r>
            <w:r w:rsidRPr="00AD2B43">
              <w:rPr>
                <w:noProof/>
                <w:webHidden/>
                <w:u w:val="single"/>
              </w:rPr>
              <w:t>9</w:t>
            </w:r>
            <w:r w:rsidRPr="00AD2B43">
              <w:rPr>
                <w:noProof/>
                <w:webHidden/>
                <w:u w:val="single"/>
              </w:rPr>
              <w:fldChar w:fldCharType="end"/>
            </w:r>
          </w:hyperlink>
        </w:p>
        <w:p w14:paraId="57612664" w14:textId="77777777" w:rsidR="00AD2B43" w:rsidRPr="00AD2B43" w:rsidRDefault="00AD2B43" w:rsidP="00AD2B43">
          <w:pPr>
            <w:tabs>
              <w:tab w:val="right" w:leader="dot" w:pos="9016"/>
            </w:tabs>
            <w:spacing w:after="100" w:line="276" w:lineRule="auto"/>
            <w:rPr>
              <w:rFonts w:eastAsiaTheme="minorEastAsia"/>
              <w:noProof/>
              <w:lang w:eastAsia="en-GB"/>
            </w:rPr>
          </w:pPr>
          <w:hyperlink r:id="rId13" w:anchor="_Toc224570063" w:history="1">
            <w:r w:rsidRPr="00AD2B43">
              <w:rPr>
                <w:noProof/>
                <w:color w:val="467886" w:themeColor="hyperlink"/>
                <w:u w:val="single"/>
              </w:rPr>
              <w:t>Stakeholder Engagement Frameworks and Tools</w:t>
            </w:r>
            <w:r w:rsidRPr="00AD2B43">
              <w:rPr>
                <w:noProof/>
                <w:webHidden/>
                <w:u w:val="single"/>
              </w:rPr>
              <w:tab/>
            </w:r>
            <w:r w:rsidRPr="00AD2B43">
              <w:rPr>
                <w:noProof/>
                <w:webHidden/>
                <w:u w:val="single"/>
              </w:rPr>
              <w:fldChar w:fldCharType="begin"/>
            </w:r>
            <w:r w:rsidRPr="00AD2B43">
              <w:rPr>
                <w:noProof/>
                <w:webHidden/>
                <w:u w:val="single"/>
              </w:rPr>
              <w:instrText xml:space="preserve"> PAGEREF _Toc224570063 \h </w:instrText>
            </w:r>
            <w:r w:rsidRPr="00AD2B43">
              <w:rPr>
                <w:noProof/>
                <w:webHidden/>
                <w:u w:val="single"/>
              </w:rPr>
            </w:r>
            <w:r w:rsidRPr="00AD2B43">
              <w:rPr>
                <w:noProof/>
                <w:webHidden/>
                <w:u w:val="single"/>
              </w:rPr>
              <w:fldChar w:fldCharType="separate"/>
            </w:r>
            <w:r w:rsidRPr="00AD2B43">
              <w:rPr>
                <w:noProof/>
                <w:webHidden/>
                <w:u w:val="single"/>
              </w:rPr>
              <w:t>12</w:t>
            </w:r>
            <w:r w:rsidRPr="00AD2B43">
              <w:rPr>
                <w:noProof/>
                <w:webHidden/>
                <w:u w:val="single"/>
              </w:rPr>
              <w:fldChar w:fldCharType="end"/>
            </w:r>
          </w:hyperlink>
        </w:p>
        <w:p w14:paraId="450A9DE0" w14:textId="77777777" w:rsidR="00AD2B43" w:rsidRPr="00AD2B43" w:rsidRDefault="00AD2B43" w:rsidP="00AD2B43">
          <w:pPr>
            <w:tabs>
              <w:tab w:val="right" w:leader="dot" w:pos="9016"/>
            </w:tabs>
            <w:spacing w:after="100" w:line="276" w:lineRule="auto"/>
            <w:rPr>
              <w:rFonts w:eastAsiaTheme="minorEastAsia"/>
              <w:noProof/>
              <w:lang w:eastAsia="en-GB"/>
            </w:rPr>
          </w:pPr>
          <w:hyperlink r:id="rId14" w:anchor="_Toc224570065" w:history="1">
            <w:r w:rsidRPr="00AD2B43">
              <w:rPr>
                <w:noProof/>
                <w:color w:val="467886" w:themeColor="hyperlink"/>
                <w:u w:val="single"/>
              </w:rPr>
              <w:t>Stakeholder Engagement Process and Conflict Management</w:t>
            </w:r>
            <w:r w:rsidRPr="00AD2B43">
              <w:rPr>
                <w:noProof/>
                <w:webHidden/>
                <w:u w:val="single"/>
              </w:rPr>
              <w:tab/>
            </w:r>
            <w:r w:rsidRPr="00AD2B43">
              <w:rPr>
                <w:noProof/>
                <w:webHidden/>
                <w:u w:val="single"/>
              </w:rPr>
              <w:fldChar w:fldCharType="begin"/>
            </w:r>
            <w:r w:rsidRPr="00AD2B43">
              <w:rPr>
                <w:noProof/>
                <w:webHidden/>
                <w:u w:val="single"/>
              </w:rPr>
              <w:instrText xml:space="preserve"> PAGEREF _Toc224570065 \h </w:instrText>
            </w:r>
            <w:r w:rsidRPr="00AD2B43">
              <w:rPr>
                <w:noProof/>
                <w:webHidden/>
                <w:u w:val="single"/>
              </w:rPr>
            </w:r>
            <w:r w:rsidRPr="00AD2B43">
              <w:rPr>
                <w:noProof/>
                <w:webHidden/>
                <w:u w:val="single"/>
              </w:rPr>
              <w:fldChar w:fldCharType="separate"/>
            </w:r>
            <w:r w:rsidRPr="00AD2B43">
              <w:rPr>
                <w:noProof/>
                <w:webHidden/>
                <w:u w:val="single"/>
              </w:rPr>
              <w:t>15</w:t>
            </w:r>
            <w:r w:rsidRPr="00AD2B43">
              <w:rPr>
                <w:noProof/>
                <w:webHidden/>
                <w:u w:val="single"/>
              </w:rPr>
              <w:fldChar w:fldCharType="end"/>
            </w:r>
          </w:hyperlink>
        </w:p>
        <w:p w14:paraId="43576228" w14:textId="77777777" w:rsidR="00AD2B43" w:rsidRPr="00AD2B43" w:rsidRDefault="00AD2B43" w:rsidP="00AD2B43">
          <w:pPr>
            <w:tabs>
              <w:tab w:val="right" w:leader="dot" w:pos="9016"/>
            </w:tabs>
            <w:spacing w:after="100" w:line="276" w:lineRule="auto"/>
            <w:rPr>
              <w:rFonts w:eastAsiaTheme="minorEastAsia"/>
              <w:noProof/>
              <w:lang w:eastAsia="en-GB"/>
            </w:rPr>
          </w:pPr>
          <w:hyperlink r:id="rId15" w:anchor="_Toc224570067" w:history="1">
            <w:r w:rsidRPr="00AD2B43">
              <w:rPr>
                <w:noProof/>
                <w:color w:val="467886" w:themeColor="hyperlink"/>
                <w:u w:val="single"/>
              </w:rPr>
              <w:t>Impact of Stakeholder Engagement on Business Performance</w:t>
            </w:r>
            <w:r w:rsidRPr="00AD2B43">
              <w:rPr>
                <w:noProof/>
                <w:webHidden/>
                <w:u w:val="single"/>
              </w:rPr>
              <w:tab/>
            </w:r>
            <w:r w:rsidRPr="00AD2B43">
              <w:rPr>
                <w:noProof/>
                <w:webHidden/>
                <w:u w:val="single"/>
              </w:rPr>
              <w:fldChar w:fldCharType="begin"/>
            </w:r>
            <w:r w:rsidRPr="00AD2B43">
              <w:rPr>
                <w:noProof/>
                <w:webHidden/>
                <w:u w:val="single"/>
              </w:rPr>
              <w:instrText xml:space="preserve"> PAGEREF _Toc224570067 \h </w:instrText>
            </w:r>
            <w:r w:rsidRPr="00AD2B43">
              <w:rPr>
                <w:noProof/>
                <w:webHidden/>
                <w:u w:val="single"/>
              </w:rPr>
            </w:r>
            <w:r w:rsidRPr="00AD2B43">
              <w:rPr>
                <w:noProof/>
                <w:webHidden/>
                <w:u w:val="single"/>
              </w:rPr>
              <w:fldChar w:fldCharType="separate"/>
            </w:r>
            <w:r w:rsidRPr="00AD2B43">
              <w:rPr>
                <w:noProof/>
                <w:webHidden/>
                <w:u w:val="single"/>
              </w:rPr>
              <w:t>18</w:t>
            </w:r>
            <w:r w:rsidRPr="00AD2B43">
              <w:rPr>
                <w:noProof/>
                <w:webHidden/>
                <w:u w:val="single"/>
              </w:rPr>
              <w:fldChar w:fldCharType="end"/>
            </w:r>
          </w:hyperlink>
        </w:p>
        <w:p w14:paraId="0A5D72D3" w14:textId="77777777" w:rsidR="00AD2B43" w:rsidRPr="00AD2B43" w:rsidRDefault="00AD2B43" w:rsidP="00AD2B43">
          <w:pPr>
            <w:tabs>
              <w:tab w:val="right" w:leader="dot" w:pos="9016"/>
            </w:tabs>
            <w:spacing w:after="100" w:line="276" w:lineRule="auto"/>
            <w:rPr>
              <w:rFonts w:eastAsiaTheme="minorEastAsia"/>
              <w:noProof/>
              <w:lang w:eastAsia="en-GB"/>
            </w:rPr>
          </w:pPr>
          <w:hyperlink r:id="rId16" w:anchor="_Toc224570068" w:history="1">
            <w:r w:rsidRPr="00AD2B43">
              <w:rPr>
                <w:noProof/>
                <w:color w:val="467886" w:themeColor="hyperlink"/>
                <w:u w:val="single"/>
              </w:rPr>
              <w:t>Recommendations for Future Stakeholder Engagement</w:t>
            </w:r>
            <w:r w:rsidRPr="00AD2B43">
              <w:rPr>
                <w:noProof/>
                <w:webHidden/>
                <w:u w:val="single"/>
              </w:rPr>
              <w:tab/>
            </w:r>
            <w:r w:rsidRPr="00AD2B43">
              <w:rPr>
                <w:noProof/>
                <w:webHidden/>
                <w:u w:val="single"/>
              </w:rPr>
              <w:fldChar w:fldCharType="begin"/>
            </w:r>
            <w:r w:rsidRPr="00AD2B43">
              <w:rPr>
                <w:noProof/>
                <w:webHidden/>
                <w:u w:val="single"/>
              </w:rPr>
              <w:instrText xml:space="preserve"> PAGEREF _Toc224570068 \h </w:instrText>
            </w:r>
            <w:r w:rsidRPr="00AD2B43">
              <w:rPr>
                <w:noProof/>
                <w:webHidden/>
                <w:u w:val="single"/>
              </w:rPr>
            </w:r>
            <w:r w:rsidRPr="00AD2B43">
              <w:rPr>
                <w:noProof/>
                <w:webHidden/>
                <w:u w:val="single"/>
              </w:rPr>
              <w:fldChar w:fldCharType="separate"/>
            </w:r>
            <w:r w:rsidRPr="00AD2B43">
              <w:rPr>
                <w:noProof/>
                <w:webHidden/>
                <w:u w:val="single"/>
              </w:rPr>
              <w:t>20</w:t>
            </w:r>
            <w:r w:rsidRPr="00AD2B43">
              <w:rPr>
                <w:noProof/>
                <w:webHidden/>
                <w:u w:val="single"/>
              </w:rPr>
              <w:fldChar w:fldCharType="end"/>
            </w:r>
          </w:hyperlink>
        </w:p>
        <w:p w14:paraId="3E0AB768" w14:textId="77777777" w:rsidR="00AD2B43" w:rsidRPr="00AD2B43" w:rsidRDefault="00AD2B43" w:rsidP="00AD2B43">
          <w:pPr>
            <w:tabs>
              <w:tab w:val="right" w:leader="dot" w:pos="9016"/>
            </w:tabs>
            <w:spacing w:after="100" w:line="276" w:lineRule="auto"/>
            <w:rPr>
              <w:rFonts w:eastAsiaTheme="minorEastAsia"/>
              <w:noProof/>
              <w:lang w:eastAsia="en-GB"/>
            </w:rPr>
          </w:pPr>
          <w:hyperlink r:id="rId17" w:anchor="_Toc224570069" w:history="1">
            <w:r w:rsidRPr="00AD2B43">
              <w:rPr>
                <w:noProof/>
                <w:color w:val="467886" w:themeColor="hyperlink"/>
                <w:u w:val="single"/>
              </w:rPr>
              <w:t>Conclusion</w:t>
            </w:r>
            <w:r w:rsidRPr="00AD2B43">
              <w:rPr>
                <w:noProof/>
                <w:webHidden/>
                <w:u w:val="single"/>
              </w:rPr>
              <w:tab/>
            </w:r>
            <w:r w:rsidRPr="00AD2B43">
              <w:rPr>
                <w:noProof/>
                <w:webHidden/>
                <w:u w:val="single"/>
              </w:rPr>
              <w:fldChar w:fldCharType="begin"/>
            </w:r>
            <w:r w:rsidRPr="00AD2B43">
              <w:rPr>
                <w:noProof/>
                <w:webHidden/>
                <w:u w:val="single"/>
              </w:rPr>
              <w:instrText xml:space="preserve"> PAGEREF _Toc224570069 \h </w:instrText>
            </w:r>
            <w:r w:rsidRPr="00AD2B43">
              <w:rPr>
                <w:noProof/>
                <w:webHidden/>
                <w:u w:val="single"/>
              </w:rPr>
            </w:r>
            <w:r w:rsidRPr="00AD2B43">
              <w:rPr>
                <w:noProof/>
                <w:webHidden/>
                <w:u w:val="single"/>
              </w:rPr>
              <w:fldChar w:fldCharType="separate"/>
            </w:r>
            <w:r w:rsidRPr="00AD2B43">
              <w:rPr>
                <w:noProof/>
                <w:webHidden/>
                <w:u w:val="single"/>
              </w:rPr>
              <w:t>21</w:t>
            </w:r>
            <w:r w:rsidRPr="00AD2B43">
              <w:rPr>
                <w:noProof/>
                <w:webHidden/>
                <w:u w:val="single"/>
              </w:rPr>
              <w:fldChar w:fldCharType="end"/>
            </w:r>
          </w:hyperlink>
        </w:p>
        <w:p w14:paraId="3C2AF7CF" w14:textId="77777777" w:rsidR="00AD2B43" w:rsidRPr="00AD2B43" w:rsidRDefault="00AD2B43" w:rsidP="00AD2B43">
          <w:pPr>
            <w:tabs>
              <w:tab w:val="right" w:leader="dot" w:pos="9016"/>
            </w:tabs>
            <w:spacing w:after="100" w:line="276" w:lineRule="auto"/>
            <w:rPr>
              <w:rFonts w:eastAsiaTheme="minorEastAsia"/>
              <w:noProof/>
              <w:lang w:eastAsia="en-GB"/>
            </w:rPr>
          </w:pPr>
          <w:hyperlink r:id="rId18" w:anchor="_Toc224570070" w:history="1">
            <w:r w:rsidRPr="00AD2B43">
              <w:rPr>
                <w:noProof/>
                <w:color w:val="467886" w:themeColor="hyperlink"/>
                <w:u w:val="single"/>
              </w:rPr>
              <w:t>References</w:t>
            </w:r>
            <w:r w:rsidRPr="00AD2B43">
              <w:rPr>
                <w:noProof/>
                <w:webHidden/>
                <w:u w:val="single"/>
              </w:rPr>
              <w:tab/>
            </w:r>
            <w:r w:rsidRPr="00AD2B43">
              <w:rPr>
                <w:noProof/>
                <w:webHidden/>
                <w:u w:val="single"/>
              </w:rPr>
              <w:fldChar w:fldCharType="begin"/>
            </w:r>
            <w:r w:rsidRPr="00AD2B43">
              <w:rPr>
                <w:noProof/>
                <w:webHidden/>
                <w:u w:val="single"/>
              </w:rPr>
              <w:instrText xml:space="preserve"> PAGEREF _Toc224570070 \h </w:instrText>
            </w:r>
            <w:r w:rsidRPr="00AD2B43">
              <w:rPr>
                <w:noProof/>
                <w:webHidden/>
                <w:u w:val="single"/>
              </w:rPr>
            </w:r>
            <w:r w:rsidRPr="00AD2B43">
              <w:rPr>
                <w:noProof/>
                <w:webHidden/>
                <w:u w:val="single"/>
              </w:rPr>
              <w:fldChar w:fldCharType="separate"/>
            </w:r>
            <w:r w:rsidRPr="00AD2B43">
              <w:rPr>
                <w:noProof/>
                <w:webHidden/>
                <w:u w:val="single"/>
              </w:rPr>
              <w:t>22</w:t>
            </w:r>
            <w:r w:rsidRPr="00AD2B43">
              <w:rPr>
                <w:noProof/>
                <w:webHidden/>
                <w:u w:val="single"/>
              </w:rPr>
              <w:fldChar w:fldCharType="end"/>
            </w:r>
          </w:hyperlink>
        </w:p>
        <w:p w14:paraId="577190AC" w14:textId="77777777" w:rsidR="00AD2B43" w:rsidRPr="00AD2B43" w:rsidRDefault="00AD2B43" w:rsidP="00AD2B43">
          <w:pPr>
            <w:spacing w:line="276" w:lineRule="auto"/>
            <w:rPr>
              <w:b/>
              <w:bCs/>
            </w:rPr>
          </w:pPr>
          <w:r w:rsidRPr="00AD2B43">
            <w:rPr>
              <w:b/>
              <w:bCs/>
            </w:rPr>
            <w:fldChar w:fldCharType="end"/>
          </w:r>
        </w:p>
      </w:sdtContent>
    </w:sdt>
    <w:p w14:paraId="3AC7F379" w14:textId="77777777" w:rsidR="00AD2B43" w:rsidRPr="00AD2B43" w:rsidRDefault="00AD2B43" w:rsidP="00AD2B43">
      <w:pPr>
        <w:spacing w:line="276" w:lineRule="auto"/>
        <w:jc w:val="center"/>
      </w:pPr>
    </w:p>
    <w:p w14:paraId="23D42C65" w14:textId="77777777" w:rsidR="00AD2B43" w:rsidRPr="00AD2B43" w:rsidRDefault="00AD2B43" w:rsidP="00AD2B43">
      <w:pPr>
        <w:spacing w:line="276" w:lineRule="auto"/>
        <w:ind w:left="720"/>
        <w:contextualSpacing/>
      </w:pPr>
    </w:p>
    <w:p w14:paraId="1DB7E474" w14:textId="77777777" w:rsidR="00AD2B43" w:rsidRPr="00AD2B43" w:rsidRDefault="00AD2B43" w:rsidP="00AD2B43">
      <w:pPr>
        <w:spacing w:line="276" w:lineRule="auto"/>
        <w:jc w:val="center"/>
      </w:pPr>
    </w:p>
    <w:p w14:paraId="32C3EDBD" w14:textId="77777777" w:rsidR="00AD2B43" w:rsidRPr="00AD2B43" w:rsidRDefault="00AD2B43" w:rsidP="00AD2B43">
      <w:pPr>
        <w:spacing w:line="276" w:lineRule="auto"/>
        <w:jc w:val="center"/>
      </w:pPr>
    </w:p>
    <w:p w14:paraId="21843CF6" w14:textId="77777777" w:rsidR="00AD2B43" w:rsidRPr="00AD2B43" w:rsidRDefault="00AD2B43" w:rsidP="00AD2B43">
      <w:pPr>
        <w:spacing w:line="276" w:lineRule="auto"/>
        <w:jc w:val="center"/>
      </w:pPr>
    </w:p>
    <w:p w14:paraId="69235FEA" w14:textId="77777777" w:rsidR="00AD2B43" w:rsidRPr="00AD2B43" w:rsidRDefault="00AD2B43" w:rsidP="00AD2B43">
      <w:pPr>
        <w:spacing w:line="276" w:lineRule="auto"/>
        <w:jc w:val="center"/>
      </w:pPr>
    </w:p>
    <w:p w14:paraId="0D2376D7" w14:textId="77777777" w:rsidR="00AD2B43" w:rsidRPr="00AD2B43" w:rsidRDefault="00AD2B43" w:rsidP="00AD2B43">
      <w:pPr>
        <w:spacing w:line="276" w:lineRule="auto"/>
        <w:jc w:val="center"/>
      </w:pPr>
    </w:p>
    <w:p w14:paraId="2492DFFD" w14:textId="77777777" w:rsidR="00AD2B43" w:rsidRPr="00AD2B43" w:rsidRDefault="00AD2B43" w:rsidP="00AD2B43">
      <w:pPr>
        <w:spacing w:line="276" w:lineRule="auto"/>
        <w:jc w:val="center"/>
      </w:pPr>
    </w:p>
    <w:p w14:paraId="31A7A422" w14:textId="77777777" w:rsidR="00AD2B43" w:rsidRPr="00AD2B43" w:rsidRDefault="00AD2B43" w:rsidP="00AD2B43">
      <w:pPr>
        <w:spacing w:line="276" w:lineRule="auto"/>
        <w:jc w:val="center"/>
      </w:pPr>
    </w:p>
    <w:p w14:paraId="0750812D" w14:textId="77777777" w:rsidR="00AD2B43" w:rsidRPr="00AD2B43" w:rsidRDefault="00AD2B43" w:rsidP="00AD2B43">
      <w:pPr>
        <w:spacing w:line="276" w:lineRule="auto"/>
        <w:jc w:val="center"/>
      </w:pPr>
    </w:p>
    <w:p w14:paraId="36784023" w14:textId="77777777" w:rsidR="00AD2B43" w:rsidRPr="00AD2B43" w:rsidRDefault="00AD2B43" w:rsidP="00AD2B43">
      <w:pPr>
        <w:spacing w:line="276" w:lineRule="auto"/>
        <w:jc w:val="center"/>
      </w:pPr>
    </w:p>
    <w:p w14:paraId="3E415FAC" w14:textId="77777777" w:rsidR="00AD2B43" w:rsidRPr="00AD2B43" w:rsidRDefault="00AD2B43" w:rsidP="00AD2B43">
      <w:pPr>
        <w:spacing w:line="276" w:lineRule="auto"/>
        <w:jc w:val="center"/>
      </w:pPr>
    </w:p>
    <w:p w14:paraId="6D0024F8" w14:textId="77777777" w:rsidR="00AD2B43" w:rsidRPr="00AD2B43" w:rsidRDefault="00AD2B43" w:rsidP="00AD2B43">
      <w:pPr>
        <w:spacing w:line="276" w:lineRule="auto"/>
      </w:pPr>
    </w:p>
    <w:p w14:paraId="399735FB" w14:textId="77777777" w:rsidR="00AD2B43" w:rsidRPr="00AD2B43" w:rsidRDefault="00AD2B43" w:rsidP="00AD2B43">
      <w:pPr>
        <w:tabs>
          <w:tab w:val="left" w:pos="1798"/>
        </w:tabs>
        <w:spacing w:line="276" w:lineRule="auto"/>
      </w:pPr>
    </w:p>
    <w:p w14:paraId="78FEA9A2" w14:textId="77777777" w:rsidR="00AD2B43" w:rsidRPr="00AD2B43" w:rsidRDefault="00AD2B43" w:rsidP="00AD2B43">
      <w:pPr>
        <w:tabs>
          <w:tab w:val="left" w:pos="1798"/>
        </w:tabs>
        <w:spacing w:line="360" w:lineRule="auto"/>
        <w:rPr>
          <w:rFonts w:ascii="Arial" w:hAnsi="Arial" w:cs="Arial"/>
          <w:b/>
          <w:bCs/>
          <w:sz w:val="22"/>
          <w:szCs w:val="22"/>
        </w:rPr>
      </w:pPr>
    </w:p>
    <w:p w14:paraId="5CBEA8AE" w14:textId="77777777" w:rsidR="00AD2B43" w:rsidRPr="00AD2B43" w:rsidRDefault="00AD2B43" w:rsidP="00AD2B43">
      <w:pPr>
        <w:tabs>
          <w:tab w:val="left" w:pos="1798"/>
        </w:tabs>
        <w:spacing w:line="360" w:lineRule="auto"/>
        <w:rPr>
          <w:rFonts w:ascii="Arial" w:hAnsi="Arial" w:cs="Arial"/>
          <w:b/>
          <w:bCs/>
          <w:sz w:val="22"/>
          <w:szCs w:val="22"/>
        </w:rPr>
      </w:pPr>
      <w:r w:rsidRPr="00AD2B43">
        <w:rPr>
          <w:rFonts w:ascii="Arial" w:hAnsi="Arial" w:cs="Arial"/>
          <w:b/>
          <w:bCs/>
          <w:sz w:val="22"/>
          <w:szCs w:val="22"/>
        </w:rPr>
        <w:t xml:space="preserve">Introduction to the Company and </w:t>
      </w:r>
      <w:proofErr w:type="spellStart"/>
      <w:r w:rsidRPr="00AD2B43">
        <w:rPr>
          <w:rFonts w:ascii="Arial" w:hAnsi="Arial" w:cs="Arial"/>
          <w:b/>
          <w:bCs/>
          <w:sz w:val="22"/>
          <w:szCs w:val="22"/>
        </w:rPr>
        <w:t>StaySmart+Project</w:t>
      </w:r>
      <w:proofErr w:type="spellEnd"/>
      <w:r w:rsidRPr="00AD2B43">
        <w:rPr>
          <w:rFonts w:ascii="Arial" w:hAnsi="Arial" w:cs="Arial"/>
          <w:b/>
          <w:bCs/>
          <w:sz w:val="22"/>
          <w:szCs w:val="22"/>
        </w:rPr>
        <w:t xml:space="preserve"> at Hilton Hotels</w:t>
      </w:r>
    </w:p>
    <w:p w14:paraId="195A0CBB"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lastRenderedPageBreak/>
        <w:t>Hilton Worldwide Holdings Inc. is a global hospitality leader with 100 years of history, operating 9,100+ properties and 1.3 million room in 143 countries. Also, with 26 award-winning brands and more than 243 million Hilton Honors members, its known for delivering exceptional service worldwide, (Hilton Corporate, 2026). Hilton is among the largest and most renowned hospitality organisations. The company oversees a varied portfolio of brands, encompassing luxury and premium hotels as well as mid-scale and extended-stay establishments.  Hilton’s primary operations are on lodging, food and beverage services, event management, and digital guest experiences provided through both owned and franchised hotels</w:t>
      </w:r>
      <w:r w:rsidRPr="00AD2B43">
        <w:rPr>
          <w:rFonts w:ascii="Arial" w:hAnsi="Arial" w:cs="Arial"/>
          <w:b/>
          <w:bCs/>
          <w:sz w:val="22"/>
          <w:szCs w:val="22"/>
        </w:rPr>
        <w:t>.</w:t>
      </w:r>
      <w:r w:rsidRPr="00AD2B43">
        <w:rPr>
          <w:rFonts w:ascii="Arial" w:hAnsi="Arial" w:cs="Arial"/>
          <w:sz w:val="22"/>
          <w:szCs w:val="22"/>
        </w:rPr>
        <w:t xml:space="preserve">  The organisation deliberately portrays itself as a technology-driven and customer-focused hospitality provider, highlighting innovation, loyalty, and sustainable practices. The Hilton has a branded loyalty program named Hilton Honors. The worldwide reward program, facilities personalised engagement and fosters recurrent customer relationship across international markets.</w:t>
      </w:r>
      <w:r w:rsidRPr="00AD2B43">
        <w:rPr>
          <w:rFonts w:ascii="Arial" w:eastAsia="Times New Roman" w:hAnsi="Arial" w:cs="Arial"/>
          <w:kern w:val="0"/>
          <w:sz w:val="22"/>
          <w:szCs w:val="22"/>
          <w:lang w:eastAsia="en-GB"/>
          <w14:ligatures w14:val="none"/>
        </w:rPr>
        <w:t xml:space="preserve"> </w:t>
      </w:r>
      <w:r w:rsidRPr="00AD2B43">
        <w:rPr>
          <w:rFonts w:ascii="Arial" w:hAnsi="Arial" w:cs="Arial"/>
          <w:sz w:val="22"/>
          <w:szCs w:val="22"/>
        </w:rPr>
        <w:t>(Hilton.com, 2026)</w:t>
      </w:r>
    </w:p>
    <w:p w14:paraId="2EA71C87" w14:textId="77777777" w:rsidR="00AD2B43" w:rsidRPr="00AD2B43" w:rsidRDefault="00AD2B43" w:rsidP="00AD2B43">
      <w:pPr>
        <w:tabs>
          <w:tab w:val="left" w:pos="1798"/>
        </w:tabs>
        <w:spacing w:line="360" w:lineRule="auto"/>
        <w:rPr>
          <w:rFonts w:ascii="Arial" w:hAnsi="Arial" w:cs="Arial"/>
          <w:sz w:val="22"/>
          <w:szCs w:val="22"/>
        </w:rPr>
      </w:pPr>
    </w:p>
    <w:p w14:paraId="5BFE4287"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 xml:space="preserve">This research analyses the worldwide implementation of </w:t>
      </w:r>
      <w:proofErr w:type="spellStart"/>
      <w:r w:rsidRPr="00AD2B43">
        <w:rPr>
          <w:rFonts w:ascii="Arial" w:hAnsi="Arial" w:cs="Arial"/>
          <w:sz w:val="22"/>
          <w:szCs w:val="22"/>
        </w:rPr>
        <w:t>StaySmart</w:t>
      </w:r>
      <w:proofErr w:type="spellEnd"/>
      <w:r w:rsidRPr="00AD2B43">
        <w:rPr>
          <w:rFonts w:ascii="Arial" w:hAnsi="Arial" w:cs="Arial"/>
          <w:sz w:val="22"/>
          <w:szCs w:val="22"/>
        </w:rPr>
        <w:t xml:space="preserve">+, a premium service aimed at improving guest experience via artificial intelligence-driven engagement, customised travel planning, and sustainable facilities. The service incorporates AI chat and concierge capabilities, smart-room controls, and sustainability-oriented features, including energy-efficient settings and eco-friendly in-room goods. Hilton intends to launch </w:t>
      </w:r>
      <w:proofErr w:type="spellStart"/>
      <w:r w:rsidRPr="00AD2B43">
        <w:rPr>
          <w:rFonts w:ascii="Arial" w:hAnsi="Arial" w:cs="Arial"/>
          <w:sz w:val="22"/>
          <w:szCs w:val="22"/>
        </w:rPr>
        <w:t>StaySmart</w:t>
      </w:r>
      <w:proofErr w:type="spellEnd"/>
      <w:r w:rsidRPr="00AD2B43">
        <w:rPr>
          <w:rFonts w:ascii="Arial" w:hAnsi="Arial" w:cs="Arial"/>
          <w:sz w:val="22"/>
          <w:szCs w:val="22"/>
        </w:rPr>
        <w:t xml:space="preserve">+ first in select flagship and premium properties, with ambitions for worldwide expansion within six months. The program corresponds with the organisation strategic goals of digital transformation, service differentiation, and sustainable hospitality leadership. </w:t>
      </w:r>
    </w:p>
    <w:p w14:paraId="444B2CEE"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 xml:space="preserve">The implantation of </w:t>
      </w:r>
      <w:proofErr w:type="spellStart"/>
      <w:r w:rsidRPr="00AD2B43">
        <w:rPr>
          <w:rFonts w:ascii="Arial" w:hAnsi="Arial" w:cs="Arial"/>
          <w:sz w:val="22"/>
          <w:szCs w:val="22"/>
        </w:rPr>
        <w:t>StaySmart</w:t>
      </w:r>
      <w:proofErr w:type="spellEnd"/>
      <w:r w:rsidRPr="00AD2B43">
        <w:rPr>
          <w:rFonts w:ascii="Arial" w:hAnsi="Arial" w:cs="Arial"/>
          <w:sz w:val="22"/>
          <w:szCs w:val="22"/>
        </w:rPr>
        <w:t xml:space="preserve">+ throughout Hilton’s global operations introduces considerable stakeholder complexity. Hospitality services depend significantly on interpersonal interaction and cultural adaption, necessitating that technology implementation be meticulously aligned with local service expectations. Regulatory frameworks for data protection and artificial intelligence use differ throughout nations, heightening compliance obligations. Consequently, effective implementation relies on the synchronised involvement of internal stakeholders, including leadership, hotel management, staff, IT teams and marketing departments, alongside external stakeholders such as guests, technology suppliers, regulators, and sustainability partners. </w:t>
      </w:r>
    </w:p>
    <w:p w14:paraId="130771EB"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 xml:space="preserve">This report examines how Hilton can efficiently identify, engage, and manage stakeholders to guarantee the successful design, launch, and acceptance </w:t>
      </w:r>
      <w:proofErr w:type="gramStart"/>
      <w:r w:rsidRPr="00AD2B43">
        <w:rPr>
          <w:rFonts w:ascii="Arial" w:hAnsi="Arial" w:cs="Arial"/>
          <w:sz w:val="22"/>
          <w:szCs w:val="22"/>
        </w:rPr>
        <w:t xml:space="preserve">of  </w:t>
      </w:r>
      <w:proofErr w:type="spellStart"/>
      <w:r w:rsidRPr="00AD2B43">
        <w:rPr>
          <w:rFonts w:ascii="Arial" w:hAnsi="Arial" w:cs="Arial"/>
          <w:sz w:val="22"/>
          <w:szCs w:val="22"/>
        </w:rPr>
        <w:t>StaySmart</w:t>
      </w:r>
      <w:proofErr w:type="spellEnd"/>
      <w:proofErr w:type="gramEnd"/>
      <w:r w:rsidRPr="00AD2B43">
        <w:rPr>
          <w:rFonts w:ascii="Arial" w:hAnsi="Arial" w:cs="Arial"/>
          <w:sz w:val="22"/>
          <w:szCs w:val="22"/>
        </w:rPr>
        <w:t xml:space="preserve">+ in various worldwide regions. The analysis employs stakeholder theory, engagement frameworks, and </w:t>
      </w:r>
      <w:r w:rsidRPr="00AD2B43">
        <w:rPr>
          <w:rFonts w:ascii="Arial" w:hAnsi="Arial" w:cs="Arial"/>
          <w:sz w:val="22"/>
          <w:szCs w:val="22"/>
        </w:rPr>
        <w:lastRenderedPageBreak/>
        <w:t>strategic management concepts to assess the benefits, risks and performance consequences of stakeholder engagement in a large-scale hospitality innovation project.</w:t>
      </w:r>
    </w:p>
    <w:p w14:paraId="1FA9F47A" w14:textId="77777777" w:rsidR="00AD2B43" w:rsidRPr="00AD2B43" w:rsidRDefault="00AD2B43" w:rsidP="00AD2B43">
      <w:pPr>
        <w:tabs>
          <w:tab w:val="left" w:pos="1798"/>
        </w:tabs>
        <w:spacing w:line="360" w:lineRule="auto"/>
        <w:rPr>
          <w:rFonts w:ascii="Arial" w:hAnsi="Arial" w:cs="Arial"/>
          <w:b/>
          <w:bCs/>
          <w:sz w:val="22"/>
          <w:szCs w:val="22"/>
        </w:rPr>
      </w:pPr>
      <w:r w:rsidRPr="00AD2B43">
        <w:rPr>
          <w:rFonts w:ascii="Arial" w:hAnsi="Arial" w:cs="Arial"/>
          <w:b/>
          <w:bCs/>
          <w:sz w:val="22"/>
          <w:szCs w:val="22"/>
        </w:rPr>
        <w:t xml:space="preserve">Situational Analysis of </w:t>
      </w:r>
      <w:proofErr w:type="spellStart"/>
      <w:r w:rsidRPr="00AD2B43">
        <w:rPr>
          <w:rFonts w:ascii="Arial" w:hAnsi="Arial" w:cs="Arial"/>
          <w:b/>
          <w:bCs/>
          <w:sz w:val="22"/>
          <w:szCs w:val="22"/>
        </w:rPr>
        <w:t>StaySmart</w:t>
      </w:r>
      <w:proofErr w:type="spellEnd"/>
      <w:r w:rsidRPr="00AD2B43">
        <w:rPr>
          <w:rFonts w:ascii="Arial" w:hAnsi="Arial" w:cs="Arial"/>
          <w:b/>
          <w:bCs/>
          <w:sz w:val="22"/>
          <w:szCs w:val="22"/>
        </w:rPr>
        <w:t>+ at Hilton</w:t>
      </w:r>
    </w:p>
    <w:p w14:paraId="5614B753"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 xml:space="preserve">The implementation of </w:t>
      </w:r>
      <w:proofErr w:type="spellStart"/>
      <w:r w:rsidRPr="00AD2B43">
        <w:rPr>
          <w:rFonts w:ascii="Arial" w:hAnsi="Arial" w:cs="Arial"/>
          <w:sz w:val="22"/>
          <w:szCs w:val="22"/>
        </w:rPr>
        <w:t>StaySmart</w:t>
      </w:r>
      <w:proofErr w:type="spellEnd"/>
      <w:r w:rsidRPr="00AD2B43">
        <w:rPr>
          <w:rFonts w:ascii="Arial" w:hAnsi="Arial" w:cs="Arial"/>
          <w:sz w:val="22"/>
          <w:szCs w:val="22"/>
        </w:rPr>
        <w:t xml:space="preserve">+ throughout Hilton’s global portfolio necessitates a thorough assessment of the internal and external environments affecting stakeholder engagement and project viability.  According to </w:t>
      </w:r>
      <w:proofErr w:type="spellStart"/>
      <w:r w:rsidRPr="00AD2B43">
        <w:rPr>
          <w:rFonts w:ascii="Arial" w:hAnsi="Arial" w:cs="Arial"/>
          <w:sz w:val="22"/>
          <w:szCs w:val="22"/>
        </w:rPr>
        <w:t>Appinio</w:t>
      </w:r>
      <w:proofErr w:type="spellEnd"/>
      <w:r w:rsidRPr="00AD2B43">
        <w:rPr>
          <w:rFonts w:ascii="Arial" w:hAnsi="Arial" w:cs="Arial"/>
          <w:sz w:val="22"/>
          <w:szCs w:val="22"/>
        </w:rPr>
        <w:t xml:space="preserve"> Research, (2024) Situational Analysis is the process of evaluating organisation’s internal and external strengths and weaknesses as well as external opportunities and threats to understand its current position. It helps leaders make informed decisions, plan effective strategies, manage risk and adapt of changes in a competitive environment. A structured situational analysis employing SWOT and PESTLE frameworks offers insight into Hilton’s strategic readiness to deploy AI- enabled hospitality services.</w:t>
      </w:r>
    </w:p>
    <w:p w14:paraId="73C9BE2C" w14:textId="77777777" w:rsidR="00AD2B43" w:rsidRPr="00AD2B43" w:rsidRDefault="00AD2B43" w:rsidP="00AD2B43">
      <w:pPr>
        <w:tabs>
          <w:tab w:val="left" w:pos="1798"/>
        </w:tabs>
        <w:spacing w:line="360" w:lineRule="auto"/>
        <w:rPr>
          <w:rFonts w:ascii="Arial" w:hAnsi="Arial" w:cs="Arial"/>
          <w:sz w:val="22"/>
          <w:szCs w:val="22"/>
        </w:rPr>
      </w:pPr>
    </w:p>
    <w:p w14:paraId="1D9181B7" w14:textId="77777777" w:rsidR="00AD2B43" w:rsidRPr="00AD2B43" w:rsidRDefault="00AD2B43" w:rsidP="00AD2B43">
      <w:pPr>
        <w:tabs>
          <w:tab w:val="left" w:pos="1798"/>
        </w:tabs>
        <w:spacing w:line="360" w:lineRule="auto"/>
        <w:rPr>
          <w:rFonts w:ascii="Arial" w:hAnsi="Arial" w:cs="Arial"/>
          <w:sz w:val="22"/>
          <w:szCs w:val="22"/>
        </w:rPr>
      </w:pPr>
    </w:p>
    <w:p w14:paraId="722A1A53" w14:textId="77777777" w:rsidR="00AD2B43" w:rsidRPr="00AD2B43" w:rsidRDefault="00AD2B43" w:rsidP="00AD2B43">
      <w:pPr>
        <w:tabs>
          <w:tab w:val="left" w:pos="1798"/>
        </w:tabs>
        <w:spacing w:line="360" w:lineRule="auto"/>
        <w:rPr>
          <w:rFonts w:ascii="Arial" w:hAnsi="Arial" w:cs="Arial"/>
          <w:b/>
          <w:bCs/>
          <w:sz w:val="22"/>
          <w:szCs w:val="22"/>
        </w:rPr>
      </w:pPr>
      <w:r w:rsidRPr="00AD2B43">
        <w:rPr>
          <w:rFonts w:ascii="Arial" w:hAnsi="Arial" w:cs="Arial"/>
          <w:b/>
          <w:bCs/>
          <w:sz w:val="22"/>
          <w:szCs w:val="22"/>
        </w:rPr>
        <w:t xml:space="preserve">Strengths </w:t>
      </w:r>
    </w:p>
    <w:p w14:paraId="5440E1FB"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 xml:space="preserve">From an organisational standpoint, Hilton has several characteristics that help the </w:t>
      </w:r>
      <w:proofErr w:type="spellStart"/>
      <w:r w:rsidRPr="00AD2B43">
        <w:rPr>
          <w:rFonts w:ascii="Arial" w:hAnsi="Arial" w:cs="Arial"/>
          <w:sz w:val="22"/>
          <w:szCs w:val="22"/>
        </w:rPr>
        <w:t>StaySmart</w:t>
      </w:r>
      <w:proofErr w:type="spellEnd"/>
      <w:r w:rsidRPr="00AD2B43">
        <w:rPr>
          <w:rFonts w:ascii="Arial" w:hAnsi="Arial" w:cs="Arial"/>
          <w:sz w:val="22"/>
          <w:szCs w:val="22"/>
        </w:rPr>
        <w:t>+ project.  Through Hilton Honours, the firm has a robust global brand recognition and a vast loyalty ecosystem that provides access to a wealth pf guest data and existing customer relationships. These tools support targeted marketing and the creation of individualised services. Hilton has also shown organisational experience in technology-driven service innovation by making large investments in digital guest technologies like digital room keys and mobile check-in. Organisations with significant brand equity and technological capabilities are better positioned to successfully offer service innovations, according to strategic management theory (Porter, 1985).</w:t>
      </w:r>
    </w:p>
    <w:p w14:paraId="582A2F87" w14:textId="77777777" w:rsidR="00AD2B43" w:rsidRPr="00AD2B43" w:rsidRDefault="00AD2B43" w:rsidP="00AD2B43">
      <w:pPr>
        <w:tabs>
          <w:tab w:val="left" w:pos="1798"/>
        </w:tabs>
        <w:spacing w:line="360" w:lineRule="auto"/>
        <w:rPr>
          <w:rFonts w:ascii="Arial" w:hAnsi="Arial" w:cs="Arial"/>
          <w:b/>
          <w:bCs/>
          <w:sz w:val="22"/>
          <w:szCs w:val="22"/>
        </w:rPr>
      </w:pPr>
      <w:r w:rsidRPr="00AD2B43">
        <w:rPr>
          <w:rFonts w:ascii="Arial" w:hAnsi="Arial" w:cs="Arial"/>
          <w:b/>
          <w:bCs/>
          <w:sz w:val="22"/>
          <w:szCs w:val="22"/>
        </w:rPr>
        <w:t xml:space="preserve">Weaknesses </w:t>
      </w:r>
    </w:p>
    <w:p w14:paraId="656E239C"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 xml:space="preserve">However, execution and stakeholder adoption may be impacted by several key challenges. When implementing new technologies across properties with varying infrastructure maturity, integration becomes difficult due to Hilton’s global operation’s size and diversity. Certain hotels function under franchise agreements, which restricts their direct control over staff training requirements and technology investments. Additionally, employee’s digital skill levels differ by region, which could lower service quality and adoption uniformity. These shortcomings emphasise how crucial stakeholder interaction is to ensuing alignment and capability development, especially with franchise partners and staff. </w:t>
      </w:r>
    </w:p>
    <w:p w14:paraId="4D590225" w14:textId="77777777" w:rsidR="00AD2B43" w:rsidRPr="00AD2B43" w:rsidRDefault="00AD2B43" w:rsidP="00AD2B43">
      <w:pPr>
        <w:tabs>
          <w:tab w:val="left" w:pos="1798"/>
        </w:tabs>
        <w:spacing w:line="360" w:lineRule="auto"/>
        <w:rPr>
          <w:rFonts w:ascii="Arial" w:hAnsi="Arial" w:cs="Arial"/>
          <w:b/>
          <w:bCs/>
          <w:sz w:val="22"/>
          <w:szCs w:val="22"/>
        </w:rPr>
      </w:pPr>
      <w:r w:rsidRPr="00AD2B43">
        <w:rPr>
          <w:rFonts w:ascii="Arial" w:hAnsi="Arial" w:cs="Arial"/>
          <w:b/>
          <w:bCs/>
          <w:sz w:val="22"/>
          <w:szCs w:val="22"/>
        </w:rPr>
        <w:lastRenderedPageBreak/>
        <w:t>Opportunities</w:t>
      </w:r>
    </w:p>
    <w:p w14:paraId="6AB4238D"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 xml:space="preserve">The </w:t>
      </w:r>
      <w:proofErr w:type="spellStart"/>
      <w:r w:rsidRPr="00AD2B43">
        <w:rPr>
          <w:rFonts w:ascii="Arial" w:hAnsi="Arial" w:cs="Arial"/>
          <w:sz w:val="22"/>
          <w:szCs w:val="22"/>
        </w:rPr>
        <w:t>StaySmart</w:t>
      </w:r>
      <w:proofErr w:type="spellEnd"/>
      <w:r w:rsidRPr="00AD2B43">
        <w:rPr>
          <w:rFonts w:ascii="Arial" w:hAnsi="Arial" w:cs="Arial"/>
          <w:sz w:val="22"/>
          <w:szCs w:val="22"/>
        </w:rPr>
        <w:t xml:space="preserve">+ concept is significantly supported by external </w:t>
      </w:r>
      <w:r w:rsidRPr="00AD2B43">
        <w:rPr>
          <w:rFonts w:ascii="Arial" w:hAnsi="Arial" w:cs="Arial"/>
          <w:b/>
          <w:bCs/>
          <w:sz w:val="22"/>
          <w:szCs w:val="22"/>
        </w:rPr>
        <w:t>opportunities</w:t>
      </w:r>
      <w:r w:rsidRPr="00AD2B43">
        <w:rPr>
          <w:rFonts w:ascii="Arial" w:hAnsi="Arial" w:cs="Arial"/>
          <w:sz w:val="22"/>
          <w:szCs w:val="22"/>
        </w:rPr>
        <w:t xml:space="preserve">.  Global trends in hospitality show that guests are demanding more individualised experiences, smooth online communication, and eco-friendly lodging. Travellers are expecting hotels to provide mobile services, sustainability transparency, and smart-room amenities. Therefore, </w:t>
      </w:r>
      <w:proofErr w:type="spellStart"/>
      <w:r w:rsidRPr="00AD2B43">
        <w:rPr>
          <w:rFonts w:ascii="Arial" w:hAnsi="Arial" w:cs="Arial"/>
          <w:sz w:val="22"/>
          <w:szCs w:val="22"/>
        </w:rPr>
        <w:t>StaySmart</w:t>
      </w:r>
      <w:proofErr w:type="spellEnd"/>
      <w:r w:rsidRPr="00AD2B43">
        <w:rPr>
          <w:rFonts w:ascii="Arial" w:hAnsi="Arial" w:cs="Arial"/>
          <w:sz w:val="22"/>
          <w:szCs w:val="22"/>
        </w:rPr>
        <w:t xml:space="preserve">+ gives Hilton a chance to stand out in the premium market and improve customer loyalty. Stakeholder acceptance of the service is facilitated by technology maturity and market demand. </w:t>
      </w:r>
    </w:p>
    <w:p w14:paraId="1BC4B776" w14:textId="77777777" w:rsidR="00AD2B43" w:rsidRPr="00AD2B43" w:rsidRDefault="00AD2B43" w:rsidP="00AD2B43">
      <w:pPr>
        <w:tabs>
          <w:tab w:val="left" w:pos="1798"/>
        </w:tabs>
        <w:spacing w:line="360" w:lineRule="auto"/>
        <w:rPr>
          <w:rFonts w:ascii="Arial" w:hAnsi="Arial" w:cs="Arial"/>
          <w:b/>
          <w:bCs/>
          <w:sz w:val="22"/>
          <w:szCs w:val="22"/>
        </w:rPr>
      </w:pPr>
      <w:r w:rsidRPr="00AD2B43">
        <w:rPr>
          <w:rFonts w:ascii="Arial" w:hAnsi="Arial" w:cs="Arial"/>
          <w:b/>
          <w:bCs/>
          <w:sz w:val="22"/>
          <w:szCs w:val="22"/>
        </w:rPr>
        <w:t>Threats</w:t>
      </w:r>
    </w:p>
    <w:p w14:paraId="64BED82C"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 xml:space="preserve">According to innovation diffusion theory, the likelihood of adoption rises with market readiness and perceived value (Rogers, 2003). Now with understanding these advantages, several outside dangers need to be considered. Risks to cybersecurity and data privacy are substantial in AI- enabled services that collect personal data. Strict compliance standards are imposed across foreign marketplaces by regulatory regulations like GDPR. Because some guests and staff might value human interaction over automated systems, cultural differences in technological acceptance potentially present dangers. Stakeholder trust and brand reputation could also be harmed by inadequate integration or technological malfunctions. The necessity of thorough stakeholder communication, training, and risk management during implementation is highlighted by these threats. </w:t>
      </w:r>
    </w:p>
    <w:p w14:paraId="0877F391" w14:textId="77777777" w:rsidR="00AD2B43" w:rsidRPr="00AD2B43" w:rsidRDefault="00AD2B43" w:rsidP="00AD2B43">
      <w:pPr>
        <w:tabs>
          <w:tab w:val="left" w:pos="1798"/>
        </w:tabs>
        <w:spacing w:line="360" w:lineRule="auto"/>
        <w:rPr>
          <w:rFonts w:ascii="Arial" w:hAnsi="Arial" w:cs="Arial"/>
          <w:b/>
          <w:bCs/>
          <w:sz w:val="22"/>
          <w:szCs w:val="22"/>
        </w:rPr>
      </w:pPr>
      <w:r w:rsidRPr="00AD2B43">
        <w:rPr>
          <w:rFonts w:ascii="Arial" w:hAnsi="Arial" w:cs="Arial"/>
          <w:b/>
          <w:bCs/>
          <w:sz w:val="22"/>
          <w:szCs w:val="22"/>
        </w:rPr>
        <w:t xml:space="preserve">Pestle </w:t>
      </w:r>
    </w:p>
    <w:p w14:paraId="7CC7C482"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 xml:space="preserve">The macro environmental elements influencing </w:t>
      </w:r>
      <w:proofErr w:type="spellStart"/>
      <w:r w:rsidRPr="00AD2B43">
        <w:rPr>
          <w:rFonts w:ascii="Arial" w:hAnsi="Arial" w:cs="Arial"/>
          <w:sz w:val="22"/>
          <w:szCs w:val="22"/>
        </w:rPr>
        <w:t>StaySmart</w:t>
      </w:r>
      <w:proofErr w:type="spellEnd"/>
      <w:r w:rsidRPr="00AD2B43">
        <w:rPr>
          <w:rFonts w:ascii="Arial" w:hAnsi="Arial" w:cs="Arial"/>
          <w:sz w:val="22"/>
          <w:szCs w:val="22"/>
        </w:rPr>
        <w:t xml:space="preserve">+ are further demonstrated by a PESTLE analysis. Global hospitality operations must comply with a variety of legal and political requirements pertaining to labour standards, AI governance, and data protection, interaction with regulators and legal stakeholders is necessary for adherence to regional legal frameworks. Economically, franchise partner’s decisions to invest in technology may be limited by inflation and growing operating expenses, which could affect stakeholder support. Social aspects include staff worries about the effects of automation on jobs and changing visitor expectations for sustainability, convenience, and sustainability, convenience, and customisation. Because AI and smart-room technologies are developing quickly and becoming industry standards, technological factors heavily benefit the project. Environmental demands including carbon reduction goals and green certification standards bolster </w:t>
      </w:r>
      <w:proofErr w:type="spellStart"/>
      <w:r w:rsidRPr="00AD2B43">
        <w:rPr>
          <w:rFonts w:ascii="Arial" w:hAnsi="Arial" w:cs="Arial"/>
          <w:sz w:val="22"/>
          <w:szCs w:val="22"/>
        </w:rPr>
        <w:t>StaySmart+s</w:t>
      </w:r>
      <w:proofErr w:type="spellEnd"/>
      <w:r w:rsidRPr="00AD2B43">
        <w:rPr>
          <w:rFonts w:ascii="Arial" w:hAnsi="Arial" w:cs="Arial"/>
          <w:sz w:val="22"/>
          <w:szCs w:val="22"/>
        </w:rPr>
        <w:t xml:space="preserve"> sustainability components.  Therefore, PESTLE analysis shows that </w:t>
      </w:r>
      <w:proofErr w:type="spellStart"/>
      <w:r w:rsidRPr="00AD2B43">
        <w:rPr>
          <w:rFonts w:ascii="Arial" w:hAnsi="Arial" w:cs="Arial"/>
          <w:sz w:val="22"/>
          <w:szCs w:val="22"/>
        </w:rPr>
        <w:t>StaySmart</w:t>
      </w:r>
      <w:proofErr w:type="spellEnd"/>
      <w:r w:rsidRPr="00AD2B43">
        <w:rPr>
          <w:rFonts w:ascii="Arial" w:hAnsi="Arial" w:cs="Arial"/>
          <w:sz w:val="22"/>
          <w:szCs w:val="22"/>
        </w:rPr>
        <w:t xml:space="preserve">+ works in a complex global context that necessitates collaboration between multiple stakeholders. </w:t>
      </w:r>
    </w:p>
    <w:p w14:paraId="16CAB055" w14:textId="77777777" w:rsidR="00AD2B43" w:rsidRPr="00AD2B43" w:rsidRDefault="00AD2B43" w:rsidP="00AD2B43">
      <w:pPr>
        <w:tabs>
          <w:tab w:val="left" w:pos="1798"/>
        </w:tabs>
        <w:spacing w:line="360" w:lineRule="auto"/>
        <w:rPr>
          <w:rFonts w:ascii="Arial" w:hAnsi="Arial" w:cs="Arial"/>
          <w:sz w:val="22"/>
          <w:szCs w:val="22"/>
        </w:rPr>
      </w:pPr>
    </w:p>
    <w:tbl>
      <w:tblPr>
        <w:tblStyle w:val="GridTable2-Accent4"/>
        <w:tblW w:w="0" w:type="auto"/>
        <w:tblInd w:w="0" w:type="dxa"/>
        <w:tblLook w:val="04A0" w:firstRow="1" w:lastRow="0" w:firstColumn="1" w:lastColumn="0" w:noHBand="0" w:noVBand="1"/>
      </w:tblPr>
      <w:tblGrid>
        <w:gridCol w:w="1745"/>
        <w:gridCol w:w="6682"/>
      </w:tblGrid>
      <w:tr w:rsidR="00AD2B43" w:rsidRPr="00AD2B43" w14:paraId="76B4C538" w14:textId="77777777" w:rsidTr="001E33E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il"/>
            </w:tcBorders>
            <w:hideMark/>
          </w:tcPr>
          <w:p w14:paraId="78DB5F27"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Factor</w:t>
            </w:r>
          </w:p>
        </w:tc>
        <w:tc>
          <w:tcPr>
            <w:tcW w:w="0" w:type="auto"/>
            <w:tcBorders>
              <w:right w:val="nil"/>
            </w:tcBorders>
            <w:hideMark/>
          </w:tcPr>
          <w:p w14:paraId="12DE56CE" w14:textId="77777777" w:rsidR="00AD2B43" w:rsidRPr="00AD2B43" w:rsidRDefault="00AD2B43" w:rsidP="00AD2B43">
            <w:pPr>
              <w:tabs>
                <w:tab w:val="left" w:pos="1798"/>
              </w:tabs>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AD2B43">
              <w:rPr>
                <w:rFonts w:ascii="Arial" w:hAnsi="Arial" w:cs="Arial"/>
                <w:sz w:val="22"/>
                <w:szCs w:val="22"/>
              </w:rPr>
              <w:t xml:space="preserve">Impact on </w:t>
            </w:r>
            <w:proofErr w:type="spellStart"/>
            <w:r w:rsidRPr="00AD2B43">
              <w:rPr>
                <w:rFonts w:ascii="Arial" w:hAnsi="Arial" w:cs="Arial"/>
                <w:sz w:val="22"/>
                <w:szCs w:val="22"/>
              </w:rPr>
              <w:t>StaySmart</w:t>
            </w:r>
            <w:proofErr w:type="spellEnd"/>
            <w:r w:rsidRPr="00AD2B43">
              <w:rPr>
                <w:rFonts w:ascii="Arial" w:hAnsi="Arial" w:cs="Arial"/>
                <w:sz w:val="22"/>
                <w:szCs w:val="22"/>
              </w:rPr>
              <w:t>+</w:t>
            </w:r>
          </w:p>
        </w:tc>
      </w:tr>
      <w:tr w:rsidR="00AD2B43" w:rsidRPr="00AD2B43" w14:paraId="744B2EE4" w14:textId="77777777" w:rsidTr="001E33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2" w:space="0" w:color="60CAF3" w:themeColor="accent4" w:themeTint="99"/>
              <w:left w:val="nil"/>
              <w:bottom w:val="single" w:sz="2" w:space="0" w:color="60CAF3" w:themeColor="accent4" w:themeTint="99"/>
              <w:right w:val="single" w:sz="2" w:space="0" w:color="60CAF3" w:themeColor="accent4" w:themeTint="99"/>
            </w:tcBorders>
            <w:hideMark/>
          </w:tcPr>
          <w:p w14:paraId="0FFEF1E1"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Political</w:t>
            </w:r>
          </w:p>
        </w:tc>
        <w:tc>
          <w:tcPr>
            <w:tcW w:w="0" w:type="auto"/>
            <w:tcBorders>
              <w:top w:val="single" w:sz="2" w:space="0" w:color="60CAF3" w:themeColor="accent4" w:themeTint="99"/>
              <w:left w:val="single" w:sz="2" w:space="0" w:color="60CAF3" w:themeColor="accent4" w:themeTint="99"/>
              <w:bottom w:val="single" w:sz="2" w:space="0" w:color="60CAF3" w:themeColor="accent4" w:themeTint="99"/>
              <w:right w:val="nil"/>
            </w:tcBorders>
            <w:hideMark/>
          </w:tcPr>
          <w:p w14:paraId="4291F405" w14:textId="77777777" w:rsidR="00AD2B43" w:rsidRPr="00AD2B43" w:rsidRDefault="00AD2B43" w:rsidP="00AD2B43">
            <w:pPr>
              <w:tabs>
                <w:tab w:val="left" w:pos="1798"/>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D2B43">
              <w:rPr>
                <w:rFonts w:ascii="Arial" w:hAnsi="Arial" w:cs="Arial"/>
                <w:sz w:val="22"/>
                <w:szCs w:val="22"/>
              </w:rPr>
              <w:t>Must follow labour and AI regulations globally</w:t>
            </w:r>
          </w:p>
        </w:tc>
      </w:tr>
      <w:tr w:rsidR="00AD2B43" w:rsidRPr="00AD2B43" w14:paraId="0B91D7D0" w14:textId="77777777" w:rsidTr="001E33E9">
        <w:tc>
          <w:tcPr>
            <w:cnfStyle w:val="001000000000" w:firstRow="0" w:lastRow="0" w:firstColumn="1" w:lastColumn="0" w:oddVBand="0" w:evenVBand="0" w:oddHBand="0" w:evenHBand="0" w:firstRowFirstColumn="0" w:firstRowLastColumn="0" w:lastRowFirstColumn="0" w:lastRowLastColumn="0"/>
            <w:tcW w:w="0" w:type="auto"/>
            <w:tcBorders>
              <w:top w:val="single" w:sz="2" w:space="0" w:color="60CAF3" w:themeColor="accent4" w:themeTint="99"/>
              <w:left w:val="nil"/>
              <w:bottom w:val="single" w:sz="2" w:space="0" w:color="60CAF3" w:themeColor="accent4" w:themeTint="99"/>
              <w:right w:val="single" w:sz="2" w:space="0" w:color="60CAF3" w:themeColor="accent4" w:themeTint="99"/>
            </w:tcBorders>
            <w:hideMark/>
          </w:tcPr>
          <w:p w14:paraId="0352E12F"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Economic</w:t>
            </w:r>
          </w:p>
        </w:tc>
        <w:tc>
          <w:tcPr>
            <w:tcW w:w="0" w:type="auto"/>
            <w:tcBorders>
              <w:top w:val="single" w:sz="2" w:space="0" w:color="60CAF3" w:themeColor="accent4" w:themeTint="99"/>
              <w:left w:val="single" w:sz="2" w:space="0" w:color="60CAF3" w:themeColor="accent4" w:themeTint="99"/>
              <w:bottom w:val="single" w:sz="2" w:space="0" w:color="60CAF3" w:themeColor="accent4" w:themeTint="99"/>
              <w:right w:val="nil"/>
            </w:tcBorders>
            <w:hideMark/>
          </w:tcPr>
          <w:p w14:paraId="1D958166" w14:textId="77777777" w:rsidR="00AD2B43" w:rsidRPr="00AD2B43" w:rsidRDefault="00AD2B43" w:rsidP="00AD2B43">
            <w:pPr>
              <w:tabs>
                <w:tab w:val="left" w:pos="1798"/>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D2B43">
              <w:rPr>
                <w:rFonts w:ascii="Arial" w:hAnsi="Arial" w:cs="Arial"/>
                <w:sz w:val="22"/>
                <w:szCs w:val="22"/>
              </w:rPr>
              <w:t>Costs and inflation may limit investment</w:t>
            </w:r>
          </w:p>
        </w:tc>
      </w:tr>
      <w:tr w:rsidR="00AD2B43" w:rsidRPr="00AD2B43" w14:paraId="1FA6831B" w14:textId="77777777" w:rsidTr="001E33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2" w:space="0" w:color="60CAF3" w:themeColor="accent4" w:themeTint="99"/>
              <w:left w:val="nil"/>
              <w:bottom w:val="single" w:sz="2" w:space="0" w:color="60CAF3" w:themeColor="accent4" w:themeTint="99"/>
              <w:right w:val="single" w:sz="2" w:space="0" w:color="60CAF3" w:themeColor="accent4" w:themeTint="99"/>
            </w:tcBorders>
            <w:hideMark/>
          </w:tcPr>
          <w:p w14:paraId="7511020D"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Social</w:t>
            </w:r>
          </w:p>
        </w:tc>
        <w:tc>
          <w:tcPr>
            <w:tcW w:w="0" w:type="auto"/>
            <w:tcBorders>
              <w:top w:val="single" w:sz="2" w:space="0" w:color="60CAF3" w:themeColor="accent4" w:themeTint="99"/>
              <w:left w:val="single" w:sz="2" w:space="0" w:color="60CAF3" w:themeColor="accent4" w:themeTint="99"/>
              <w:bottom w:val="single" w:sz="2" w:space="0" w:color="60CAF3" w:themeColor="accent4" w:themeTint="99"/>
              <w:right w:val="nil"/>
            </w:tcBorders>
            <w:hideMark/>
          </w:tcPr>
          <w:p w14:paraId="2888B578" w14:textId="77777777" w:rsidR="00AD2B43" w:rsidRPr="00AD2B43" w:rsidRDefault="00AD2B43" w:rsidP="00AD2B43">
            <w:pPr>
              <w:tabs>
                <w:tab w:val="left" w:pos="1798"/>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D2B43">
              <w:rPr>
                <w:rFonts w:ascii="Arial" w:hAnsi="Arial" w:cs="Arial"/>
                <w:sz w:val="22"/>
                <w:szCs w:val="22"/>
              </w:rPr>
              <w:t>Staff worry about jobs; guests want sustainability and convenience</w:t>
            </w:r>
          </w:p>
        </w:tc>
      </w:tr>
      <w:tr w:rsidR="00AD2B43" w:rsidRPr="00AD2B43" w14:paraId="78890F74" w14:textId="77777777" w:rsidTr="001E33E9">
        <w:tc>
          <w:tcPr>
            <w:cnfStyle w:val="001000000000" w:firstRow="0" w:lastRow="0" w:firstColumn="1" w:lastColumn="0" w:oddVBand="0" w:evenVBand="0" w:oddHBand="0" w:evenHBand="0" w:firstRowFirstColumn="0" w:firstRowLastColumn="0" w:lastRowFirstColumn="0" w:lastRowLastColumn="0"/>
            <w:tcW w:w="0" w:type="auto"/>
            <w:tcBorders>
              <w:top w:val="single" w:sz="2" w:space="0" w:color="60CAF3" w:themeColor="accent4" w:themeTint="99"/>
              <w:left w:val="nil"/>
              <w:bottom w:val="single" w:sz="2" w:space="0" w:color="60CAF3" w:themeColor="accent4" w:themeTint="99"/>
              <w:right w:val="single" w:sz="2" w:space="0" w:color="60CAF3" w:themeColor="accent4" w:themeTint="99"/>
            </w:tcBorders>
            <w:hideMark/>
          </w:tcPr>
          <w:p w14:paraId="5200535D"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Technological</w:t>
            </w:r>
          </w:p>
        </w:tc>
        <w:tc>
          <w:tcPr>
            <w:tcW w:w="0" w:type="auto"/>
            <w:tcBorders>
              <w:top w:val="single" w:sz="2" w:space="0" w:color="60CAF3" w:themeColor="accent4" w:themeTint="99"/>
              <w:left w:val="single" w:sz="2" w:space="0" w:color="60CAF3" w:themeColor="accent4" w:themeTint="99"/>
              <w:bottom w:val="single" w:sz="2" w:space="0" w:color="60CAF3" w:themeColor="accent4" w:themeTint="99"/>
              <w:right w:val="nil"/>
            </w:tcBorders>
            <w:hideMark/>
          </w:tcPr>
          <w:p w14:paraId="718AE53B" w14:textId="77777777" w:rsidR="00AD2B43" w:rsidRPr="00AD2B43" w:rsidRDefault="00AD2B43" w:rsidP="00AD2B43">
            <w:pPr>
              <w:tabs>
                <w:tab w:val="left" w:pos="1798"/>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D2B43">
              <w:rPr>
                <w:rFonts w:ascii="Arial" w:hAnsi="Arial" w:cs="Arial"/>
                <w:sz w:val="22"/>
                <w:szCs w:val="22"/>
              </w:rPr>
              <w:t>AI and smart-room tech support adoption</w:t>
            </w:r>
          </w:p>
        </w:tc>
      </w:tr>
      <w:tr w:rsidR="00AD2B43" w:rsidRPr="00AD2B43" w14:paraId="0AA2F4E4" w14:textId="77777777" w:rsidTr="001E33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2" w:space="0" w:color="60CAF3" w:themeColor="accent4" w:themeTint="99"/>
              <w:left w:val="nil"/>
              <w:bottom w:val="single" w:sz="2" w:space="0" w:color="60CAF3" w:themeColor="accent4" w:themeTint="99"/>
              <w:right w:val="single" w:sz="2" w:space="0" w:color="60CAF3" w:themeColor="accent4" w:themeTint="99"/>
            </w:tcBorders>
            <w:hideMark/>
          </w:tcPr>
          <w:p w14:paraId="3D22BB45"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Environmental</w:t>
            </w:r>
          </w:p>
        </w:tc>
        <w:tc>
          <w:tcPr>
            <w:tcW w:w="0" w:type="auto"/>
            <w:tcBorders>
              <w:top w:val="single" w:sz="2" w:space="0" w:color="60CAF3" w:themeColor="accent4" w:themeTint="99"/>
              <w:left w:val="single" w:sz="2" w:space="0" w:color="60CAF3" w:themeColor="accent4" w:themeTint="99"/>
              <w:bottom w:val="single" w:sz="2" w:space="0" w:color="60CAF3" w:themeColor="accent4" w:themeTint="99"/>
              <w:right w:val="nil"/>
            </w:tcBorders>
            <w:hideMark/>
          </w:tcPr>
          <w:p w14:paraId="78770FB8" w14:textId="77777777" w:rsidR="00AD2B43" w:rsidRPr="00AD2B43" w:rsidRDefault="00AD2B43" w:rsidP="00AD2B43">
            <w:pPr>
              <w:tabs>
                <w:tab w:val="left" w:pos="1798"/>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D2B43">
              <w:rPr>
                <w:rFonts w:ascii="Arial" w:hAnsi="Arial" w:cs="Arial"/>
                <w:sz w:val="22"/>
                <w:szCs w:val="22"/>
              </w:rPr>
              <w:t>Supports carbon reduction and green certifications</w:t>
            </w:r>
          </w:p>
        </w:tc>
      </w:tr>
      <w:tr w:rsidR="00AD2B43" w:rsidRPr="00AD2B43" w14:paraId="5D42CF2E" w14:textId="77777777" w:rsidTr="001E33E9">
        <w:tc>
          <w:tcPr>
            <w:cnfStyle w:val="001000000000" w:firstRow="0" w:lastRow="0" w:firstColumn="1" w:lastColumn="0" w:oddVBand="0" w:evenVBand="0" w:oddHBand="0" w:evenHBand="0" w:firstRowFirstColumn="0" w:firstRowLastColumn="0" w:lastRowFirstColumn="0" w:lastRowLastColumn="0"/>
            <w:tcW w:w="0" w:type="auto"/>
            <w:tcBorders>
              <w:top w:val="single" w:sz="2" w:space="0" w:color="60CAF3" w:themeColor="accent4" w:themeTint="99"/>
              <w:left w:val="nil"/>
              <w:bottom w:val="single" w:sz="2" w:space="0" w:color="60CAF3" w:themeColor="accent4" w:themeTint="99"/>
              <w:right w:val="single" w:sz="2" w:space="0" w:color="60CAF3" w:themeColor="accent4" w:themeTint="99"/>
            </w:tcBorders>
            <w:hideMark/>
          </w:tcPr>
          <w:p w14:paraId="289989CC"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Legal</w:t>
            </w:r>
          </w:p>
        </w:tc>
        <w:tc>
          <w:tcPr>
            <w:tcW w:w="0" w:type="auto"/>
            <w:tcBorders>
              <w:top w:val="single" w:sz="2" w:space="0" w:color="60CAF3" w:themeColor="accent4" w:themeTint="99"/>
              <w:left w:val="single" w:sz="2" w:space="0" w:color="60CAF3" w:themeColor="accent4" w:themeTint="99"/>
              <w:bottom w:val="single" w:sz="2" w:space="0" w:color="60CAF3" w:themeColor="accent4" w:themeTint="99"/>
              <w:right w:val="nil"/>
            </w:tcBorders>
            <w:hideMark/>
          </w:tcPr>
          <w:p w14:paraId="25482F14" w14:textId="77777777" w:rsidR="00AD2B43" w:rsidRPr="00AD2B43" w:rsidRDefault="00AD2B43" w:rsidP="00AD2B43">
            <w:pPr>
              <w:tabs>
                <w:tab w:val="left" w:pos="1798"/>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D2B43">
              <w:rPr>
                <w:rFonts w:ascii="Arial" w:hAnsi="Arial" w:cs="Arial"/>
                <w:sz w:val="22"/>
                <w:szCs w:val="22"/>
              </w:rPr>
              <w:t>Must meet consumer rights and accessibility laws</w:t>
            </w:r>
          </w:p>
        </w:tc>
      </w:tr>
    </w:tbl>
    <w:p w14:paraId="67130B66" w14:textId="77777777" w:rsidR="00AD2B43" w:rsidRPr="00AD2B43" w:rsidRDefault="00AD2B43" w:rsidP="00AD2B43">
      <w:pPr>
        <w:tabs>
          <w:tab w:val="left" w:pos="1798"/>
        </w:tabs>
        <w:spacing w:line="360" w:lineRule="auto"/>
        <w:rPr>
          <w:rFonts w:ascii="Arial" w:hAnsi="Arial" w:cs="Arial"/>
          <w:sz w:val="22"/>
          <w:szCs w:val="22"/>
        </w:rPr>
      </w:pPr>
    </w:p>
    <w:p w14:paraId="60A93347" w14:textId="77777777" w:rsidR="00AD2B43" w:rsidRPr="00AD2B43" w:rsidRDefault="00AD2B43" w:rsidP="00AD2B43">
      <w:pPr>
        <w:tabs>
          <w:tab w:val="left" w:pos="1798"/>
        </w:tabs>
        <w:spacing w:line="360" w:lineRule="auto"/>
        <w:rPr>
          <w:rFonts w:ascii="Arial" w:hAnsi="Arial" w:cs="Arial"/>
          <w:sz w:val="22"/>
          <w:szCs w:val="22"/>
        </w:rPr>
      </w:pPr>
    </w:p>
    <w:p w14:paraId="562101DC" w14:textId="77777777" w:rsidR="00AD2B43" w:rsidRPr="00AD2B43" w:rsidRDefault="00AD2B43" w:rsidP="00AD2B43">
      <w:pPr>
        <w:tabs>
          <w:tab w:val="left" w:pos="1798"/>
        </w:tabs>
        <w:spacing w:line="360" w:lineRule="auto"/>
        <w:rPr>
          <w:rFonts w:ascii="Arial" w:hAnsi="Arial" w:cs="Arial"/>
          <w:b/>
          <w:bCs/>
          <w:sz w:val="22"/>
          <w:szCs w:val="22"/>
        </w:rPr>
      </w:pPr>
      <w:r w:rsidRPr="00AD2B43">
        <w:rPr>
          <w:rFonts w:ascii="Arial" w:hAnsi="Arial" w:cs="Arial"/>
          <w:b/>
          <w:bCs/>
          <w:sz w:val="22"/>
          <w:szCs w:val="22"/>
        </w:rPr>
        <w:t>Smart Goals</w:t>
      </w:r>
    </w:p>
    <w:p w14:paraId="4B51314F"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 xml:space="preserve">SMART goals are necessary to convert this situational analysis into a course of action. Within six months, Hilton aims to implement </w:t>
      </w:r>
      <w:proofErr w:type="spellStart"/>
      <w:r w:rsidRPr="00AD2B43">
        <w:rPr>
          <w:rFonts w:ascii="Arial" w:hAnsi="Arial" w:cs="Arial"/>
          <w:sz w:val="22"/>
          <w:szCs w:val="22"/>
        </w:rPr>
        <w:t>StaySmart</w:t>
      </w:r>
      <w:proofErr w:type="spellEnd"/>
      <w:r w:rsidRPr="00AD2B43">
        <w:rPr>
          <w:rFonts w:ascii="Arial" w:hAnsi="Arial" w:cs="Arial"/>
          <w:sz w:val="22"/>
          <w:szCs w:val="22"/>
        </w:rPr>
        <w:t>+ in at least 20 prototype hotels in five different worldwide regions, attaining 80% employee adoption and a 15% increase in guest satisfaction ratings at pilot sites.  This aim relates to strategic differentiation objectives, is time-bound to the scheduled rollout period, is particular to the service rollout, measurable by adoption and satisfaction indicators, achievable given Hilton’s digital infrastructure.  These objectives provide measurable indicators of success and support stakeholder alignment. (PMI,2021)</w:t>
      </w:r>
    </w:p>
    <w:p w14:paraId="04DD7C1E" w14:textId="77777777" w:rsidR="00AD2B43" w:rsidRPr="00AD2B43" w:rsidRDefault="00AD2B43" w:rsidP="00AD2B43">
      <w:pPr>
        <w:tabs>
          <w:tab w:val="left" w:pos="1798"/>
        </w:tabs>
        <w:spacing w:line="360" w:lineRule="auto"/>
        <w:rPr>
          <w:rFonts w:ascii="Arial" w:hAnsi="Arial" w:cs="Arial"/>
          <w:sz w:val="22"/>
          <w:szCs w:val="22"/>
        </w:rPr>
      </w:pPr>
    </w:p>
    <w:p w14:paraId="3FEF4B43" w14:textId="77777777" w:rsidR="00AD2B43" w:rsidRPr="00AD2B43" w:rsidRDefault="00AD2B43" w:rsidP="00AD2B43">
      <w:pPr>
        <w:tabs>
          <w:tab w:val="left" w:pos="1798"/>
        </w:tabs>
        <w:spacing w:line="360" w:lineRule="auto"/>
        <w:rPr>
          <w:rFonts w:ascii="Arial" w:hAnsi="Arial" w:cs="Arial"/>
          <w:sz w:val="22"/>
          <w:szCs w:val="22"/>
        </w:rPr>
      </w:pPr>
    </w:p>
    <w:tbl>
      <w:tblPr>
        <w:tblStyle w:val="GridTable5Dark-Accent4"/>
        <w:tblW w:w="0" w:type="auto"/>
        <w:tblInd w:w="0" w:type="dxa"/>
        <w:tblLook w:val="04A0" w:firstRow="1" w:lastRow="0" w:firstColumn="1" w:lastColumn="0" w:noHBand="0" w:noVBand="1"/>
      </w:tblPr>
      <w:tblGrid>
        <w:gridCol w:w="3005"/>
        <w:gridCol w:w="3005"/>
        <w:gridCol w:w="3006"/>
      </w:tblGrid>
      <w:tr w:rsidR="00AD2B43" w:rsidRPr="00AD2B43" w14:paraId="04CF8E8B" w14:textId="77777777" w:rsidTr="001E33E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Borders>
              <w:bottom w:val="single" w:sz="4" w:space="0" w:color="FFFFFF" w:themeColor="background1"/>
            </w:tcBorders>
            <w:hideMark/>
          </w:tcPr>
          <w:p w14:paraId="5A27244D"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Goal</w:t>
            </w:r>
          </w:p>
        </w:tc>
        <w:tc>
          <w:tcPr>
            <w:tcW w:w="3005" w:type="dxa"/>
            <w:tcBorders>
              <w:bottom w:val="single" w:sz="4" w:space="0" w:color="FFFFFF" w:themeColor="background1"/>
            </w:tcBorders>
            <w:hideMark/>
          </w:tcPr>
          <w:p w14:paraId="2AA88B72" w14:textId="77777777" w:rsidR="00AD2B43" w:rsidRPr="00AD2B43" w:rsidRDefault="00AD2B43" w:rsidP="00AD2B43">
            <w:pPr>
              <w:tabs>
                <w:tab w:val="left" w:pos="1798"/>
              </w:tabs>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AD2B43">
              <w:rPr>
                <w:rFonts w:ascii="Arial" w:hAnsi="Arial" w:cs="Arial"/>
                <w:sz w:val="22"/>
                <w:szCs w:val="22"/>
              </w:rPr>
              <w:t>Target</w:t>
            </w:r>
          </w:p>
        </w:tc>
        <w:tc>
          <w:tcPr>
            <w:tcW w:w="3006" w:type="dxa"/>
            <w:tcBorders>
              <w:bottom w:val="single" w:sz="4" w:space="0" w:color="FFFFFF" w:themeColor="background1"/>
            </w:tcBorders>
            <w:hideMark/>
          </w:tcPr>
          <w:p w14:paraId="1EFA565A" w14:textId="77777777" w:rsidR="00AD2B43" w:rsidRPr="00AD2B43" w:rsidRDefault="00AD2B43" w:rsidP="00AD2B43">
            <w:pPr>
              <w:tabs>
                <w:tab w:val="left" w:pos="1798"/>
              </w:tabs>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AD2B43">
              <w:rPr>
                <w:rFonts w:ascii="Arial" w:hAnsi="Arial" w:cs="Arial"/>
                <w:sz w:val="22"/>
                <w:szCs w:val="22"/>
              </w:rPr>
              <w:t>Deadline</w:t>
            </w:r>
          </w:p>
        </w:tc>
      </w:tr>
      <w:tr w:rsidR="00AD2B43" w:rsidRPr="00AD2B43" w14:paraId="2DEC6407" w14:textId="77777777" w:rsidTr="001E33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Borders>
              <w:top w:val="single" w:sz="4" w:space="0" w:color="FFFFFF" w:themeColor="background1"/>
              <w:bottom w:val="single" w:sz="4" w:space="0" w:color="FFFFFF" w:themeColor="background1"/>
              <w:right w:val="single" w:sz="4" w:space="0" w:color="FFFFFF" w:themeColor="background1"/>
            </w:tcBorders>
            <w:hideMark/>
          </w:tcPr>
          <w:p w14:paraId="299C27CA"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 xml:space="preserve">Implement </w:t>
            </w:r>
            <w:proofErr w:type="spellStart"/>
            <w:r w:rsidRPr="00AD2B43">
              <w:rPr>
                <w:rFonts w:ascii="Arial" w:hAnsi="Arial" w:cs="Arial"/>
                <w:sz w:val="22"/>
                <w:szCs w:val="22"/>
              </w:rPr>
              <w:t>StaySmart</w:t>
            </w:r>
            <w:proofErr w:type="spellEnd"/>
            <w:r w:rsidRPr="00AD2B43">
              <w:rPr>
                <w:rFonts w:ascii="Arial" w:hAnsi="Arial" w:cs="Arial"/>
                <w:sz w:val="22"/>
                <w:szCs w:val="22"/>
              </w:rPr>
              <w:t xml:space="preserve">+ </w:t>
            </w:r>
          </w:p>
        </w:tc>
        <w:tc>
          <w:tcPr>
            <w:tcW w:w="300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66AF3A2F" w14:textId="77777777" w:rsidR="00AD2B43" w:rsidRPr="00AD2B43" w:rsidRDefault="00AD2B43" w:rsidP="00AD2B43">
            <w:pPr>
              <w:tabs>
                <w:tab w:val="left" w:pos="1798"/>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D2B43">
              <w:rPr>
                <w:rFonts w:ascii="Arial" w:hAnsi="Arial" w:cs="Arial"/>
                <w:sz w:val="22"/>
                <w:szCs w:val="22"/>
              </w:rPr>
              <w:t>20 hotels in 5 regions</w:t>
            </w:r>
          </w:p>
        </w:tc>
        <w:tc>
          <w:tcPr>
            <w:tcW w:w="300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6B581A0D" w14:textId="77777777" w:rsidR="00AD2B43" w:rsidRPr="00AD2B43" w:rsidRDefault="00AD2B43" w:rsidP="00AD2B43">
            <w:pPr>
              <w:tabs>
                <w:tab w:val="left" w:pos="1798"/>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D2B43">
              <w:rPr>
                <w:rFonts w:ascii="Arial" w:hAnsi="Arial" w:cs="Arial"/>
                <w:sz w:val="22"/>
                <w:szCs w:val="22"/>
              </w:rPr>
              <w:t>6 months</w:t>
            </w:r>
          </w:p>
        </w:tc>
      </w:tr>
      <w:tr w:rsidR="00AD2B43" w:rsidRPr="00AD2B43" w14:paraId="3AD046F6" w14:textId="77777777" w:rsidTr="001E33E9">
        <w:tc>
          <w:tcPr>
            <w:cnfStyle w:val="001000000000" w:firstRow="0" w:lastRow="0" w:firstColumn="1" w:lastColumn="0" w:oddVBand="0" w:evenVBand="0" w:oddHBand="0" w:evenHBand="0" w:firstRowFirstColumn="0" w:firstRowLastColumn="0" w:lastRowFirstColumn="0" w:lastRowLastColumn="0"/>
            <w:tcW w:w="3005" w:type="dxa"/>
            <w:tcBorders>
              <w:top w:val="single" w:sz="4" w:space="0" w:color="FFFFFF" w:themeColor="background1"/>
              <w:bottom w:val="single" w:sz="4" w:space="0" w:color="FFFFFF" w:themeColor="background1"/>
              <w:right w:val="single" w:sz="4" w:space="0" w:color="FFFFFF" w:themeColor="background1"/>
            </w:tcBorders>
            <w:hideMark/>
          </w:tcPr>
          <w:p w14:paraId="60C62B65"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 xml:space="preserve">Employee adoption of </w:t>
            </w:r>
            <w:proofErr w:type="spellStart"/>
            <w:r w:rsidRPr="00AD2B43">
              <w:rPr>
                <w:rFonts w:ascii="Arial" w:hAnsi="Arial" w:cs="Arial"/>
                <w:sz w:val="22"/>
                <w:szCs w:val="22"/>
              </w:rPr>
              <w:t>StaySmart</w:t>
            </w:r>
            <w:proofErr w:type="spellEnd"/>
            <w:r w:rsidRPr="00AD2B43">
              <w:rPr>
                <w:rFonts w:ascii="Arial" w:hAnsi="Arial" w:cs="Arial"/>
                <w:sz w:val="22"/>
                <w:szCs w:val="22"/>
              </w:rPr>
              <w:t>+</w:t>
            </w:r>
          </w:p>
        </w:tc>
        <w:tc>
          <w:tcPr>
            <w:tcW w:w="300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2D7BAD24" w14:textId="77777777" w:rsidR="00AD2B43" w:rsidRPr="00AD2B43" w:rsidRDefault="00AD2B43" w:rsidP="00AD2B43">
            <w:pPr>
              <w:tabs>
                <w:tab w:val="left" w:pos="1798"/>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D2B43">
              <w:rPr>
                <w:rFonts w:ascii="Arial" w:hAnsi="Arial" w:cs="Arial"/>
                <w:sz w:val="22"/>
                <w:szCs w:val="22"/>
              </w:rPr>
              <w:t>80% of staff</w:t>
            </w:r>
          </w:p>
        </w:tc>
        <w:tc>
          <w:tcPr>
            <w:tcW w:w="300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7CAE03AF" w14:textId="77777777" w:rsidR="00AD2B43" w:rsidRPr="00AD2B43" w:rsidRDefault="00AD2B43" w:rsidP="00AD2B43">
            <w:pPr>
              <w:tabs>
                <w:tab w:val="left" w:pos="1798"/>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D2B43">
              <w:rPr>
                <w:rFonts w:ascii="Arial" w:hAnsi="Arial" w:cs="Arial"/>
                <w:sz w:val="22"/>
                <w:szCs w:val="22"/>
              </w:rPr>
              <w:t>6 months</w:t>
            </w:r>
          </w:p>
        </w:tc>
      </w:tr>
      <w:tr w:rsidR="00AD2B43" w:rsidRPr="00AD2B43" w14:paraId="34F81CD3" w14:textId="77777777" w:rsidTr="001E33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Borders>
              <w:top w:val="single" w:sz="4" w:space="0" w:color="FFFFFF" w:themeColor="background1"/>
              <w:bottom w:val="single" w:sz="4" w:space="0" w:color="FFFFFF" w:themeColor="background1"/>
              <w:right w:val="single" w:sz="4" w:space="0" w:color="FFFFFF" w:themeColor="background1"/>
            </w:tcBorders>
            <w:hideMark/>
          </w:tcPr>
          <w:p w14:paraId="633F24E8"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Increase guest satisfaction</w:t>
            </w:r>
          </w:p>
        </w:tc>
        <w:tc>
          <w:tcPr>
            <w:tcW w:w="300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0877B472" w14:textId="77777777" w:rsidR="00AD2B43" w:rsidRPr="00AD2B43" w:rsidRDefault="00AD2B43" w:rsidP="00AD2B43">
            <w:pPr>
              <w:tabs>
                <w:tab w:val="left" w:pos="1798"/>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D2B43">
              <w:rPr>
                <w:rFonts w:ascii="Arial" w:hAnsi="Arial" w:cs="Arial"/>
                <w:sz w:val="22"/>
                <w:szCs w:val="22"/>
              </w:rPr>
              <w:t>15% rise</w:t>
            </w:r>
          </w:p>
        </w:tc>
        <w:tc>
          <w:tcPr>
            <w:tcW w:w="300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73523CEC" w14:textId="77777777" w:rsidR="00AD2B43" w:rsidRPr="00AD2B43" w:rsidRDefault="00AD2B43" w:rsidP="00AD2B43">
            <w:pPr>
              <w:tabs>
                <w:tab w:val="left" w:pos="1798"/>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D2B43">
              <w:rPr>
                <w:rFonts w:ascii="Arial" w:hAnsi="Arial" w:cs="Arial"/>
                <w:sz w:val="22"/>
                <w:szCs w:val="22"/>
              </w:rPr>
              <w:t>6 months</w:t>
            </w:r>
          </w:p>
        </w:tc>
      </w:tr>
      <w:tr w:rsidR="00AD2B43" w:rsidRPr="00AD2B43" w14:paraId="65DAE20F" w14:textId="77777777" w:rsidTr="001E33E9">
        <w:tc>
          <w:tcPr>
            <w:cnfStyle w:val="001000000000" w:firstRow="0" w:lastRow="0" w:firstColumn="1" w:lastColumn="0" w:oddVBand="0" w:evenVBand="0" w:oddHBand="0" w:evenHBand="0" w:firstRowFirstColumn="0" w:firstRowLastColumn="0" w:lastRowFirstColumn="0" w:lastRowLastColumn="0"/>
            <w:tcW w:w="3005" w:type="dxa"/>
            <w:tcBorders>
              <w:top w:val="single" w:sz="4" w:space="0" w:color="FFFFFF" w:themeColor="background1"/>
              <w:bottom w:val="single" w:sz="4" w:space="0" w:color="FFFFFF" w:themeColor="background1"/>
              <w:right w:val="single" w:sz="4" w:space="0" w:color="FFFFFF" w:themeColor="background1"/>
            </w:tcBorders>
            <w:hideMark/>
          </w:tcPr>
          <w:p w14:paraId="2D76A47E"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Train employees</w:t>
            </w:r>
          </w:p>
        </w:tc>
        <w:tc>
          <w:tcPr>
            <w:tcW w:w="300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3B914772" w14:textId="77777777" w:rsidR="00AD2B43" w:rsidRPr="00AD2B43" w:rsidRDefault="00AD2B43" w:rsidP="00AD2B43">
            <w:pPr>
              <w:tabs>
                <w:tab w:val="left" w:pos="1798"/>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D2B43">
              <w:rPr>
                <w:rFonts w:ascii="Arial" w:hAnsi="Arial" w:cs="Arial"/>
                <w:sz w:val="22"/>
                <w:szCs w:val="22"/>
              </w:rPr>
              <w:t>92% of staff trained</w:t>
            </w:r>
          </w:p>
        </w:tc>
        <w:tc>
          <w:tcPr>
            <w:tcW w:w="300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4F6EB9CE" w14:textId="77777777" w:rsidR="00AD2B43" w:rsidRPr="00AD2B43" w:rsidRDefault="00AD2B43" w:rsidP="00AD2B43">
            <w:pPr>
              <w:tabs>
                <w:tab w:val="left" w:pos="1798"/>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D2B43">
              <w:rPr>
                <w:rFonts w:ascii="Arial" w:hAnsi="Arial" w:cs="Arial"/>
                <w:sz w:val="22"/>
                <w:szCs w:val="22"/>
              </w:rPr>
              <w:t>3 months</w:t>
            </w:r>
          </w:p>
        </w:tc>
      </w:tr>
      <w:tr w:rsidR="00AD2B43" w:rsidRPr="00AD2B43" w14:paraId="1E6E8DBF" w14:textId="77777777" w:rsidTr="001E33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Borders>
              <w:top w:val="single" w:sz="4" w:space="0" w:color="FFFFFF" w:themeColor="background1"/>
              <w:right w:val="single" w:sz="4" w:space="0" w:color="FFFFFF" w:themeColor="background1"/>
            </w:tcBorders>
            <w:hideMark/>
          </w:tcPr>
          <w:p w14:paraId="191F4B91"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 xml:space="preserve">Obtain compliance certificate </w:t>
            </w:r>
          </w:p>
        </w:tc>
        <w:tc>
          <w:tcPr>
            <w:tcW w:w="300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60A2C5A7" w14:textId="77777777" w:rsidR="00AD2B43" w:rsidRPr="00AD2B43" w:rsidRDefault="00AD2B43" w:rsidP="00AD2B43">
            <w:pPr>
              <w:tabs>
                <w:tab w:val="left" w:pos="1798"/>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D2B43">
              <w:rPr>
                <w:rFonts w:ascii="Arial" w:hAnsi="Arial" w:cs="Arial"/>
                <w:sz w:val="22"/>
                <w:szCs w:val="22"/>
              </w:rPr>
              <w:t>In all trials areas</w:t>
            </w:r>
          </w:p>
        </w:tc>
        <w:tc>
          <w:tcPr>
            <w:tcW w:w="300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5F85788C" w14:textId="77777777" w:rsidR="00AD2B43" w:rsidRPr="00AD2B43" w:rsidRDefault="00AD2B43" w:rsidP="00AD2B43">
            <w:pPr>
              <w:tabs>
                <w:tab w:val="left" w:pos="1798"/>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D2B43">
              <w:rPr>
                <w:rFonts w:ascii="Arial" w:hAnsi="Arial" w:cs="Arial"/>
                <w:sz w:val="22"/>
                <w:szCs w:val="22"/>
              </w:rPr>
              <w:t>Before launch</w:t>
            </w:r>
          </w:p>
        </w:tc>
      </w:tr>
    </w:tbl>
    <w:p w14:paraId="124087AB" w14:textId="77777777" w:rsidR="00AD2B43" w:rsidRPr="00AD2B43" w:rsidRDefault="00AD2B43" w:rsidP="00AD2B43">
      <w:pPr>
        <w:tabs>
          <w:tab w:val="left" w:pos="1798"/>
        </w:tabs>
        <w:spacing w:line="360" w:lineRule="auto"/>
        <w:rPr>
          <w:rFonts w:ascii="Arial" w:hAnsi="Arial" w:cs="Arial"/>
          <w:sz w:val="22"/>
          <w:szCs w:val="22"/>
        </w:rPr>
      </w:pPr>
    </w:p>
    <w:p w14:paraId="50A17633" w14:textId="77777777" w:rsidR="00AD2B43" w:rsidRPr="00AD2B43" w:rsidRDefault="00AD2B43" w:rsidP="00AD2B43">
      <w:pPr>
        <w:tabs>
          <w:tab w:val="left" w:pos="1798"/>
        </w:tabs>
        <w:spacing w:line="360" w:lineRule="auto"/>
        <w:rPr>
          <w:rFonts w:ascii="Arial" w:hAnsi="Arial" w:cs="Arial"/>
          <w:sz w:val="22"/>
          <w:szCs w:val="22"/>
        </w:rPr>
      </w:pPr>
    </w:p>
    <w:p w14:paraId="5D405C84"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lastRenderedPageBreak/>
        <w:t xml:space="preserve">All things considered, the situational analysis shows that Hilton has solid technology and strategic underpinnings to execute </w:t>
      </w:r>
      <w:proofErr w:type="spellStart"/>
      <w:r w:rsidRPr="00AD2B43">
        <w:rPr>
          <w:rFonts w:ascii="Arial" w:hAnsi="Arial" w:cs="Arial"/>
          <w:sz w:val="22"/>
          <w:szCs w:val="22"/>
        </w:rPr>
        <w:t>StaySmart</w:t>
      </w:r>
      <w:proofErr w:type="spellEnd"/>
      <w:r w:rsidRPr="00AD2B43">
        <w:rPr>
          <w:rFonts w:ascii="Arial" w:hAnsi="Arial" w:cs="Arial"/>
          <w:sz w:val="22"/>
          <w:szCs w:val="22"/>
        </w:rPr>
        <w:t>+, boosted by positive industry trends toward sustainable and digital hospitality. However, obstacles brought about by cultural variance, regulatory difference, and organisational complexity make structured stakeholder interaction even more crucial. The results of SWOT and PESTLE analysis verify that successful implementation relies on successfully manging stakeholders to match internal capabilities with external expectations. Setting SMART goals guarantees that project results and stakeholder participation can be tracked and modified during the deployment phase</w:t>
      </w:r>
    </w:p>
    <w:p w14:paraId="092A1391" w14:textId="77777777" w:rsidR="00AD2B43" w:rsidRPr="00AD2B43" w:rsidRDefault="00AD2B43" w:rsidP="00AD2B43">
      <w:pPr>
        <w:tabs>
          <w:tab w:val="left" w:pos="1798"/>
        </w:tabs>
        <w:spacing w:line="360" w:lineRule="auto"/>
        <w:rPr>
          <w:rFonts w:ascii="Arial" w:hAnsi="Arial" w:cs="Arial"/>
          <w:sz w:val="22"/>
          <w:szCs w:val="22"/>
        </w:rPr>
      </w:pPr>
    </w:p>
    <w:p w14:paraId="2E3D4C76"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b/>
          <w:bCs/>
          <w:sz w:val="22"/>
          <w:szCs w:val="22"/>
        </w:rPr>
        <w:t xml:space="preserve"> Identification and Categorisation of Stakeholders in the </w:t>
      </w:r>
      <w:proofErr w:type="spellStart"/>
      <w:r w:rsidRPr="00AD2B43">
        <w:rPr>
          <w:rFonts w:ascii="Arial" w:hAnsi="Arial" w:cs="Arial"/>
          <w:b/>
          <w:bCs/>
          <w:sz w:val="22"/>
          <w:szCs w:val="22"/>
        </w:rPr>
        <w:t>StaySmart</w:t>
      </w:r>
      <w:proofErr w:type="spellEnd"/>
      <w:r w:rsidRPr="00AD2B43">
        <w:rPr>
          <w:rFonts w:ascii="Arial" w:hAnsi="Arial" w:cs="Arial"/>
          <w:b/>
          <w:bCs/>
          <w:sz w:val="22"/>
          <w:szCs w:val="22"/>
        </w:rPr>
        <w:t>+ Project at Hilton</w:t>
      </w:r>
    </w:p>
    <w:p w14:paraId="00AB19D9"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 xml:space="preserve">The effective design, deployment, and adoption of </w:t>
      </w:r>
      <w:proofErr w:type="spellStart"/>
      <w:r w:rsidRPr="00AD2B43">
        <w:rPr>
          <w:rFonts w:ascii="Arial" w:hAnsi="Arial" w:cs="Arial"/>
          <w:sz w:val="22"/>
          <w:szCs w:val="22"/>
        </w:rPr>
        <w:t>StaySmart</w:t>
      </w:r>
      <w:proofErr w:type="spellEnd"/>
      <w:r w:rsidRPr="00AD2B43">
        <w:rPr>
          <w:rFonts w:ascii="Arial" w:hAnsi="Arial" w:cs="Arial"/>
          <w:sz w:val="22"/>
          <w:szCs w:val="22"/>
        </w:rPr>
        <w:t>+ throughout Hilton’s global operations depend on the involvement and cooperation of a broad network of stakeholders. Therefore, the basis for focused engagement tactics that match interests, control expectations, and a lower implementation risk is provided by efficient stakeholder identification and classification. According to Stakeholder Theory, companies can attain long-term success by acknowledging and weighting the interests of all parties impacted by their decisions (Freeman,1984).</w:t>
      </w:r>
    </w:p>
    <w:p w14:paraId="3F0B382E"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 xml:space="preserve">The core </w:t>
      </w:r>
      <w:proofErr w:type="spellStart"/>
      <w:r w:rsidRPr="00AD2B43">
        <w:rPr>
          <w:rFonts w:ascii="Arial" w:hAnsi="Arial" w:cs="Arial"/>
          <w:sz w:val="22"/>
          <w:szCs w:val="22"/>
        </w:rPr>
        <w:t>StaySmart</w:t>
      </w:r>
      <w:proofErr w:type="spellEnd"/>
      <w:r w:rsidRPr="00AD2B43">
        <w:rPr>
          <w:rFonts w:ascii="Arial" w:hAnsi="Arial" w:cs="Arial"/>
          <w:sz w:val="22"/>
          <w:szCs w:val="22"/>
        </w:rPr>
        <w:t xml:space="preserve">+ implementation group is made up of internal stakeholders. Since they determine innovation objectives, distribute funds, and establish strategic direction, senior leadership is the most powerful internal stakeholder. Whether the proposal moves forward and gains organisational support depends on their approval.  Another key internal stakeholder in charge of organising tasks, overseeing schedules, and promoting communication between divisions and geographical areas in the project manager. The project manager makes sure that </w:t>
      </w:r>
      <w:proofErr w:type="spellStart"/>
      <w:r w:rsidRPr="00AD2B43">
        <w:rPr>
          <w:rFonts w:ascii="Arial" w:hAnsi="Arial" w:cs="Arial"/>
          <w:sz w:val="22"/>
          <w:szCs w:val="22"/>
        </w:rPr>
        <w:t>StaySmart</w:t>
      </w:r>
      <w:proofErr w:type="spellEnd"/>
      <w:r w:rsidRPr="00AD2B43">
        <w:rPr>
          <w:rFonts w:ascii="Arial" w:hAnsi="Arial" w:cs="Arial"/>
          <w:sz w:val="22"/>
          <w:szCs w:val="22"/>
        </w:rPr>
        <w:t>+’s operational, technological, and human elements are successfully included throughout Hilton’s international network.</w:t>
      </w:r>
    </w:p>
    <w:p w14:paraId="2C7705D8"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 xml:space="preserve">Since they create and build the AI platform, data systems, and smart-room integration needed for </w:t>
      </w:r>
      <w:proofErr w:type="spellStart"/>
      <w:r w:rsidRPr="00AD2B43">
        <w:rPr>
          <w:rFonts w:ascii="Arial" w:hAnsi="Arial" w:cs="Arial"/>
          <w:sz w:val="22"/>
          <w:szCs w:val="22"/>
        </w:rPr>
        <w:t>StaySmart</w:t>
      </w:r>
      <w:proofErr w:type="spellEnd"/>
      <w:r w:rsidRPr="00AD2B43">
        <w:rPr>
          <w:rFonts w:ascii="Arial" w:hAnsi="Arial" w:cs="Arial"/>
          <w:sz w:val="22"/>
          <w:szCs w:val="22"/>
        </w:rPr>
        <w:t xml:space="preserve">+, information technology and digital innovation teams are important internal stakeholders. The service’s dependability and usefulness are directly influenced by its technical know-how. Cybersecurity experts who make sure AI procedures within specific hotels, hotel operations managers constitute yet another crucial stakeholder group. They supervise employee adoption, modify workflows, and manage installation. Because they use </w:t>
      </w:r>
      <w:proofErr w:type="spellStart"/>
      <w:r w:rsidRPr="00AD2B43">
        <w:rPr>
          <w:rFonts w:ascii="Arial" w:hAnsi="Arial" w:cs="Arial"/>
          <w:sz w:val="22"/>
          <w:szCs w:val="22"/>
        </w:rPr>
        <w:t>StaySmart</w:t>
      </w:r>
      <w:proofErr w:type="spellEnd"/>
      <w:r w:rsidRPr="00AD2B43">
        <w:rPr>
          <w:rFonts w:ascii="Arial" w:hAnsi="Arial" w:cs="Arial"/>
          <w:sz w:val="22"/>
          <w:szCs w:val="22"/>
        </w:rPr>
        <w:t>+ solutions to deliver visitor encounters, frontline hotel staff are also important stakeholders. Their expertise and acceptance have an impact on guest perceptions and service quality.</w:t>
      </w:r>
    </w:p>
    <w:p w14:paraId="6D27F932"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lastRenderedPageBreak/>
        <w:t xml:space="preserve">The internal stakeholders in charge of workforce readiness are the training and human resources departments. They provide training curricula, oversee change management procedures, and assist staff in adjusting to new digital service delivery models. Because they place </w:t>
      </w:r>
      <w:proofErr w:type="spellStart"/>
      <w:r w:rsidRPr="00AD2B43">
        <w:rPr>
          <w:rFonts w:ascii="Arial" w:hAnsi="Arial" w:cs="Arial"/>
          <w:sz w:val="22"/>
          <w:szCs w:val="22"/>
        </w:rPr>
        <w:t>StaySmart</w:t>
      </w:r>
      <w:proofErr w:type="spellEnd"/>
      <w:r w:rsidRPr="00AD2B43">
        <w:rPr>
          <w:rFonts w:ascii="Arial" w:hAnsi="Arial" w:cs="Arial"/>
          <w:sz w:val="22"/>
          <w:szCs w:val="22"/>
        </w:rPr>
        <w:t xml:space="preserve">+ within Hilton’s brand identify and explain its benefits to partners and guest, marketing and brand management teams are also important internal stakeholders. Sustainability teams provide environmental knowledge, guaranteeing that </w:t>
      </w:r>
      <w:proofErr w:type="spellStart"/>
      <w:r w:rsidRPr="00AD2B43">
        <w:rPr>
          <w:rFonts w:ascii="Arial" w:hAnsi="Arial" w:cs="Arial"/>
          <w:sz w:val="22"/>
          <w:szCs w:val="22"/>
        </w:rPr>
        <w:t>StaySmart’s</w:t>
      </w:r>
      <w:proofErr w:type="spellEnd"/>
      <w:r w:rsidRPr="00AD2B43">
        <w:rPr>
          <w:rFonts w:ascii="Arial" w:hAnsi="Arial" w:cs="Arial"/>
          <w:sz w:val="22"/>
          <w:szCs w:val="22"/>
        </w:rPr>
        <w:t>+ eco-features satisfy certification standards and organisational objectives.  Lastly, Hilton’s operational model needs to acknowledge franchise owners and real estate investors as internal stakeholders. Their consent and financial involvement are necessary for the installation of technology and its adoption at the property level.</w:t>
      </w:r>
    </w:p>
    <w:p w14:paraId="318FE92D"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 xml:space="preserve">For the </w:t>
      </w:r>
      <w:proofErr w:type="spellStart"/>
      <w:r w:rsidRPr="00AD2B43">
        <w:rPr>
          <w:rFonts w:ascii="Arial" w:hAnsi="Arial" w:cs="Arial"/>
          <w:sz w:val="22"/>
          <w:szCs w:val="22"/>
        </w:rPr>
        <w:t>StaySmart</w:t>
      </w:r>
      <w:proofErr w:type="spellEnd"/>
      <w:r w:rsidRPr="00AD2B43">
        <w:rPr>
          <w:rFonts w:ascii="Arial" w:hAnsi="Arial" w:cs="Arial"/>
          <w:sz w:val="22"/>
          <w:szCs w:val="22"/>
        </w:rPr>
        <w:t>+ project, external players are as vital. Since they utilise the service and assess its efficacy, guests and Hilton Honours members serve as the main external stakeholders. Market success is determined by their acceptance and expectations. Due to Hilton’s reliance on their knowledge and assistance, technology companies that provide AI software, smart-room devices, and digital infrastructure are also important stakeholders.  Because of the legal control of data usage and AI implementation, regulators and data protection authorities constitute another significant external group.</w:t>
      </w:r>
    </w:p>
    <w:p w14:paraId="78F1407B"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 xml:space="preserve">Environmental partners and sustainability certification organisations are additional external stakeholders that assure for </w:t>
      </w:r>
      <w:proofErr w:type="spellStart"/>
      <w:r w:rsidRPr="00AD2B43">
        <w:rPr>
          <w:rFonts w:ascii="Arial" w:hAnsi="Arial" w:cs="Arial"/>
          <w:sz w:val="22"/>
          <w:szCs w:val="22"/>
        </w:rPr>
        <w:t>StaySmart</w:t>
      </w:r>
      <w:proofErr w:type="spellEnd"/>
      <w:r w:rsidRPr="00AD2B43">
        <w:rPr>
          <w:rFonts w:ascii="Arial" w:hAnsi="Arial" w:cs="Arial"/>
          <w:sz w:val="22"/>
          <w:szCs w:val="22"/>
        </w:rPr>
        <w:t xml:space="preserve">+’s ecological claims. Among tourists who care about the environment, their support increases trustworthiness. By advertising Hilton services internationally, travel intermediaries like corporate travel partners and internet travel agencies also have an impact on market uptake. Secondary stakeholders impacted by </w:t>
      </w:r>
      <w:proofErr w:type="spellStart"/>
      <w:r w:rsidRPr="00AD2B43">
        <w:rPr>
          <w:rFonts w:ascii="Arial" w:hAnsi="Arial" w:cs="Arial"/>
          <w:sz w:val="22"/>
          <w:szCs w:val="22"/>
        </w:rPr>
        <w:t>StaySmart</w:t>
      </w:r>
      <w:proofErr w:type="spellEnd"/>
      <w:r w:rsidRPr="00AD2B43">
        <w:rPr>
          <w:rFonts w:ascii="Arial" w:hAnsi="Arial" w:cs="Arial"/>
          <w:sz w:val="22"/>
          <w:szCs w:val="22"/>
        </w:rPr>
        <w:t xml:space="preserve">+’s job possibilities and sustainability initiatives include the local communities that surround hotel sites. The project’s long-term competitiveness and financial performance are also important to investors and shareholders. </w:t>
      </w:r>
    </w:p>
    <w:p w14:paraId="5A43A66B"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 xml:space="preserve">Stakeholders can be grouped based on how interested and influential they are in the </w:t>
      </w:r>
      <w:proofErr w:type="spellStart"/>
      <w:r w:rsidRPr="00AD2B43">
        <w:rPr>
          <w:rFonts w:ascii="Arial" w:hAnsi="Arial" w:cs="Arial"/>
          <w:sz w:val="22"/>
          <w:szCs w:val="22"/>
        </w:rPr>
        <w:t>StaySmart</w:t>
      </w:r>
      <w:proofErr w:type="spellEnd"/>
      <w:r w:rsidRPr="00AD2B43">
        <w:rPr>
          <w:rFonts w:ascii="Arial" w:hAnsi="Arial" w:cs="Arial"/>
          <w:sz w:val="22"/>
          <w:szCs w:val="22"/>
        </w:rPr>
        <w:t xml:space="preserve">+ project. Senior management, franchise owners, IT departments, regulators, and hotel managers are examples of high-interest, high-influence stakeholders. These stakeholders need to be closely involved because they have the power or ability to facilitate or hinder implementation. Employees and guests are examples of high-interest but low-influence stakeholders; their approval affects operational success, but they have little formal decision-making authority. Investors and other low interest but highly influential stakeholders can prefer sporadic strategy updates to active operational involvement. </w:t>
      </w:r>
    </w:p>
    <w:p w14:paraId="70543AE6"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 xml:space="preserve">Priorities for interaction are further clarified by classifying primary and secondary stakeholders. Leadership, staff, visitors, IT departments, and franchise partners are among </w:t>
      </w:r>
      <w:r w:rsidRPr="00AD2B43">
        <w:rPr>
          <w:rFonts w:ascii="Arial" w:hAnsi="Arial" w:cs="Arial"/>
          <w:sz w:val="22"/>
          <w:szCs w:val="22"/>
        </w:rPr>
        <w:lastRenderedPageBreak/>
        <w:t xml:space="preserve">the main stakeholders who have a direct say in the creation, implementation, or use of </w:t>
      </w:r>
      <w:proofErr w:type="spellStart"/>
      <w:r w:rsidRPr="00AD2B43">
        <w:rPr>
          <w:rFonts w:ascii="Arial" w:hAnsi="Arial" w:cs="Arial"/>
          <w:sz w:val="22"/>
          <w:szCs w:val="22"/>
        </w:rPr>
        <w:t>StaySmart</w:t>
      </w:r>
      <w:proofErr w:type="spellEnd"/>
      <w:r w:rsidRPr="00AD2B43">
        <w:rPr>
          <w:rFonts w:ascii="Arial" w:hAnsi="Arial" w:cs="Arial"/>
          <w:sz w:val="22"/>
          <w:szCs w:val="22"/>
        </w:rPr>
        <w:t>+. Secondary stakeholders have an indirect impact on the project through social impact, certification, promotion, and regulation. Understanding these differences guarantees that important stakeholders have the right opportunities to participate and aids in the efficient allocation of engagement resources. According to Mitchell et al. (1997), power, legitimacy, and urgency are the three factors that determine a stakeholder’s salience; consequently, engagement intensity should be based on these characteristics rather than treating all stakeholders equally.</w:t>
      </w:r>
    </w:p>
    <w:p w14:paraId="6A647633"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 xml:space="preserve">Due to regional differences in impact and expectations, Hilton’s global operations make stakeholders more difficult. For instance, franchise partners may have more sway in markets with franchised ownership structures, but regulatory stakeholders may be more powerful in areas with stringent data protection regulations. </w:t>
      </w:r>
      <w:proofErr w:type="gramStart"/>
      <w:r w:rsidRPr="00AD2B43">
        <w:rPr>
          <w:rFonts w:ascii="Arial" w:hAnsi="Arial" w:cs="Arial"/>
          <w:sz w:val="22"/>
          <w:szCs w:val="22"/>
        </w:rPr>
        <w:t>Similar to</w:t>
      </w:r>
      <w:proofErr w:type="gramEnd"/>
      <w:r w:rsidRPr="00AD2B43">
        <w:rPr>
          <w:rFonts w:ascii="Arial" w:hAnsi="Arial" w:cs="Arial"/>
          <w:sz w:val="22"/>
          <w:szCs w:val="22"/>
        </w:rPr>
        <w:t xml:space="preserve"> this, cultural differences in guest attitudes toward AI contact influence engagement strategies.  Therefore, rather than using a standard worldwide model, stakeholder categorisation needs to take regional context into account.  This emphasises the necessity of flexible engagement tactics that consider regional circumstances.</w:t>
      </w:r>
    </w:p>
    <w:p w14:paraId="2B176B0E" w14:textId="77777777" w:rsidR="00AD2B43" w:rsidRPr="00AD2B43" w:rsidRDefault="00AD2B43" w:rsidP="00AD2B43">
      <w:pPr>
        <w:tabs>
          <w:tab w:val="left" w:pos="1798"/>
        </w:tabs>
        <w:spacing w:line="360" w:lineRule="auto"/>
        <w:rPr>
          <w:rFonts w:ascii="Arial" w:hAnsi="Arial" w:cs="Arial"/>
          <w:sz w:val="22"/>
          <w:szCs w:val="22"/>
        </w:rPr>
      </w:pPr>
    </w:p>
    <w:tbl>
      <w:tblPr>
        <w:tblStyle w:val="GridTable4-Accent4"/>
        <w:tblW w:w="9493" w:type="dxa"/>
        <w:tblInd w:w="0" w:type="dxa"/>
        <w:tblLook w:val="04A0" w:firstRow="1" w:lastRow="0" w:firstColumn="1" w:lastColumn="0" w:noHBand="0" w:noVBand="1"/>
      </w:tblPr>
      <w:tblGrid>
        <w:gridCol w:w="2254"/>
        <w:gridCol w:w="2254"/>
        <w:gridCol w:w="2717"/>
        <w:gridCol w:w="2268"/>
      </w:tblGrid>
      <w:tr w:rsidR="00AD2B43" w:rsidRPr="00AD2B43" w14:paraId="7E00B9C3" w14:textId="77777777" w:rsidTr="001E33E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hideMark/>
          </w:tcPr>
          <w:p w14:paraId="3C72BA79"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 xml:space="preserve">Stakeholder </w:t>
            </w:r>
          </w:p>
        </w:tc>
        <w:tc>
          <w:tcPr>
            <w:tcW w:w="2254" w:type="dxa"/>
            <w:hideMark/>
          </w:tcPr>
          <w:p w14:paraId="18688B40" w14:textId="77777777" w:rsidR="00AD2B43" w:rsidRPr="00AD2B43" w:rsidRDefault="00AD2B43" w:rsidP="00AD2B43">
            <w:pPr>
              <w:tabs>
                <w:tab w:val="left" w:pos="1798"/>
              </w:tabs>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AD2B43">
              <w:rPr>
                <w:rFonts w:ascii="Arial" w:hAnsi="Arial" w:cs="Arial"/>
                <w:sz w:val="22"/>
                <w:szCs w:val="22"/>
              </w:rPr>
              <w:t>Communication Method</w:t>
            </w:r>
          </w:p>
        </w:tc>
        <w:tc>
          <w:tcPr>
            <w:tcW w:w="2717" w:type="dxa"/>
            <w:hideMark/>
          </w:tcPr>
          <w:p w14:paraId="7DB2E12D" w14:textId="77777777" w:rsidR="00AD2B43" w:rsidRPr="00AD2B43" w:rsidRDefault="00AD2B43" w:rsidP="00AD2B43">
            <w:pPr>
              <w:tabs>
                <w:tab w:val="left" w:pos="1798"/>
              </w:tabs>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AD2B43">
              <w:rPr>
                <w:rFonts w:ascii="Arial" w:hAnsi="Arial" w:cs="Arial"/>
                <w:sz w:val="22"/>
                <w:szCs w:val="22"/>
              </w:rPr>
              <w:t>Information Shared</w:t>
            </w:r>
          </w:p>
        </w:tc>
        <w:tc>
          <w:tcPr>
            <w:tcW w:w="2268" w:type="dxa"/>
            <w:hideMark/>
          </w:tcPr>
          <w:p w14:paraId="52756DC3" w14:textId="77777777" w:rsidR="00AD2B43" w:rsidRPr="00AD2B43" w:rsidRDefault="00AD2B43" w:rsidP="00AD2B43">
            <w:pPr>
              <w:tabs>
                <w:tab w:val="left" w:pos="1798"/>
              </w:tabs>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AD2B43">
              <w:rPr>
                <w:rFonts w:ascii="Arial" w:hAnsi="Arial" w:cs="Arial"/>
                <w:sz w:val="22"/>
                <w:szCs w:val="22"/>
              </w:rPr>
              <w:t>Frequency</w:t>
            </w:r>
          </w:p>
        </w:tc>
      </w:tr>
      <w:tr w:rsidR="00AD2B43" w:rsidRPr="00AD2B43" w14:paraId="004AD9CD" w14:textId="77777777" w:rsidTr="001E33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tcBorders>
            <w:hideMark/>
          </w:tcPr>
          <w:p w14:paraId="7CE36B91"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 xml:space="preserve">Hotel Managers </w:t>
            </w:r>
          </w:p>
        </w:tc>
        <w:tc>
          <w:tcPr>
            <w:tcW w:w="2254" w:type="dxa"/>
            <w:tc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tcBorders>
            <w:hideMark/>
          </w:tcPr>
          <w:p w14:paraId="3BA29216" w14:textId="77777777" w:rsidR="00AD2B43" w:rsidRPr="00AD2B43" w:rsidRDefault="00AD2B43" w:rsidP="00AD2B43">
            <w:pPr>
              <w:tabs>
                <w:tab w:val="left" w:pos="1798"/>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D2B43">
              <w:rPr>
                <w:rFonts w:ascii="Arial" w:hAnsi="Arial" w:cs="Arial"/>
                <w:sz w:val="22"/>
                <w:szCs w:val="22"/>
              </w:rPr>
              <w:t>Operational meetings and internal platforms</w:t>
            </w:r>
          </w:p>
        </w:tc>
        <w:tc>
          <w:tcPr>
            <w:tcW w:w="2717" w:type="dxa"/>
            <w:tc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tcBorders>
            <w:hideMark/>
          </w:tcPr>
          <w:p w14:paraId="66CB2BEF" w14:textId="77777777" w:rsidR="00AD2B43" w:rsidRPr="00AD2B43" w:rsidRDefault="00AD2B43" w:rsidP="00AD2B43">
            <w:pPr>
              <w:tabs>
                <w:tab w:val="left" w:pos="1798"/>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D2B43">
              <w:rPr>
                <w:rFonts w:ascii="Arial" w:hAnsi="Arial" w:cs="Arial"/>
                <w:sz w:val="22"/>
                <w:szCs w:val="22"/>
              </w:rPr>
              <w:t>Installation schedules, operational guidelines</w:t>
            </w:r>
          </w:p>
        </w:tc>
        <w:tc>
          <w:tcPr>
            <w:tcW w:w="2268" w:type="dxa"/>
            <w:tc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tcBorders>
            <w:hideMark/>
          </w:tcPr>
          <w:p w14:paraId="1B6156C7" w14:textId="77777777" w:rsidR="00AD2B43" w:rsidRPr="00AD2B43" w:rsidRDefault="00AD2B43" w:rsidP="00AD2B43">
            <w:pPr>
              <w:tabs>
                <w:tab w:val="left" w:pos="1798"/>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D2B43">
              <w:rPr>
                <w:rFonts w:ascii="Arial" w:hAnsi="Arial" w:cs="Arial"/>
                <w:sz w:val="22"/>
                <w:szCs w:val="22"/>
              </w:rPr>
              <w:t xml:space="preserve">Weekly </w:t>
            </w:r>
          </w:p>
        </w:tc>
      </w:tr>
      <w:tr w:rsidR="00AD2B43" w:rsidRPr="00AD2B43" w14:paraId="797E1FE2" w14:textId="77777777" w:rsidTr="001E33E9">
        <w:tc>
          <w:tcPr>
            <w:cnfStyle w:val="001000000000" w:firstRow="0" w:lastRow="0" w:firstColumn="1" w:lastColumn="0" w:oddVBand="0" w:evenVBand="0" w:oddHBand="0" w:evenHBand="0" w:firstRowFirstColumn="0" w:firstRowLastColumn="0" w:lastRowFirstColumn="0" w:lastRowLastColumn="0"/>
            <w:tcW w:w="2254" w:type="dxa"/>
            <w:tc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tcBorders>
            <w:hideMark/>
          </w:tcPr>
          <w:p w14:paraId="52924837"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Employees</w:t>
            </w:r>
          </w:p>
        </w:tc>
        <w:tc>
          <w:tcPr>
            <w:tcW w:w="2254" w:type="dxa"/>
            <w:tc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tcBorders>
            <w:hideMark/>
          </w:tcPr>
          <w:p w14:paraId="50E94F68" w14:textId="77777777" w:rsidR="00AD2B43" w:rsidRPr="00AD2B43" w:rsidRDefault="00AD2B43" w:rsidP="00AD2B43">
            <w:pPr>
              <w:tabs>
                <w:tab w:val="left" w:pos="1798"/>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D2B43">
              <w:rPr>
                <w:rFonts w:ascii="Arial" w:hAnsi="Arial" w:cs="Arial"/>
                <w:sz w:val="22"/>
                <w:szCs w:val="22"/>
              </w:rPr>
              <w:t>Training sessions and internal communication systems</w:t>
            </w:r>
          </w:p>
        </w:tc>
        <w:tc>
          <w:tcPr>
            <w:tcW w:w="2717" w:type="dxa"/>
            <w:tc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tcBorders>
            <w:hideMark/>
          </w:tcPr>
          <w:p w14:paraId="21982073" w14:textId="77777777" w:rsidR="00AD2B43" w:rsidRPr="00AD2B43" w:rsidRDefault="00AD2B43" w:rsidP="00AD2B43">
            <w:pPr>
              <w:tabs>
                <w:tab w:val="left" w:pos="1798"/>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D2B43">
              <w:rPr>
                <w:rFonts w:ascii="Arial" w:hAnsi="Arial" w:cs="Arial"/>
                <w:sz w:val="22"/>
                <w:szCs w:val="22"/>
              </w:rPr>
              <w:t>System usage, digital skills development</w:t>
            </w:r>
          </w:p>
        </w:tc>
        <w:tc>
          <w:tcPr>
            <w:tcW w:w="2268" w:type="dxa"/>
            <w:tc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tcBorders>
            <w:hideMark/>
          </w:tcPr>
          <w:p w14:paraId="6421A32F" w14:textId="77777777" w:rsidR="00AD2B43" w:rsidRPr="00AD2B43" w:rsidRDefault="00AD2B43" w:rsidP="00AD2B43">
            <w:pPr>
              <w:tabs>
                <w:tab w:val="left" w:pos="1798"/>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D2B43">
              <w:rPr>
                <w:rFonts w:ascii="Arial" w:hAnsi="Arial" w:cs="Arial"/>
                <w:sz w:val="22"/>
                <w:szCs w:val="22"/>
              </w:rPr>
              <w:t xml:space="preserve">Weekly </w:t>
            </w:r>
          </w:p>
        </w:tc>
      </w:tr>
      <w:tr w:rsidR="00AD2B43" w:rsidRPr="00AD2B43" w14:paraId="456638C6" w14:textId="77777777" w:rsidTr="001E33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tcBorders>
            <w:hideMark/>
          </w:tcPr>
          <w:p w14:paraId="769A0AD3"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 xml:space="preserve">Senior Leadership </w:t>
            </w:r>
          </w:p>
        </w:tc>
        <w:tc>
          <w:tcPr>
            <w:tcW w:w="2254" w:type="dxa"/>
            <w:tc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tcBorders>
            <w:hideMark/>
          </w:tcPr>
          <w:p w14:paraId="0E9E25E2" w14:textId="77777777" w:rsidR="00AD2B43" w:rsidRPr="00AD2B43" w:rsidRDefault="00AD2B43" w:rsidP="00AD2B43">
            <w:pPr>
              <w:tabs>
                <w:tab w:val="left" w:pos="1798"/>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D2B43">
              <w:rPr>
                <w:rFonts w:ascii="Arial" w:hAnsi="Arial" w:cs="Arial"/>
                <w:sz w:val="22"/>
                <w:szCs w:val="22"/>
              </w:rPr>
              <w:t xml:space="preserve">Executive reports and meetings </w:t>
            </w:r>
          </w:p>
        </w:tc>
        <w:tc>
          <w:tcPr>
            <w:tcW w:w="2717" w:type="dxa"/>
            <w:tc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tcBorders>
            <w:hideMark/>
          </w:tcPr>
          <w:p w14:paraId="642011DC" w14:textId="77777777" w:rsidR="00AD2B43" w:rsidRPr="00AD2B43" w:rsidRDefault="00AD2B43" w:rsidP="00AD2B43">
            <w:pPr>
              <w:tabs>
                <w:tab w:val="left" w:pos="1798"/>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D2B43">
              <w:rPr>
                <w:rFonts w:ascii="Arial" w:hAnsi="Arial" w:cs="Arial"/>
                <w:sz w:val="22"/>
                <w:szCs w:val="22"/>
              </w:rPr>
              <w:t>Project progress, financial performance, strategic performance</w:t>
            </w:r>
          </w:p>
        </w:tc>
        <w:tc>
          <w:tcPr>
            <w:tcW w:w="2268" w:type="dxa"/>
            <w:tc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tcBorders>
            <w:hideMark/>
          </w:tcPr>
          <w:p w14:paraId="3D5A1F0E" w14:textId="77777777" w:rsidR="00AD2B43" w:rsidRPr="00AD2B43" w:rsidRDefault="00AD2B43" w:rsidP="00AD2B43">
            <w:pPr>
              <w:tabs>
                <w:tab w:val="left" w:pos="1798"/>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D2B43">
              <w:rPr>
                <w:rFonts w:ascii="Arial" w:hAnsi="Arial" w:cs="Arial"/>
                <w:sz w:val="22"/>
                <w:szCs w:val="22"/>
              </w:rPr>
              <w:t xml:space="preserve">Monthly </w:t>
            </w:r>
          </w:p>
        </w:tc>
      </w:tr>
      <w:tr w:rsidR="00AD2B43" w:rsidRPr="00AD2B43" w14:paraId="2E2045C0" w14:textId="77777777" w:rsidTr="001E33E9">
        <w:tc>
          <w:tcPr>
            <w:cnfStyle w:val="001000000000" w:firstRow="0" w:lastRow="0" w:firstColumn="1" w:lastColumn="0" w:oddVBand="0" w:evenVBand="0" w:oddHBand="0" w:evenHBand="0" w:firstRowFirstColumn="0" w:firstRowLastColumn="0" w:lastRowFirstColumn="0" w:lastRowLastColumn="0"/>
            <w:tcW w:w="2254" w:type="dxa"/>
            <w:tc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tcBorders>
            <w:hideMark/>
          </w:tcPr>
          <w:p w14:paraId="7D9CD1DA"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 xml:space="preserve">Franchise owners </w:t>
            </w:r>
          </w:p>
        </w:tc>
        <w:tc>
          <w:tcPr>
            <w:tcW w:w="2254" w:type="dxa"/>
            <w:tc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tcBorders>
            <w:hideMark/>
          </w:tcPr>
          <w:p w14:paraId="042B94CE" w14:textId="77777777" w:rsidR="00AD2B43" w:rsidRPr="00AD2B43" w:rsidRDefault="00AD2B43" w:rsidP="00AD2B43">
            <w:pPr>
              <w:tabs>
                <w:tab w:val="left" w:pos="1798"/>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D2B43">
              <w:rPr>
                <w:rFonts w:ascii="Arial" w:hAnsi="Arial" w:cs="Arial"/>
                <w:sz w:val="22"/>
                <w:szCs w:val="22"/>
              </w:rPr>
              <w:t xml:space="preserve">Webinars campaigns, website, hotel information </w:t>
            </w:r>
          </w:p>
        </w:tc>
        <w:tc>
          <w:tcPr>
            <w:tcW w:w="2717" w:type="dxa"/>
            <w:tc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tcBorders>
            <w:hideMark/>
          </w:tcPr>
          <w:p w14:paraId="16F85903" w14:textId="77777777" w:rsidR="00AD2B43" w:rsidRPr="00AD2B43" w:rsidRDefault="00AD2B43" w:rsidP="00AD2B43">
            <w:pPr>
              <w:tabs>
                <w:tab w:val="left" w:pos="1798"/>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D2B43">
              <w:rPr>
                <w:rFonts w:ascii="Arial" w:hAnsi="Arial" w:cs="Arial"/>
                <w:sz w:val="22"/>
                <w:szCs w:val="22"/>
              </w:rPr>
              <w:t xml:space="preserve">Implementation plans, investment requirements </w:t>
            </w:r>
          </w:p>
        </w:tc>
        <w:tc>
          <w:tcPr>
            <w:tcW w:w="2268" w:type="dxa"/>
            <w:tc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tcBorders>
            <w:hideMark/>
          </w:tcPr>
          <w:p w14:paraId="507B8814" w14:textId="77777777" w:rsidR="00AD2B43" w:rsidRPr="00AD2B43" w:rsidRDefault="00AD2B43" w:rsidP="00AD2B43">
            <w:pPr>
              <w:tabs>
                <w:tab w:val="left" w:pos="1798"/>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D2B43">
              <w:rPr>
                <w:rFonts w:ascii="Arial" w:hAnsi="Arial" w:cs="Arial"/>
                <w:sz w:val="22"/>
                <w:szCs w:val="22"/>
              </w:rPr>
              <w:t xml:space="preserve">Monthly </w:t>
            </w:r>
          </w:p>
        </w:tc>
      </w:tr>
      <w:tr w:rsidR="00AD2B43" w:rsidRPr="00AD2B43" w14:paraId="65264333" w14:textId="77777777" w:rsidTr="001E33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tcBorders>
            <w:hideMark/>
          </w:tcPr>
          <w:p w14:paraId="2720B277"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 xml:space="preserve">Guests </w:t>
            </w:r>
          </w:p>
        </w:tc>
        <w:tc>
          <w:tcPr>
            <w:tcW w:w="2254" w:type="dxa"/>
            <w:tc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tcBorders>
            <w:hideMark/>
          </w:tcPr>
          <w:p w14:paraId="2C6B3F4C" w14:textId="77777777" w:rsidR="00AD2B43" w:rsidRPr="00AD2B43" w:rsidRDefault="00AD2B43" w:rsidP="00AD2B43">
            <w:pPr>
              <w:tabs>
                <w:tab w:val="left" w:pos="1798"/>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D2B43">
              <w:rPr>
                <w:rFonts w:ascii="Arial" w:hAnsi="Arial" w:cs="Arial"/>
                <w:sz w:val="22"/>
                <w:szCs w:val="22"/>
              </w:rPr>
              <w:t xml:space="preserve">Marketing campaigns, website, hotel information </w:t>
            </w:r>
          </w:p>
        </w:tc>
        <w:tc>
          <w:tcPr>
            <w:tcW w:w="2717" w:type="dxa"/>
            <w:tc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tcBorders>
            <w:hideMark/>
          </w:tcPr>
          <w:p w14:paraId="296805B3" w14:textId="77777777" w:rsidR="00AD2B43" w:rsidRPr="00AD2B43" w:rsidRDefault="00AD2B43" w:rsidP="00AD2B43">
            <w:pPr>
              <w:tabs>
                <w:tab w:val="left" w:pos="1798"/>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D2B43">
              <w:rPr>
                <w:rFonts w:ascii="Arial" w:hAnsi="Arial" w:cs="Arial"/>
                <w:sz w:val="22"/>
                <w:szCs w:val="22"/>
              </w:rPr>
              <w:t xml:space="preserve">Benefits of </w:t>
            </w:r>
            <w:proofErr w:type="spellStart"/>
            <w:r w:rsidRPr="00AD2B43">
              <w:rPr>
                <w:rFonts w:ascii="Arial" w:hAnsi="Arial" w:cs="Arial"/>
                <w:sz w:val="22"/>
                <w:szCs w:val="22"/>
              </w:rPr>
              <w:t>StaySmart</w:t>
            </w:r>
            <w:proofErr w:type="spellEnd"/>
            <w:r w:rsidRPr="00AD2B43">
              <w:rPr>
                <w:rFonts w:ascii="Arial" w:hAnsi="Arial" w:cs="Arial"/>
                <w:sz w:val="22"/>
                <w:szCs w:val="22"/>
              </w:rPr>
              <w:t>+ and personalised services</w:t>
            </w:r>
          </w:p>
        </w:tc>
        <w:tc>
          <w:tcPr>
            <w:tcW w:w="2268" w:type="dxa"/>
            <w:tc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tcBorders>
            <w:hideMark/>
          </w:tcPr>
          <w:p w14:paraId="16AF7B9F" w14:textId="77777777" w:rsidR="00AD2B43" w:rsidRPr="00AD2B43" w:rsidRDefault="00AD2B43" w:rsidP="00AD2B43">
            <w:pPr>
              <w:tabs>
                <w:tab w:val="left" w:pos="1798"/>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D2B43">
              <w:rPr>
                <w:rFonts w:ascii="Arial" w:hAnsi="Arial" w:cs="Arial"/>
                <w:sz w:val="22"/>
                <w:szCs w:val="22"/>
              </w:rPr>
              <w:t xml:space="preserve">On going </w:t>
            </w:r>
          </w:p>
        </w:tc>
      </w:tr>
      <w:tr w:rsidR="00AD2B43" w:rsidRPr="00AD2B43" w14:paraId="59222E4A" w14:textId="77777777" w:rsidTr="001E33E9">
        <w:tc>
          <w:tcPr>
            <w:cnfStyle w:val="001000000000" w:firstRow="0" w:lastRow="0" w:firstColumn="1" w:lastColumn="0" w:oddVBand="0" w:evenVBand="0" w:oddHBand="0" w:evenHBand="0" w:firstRowFirstColumn="0" w:firstRowLastColumn="0" w:lastRowFirstColumn="0" w:lastRowLastColumn="0"/>
            <w:tcW w:w="2254" w:type="dxa"/>
            <w:tc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tcBorders>
            <w:hideMark/>
          </w:tcPr>
          <w:p w14:paraId="07ECDD76"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lastRenderedPageBreak/>
              <w:t>Regulators</w:t>
            </w:r>
          </w:p>
        </w:tc>
        <w:tc>
          <w:tcPr>
            <w:tcW w:w="2254" w:type="dxa"/>
            <w:tc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tcBorders>
            <w:hideMark/>
          </w:tcPr>
          <w:p w14:paraId="24F8BADB" w14:textId="77777777" w:rsidR="00AD2B43" w:rsidRPr="00AD2B43" w:rsidRDefault="00AD2B43" w:rsidP="00AD2B43">
            <w:pPr>
              <w:tabs>
                <w:tab w:val="left" w:pos="1798"/>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D2B43">
              <w:rPr>
                <w:rFonts w:ascii="Arial" w:hAnsi="Arial" w:cs="Arial"/>
                <w:sz w:val="22"/>
                <w:szCs w:val="22"/>
              </w:rPr>
              <w:t>Formal reports and compliance documentation</w:t>
            </w:r>
          </w:p>
        </w:tc>
        <w:tc>
          <w:tcPr>
            <w:tcW w:w="2717" w:type="dxa"/>
            <w:tc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tcBorders>
            <w:hideMark/>
          </w:tcPr>
          <w:p w14:paraId="752525DE" w14:textId="77777777" w:rsidR="00AD2B43" w:rsidRPr="00AD2B43" w:rsidRDefault="00AD2B43" w:rsidP="00AD2B43">
            <w:pPr>
              <w:tabs>
                <w:tab w:val="left" w:pos="1798"/>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D2B43">
              <w:rPr>
                <w:rFonts w:ascii="Arial" w:hAnsi="Arial" w:cs="Arial"/>
                <w:sz w:val="22"/>
                <w:szCs w:val="22"/>
              </w:rPr>
              <w:t>Data protection and legal compliance</w:t>
            </w:r>
          </w:p>
        </w:tc>
        <w:tc>
          <w:tcPr>
            <w:tcW w:w="2268" w:type="dxa"/>
            <w:tc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tcBorders>
            <w:hideMark/>
          </w:tcPr>
          <w:p w14:paraId="2D2AAC56" w14:textId="77777777" w:rsidR="00AD2B43" w:rsidRPr="00AD2B43" w:rsidRDefault="00AD2B43" w:rsidP="00AD2B43">
            <w:pPr>
              <w:tabs>
                <w:tab w:val="left" w:pos="1798"/>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D2B43">
              <w:rPr>
                <w:rFonts w:ascii="Arial" w:hAnsi="Arial" w:cs="Arial"/>
                <w:sz w:val="22"/>
                <w:szCs w:val="22"/>
              </w:rPr>
              <w:t xml:space="preserve">As required </w:t>
            </w:r>
          </w:p>
        </w:tc>
      </w:tr>
    </w:tbl>
    <w:p w14:paraId="0F56BEED" w14:textId="77777777" w:rsidR="00AD2B43" w:rsidRPr="00AD2B43" w:rsidRDefault="00AD2B43" w:rsidP="00AD2B43">
      <w:pPr>
        <w:tabs>
          <w:tab w:val="left" w:pos="1798"/>
        </w:tabs>
        <w:spacing w:line="360" w:lineRule="auto"/>
        <w:rPr>
          <w:rFonts w:ascii="Arial" w:hAnsi="Arial" w:cs="Arial"/>
          <w:sz w:val="22"/>
          <w:szCs w:val="22"/>
        </w:rPr>
      </w:pPr>
    </w:p>
    <w:p w14:paraId="0DE74F1C" w14:textId="77777777" w:rsidR="00AD2B43" w:rsidRPr="00AD2B43" w:rsidRDefault="00AD2B43" w:rsidP="00AD2B43">
      <w:pPr>
        <w:tabs>
          <w:tab w:val="left" w:pos="1798"/>
        </w:tabs>
        <w:spacing w:line="360" w:lineRule="auto"/>
        <w:rPr>
          <w:rFonts w:ascii="Arial" w:hAnsi="Arial" w:cs="Arial"/>
          <w:sz w:val="22"/>
          <w:szCs w:val="22"/>
        </w:rPr>
      </w:pPr>
    </w:p>
    <w:p w14:paraId="7DD2A3CF" w14:textId="77777777" w:rsidR="00AD2B43" w:rsidRPr="00AD2B43" w:rsidRDefault="00AD2B43" w:rsidP="00AD2B43">
      <w:pPr>
        <w:tabs>
          <w:tab w:val="left" w:pos="1798"/>
        </w:tabs>
        <w:spacing w:line="360" w:lineRule="auto"/>
        <w:rPr>
          <w:rFonts w:ascii="Arial" w:hAnsi="Arial" w:cs="Arial"/>
          <w:b/>
          <w:bCs/>
          <w:sz w:val="22"/>
          <w:szCs w:val="22"/>
        </w:rPr>
      </w:pPr>
      <w:r w:rsidRPr="00AD2B43">
        <w:rPr>
          <w:rFonts w:ascii="Arial" w:hAnsi="Arial" w:cs="Arial"/>
          <w:b/>
          <w:bCs/>
          <w:sz w:val="22"/>
          <w:szCs w:val="22"/>
        </w:rPr>
        <w:t xml:space="preserve">Stakeholder Roles, Responsibilities, Benefits and Challenges in the </w:t>
      </w:r>
      <w:proofErr w:type="spellStart"/>
      <w:r w:rsidRPr="00AD2B43">
        <w:rPr>
          <w:rFonts w:ascii="Arial" w:hAnsi="Arial" w:cs="Arial"/>
          <w:b/>
          <w:bCs/>
          <w:sz w:val="22"/>
          <w:szCs w:val="22"/>
        </w:rPr>
        <w:t>StaySmart</w:t>
      </w:r>
      <w:proofErr w:type="spellEnd"/>
      <w:r w:rsidRPr="00AD2B43">
        <w:rPr>
          <w:rFonts w:ascii="Arial" w:hAnsi="Arial" w:cs="Arial"/>
          <w:b/>
          <w:bCs/>
          <w:sz w:val="22"/>
          <w:szCs w:val="22"/>
        </w:rPr>
        <w:t>+ Project at Hilton</w:t>
      </w:r>
    </w:p>
    <w:p w14:paraId="14E336B6"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 xml:space="preserve">Clear roles and duties for stakeholders are essential to the successful deployment of </w:t>
      </w:r>
      <w:proofErr w:type="spellStart"/>
      <w:r w:rsidRPr="00AD2B43">
        <w:rPr>
          <w:rFonts w:ascii="Arial" w:hAnsi="Arial" w:cs="Arial"/>
          <w:sz w:val="22"/>
          <w:szCs w:val="22"/>
        </w:rPr>
        <w:t>StaySmart</w:t>
      </w:r>
      <w:proofErr w:type="spellEnd"/>
      <w:r w:rsidRPr="00AD2B43">
        <w:rPr>
          <w:rFonts w:ascii="Arial" w:hAnsi="Arial" w:cs="Arial"/>
          <w:sz w:val="22"/>
          <w:szCs w:val="22"/>
        </w:rPr>
        <w:t>+ throughout Hilton’s global hotel network. collaboration between organisational levels is crucial because the project incorporate suitability features, smart room technology and artificial intelligence into hospitability into hospitability services. Clearly defining roles promotes coordinated execution, avoids duplication and assures responsibility. Stakeholders encounter advantages and difficulties that affect their involvement, making it essential to understand these elements for effective.</w:t>
      </w:r>
    </w:p>
    <w:p w14:paraId="6BB696FE" w14:textId="77777777" w:rsidR="00AD2B43" w:rsidRPr="00AD2B43" w:rsidRDefault="00AD2B43" w:rsidP="00AD2B43">
      <w:pPr>
        <w:tabs>
          <w:tab w:val="left" w:pos="1798"/>
        </w:tabs>
        <w:spacing w:line="360" w:lineRule="auto"/>
        <w:rPr>
          <w:rFonts w:ascii="Arial" w:hAnsi="Arial" w:cs="Arial"/>
          <w:b/>
          <w:bCs/>
          <w:sz w:val="22"/>
          <w:szCs w:val="22"/>
        </w:rPr>
      </w:pPr>
      <w:r w:rsidRPr="00AD2B43">
        <w:rPr>
          <w:rFonts w:ascii="Arial" w:hAnsi="Arial" w:cs="Arial"/>
          <w:sz w:val="22"/>
          <w:szCs w:val="22"/>
        </w:rPr>
        <w:t xml:space="preserve">Strategic accountability for </w:t>
      </w:r>
      <w:proofErr w:type="spellStart"/>
      <w:r w:rsidRPr="00AD2B43">
        <w:rPr>
          <w:rFonts w:ascii="Arial" w:hAnsi="Arial" w:cs="Arial"/>
          <w:sz w:val="22"/>
          <w:szCs w:val="22"/>
        </w:rPr>
        <w:t>StaySmart</w:t>
      </w:r>
      <w:proofErr w:type="spellEnd"/>
      <w:r w:rsidRPr="00AD2B43">
        <w:rPr>
          <w:rFonts w:ascii="Arial" w:hAnsi="Arial" w:cs="Arial"/>
          <w:sz w:val="22"/>
          <w:szCs w:val="22"/>
        </w:rPr>
        <w:t>+ rests with senior leadership. The program aligns with Hilton strategy after executives approve investment and establish the innovation goal. They set priorities for digital transformation and ensure competitive advantage. Benefits include improved efficiency brand difference and financial growth through technology enabled services. However, challenges include high capital costs, implementation risk across markets and balancing innovation with brand consistency. Poor implementation may damage reputation and shareholder trust</w:t>
      </w:r>
      <w:r w:rsidRPr="00AD2B43">
        <w:rPr>
          <w:rFonts w:ascii="Arial" w:hAnsi="Arial" w:cs="Arial"/>
          <w:b/>
          <w:bCs/>
          <w:sz w:val="22"/>
          <w:szCs w:val="22"/>
        </w:rPr>
        <w:t>.</w:t>
      </w:r>
    </w:p>
    <w:p w14:paraId="56CB74ED"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the project manager coordinates implementation, including scheduling, resource management, progress tracking and communication across departments and regions. They ensure development, installation and integration meet requirements. Benefits include professional recognition, while challenges include complexity from cross functional collaboration, cultural differences and reliance on external suppliers. Delays or resistance may affect performance.</w:t>
      </w:r>
    </w:p>
    <w:p w14:paraId="56517C3E"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 xml:space="preserve">IT and digital innovation teams design and maintain </w:t>
      </w:r>
      <w:proofErr w:type="spellStart"/>
      <w:r w:rsidRPr="00AD2B43">
        <w:rPr>
          <w:rFonts w:ascii="Arial" w:hAnsi="Arial" w:cs="Arial"/>
          <w:sz w:val="22"/>
          <w:szCs w:val="22"/>
        </w:rPr>
        <w:t>StaySmart</w:t>
      </w:r>
      <w:proofErr w:type="spellEnd"/>
      <w:r w:rsidRPr="00AD2B43">
        <w:rPr>
          <w:rFonts w:ascii="Arial" w:hAnsi="Arial" w:cs="Arial"/>
          <w:sz w:val="22"/>
          <w:szCs w:val="22"/>
        </w:rPr>
        <w:t>+ infrastructure, including AI systems, cybersecurity and smart room integration. They ensure data privacy compliance. Benefits include developing digital abilities, while challenges include cybersecurity risks, system compatibility and maintaining stability across global operations. Continuous updates increase workload.</w:t>
      </w:r>
    </w:p>
    <w:p w14:paraId="0F182FB1" w14:textId="77777777" w:rsidR="00AD2B43" w:rsidRPr="00AD2B43" w:rsidRDefault="00AD2B43" w:rsidP="00AD2B43">
      <w:pPr>
        <w:tabs>
          <w:tab w:val="left" w:pos="1798"/>
        </w:tabs>
        <w:spacing w:line="360" w:lineRule="auto"/>
        <w:rPr>
          <w:rFonts w:ascii="Arial" w:hAnsi="Arial" w:cs="Arial"/>
          <w:sz w:val="22"/>
          <w:szCs w:val="22"/>
        </w:rPr>
      </w:pPr>
    </w:p>
    <w:p w14:paraId="2DEA529F"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lastRenderedPageBreak/>
        <w:t xml:space="preserve">Hotel operations managers implement </w:t>
      </w:r>
      <w:proofErr w:type="spellStart"/>
      <w:r w:rsidRPr="00AD2B43">
        <w:rPr>
          <w:rFonts w:ascii="Arial" w:hAnsi="Arial" w:cs="Arial"/>
          <w:sz w:val="22"/>
          <w:szCs w:val="22"/>
        </w:rPr>
        <w:t>StaySmart</w:t>
      </w:r>
      <w:proofErr w:type="spellEnd"/>
      <w:r w:rsidRPr="00AD2B43">
        <w:rPr>
          <w:rFonts w:ascii="Arial" w:hAnsi="Arial" w:cs="Arial"/>
          <w:sz w:val="22"/>
          <w:szCs w:val="22"/>
        </w:rPr>
        <w:t>+ at property level. They oversee implementation, adjust workflows and ensure staff use the technology effectively while monitoring performance and feedback. Advantages are improved service efficiency and guest satisfaction leading to more visits and better customer service and customer feedback. Disadvantages include operational disruption, employee’s resistance and maintaining service quality during transition. Managers must balance corporate innovation with local expectations</w:t>
      </w:r>
    </w:p>
    <w:p w14:paraId="117075E1"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 xml:space="preserve">Frontlines staff deliver guest engagement using </w:t>
      </w:r>
      <w:proofErr w:type="spellStart"/>
      <w:r w:rsidRPr="00AD2B43">
        <w:rPr>
          <w:rFonts w:ascii="Arial" w:hAnsi="Arial" w:cs="Arial"/>
          <w:sz w:val="22"/>
          <w:szCs w:val="22"/>
        </w:rPr>
        <w:t>StaySmart</w:t>
      </w:r>
      <w:proofErr w:type="spellEnd"/>
      <w:r w:rsidRPr="00AD2B43">
        <w:rPr>
          <w:rFonts w:ascii="Arial" w:hAnsi="Arial" w:cs="Arial"/>
          <w:sz w:val="22"/>
          <w:szCs w:val="22"/>
        </w:rPr>
        <w:t>+ technologies. Their role includes assisting guests, interpreting I insights and maintaining personalised service. Benefits are digital skill development and reduced routine tasks. Whereas there are challenges like fear of job loss, training needs and adapting to technology-based interactions. Lack of clear communication may increase uncertainty. Employees acceptance depends on perceived competence and organisational support (Kotter,1996).</w:t>
      </w:r>
    </w:p>
    <w:p w14:paraId="22670398"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Human resources and taring departments prepare employees by developing training programs, managing change communication and supporting adaption. Workforce benefits modern and improved capability. It’s a challenge in addressing concerns about automation and designing training across culture. Continuous skill development is required due to evolving AI systems</w:t>
      </w:r>
    </w:p>
    <w:p w14:paraId="6501A34D" w14:textId="77777777" w:rsidR="00AD2B43" w:rsidRPr="00AD2B43" w:rsidRDefault="00AD2B43" w:rsidP="00AD2B43">
      <w:pPr>
        <w:tabs>
          <w:tab w:val="left" w:pos="1798"/>
        </w:tabs>
        <w:spacing w:line="360" w:lineRule="auto"/>
        <w:rPr>
          <w:rFonts w:ascii="Arial" w:hAnsi="Arial" w:cs="Arial"/>
          <w:b/>
          <w:bCs/>
          <w:sz w:val="22"/>
          <w:szCs w:val="22"/>
        </w:rPr>
      </w:pPr>
    </w:p>
    <w:p w14:paraId="0AE2ACF3"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 xml:space="preserve">Marketing and brand management teams’ position </w:t>
      </w:r>
      <w:proofErr w:type="spellStart"/>
      <w:r w:rsidRPr="00AD2B43">
        <w:rPr>
          <w:rFonts w:ascii="Arial" w:hAnsi="Arial" w:cs="Arial"/>
          <w:sz w:val="22"/>
          <w:szCs w:val="22"/>
        </w:rPr>
        <w:t>StaySmart</w:t>
      </w:r>
      <w:proofErr w:type="spellEnd"/>
      <w:r w:rsidRPr="00AD2B43">
        <w:rPr>
          <w:rFonts w:ascii="Arial" w:hAnsi="Arial" w:cs="Arial"/>
          <w:sz w:val="22"/>
          <w:szCs w:val="22"/>
        </w:rPr>
        <w:t xml:space="preserve">+ withing Hiltons brand and communication to benefit through promotions and loyalty integration. It includes stronger brand recognition and market uniqueness. however, challenges include ensuring consistent messaging and avoiding over promising technology capabilities as a </w:t>
      </w:r>
      <w:proofErr w:type="gramStart"/>
      <w:r w:rsidRPr="00AD2B43">
        <w:rPr>
          <w:rFonts w:ascii="Arial" w:hAnsi="Arial" w:cs="Arial"/>
          <w:sz w:val="22"/>
          <w:szCs w:val="22"/>
        </w:rPr>
        <w:t>gaps</w:t>
      </w:r>
      <w:proofErr w:type="gramEnd"/>
      <w:r w:rsidRPr="00AD2B43">
        <w:rPr>
          <w:rFonts w:ascii="Arial" w:hAnsi="Arial" w:cs="Arial"/>
          <w:sz w:val="22"/>
          <w:szCs w:val="22"/>
        </w:rPr>
        <w:t xml:space="preserve"> between expectations and experience may damage reputation</w:t>
      </w:r>
    </w:p>
    <w:p w14:paraId="35118FF0"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 xml:space="preserve">Is the duty of franchise owners and real estate investors to authorise and fund the </w:t>
      </w:r>
      <w:proofErr w:type="gramStart"/>
      <w:r w:rsidRPr="00AD2B43">
        <w:rPr>
          <w:rFonts w:ascii="Arial" w:hAnsi="Arial" w:cs="Arial"/>
          <w:sz w:val="22"/>
          <w:szCs w:val="22"/>
        </w:rPr>
        <w:t>implementation  of</w:t>
      </w:r>
      <w:proofErr w:type="gramEnd"/>
      <w:r w:rsidRPr="00AD2B43">
        <w:rPr>
          <w:rFonts w:ascii="Arial" w:hAnsi="Arial" w:cs="Arial"/>
          <w:sz w:val="22"/>
          <w:szCs w:val="22"/>
        </w:rPr>
        <w:t xml:space="preserve"> technology in franchised hotels. They are responsible for making sure the property is ready and assessing the return on investment. Increased property value, competitive positioning, and the possibility of income development through premium services are among the advantages for franchise stakeholders. The need for capital expenditures, the unpredictability of financial returns, and installation disturbance all obstacles, nevertheless.  </w:t>
      </w:r>
    </w:p>
    <w:p w14:paraId="7DCBC3B9"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 xml:space="preserve">Technical assistance, smart-room equipment, and AI software are provided by outside technology companies. Long-term business alliances and chances to create technologies unique to the hotel industry are among its advantages.  Adapting technology to various hotel locations and achieving Hilton’s global quality and security standards are challenges. To </w:t>
      </w:r>
      <w:r w:rsidRPr="00AD2B43">
        <w:rPr>
          <w:rFonts w:ascii="Arial" w:hAnsi="Arial" w:cs="Arial"/>
          <w:sz w:val="22"/>
          <w:szCs w:val="22"/>
        </w:rPr>
        <w:lastRenderedPageBreak/>
        <w:t xml:space="preserve">guarantee computability and scalability, vendors must also work with Hilton’s internal IT teams. </w:t>
      </w:r>
    </w:p>
    <w:p w14:paraId="0D2092BC"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 xml:space="preserve">Guest and Hilton Honours members constitute the principal users of </w:t>
      </w:r>
      <w:proofErr w:type="spellStart"/>
      <w:r w:rsidRPr="00AD2B43">
        <w:rPr>
          <w:rFonts w:ascii="Arial" w:hAnsi="Arial" w:cs="Arial"/>
          <w:sz w:val="22"/>
          <w:szCs w:val="22"/>
        </w:rPr>
        <w:t>StaySmart</w:t>
      </w:r>
      <w:proofErr w:type="spellEnd"/>
      <w:proofErr w:type="gramStart"/>
      <w:r w:rsidRPr="00AD2B43">
        <w:rPr>
          <w:rFonts w:ascii="Arial" w:hAnsi="Arial" w:cs="Arial"/>
          <w:sz w:val="22"/>
          <w:szCs w:val="22"/>
        </w:rPr>
        <w:t>+ .</w:t>
      </w:r>
      <w:proofErr w:type="gramEnd"/>
      <w:r w:rsidRPr="00AD2B43">
        <w:rPr>
          <w:rFonts w:ascii="Arial" w:hAnsi="Arial" w:cs="Arial"/>
          <w:sz w:val="22"/>
          <w:szCs w:val="22"/>
        </w:rPr>
        <w:t xml:space="preserve"> Their function is to engage with the service and offer feedback that informs continuous enhancement. Advantages encompass tailored experiences, ease, and improved comfort via intelligent room functionalities. Challenges encompass privacy issues, the acquisition of new digital interferences and uneven levels of technology acceptance.  Studies indicate that perceived privacy risk may diminish the inclination to embrace AI-driven hospitality services (Tussyadiah,2020). </w:t>
      </w:r>
    </w:p>
    <w:p w14:paraId="35A9F9F5"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 xml:space="preserve">Regulators and data protection agencies are tasked with ensuring that </w:t>
      </w:r>
      <w:proofErr w:type="spellStart"/>
      <w:r w:rsidRPr="00AD2B43">
        <w:rPr>
          <w:rFonts w:ascii="Arial" w:hAnsi="Arial" w:cs="Arial"/>
          <w:sz w:val="22"/>
          <w:szCs w:val="22"/>
        </w:rPr>
        <w:t>StaySmart</w:t>
      </w:r>
      <w:proofErr w:type="spellEnd"/>
      <w:r w:rsidRPr="00AD2B43">
        <w:rPr>
          <w:rFonts w:ascii="Arial" w:hAnsi="Arial" w:cs="Arial"/>
          <w:sz w:val="22"/>
          <w:szCs w:val="22"/>
        </w:rPr>
        <w:t xml:space="preserve">+ adheres to legal obligations concerning data privacy, artificial intelligence utilisation, and consumer protection. Their participation confers legitimacy and trust upon the innovation. This stakeholder group faces challenges in monitoring swiftly advancing AI technologies and guaranteeing compliance across several international jurisdictions. Hilton must engage in continuous communication with regulators to mitigate legal risk. </w:t>
      </w:r>
    </w:p>
    <w:p w14:paraId="54E706AB"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 xml:space="preserve">Sustainability partners and certification organisations are tasked with verifying the environmental assertions linked to </w:t>
      </w:r>
      <w:proofErr w:type="spellStart"/>
      <w:r w:rsidRPr="00AD2B43">
        <w:rPr>
          <w:rFonts w:ascii="Arial" w:hAnsi="Arial" w:cs="Arial"/>
          <w:sz w:val="22"/>
          <w:szCs w:val="22"/>
        </w:rPr>
        <w:t>StaySmart</w:t>
      </w:r>
      <w:proofErr w:type="spellEnd"/>
      <w:r w:rsidRPr="00AD2B43">
        <w:rPr>
          <w:rFonts w:ascii="Arial" w:hAnsi="Arial" w:cs="Arial"/>
          <w:sz w:val="22"/>
          <w:szCs w:val="22"/>
        </w:rPr>
        <w:t xml:space="preserve">+.  Their support augments Hilton’s credibility among ecologically conscious travellers. Challenges encompass validating environmental performance across varied properties and confirming that technology implementation effectively diminishes environmental impact instead of exacerbating energy usage. </w:t>
      </w:r>
    </w:p>
    <w:p w14:paraId="3DF79FB8"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 xml:space="preserve">The roles and duties of stakeholders in the </w:t>
      </w:r>
      <w:proofErr w:type="spellStart"/>
      <w:r w:rsidRPr="00AD2B43">
        <w:rPr>
          <w:rFonts w:ascii="Arial" w:hAnsi="Arial" w:cs="Arial"/>
          <w:sz w:val="22"/>
          <w:szCs w:val="22"/>
        </w:rPr>
        <w:t>StaySmart</w:t>
      </w:r>
      <w:proofErr w:type="spellEnd"/>
      <w:r w:rsidRPr="00AD2B43">
        <w:rPr>
          <w:rFonts w:ascii="Arial" w:hAnsi="Arial" w:cs="Arial"/>
          <w:sz w:val="22"/>
          <w:szCs w:val="22"/>
        </w:rPr>
        <w:t xml:space="preserve">+ project illustrate that hospitality innovation necessitates collaborative efforts from strategic leadership, operational teams, technology specialists, partners, and users. Each stakeholder group derives unique advantages, including efficiency, competitiveness, skill enhancement, or improved service quality.  Simultaneously, factors like as expense, intricacy, opposition to change and privacy issues affect stakeholder engagement. Clearly delineating roles and addressing obstacles through communication, training, and collaboration are vital for the successful global deployment of </w:t>
      </w:r>
      <w:proofErr w:type="spellStart"/>
      <w:r w:rsidRPr="00AD2B43">
        <w:rPr>
          <w:rFonts w:ascii="Arial" w:hAnsi="Arial" w:cs="Arial"/>
          <w:sz w:val="22"/>
          <w:szCs w:val="22"/>
        </w:rPr>
        <w:t>StaySmart</w:t>
      </w:r>
      <w:proofErr w:type="spellEnd"/>
      <w:r w:rsidRPr="00AD2B43">
        <w:rPr>
          <w:rFonts w:ascii="Arial" w:hAnsi="Arial" w:cs="Arial"/>
          <w:sz w:val="22"/>
          <w:szCs w:val="22"/>
        </w:rPr>
        <w:t>+ within Hilton’s operations.</w:t>
      </w:r>
    </w:p>
    <w:p w14:paraId="5FB72843" w14:textId="77777777" w:rsidR="00AD2B43" w:rsidRPr="00AD2B43" w:rsidRDefault="00AD2B43" w:rsidP="00AD2B43">
      <w:pPr>
        <w:tabs>
          <w:tab w:val="left" w:pos="1798"/>
        </w:tabs>
        <w:spacing w:line="360" w:lineRule="auto"/>
        <w:rPr>
          <w:rFonts w:ascii="Arial" w:hAnsi="Arial" w:cs="Arial"/>
          <w:b/>
          <w:bCs/>
          <w:sz w:val="22"/>
          <w:szCs w:val="22"/>
        </w:rPr>
      </w:pPr>
      <w:r w:rsidRPr="00AD2B43">
        <w:rPr>
          <w:rFonts w:ascii="Arial" w:hAnsi="Arial" w:cs="Arial"/>
          <w:b/>
          <w:bCs/>
          <w:sz w:val="22"/>
          <w:szCs w:val="22"/>
        </w:rPr>
        <w:t xml:space="preserve">Stakeholder Engagement Strategies and Frameworks for the </w:t>
      </w:r>
      <w:proofErr w:type="spellStart"/>
      <w:r w:rsidRPr="00AD2B43">
        <w:rPr>
          <w:rFonts w:ascii="Arial" w:hAnsi="Arial" w:cs="Arial"/>
          <w:b/>
          <w:bCs/>
          <w:sz w:val="22"/>
          <w:szCs w:val="22"/>
        </w:rPr>
        <w:t>StaySmart+Project</w:t>
      </w:r>
      <w:proofErr w:type="spellEnd"/>
      <w:r w:rsidRPr="00AD2B43">
        <w:rPr>
          <w:rFonts w:ascii="Arial" w:hAnsi="Arial" w:cs="Arial"/>
          <w:b/>
          <w:bCs/>
          <w:sz w:val="22"/>
          <w:szCs w:val="22"/>
        </w:rPr>
        <w:t xml:space="preserve"> at Hilton</w:t>
      </w:r>
    </w:p>
    <w:p w14:paraId="10908B0D"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 xml:space="preserve">Efficient stakeholder involvement is essential for the success of the </w:t>
      </w:r>
      <w:proofErr w:type="spellStart"/>
      <w:r w:rsidRPr="00AD2B43">
        <w:rPr>
          <w:rFonts w:ascii="Arial" w:hAnsi="Arial" w:cs="Arial"/>
          <w:sz w:val="22"/>
          <w:szCs w:val="22"/>
        </w:rPr>
        <w:t>StaySmart</w:t>
      </w:r>
      <w:proofErr w:type="spellEnd"/>
      <w:r w:rsidRPr="00AD2B43">
        <w:rPr>
          <w:rFonts w:ascii="Arial" w:hAnsi="Arial" w:cs="Arial"/>
          <w:sz w:val="22"/>
          <w:szCs w:val="22"/>
        </w:rPr>
        <w:t xml:space="preserve">+ strategy within Hilton’s global hotel operations. The project incorporates sophisticated digital technologies, service redesign, and sustainability practices, resulting in diverse stakeholder influence, expectations, and readiness for change. Structured engagement frameworks </w:t>
      </w:r>
      <w:r w:rsidRPr="00AD2B43">
        <w:rPr>
          <w:rFonts w:ascii="Arial" w:hAnsi="Arial" w:cs="Arial"/>
          <w:sz w:val="22"/>
          <w:szCs w:val="22"/>
        </w:rPr>
        <w:lastRenderedPageBreak/>
        <w:t xml:space="preserve">facilitate targeted communication, clarify duties, and maintain collaboration throughout the project lifecycle. This part employs established stakeholder management frameworks, such as the stakeholder salience model, stakeholder matrix, communication planning, and RACI framework, to facilitate the coordinated execution of </w:t>
      </w:r>
      <w:proofErr w:type="spellStart"/>
      <w:r w:rsidRPr="00AD2B43">
        <w:rPr>
          <w:rFonts w:ascii="Arial" w:hAnsi="Arial" w:cs="Arial"/>
          <w:sz w:val="22"/>
          <w:szCs w:val="22"/>
        </w:rPr>
        <w:t>StaySmart</w:t>
      </w:r>
      <w:proofErr w:type="spellEnd"/>
      <w:r w:rsidRPr="00AD2B43">
        <w:rPr>
          <w:rFonts w:ascii="Arial" w:hAnsi="Arial" w:cs="Arial"/>
          <w:sz w:val="22"/>
          <w:szCs w:val="22"/>
        </w:rPr>
        <w:t>+.</w:t>
      </w:r>
    </w:p>
    <w:p w14:paraId="14333D1B"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 xml:space="preserve">The stakeholder salience model established by Mitchell, Agle, Wood (1997) serves as an effective framework for prioritising interaction through the evaluation of stakeholder power, legitimacy, and urgency. In the </w:t>
      </w:r>
      <w:proofErr w:type="spellStart"/>
      <w:r w:rsidRPr="00AD2B43">
        <w:rPr>
          <w:rFonts w:ascii="Arial" w:hAnsi="Arial" w:cs="Arial"/>
          <w:sz w:val="22"/>
          <w:szCs w:val="22"/>
        </w:rPr>
        <w:t>StaySmart</w:t>
      </w:r>
      <w:proofErr w:type="spellEnd"/>
      <w:r w:rsidRPr="00AD2B43">
        <w:rPr>
          <w:rFonts w:ascii="Arial" w:hAnsi="Arial" w:cs="Arial"/>
          <w:sz w:val="22"/>
          <w:szCs w:val="22"/>
        </w:rPr>
        <w:t>+ project, senior leadership and franchise owners wield significant power owing to their decision-making authority and financial clout.  Guest and regulators hold significant credibility as the project directly impacts their interests and rights. Employees and operations mangers possess urgency, as their readiness dictates operational success. The salience model enables the project manager to pinpoint key stakeholders-those possessing all three attributes and implement rigours engagement method for them. Leadership and franchise owners necessitate strategic briefings and investment transparency, whereas staff require training and inclusive communication.</w:t>
      </w:r>
    </w:p>
    <w:p w14:paraId="0CBBDDF3"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A stakeholder power-interest matrix enhances the segmentation of engagement initiatives. High power, high-interest stakeholders, including CEOs franchise owners, and IT leadership, should be meticulously controlled through consistent meetings and progress reports. High-power yet low-interest stakeholders, such as regulators, necessitate compliance communication and documentation instead of daily engagement. Stakeholders with lower power but strong interest, such as frontline personnel and guests, necessitate ongoing information and feedback channels. This division guarantees the efficient utilisation of engagement resources while preserving alignment among stakeholder groups (Freeman,1984).</w:t>
      </w:r>
    </w:p>
    <w:p w14:paraId="1E3E5C0A" w14:textId="77777777" w:rsidR="00AD2B43" w:rsidRPr="00AD2B43" w:rsidRDefault="00AD2B43" w:rsidP="00AD2B43">
      <w:pPr>
        <w:tabs>
          <w:tab w:val="left" w:pos="1798"/>
        </w:tabs>
        <w:spacing w:line="360" w:lineRule="auto"/>
        <w:rPr>
          <w:rFonts w:ascii="Arial" w:hAnsi="Arial" w:cs="Arial"/>
          <w:b/>
          <w:bCs/>
          <w:sz w:val="22"/>
          <w:szCs w:val="22"/>
        </w:rPr>
      </w:pPr>
      <w:r w:rsidRPr="00AD2B43">
        <w:rPr>
          <w:rFonts w:ascii="Arial" w:hAnsi="Arial" w:cs="Arial"/>
          <w:b/>
          <w:bCs/>
          <w:sz w:val="22"/>
          <w:szCs w:val="22"/>
        </w:rPr>
        <w:t>Communication Plan</w:t>
      </w:r>
    </w:p>
    <w:p w14:paraId="595DBE47"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 xml:space="preserve"> A systematic communication plan is crucial to maintain involvement throughout the six-month implementation phase. The communication strategy for </w:t>
      </w:r>
      <w:proofErr w:type="spellStart"/>
      <w:r w:rsidRPr="00AD2B43">
        <w:rPr>
          <w:rFonts w:ascii="Arial" w:hAnsi="Arial" w:cs="Arial"/>
          <w:sz w:val="22"/>
          <w:szCs w:val="22"/>
        </w:rPr>
        <w:t>StaySmart</w:t>
      </w:r>
      <w:proofErr w:type="spellEnd"/>
      <w:r w:rsidRPr="00AD2B43">
        <w:rPr>
          <w:rFonts w:ascii="Arial" w:hAnsi="Arial" w:cs="Arial"/>
          <w:sz w:val="22"/>
          <w:szCs w:val="22"/>
        </w:rPr>
        <w:t xml:space="preserve">+ must encompass various channels customised to stakeholder requirements. Communication among senior leadership should transpire via executive dashboards, milestone evaluations, and strategic reports. Hotel managers and franchise proprietors necessitate operational briefings, webinars, and implementation manuals. Employees want training sessions, digital learning platforms, and internal communication initiatives that elucidate advantages and resolve apprehension. Guest ought to get marketing communications, in-hotel digital directives, and loyalty program messages that emphasise customisation and sustainability advantages. Regulators mandate formal compliance documents and consultative meetings. Uniform </w:t>
      </w:r>
      <w:r w:rsidRPr="00AD2B43">
        <w:rPr>
          <w:rFonts w:ascii="Arial" w:hAnsi="Arial" w:cs="Arial"/>
          <w:sz w:val="22"/>
          <w:szCs w:val="22"/>
        </w:rPr>
        <w:lastRenderedPageBreak/>
        <w:t>communication across different channels fosters transparency and mitigates ambiguity throughout the execution of changes (Cornelissen,2017).</w:t>
      </w:r>
    </w:p>
    <w:p w14:paraId="7C59910A" w14:textId="77777777" w:rsidR="00AD2B43" w:rsidRPr="00AD2B43" w:rsidRDefault="00AD2B43" w:rsidP="00AD2B43">
      <w:pPr>
        <w:tabs>
          <w:tab w:val="left" w:pos="1798"/>
        </w:tabs>
        <w:spacing w:line="360" w:lineRule="auto"/>
        <w:rPr>
          <w:rFonts w:ascii="Arial" w:hAnsi="Arial" w:cs="Arial"/>
          <w:b/>
          <w:bCs/>
          <w:sz w:val="22"/>
          <w:szCs w:val="22"/>
        </w:rPr>
      </w:pPr>
      <w:r w:rsidRPr="00AD2B43">
        <w:rPr>
          <w:rFonts w:ascii="Arial" w:hAnsi="Arial" w:cs="Arial"/>
          <w:b/>
          <w:bCs/>
          <w:sz w:val="22"/>
          <w:szCs w:val="22"/>
        </w:rPr>
        <w:t>RACI Framework</w:t>
      </w:r>
    </w:p>
    <w:p w14:paraId="131E3861"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 xml:space="preserve">The RACI framework (Responsible, Accountable, Consulted, Informed) enhances stakeholder participation by delineating responsibilities and decision-making authority. The project manager and IT teams are accountable for the development and deployment activities of </w:t>
      </w:r>
      <w:proofErr w:type="spellStart"/>
      <w:r w:rsidRPr="00AD2B43">
        <w:rPr>
          <w:rFonts w:ascii="Arial" w:hAnsi="Arial" w:cs="Arial"/>
          <w:sz w:val="22"/>
          <w:szCs w:val="22"/>
        </w:rPr>
        <w:t>StaySmart</w:t>
      </w:r>
      <w:proofErr w:type="spellEnd"/>
      <w:r w:rsidRPr="00AD2B43">
        <w:rPr>
          <w:rFonts w:ascii="Arial" w:hAnsi="Arial" w:cs="Arial"/>
          <w:sz w:val="22"/>
          <w:szCs w:val="22"/>
        </w:rPr>
        <w:t>+. Senior leadership is responsible for strategic approvals and investment decisions. Hotel managers, human resources, and marketing departments are consulted to guarantee operational viability and service coherence. Employees, guests and regulators are apprised of the status of implementation and the anticipated usage standards. By systematically recording these interactions, Hilton may mitigate role ambiguity and avert disagreement between corporate and property-level stakeholders. Role clarity is crucial in franchised hospitality systems because authority is disseminated across organisational boundaries.</w:t>
      </w:r>
    </w:p>
    <w:p w14:paraId="09658B94"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 xml:space="preserve"> Collaborative engagement techniques are essential as hospitality service innovation depends on co-creation among staff, technology suppliers, and guests. Workshops and pilot programs allow stakeholders to evaluate </w:t>
      </w:r>
      <w:proofErr w:type="spellStart"/>
      <w:r w:rsidRPr="00AD2B43">
        <w:rPr>
          <w:rFonts w:ascii="Arial" w:hAnsi="Arial" w:cs="Arial"/>
          <w:sz w:val="22"/>
          <w:szCs w:val="22"/>
        </w:rPr>
        <w:t>StaySmart</w:t>
      </w:r>
      <w:proofErr w:type="spellEnd"/>
      <w:r w:rsidRPr="00AD2B43">
        <w:rPr>
          <w:rFonts w:ascii="Arial" w:hAnsi="Arial" w:cs="Arial"/>
          <w:sz w:val="22"/>
          <w:szCs w:val="22"/>
        </w:rPr>
        <w:t>+ functionalities prior to global implementation. For instance, frontline personnel may offer insights on usability, whilst guests might assess customisation options. This participatory participation fosters a sense of ownership and elevates the acceptance of innovation (Prahalad&amp;Ramaswamy,2004). Pilot testing enables Hilton to tailor technology to cultural preferences in international markets, enhancing global equality while honouring local diversity.</w:t>
      </w:r>
    </w:p>
    <w:p w14:paraId="17A851EF"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 xml:space="preserve">Training and capacity-building programs provide another essential engagement option. The ability of the employees significantly impacts the adoption of technology in service sectors. Hilton must use blended learning methodologies that integrate digital modules, practical demonstrations, and peer mentorship. Ongoing assistance via help desks and local advocates can maintain interest following first training. Studies indicate that employee participation in technology implementation enhances commitment and diminishes resistance to change (Kotter,1996). Consequently, training serves as both a skill-development endeavour and a stakeholder engagement strategy. </w:t>
      </w:r>
    </w:p>
    <w:p w14:paraId="2F5BF4E6"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 xml:space="preserve">Establishing trust is crucial for external stakeholders, including guests and regulators, due to concerns around privacy and AI ethics. Clear communication regarding data utilisation, security measures, and sustainability effects can enhance stakeholder trust. Hilton needs to provide explicit privacy notifications, opt-in consent frameworks, and sustainability certifications linked to </w:t>
      </w:r>
      <w:proofErr w:type="spellStart"/>
      <w:r w:rsidRPr="00AD2B43">
        <w:rPr>
          <w:rFonts w:ascii="Arial" w:hAnsi="Arial" w:cs="Arial"/>
          <w:sz w:val="22"/>
          <w:szCs w:val="22"/>
        </w:rPr>
        <w:t>StaySmart</w:t>
      </w:r>
      <w:proofErr w:type="spellEnd"/>
      <w:r w:rsidRPr="00AD2B43">
        <w:rPr>
          <w:rFonts w:ascii="Arial" w:hAnsi="Arial" w:cs="Arial"/>
          <w:sz w:val="22"/>
          <w:szCs w:val="22"/>
        </w:rPr>
        <w:t xml:space="preserve">+. Exhibiting responsible innovation corresponds with </w:t>
      </w:r>
      <w:r w:rsidRPr="00AD2B43">
        <w:rPr>
          <w:rFonts w:ascii="Arial" w:hAnsi="Arial" w:cs="Arial"/>
          <w:sz w:val="22"/>
          <w:szCs w:val="22"/>
        </w:rPr>
        <w:lastRenderedPageBreak/>
        <w:t xml:space="preserve">stakeholder theory, which underscores organisational accountability to all impacted parties (Freeman,1984). </w:t>
      </w:r>
    </w:p>
    <w:p w14:paraId="75CEE26F"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 xml:space="preserve">Ethical engagement improves brand reputation and fosters enduring. Feedback and monitoring systems constitute the comprehensive stakeholder engagement framework. Surveys, use metrics, and guest reviews offer ongoing insights into stakeholder attitudes. Employee and managerial input highlights operational difficulties encountered during the rollout. Regular evaluation meetings enable the project team to modify engagement techniques and address concerns swiftly.  Continouous feedback loops convert engagement from a singular event into a sustained relational process, facilitating adaptive project management in dynamic hospitality settings. </w:t>
      </w:r>
    </w:p>
    <w:p w14:paraId="1CD1B616" w14:textId="77777777" w:rsidR="00AD2B43" w:rsidRPr="00AD2B43" w:rsidRDefault="00AD2B43" w:rsidP="00AD2B43">
      <w:pPr>
        <w:tabs>
          <w:tab w:val="left" w:pos="1798"/>
        </w:tabs>
        <w:spacing w:line="360" w:lineRule="auto"/>
        <w:rPr>
          <w:rFonts w:ascii="Arial" w:hAnsi="Arial" w:cs="Arial"/>
          <w:sz w:val="22"/>
          <w:szCs w:val="22"/>
        </w:rPr>
      </w:pPr>
    </w:p>
    <w:p w14:paraId="344323EA" w14:textId="77777777" w:rsidR="00AD2B43" w:rsidRPr="00AD2B43" w:rsidRDefault="00AD2B43" w:rsidP="00AD2B43">
      <w:pPr>
        <w:tabs>
          <w:tab w:val="left" w:pos="1798"/>
        </w:tabs>
        <w:spacing w:line="360" w:lineRule="auto"/>
        <w:rPr>
          <w:rFonts w:ascii="Arial" w:hAnsi="Arial" w:cs="Arial"/>
          <w:sz w:val="22"/>
          <w:szCs w:val="22"/>
        </w:rPr>
      </w:pPr>
    </w:p>
    <w:tbl>
      <w:tblPr>
        <w:tblStyle w:val="GridTable5Dark-Accent4"/>
        <w:tblW w:w="0" w:type="auto"/>
        <w:tblInd w:w="0" w:type="dxa"/>
        <w:tblLook w:val="04A0" w:firstRow="1" w:lastRow="0" w:firstColumn="1" w:lastColumn="0" w:noHBand="0" w:noVBand="1"/>
      </w:tblPr>
      <w:tblGrid>
        <w:gridCol w:w="1898"/>
        <w:gridCol w:w="1390"/>
        <w:gridCol w:w="1121"/>
        <w:gridCol w:w="1256"/>
        <w:gridCol w:w="1244"/>
        <w:gridCol w:w="959"/>
        <w:gridCol w:w="711"/>
      </w:tblGrid>
      <w:tr w:rsidR="00AD2B43" w:rsidRPr="00AD2B43" w14:paraId="630ABF81" w14:textId="77777777" w:rsidTr="001E33E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98" w:type="dxa"/>
            <w:tcBorders>
              <w:bottom w:val="single" w:sz="4" w:space="0" w:color="FFFFFF" w:themeColor="background1"/>
            </w:tcBorders>
            <w:hideMark/>
          </w:tcPr>
          <w:p w14:paraId="0EC58B26"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 xml:space="preserve">Activity </w:t>
            </w:r>
          </w:p>
        </w:tc>
        <w:tc>
          <w:tcPr>
            <w:tcW w:w="1371" w:type="dxa"/>
            <w:tcBorders>
              <w:bottom w:val="single" w:sz="4" w:space="0" w:color="FFFFFF" w:themeColor="background1"/>
            </w:tcBorders>
            <w:hideMark/>
          </w:tcPr>
          <w:p w14:paraId="4B77DAB0" w14:textId="77777777" w:rsidR="00AD2B43" w:rsidRPr="00AD2B43" w:rsidRDefault="00AD2B43" w:rsidP="00AD2B43">
            <w:pPr>
              <w:tabs>
                <w:tab w:val="left" w:pos="1798"/>
              </w:tabs>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AD2B43">
              <w:rPr>
                <w:rFonts w:ascii="Arial" w:hAnsi="Arial" w:cs="Arial"/>
                <w:sz w:val="22"/>
                <w:szCs w:val="22"/>
              </w:rPr>
              <w:t xml:space="preserve">Senior Leadership </w:t>
            </w:r>
          </w:p>
        </w:tc>
        <w:tc>
          <w:tcPr>
            <w:tcW w:w="1119" w:type="dxa"/>
            <w:tcBorders>
              <w:bottom w:val="single" w:sz="4" w:space="0" w:color="FFFFFF" w:themeColor="background1"/>
            </w:tcBorders>
            <w:hideMark/>
          </w:tcPr>
          <w:p w14:paraId="500D8062" w14:textId="77777777" w:rsidR="00AD2B43" w:rsidRPr="00AD2B43" w:rsidRDefault="00AD2B43" w:rsidP="00AD2B43">
            <w:pPr>
              <w:tabs>
                <w:tab w:val="left" w:pos="1798"/>
              </w:tabs>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AD2B43">
              <w:rPr>
                <w:rFonts w:ascii="Arial" w:hAnsi="Arial" w:cs="Arial"/>
                <w:sz w:val="22"/>
                <w:szCs w:val="22"/>
              </w:rPr>
              <w:t xml:space="preserve">Project Manager </w:t>
            </w:r>
          </w:p>
        </w:tc>
        <w:tc>
          <w:tcPr>
            <w:tcW w:w="1235" w:type="dxa"/>
            <w:tcBorders>
              <w:bottom w:val="single" w:sz="4" w:space="0" w:color="FFFFFF" w:themeColor="background1"/>
            </w:tcBorders>
            <w:hideMark/>
          </w:tcPr>
          <w:p w14:paraId="3102FF67" w14:textId="77777777" w:rsidR="00AD2B43" w:rsidRPr="00AD2B43" w:rsidRDefault="00AD2B43" w:rsidP="00AD2B43">
            <w:pPr>
              <w:tabs>
                <w:tab w:val="left" w:pos="1798"/>
              </w:tabs>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AD2B43">
              <w:rPr>
                <w:rFonts w:ascii="Arial" w:hAnsi="Arial" w:cs="Arial"/>
                <w:sz w:val="22"/>
                <w:szCs w:val="22"/>
              </w:rPr>
              <w:t xml:space="preserve">Marketing </w:t>
            </w:r>
          </w:p>
        </w:tc>
        <w:tc>
          <w:tcPr>
            <w:tcW w:w="1229" w:type="dxa"/>
            <w:tcBorders>
              <w:bottom w:val="single" w:sz="4" w:space="0" w:color="FFFFFF" w:themeColor="background1"/>
            </w:tcBorders>
            <w:hideMark/>
          </w:tcPr>
          <w:p w14:paraId="5B0CD70D" w14:textId="77777777" w:rsidR="00AD2B43" w:rsidRPr="00AD2B43" w:rsidRDefault="00AD2B43" w:rsidP="00AD2B43">
            <w:pPr>
              <w:tabs>
                <w:tab w:val="left" w:pos="1798"/>
              </w:tabs>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AD2B43">
              <w:rPr>
                <w:rFonts w:ascii="Arial" w:hAnsi="Arial" w:cs="Arial"/>
                <w:sz w:val="22"/>
                <w:szCs w:val="22"/>
              </w:rPr>
              <w:t>Hotel Managers</w:t>
            </w:r>
          </w:p>
        </w:tc>
        <w:tc>
          <w:tcPr>
            <w:tcW w:w="959" w:type="dxa"/>
            <w:tcBorders>
              <w:bottom w:val="single" w:sz="4" w:space="0" w:color="FFFFFF" w:themeColor="background1"/>
            </w:tcBorders>
            <w:hideMark/>
          </w:tcPr>
          <w:p w14:paraId="16A2F640" w14:textId="77777777" w:rsidR="00AD2B43" w:rsidRPr="00AD2B43" w:rsidRDefault="00AD2B43" w:rsidP="00AD2B43">
            <w:pPr>
              <w:tabs>
                <w:tab w:val="left" w:pos="1798"/>
              </w:tabs>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AD2B43">
              <w:rPr>
                <w:rFonts w:ascii="Arial" w:hAnsi="Arial" w:cs="Arial"/>
                <w:sz w:val="22"/>
                <w:szCs w:val="22"/>
              </w:rPr>
              <w:t xml:space="preserve">IT Teams </w:t>
            </w:r>
          </w:p>
        </w:tc>
        <w:tc>
          <w:tcPr>
            <w:tcW w:w="711" w:type="dxa"/>
            <w:tcBorders>
              <w:bottom w:val="single" w:sz="4" w:space="0" w:color="FFFFFF" w:themeColor="background1"/>
            </w:tcBorders>
            <w:hideMark/>
          </w:tcPr>
          <w:p w14:paraId="04CDB7A4" w14:textId="77777777" w:rsidR="00AD2B43" w:rsidRPr="00AD2B43" w:rsidRDefault="00AD2B43" w:rsidP="00AD2B43">
            <w:pPr>
              <w:tabs>
                <w:tab w:val="left" w:pos="1798"/>
              </w:tabs>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AD2B43">
              <w:rPr>
                <w:rFonts w:ascii="Arial" w:hAnsi="Arial" w:cs="Arial"/>
                <w:sz w:val="22"/>
                <w:szCs w:val="22"/>
              </w:rPr>
              <w:t>HR</w:t>
            </w:r>
          </w:p>
        </w:tc>
      </w:tr>
      <w:tr w:rsidR="00AD2B43" w:rsidRPr="00AD2B43" w14:paraId="4553C8D7" w14:textId="77777777" w:rsidTr="001E33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98" w:type="dxa"/>
            <w:tcBorders>
              <w:top w:val="single" w:sz="4" w:space="0" w:color="FFFFFF" w:themeColor="background1"/>
              <w:bottom w:val="single" w:sz="4" w:space="0" w:color="FFFFFF" w:themeColor="background1"/>
              <w:right w:val="single" w:sz="4" w:space="0" w:color="FFFFFF" w:themeColor="background1"/>
            </w:tcBorders>
            <w:hideMark/>
          </w:tcPr>
          <w:p w14:paraId="2E61A928"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Staff Training</w:t>
            </w:r>
          </w:p>
        </w:tc>
        <w:tc>
          <w:tcPr>
            <w:tcW w:w="1371"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73A32F95" w14:textId="77777777" w:rsidR="00AD2B43" w:rsidRPr="00AD2B43" w:rsidRDefault="00AD2B43" w:rsidP="00AD2B43">
            <w:pPr>
              <w:tabs>
                <w:tab w:val="left" w:pos="1798"/>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D2B43">
              <w:rPr>
                <w:rFonts w:ascii="Arial" w:hAnsi="Arial" w:cs="Arial"/>
                <w:sz w:val="22"/>
                <w:szCs w:val="22"/>
              </w:rPr>
              <w:t>I</w:t>
            </w:r>
          </w:p>
        </w:tc>
        <w:tc>
          <w:tcPr>
            <w:tcW w:w="1119"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56654EFA" w14:textId="77777777" w:rsidR="00AD2B43" w:rsidRPr="00AD2B43" w:rsidRDefault="00AD2B43" w:rsidP="00AD2B43">
            <w:pPr>
              <w:tabs>
                <w:tab w:val="left" w:pos="1798"/>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D2B43">
              <w:rPr>
                <w:rFonts w:ascii="Arial" w:hAnsi="Arial" w:cs="Arial"/>
                <w:sz w:val="22"/>
                <w:szCs w:val="22"/>
              </w:rPr>
              <w:t>A</w:t>
            </w:r>
          </w:p>
        </w:tc>
        <w:tc>
          <w:tcPr>
            <w:tcW w:w="123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0793C3BC" w14:textId="77777777" w:rsidR="00AD2B43" w:rsidRPr="00AD2B43" w:rsidRDefault="00AD2B43" w:rsidP="00AD2B43">
            <w:pPr>
              <w:tabs>
                <w:tab w:val="left" w:pos="1798"/>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D2B43">
              <w:rPr>
                <w:rFonts w:ascii="Arial" w:hAnsi="Arial" w:cs="Arial"/>
                <w:sz w:val="22"/>
                <w:szCs w:val="22"/>
              </w:rPr>
              <w:t>I</w:t>
            </w:r>
          </w:p>
        </w:tc>
        <w:tc>
          <w:tcPr>
            <w:tcW w:w="1229"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4AC8C0E3" w14:textId="77777777" w:rsidR="00AD2B43" w:rsidRPr="00AD2B43" w:rsidRDefault="00AD2B43" w:rsidP="00AD2B43">
            <w:pPr>
              <w:tabs>
                <w:tab w:val="left" w:pos="1798"/>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D2B43">
              <w:rPr>
                <w:rFonts w:ascii="Arial" w:hAnsi="Arial" w:cs="Arial"/>
                <w:sz w:val="22"/>
                <w:szCs w:val="22"/>
              </w:rPr>
              <w:t>I</w:t>
            </w:r>
          </w:p>
        </w:tc>
        <w:tc>
          <w:tcPr>
            <w:tcW w:w="959"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129CAA25" w14:textId="77777777" w:rsidR="00AD2B43" w:rsidRPr="00AD2B43" w:rsidRDefault="00AD2B43" w:rsidP="00AD2B43">
            <w:pPr>
              <w:tabs>
                <w:tab w:val="left" w:pos="1798"/>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D2B43">
              <w:rPr>
                <w:rFonts w:ascii="Arial" w:hAnsi="Arial" w:cs="Arial"/>
                <w:sz w:val="22"/>
                <w:szCs w:val="22"/>
              </w:rPr>
              <w:t>R</w:t>
            </w:r>
          </w:p>
        </w:tc>
        <w:tc>
          <w:tcPr>
            <w:tcW w:w="711"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1F381394" w14:textId="77777777" w:rsidR="00AD2B43" w:rsidRPr="00AD2B43" w:rsidRDefault="00AD2B43" w:rsidP="00AD2B43">
            <w:pPr>
              <w:tabs>
                <w:tab w:val="left" w:pos="1798"/>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D2B43">
              <w:rPr>
                <w:rFonts w:ascii="Arial" w:hAnsi="Arial" w:cs="Arial"/>
                <w:sz w:val="22"/>
                <w:szCs w:val="22"/>
              </w:rPr>
              <w:t>I</w:t>
            </w:r>
          </w:p>
        </w:tc>
      </w:tr>
      <w:tr w:rsidR="00AD2B43" w:rsidRPr="00AD2B43" w14:paraId="1B2531CD" w14:textId="77777777" w:rsidTr="001E33E9">
        <w:tc>
          <w:tcPr>
            <w:cnfStyle w:val="001000000000" w:firstRow="0" w:lastRow="0" w:firstColumn="1" w:lastColumn="0" w:oddVBand="0" w:evenVBand="0" w:oddHBand="0" w:evenHBand="0" w:firstRowFirstColumn="0" w:firstRowLastColumn="0" w:lastRowFirstColumn="0" w:lastRowLastColumn="0"/>
            <w:tcW w:w="1898" w:type="dxa"/>
            <w:tcBorders>
              <w:top w:val="single" w:sz="4" w:space="0" w:color="FFFFFF" w:themeColor="background1"/>
              <w:bottom w:val="single" w:sz="4" w:space="0" w:color="FFFFFF" w:themeColor="background1"/>
              <w:right w:val="single" w:sz="4" w:space="0" w:color="FFFFFF" w:themeColor="background1"/>
            </w:tcBorders>
            <w:hideMark/>
          </w:tcPr>
          <w:p w14:paraId="3A4CC329"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Operational Changes</w:t>
            </w:r>
          </w:p>
        </w:tc>
        <w:tc>
          <w:tcPr>
            <w:tcW w:w="1371"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2DE7DAAE" w14:textId="77777777" w:rsidR="00AD2B43" w:rsidRPr="00AD2B43" w:rsidRDefault="00AD2B43" w:rsidP="00AD2B43">
            <w:pPr>
              <w:tabs>
                <w:tab w:val="left" w:pos="1798"/>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D2B43">
              <w:rPr>
                <w:rFonts w:ascii="Arial" w:hAnsi="Arial" w:cs="Arial"/>
                <w:sz w:val="22"/>
                <w:szCs w:val="22"/>
              </w:rPr>
              <w:t>I</w:t>
            </w:r>
          </w:p>
        </w:tc>
        <w:tc>
          <w:tcPr>
            <w:tcW w:w="1119"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32BD166F" w14:textId="77777777" w:rsidR="00AD2B43" w:rsidRPr="00AD2B43" w:rsidRDefault="00AD2B43" w:rsidP="00AD2B43">
            <w:pPr>
              <w:tabs>
                <w:tab w:val="left" w:pos="1798"/>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D2B43">
              <w:rPr>
                <w:rFonts w:ascii="Arial" w:hAnsi="Arial" w:cs="Arial"/>
                <w:sz w:val="22"/>
                <w:szCs w:val="22"/>
              </w:rPr>
              <w:t>C</w:t>
            </w:r>
          </w:p>
        </w:tc>
        <w:tc>
          <w:tcPr>
            <w:tcW w:w="123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1B127645" w14:textId="77777777" w:rsidR="00AD2B43" w:rsidRPr="00AD2B43" w:rsidRDefault="00AD2B43" w:rsidP="00AD2B43">
            <w:pPr>
              <w:tabs>
                <w:tab w:val="left" w:pos="1798"/>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D2B43">
              <w:rPr>
                <w:rFonts w:ascii="Arial" w:hAnsi="Arial" w:cs="Arial"/>
                <w:sz w:val="22"/>
                <w:szCs w:val="22"/>
              </w:rPr>
              <w:t>I</w:t>
            </w:r>
          </w:p>
        </w:tc>
        <w:tc>
          <w:tcPr>
            <w:tcW w:w="1229"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2E4FF5A8" w14:textId="77777777" w:rsidR="00AD2B43" w:rsidRPr="00AD2B43" w:rsidRDefault="00AD2B43" w:rsidP="00AD2B43">
            <w:pPr>
              <w:tabs>
                <w:tab w:val="left" w:pos="1798"/>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D2B43">
              <w:rPr>
                <w:rFonts w:ascii="Arial" w:hAnsi="Arial" w:cs="Arial"/>
                <w:sz w:val="22"/>
                <w:szCs w:val="22"/>
              </w:rPr>
              <w:t>R/A</w:t>
            </w:r>
          </w:p>
        </w:tc>
        <w:tc>
          <w:tcPr>
            <w:tcW w:w="959"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4C8FF789" w14:textId="77777777" w:rsidR="00AD2B43" w:rsidRPr="00AD2B43" w:rsidRDefault="00AD2B43" w:rsidP="00AD2B43">
            <w:pPr>
              <w:tabs>
                <w:tab w:val="left" w:pos="1798"/>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D2B43">
              <w:rPr>
                <w:rFonts w:ascii="Arial" w:hAnsi="Arial" w:cs="Arial"/>
                <w:sz w:val="22"/>
                <w:szCs w:val="22"/>
              </w:rPr>
              <w:t>C</w:t>
            </w:r>
          </w:p>
        </w:tc>
        <w:tc>
          <w:tcPr>
            <w:tcW w:w="711"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4A1823E0" w14:textId="77777777" w:rsidR="00AD2B43" w:rsidRPr="00AD2B43" w:rsidRDefault="00AD2B43" w:rsidP="00AD2B43">
            <w:pPr>
              <w:tabs>
                <w:tab w:val="left" w:pos="1798"/>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D2B43">
              <w:rPr>
                <w:rFonts w:ascii="Arial" w:hAnsi="Arial" w:cs="Arial"/>
                <w:sz w:val="22"/>
                <w:szCs w:val="22"/>
              </w:rPr>
              <w:t>C</w:t>
            </w:r>
          </w:p>
        </w:tc>
      </w:tr>
      <w:tr w:rsidR="00AD2B43" w:rsidRPr="00AD2B43" w14:paraId="7743A9DE" w14:textId="77777777" w:rsidTr="001E33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98" w:type="dxa"/>
            <w:tcBorders>
              <w:top w:val="single" w:sz="4" w:space="0" w:color="FFFFFF" w:themeColor="background1"/>
              <w:bottom w:val="single" w:sz="4" w:space="0" w:color="FFFFFF" w:themeColor="background1"/>
              <w:right w:val="single" w:sz="4" w:space="0" w:color="FFFFFF" w:themeColor="background1"/>
            </w:tcBorders>
            <w:hideMark/>
          </w:tcPr>
          <w:p w14:paraId="7CF44EC0"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Guest Communication</w:t>
            </w:r>
          </w:p>
        </w:tc>
        <w:tc>
          <w:tcPr>
            <w:tcW w:w="1371"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437E0E51" w14:textId="77777777" w:rsidR="00AD2B43" w:rsidRPr="00AD2B43" w:rsidRDefault="00AD2B43" w:rsidP="00AD2B43">
            <w:pPr>
              <w:tabs>
                <w:tab w:val="left" w:pos="1798"/>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D2B43">
              <w:rPr>
                <w:rFonts w:ascii="Arial" w:hAnsi="Arial" w:cs="Arial"/>
                <w:sz w:val="22"/>
                <w:szCs w:val="22"/>
              </w:rPr>
              <w:t>I</w:t>
            </w:r>
          </w:p>
        </w:tc>
        <w:tc>
          <w:tcPr>
            <w:tcW w:w="1119"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55F808EC" w14:textId="77777777" w:rsidR="00AD2B43" w:rsidRPr="00AD2B43" w:rsidRDefault="00AD2B43" w:rsidP="00AD2B43">
            <w:pPr>
              <w:tabs>
                <w:tab w:val="left" w:pos="1798"/>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D2B43">
              <w:rPr>
                <w:rFonts w:ascii="Arial" w:hAnsi="Arial" w:cs="Arial"/>
                <w:sz w:val="22"/>
                <w:szCs w:val="22"/>
              </w:rPr>
              <w:t>I</w:t>
            </w:r>
          </w:p>
        </w:tc>
        <w:tc>
          <w:tcPr>
            <w:tcW w:w="123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277B3B39" w14:textId="77777777" w:rsidR="00AD2B43" w:rsidRPr="00AD2B43" w:rsidRDefault="00AD2B43" w:rsidP="00AD2B43">
            <w:pPr>
              <w:tabs>
                <w:tab w:val="left" w:pos="1798"/>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D2B43">
              <w:rPr>
                <w:rFonts w:ascii="Arial" w:hAnsi="Arial" w:cs="Arial"/>
                <w:sz w:val="22"/>
                <w:szCs w:val="22"/>
              </w:rPr>
              <w:t>R/A</w:t>
            </w:r>
          </w:p>
        </w:tc>
        <w:tc>
          <w:tcPr>
            <w:tcW w:w="1229"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3D9BCC5A" w14:textId="77777777" w:rsidR="00AD2B43" w:rsidRPr="00AD2B43" w:rsidRDefault="00AD2B43" w:rsidP="00AD2B43">
            <w:pPr>
              <w:tabs>
                <w:tab w:val="left" w:pos="1798"/>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D2B43">
              <w:rPr>
                <w:rFonts w:ascii="Arial" w:hAnsi="Arial" w:cs="Arial"/>
                <w:sz w:val="22"/>
                <w:szCs w:val="22"/>
              </w:rPr>
              <w:t>C</w:t>
            </w:r>
          </w:p>
        </w:tc>
        <w:tc>
          <w:tcPr>
            <w:tcW w:w="959"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1CFB7FF3" w14:textId="77777777" w:rsidR="00AD2B43" w:rsidRPr="00AD2B43" w:rsidRDefault="00AD2B43" w:rsidP="00AD2B43">
            <w:pPr>
              <w:tabs>
                <w:tab w:val="left" w:pos="1798"/>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D2B43">
              <w:rPr>
                <w:rFonts w:ascii="Arial" w:hAnsi="Arial" w:cs="Arial"/>
                <w:sz w:val="22"/>
                <w:szCs w:val="22"/>
              </w:rPr>
              <w:t>C</w:t>
            </w:r>
          </w:p>
        </w:tc>
        <w:tc>
          <w:tcPr>
            <w:tcW w:w="711"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77684C4A" w14:textId="77777777" w:rsidR="00AD2B43" w:rsidRPr="00AD2B43" w:rsidRDefault="00AD2B43" w:rsidP="00AD2B43">
            <w:pPr>
              <w:tabs>
                <w:tab w:val="left" w:pos="1798"/>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D2B43">
              <w:rPr>
                <w:rFonts w:ascii="Arial" w:hAnsi="Arial" w:cs="Arial"/>
                <w:sz w:val="22"/>
                <w:szCs w:val="22"/>
              </w:rPr>
              <w:t>I</w:t>
            </w:r>
          </w:p>
        </w:tc>
      </w:tr>
      <w:tr w:rsidR="00AD2B43" w:rsidRPr="00AD2B43" w14:paraId="7880D8F2" w14:textId="77777777" w:rsidTr="001E33E9">
        <w:tc>
          <w:tcPr>
            <w:cnfStyle w:val="001000000000" w:firstRow="0" w:lastRow="0" w:firstColumn="1" w:lastColumn="0" w:oddVBand="0" w:evenVBand="0" w:oddHBand="0" w:evenHBand="0" w:firstRowFirstColumn="0" w:firstRowLastColumn="0" w:lastRowFirstColumn="0" w:lastRowLastColumn="0"/>
            <w:tcW w:w="1898" w:type="dxa"/>
            <w:tcBorders>
              <w:top w:val="single" w:sz="4" w:space="0" w:color="FFFFFF" w:themeColor="background1"/>
              <w:bottom w:val="single" w:sz="4" w:space="0" w:color="FFFFFF" w:themeColor="background1"/>
              <w:right w:val="single" w:sz="4" w:space="0" w:color="FFFFFF" w:themeColor="background1"/>
            </w:tcBorders>
            <w:hideMark/>
          </w:tcPr>
          <w:p w14:paraId="79D89491"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Monitor Project Performance</w:t>
            </w:r>
          </w:p>
        </w:tc>
        <w:tc>
          <w:tcPr>
            <w:tcW w:w="1371"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04C886AD" w14:textId="77777777" w:rsidR="00AD2B43" w:rsidRPr="00AD2B43" w:rsidRDefault="00AD2B43" w:rsidP="00AD2B43">
            <w:pPr>
              <w:tabs>
                <w:tab w:val="left" w:pos="1798"/>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D2B43">
              <w:rPr>
                <w:rFonts w:ascii="Arial" w:hAnsi="Arial" w:cs="Arial"/>
                <w:sz w:val="22"/>
                <w:szCs w:val="22"/>
              </w:rPr>
              <w:t>A</w:t>
            </w:r>
          </w:p>
        </w:tc>
        <w:tc>
          <w:tcPr>
            <w:tcW w:w="1119"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1BE3420A" w14:textId="77777777" w:rsidR="00AD2B43" w:rsidRPr="00AD2B43" w:rsidRDefault="00AD2B43" w:rsidP="00AD2B43">
            <w:pPr>
              <w:tabs>
                <w:tab w:val="left" w:pos="1798"/>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D2B43">
              <w:rPr>
                <w:rFonts w:ascii="Arial" w:hAnsi="Arial" w:cs="Arial"/>
                <w:sz w:val="22"/>
                <w:szCs w:val="22"/>
              </w:rPr>
              <w:t>R</w:t>
            </w:r>
          </w:p>
        </w:tc>
        <w:tc>
          <w:tcPr>
            <w:tcW w:w="123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78692D08" w14:textId="77777777" w:rsidR="00AD2B43" w:rsidRPr="00AD2B43" w:rsidRDefault="00AD2B43" w:rsidP="00AD2B43">
            <w:pPr>
              <w:tabs>
                <w:tab w:val="left" w:pos="1798"/>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D2B43">
              <w:rPr>
                <w:rFonts w:ascii="Arial" w:hAnsi="Arial" w:cs="Arial"/>
                <w:sz w:val="22"/>
                <w:szCs w:val="22"/>
              </w:rPr>
              <w:t>C</w:t>
            </w:r>
          </w:p>
        </w:tc>
        <w:tc>
          <w:tcPr>
            <w:tcW w:w="1229"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75F17CF8" w14:textId="77777777" w:rsidR="00AD2B43" w:rsidRPr="00AD2B43" w:rsidRDefault="00AD2B43" w:rsidP="00AD2B43">
            <w:pPr>
              <w:tabs>
                <w:tab w:val="left" w:pos="1798"/>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D2B43">
              <w:rPr>
                <w:rFonts w:ascii="Arial" w:hAnsi="Arial" w:cs="Arial"/>
                <w:sz w:val="22"/>
                <w:szCs w:val="22"/>
              </w:rPr>
              <w:t>C</w:t>
            </w:r>
          </w:p>
        </w:tc>
        <w:tc>
          <w:tcPr>
            <w:tcW w:w="959"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4C543A0B" w14:textId="77777777" w:rsidR="00AD2B43" w:rsidRPr="00AD2B43" w:rsidRDefault="00AD2B43" w:rsidP="00AD2B43">
            <w:pPr>
              <w:tabs>
                <w:tab w:val="left" w:pos="1798"/>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D2B43">
              <w:rPr>
                <w:rFonts w:ascii="Arial" w:hAnsi="Arial" w:cs="Arial"/>
                <w:sz w:val="22"/>
                <w:szCs w:val="22"/>
              </w:rPr>
              <w:t>C</w:t>
            </w:r>
          </w:p>
        </w:tc>
        <w:tc>
          <w:tcPr>
            <w:tcW w:w="711"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56438CE4" w14:textId="77777777" w:rsidR="00AD2B43" w:rsidRPr="00AD2B43" w:rsidRDefault="00AD2B43" w:rsidP="00AD2B43">
            <w:pPr>
              <w:tabs>
                <w:tab w:val="left" w:pos="1798"/>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D2B43">
              <w:rPr>
                <w:rFonts w:ascii="Arial" w:hAnsi="Arial" w:cs="Arial"/>
                <w:sz w:val="22"/>
                <w:szCs w:val="22"/>
              </w:rPr>
              <w:t>C</w:t>
            </w:r>
          </w:p>
        </w:tc>
      </w:tr>
      <w:tr w:rsidR="00AD2B43" w:rsidRPr="00AD2B43" w14:paraId="65B1E93A" w14:textId="77777777" w:rsidTr="001E33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98" w:type="dxa"/>
            <w:tcBorders>
              <w:top w:val="single" w:sz="4" w:space="0" w:color="FFFFFF" w:themeColor="background1"/>
              <w:right w:val="single" w:sz="4" w:space="0" w:color="FFFFFF" w:themeColor="background1"/>
            </w:tcBorders>
            <w:hideMark/>
          </w:tcPr>
          <w:p w14:paraId="020FBF1E"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Develop AI System</w:t>
            </w:r>
          </w:p>
        </w:tc>
        <w:tc>
          <w:tcPr>
            <w:tcW w:w="1371"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31239779" w14:textId="77777777" w:rsidR="00AD2B43" w:rsidRPr="00AD2B43" w:rsidRDefault="00AD2B43" w:rsidP="00AD2B43">
            <w:pPr>
              <w:tabs>
                <w:tab w:val="left" w:pos="1798"/>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D2B43">
              <w:rPr>
                <w:rFonts w:ascii="Arial" w:hAnsi="Arial" w:cs="Arial"/>
                <w:sz w:val="22"/>
                <w:szCs w:val="22"/>
              </w:rPr>
              <w:t>I</w:t>
            </w:r>
          </w:p>
        </w:tc>
        <w:tc>
          <w:tcPr>
            <w:tcW w:w="1119"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3D76D1EE" w14:textId="77777777" w:rsidR="00AD2B43" w:rsidRPr="00AD2B43" w:rsidRDefault="00AD2B43" w:rsidP="00AD2B43">
            <w:pPr>
              <w:tabs>
                <w:tab w:val="left" w:pos="1798"/>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D2B43">
              <w:rPr>
                <w:rFonts w:ascii="Arial" w:hAnsi="Arial" w:cs="Arial"/>
                <w:sz w:val="22"/>
                <w:szCs w:val="22"/>
              </w:rPr>
              <w:t>A</w:t>
            </w:r>
          </w:p>
        </w:tc>
        <w:tc>
          <w:tcPr>
            <w:tcW w:w="123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12606132" w14:textId="77777777" w:rsidR="00AD2B43" w:rsidRPr="00AD2B43" w:rsidRDefault="00AD2B43" w:rsidP="00AD2B43">
            <w:pPr>
              <w:tabs>
                <w:tab w:val="left" w:pos="1798"/>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D2B43">
              <w:rPr>
                <w:rFonts w:ascii="Arial" w:hAnsi="Arial" w:cs="Arial"/>
                <w:sz w:val="22"/>
                <w:szCs w:val="22"/>
              </w:rPr>
              <w:t>I</w:t>
            </w:r>
          </w:p>
        </w:tc>
        <w:tc>
          <w:tcPr>
            <w:tcW w:w="1229"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167D6474" w14:textId="77777777" w:rsidR="00AD2B43" w:rsidRPr="00AD2B43" w:rsidRDefault="00AD2B43" w:rsidP="00AD2B43">
            <w:pPr>
              <w:tabs>
                <w:tab w:val="left" w:pos="1798"/>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D2B43">
              <w:rPr>
                <w:rFonts w:ascii="Arial" w:hAnsi="Arial" w:cs="Arial"/>
                <w:sz w:val="22"/>
                <w:szCs w:val="22"/>
              </w:rPr>
              <w:t>I</w:t>
            </w:r>
          </w:p>
        </w:tc>
        <w:tc>
          <w:tcPr>
            <w:tcW w:w="959"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63836CD6" w14:textId="77777777" w:rsidR="00AD2B43" w:rsidRPr="00AD2B43" w:rsidRDefault="00AD2B43" w:rsidP="00AD2B43">
            <w:pPr>
              <w:tabs>
                <w:tab w:val="left" w:pos="1798"/>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D2B43">
              <w:rPr>
                <w:rFonts w:ascii="Arial" w:hAnsi="Arial" w:cs="Arial"/>
                <w:sz w:val="22"/>
                <w:szCs w:val="22"/>
              </w:rPr>
              <w:t>R</w:t>
            </w:r>
          </w:p>
        </w:tc>
        <w:tc>
          <w:tcPr>
            <w:tcW w:w="711"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43F33E82" w14:textId="77777777" w:rsidR="00AD2B43" w:rsidRPr="00AD2B43" w:rsidRDefault="00AD2B43" w:rsidP="00AD2B43">
            <w:pPr>
              <w:tabs>
                <w:tab w:val="left" w:pos="1798"/>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D2B43">
              <w:rPr>
                <w:rFonts w:ascii="Arial" w:hAnsi="Arial" w:cs="Arial"/>
                <w:sz w:val="22"/>
                <w:szCs w:val="22"/>
              </w:rPr>
              <w:t>I</w:t>
            </w:r>
          </w:p>
        </w:tc>
      </w:tr>
    </w:tbl>
    <w:p w14:paraId="754D3467" w14:textId="77777777" w:rsidR="00AD2B43" w:rsidRPr="00AD2B43" w:rsidRDefault="00AD2B43" w:rsidP="00AD2B43">
      <w:pPr>
        <w:tabs>
          <w:tab w:val="left" w:pos="1798"/>
        </w:tabs>
        <w:spacing w:line="360" w:lineRule="auto"/>
        <w:rPr>
          <w:rFonts w:ascii="Arial" w:hAnsi="Arial" w:cs="Arial"/>
          <w:sz w:val="22"/>
          <w:szCs w:val="22"/>
        </w:rPr>
      </w:pPr>
    </w:p>
    <w:p w14:paraId="2DE0478F" w14:textId="77777777" w:rsidR="00AD2B43" w:rsidRPr="00AD2B43" w:rsidRDefault="00AD2B43" w:rsidP="00AD2B43">
      <w:pPr>
        <w:tabs>
          <w:tab w:val="left" w:pos="1798"/>
        </w:tabs>
        <w:spacing w:line="360" w:lineRule="auto"/>
        <w:rPr>
          <w:rFonts w:ascii="Arial" w:hAnsi="Arial" w:cs="Arial"/>
          <w:b/>
          <w:bCs/>
          <w:sz w:val="22"/>
          <w:szCs w:val="22"/>
        </w:rPr>
      </w:pPr>
      <w:r w:rsidRPr="00AD2B43">
        <w:rPr>
          <w:rFonts w:ascii="Arial" w:hAnsi="Arial" w:cs="Arial"/>
          <w:b/>
          <w:bCs/>
          <w:sz w:val="22"/>
          <w:szCs w:val="22"/>
        </w:rPr>
        <w:t>Key:</w:t>
      </w:r>
    </w:p>
    <w:p w14:paraId="10260168"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R=Responsible (performs the task)</w:t>
      </w:r>
    </w:p>
    <w:p w14:paraId="1D10BF10"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A=Accountable (Final decisions authority)</w:t>
      </w:r>
    </w:p>
    <w:p w14:paraId="267E78D8"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C=Consulted(provides)</w:t>
      </w:r>
    </w:p>
    <w:p w14:paraId="5CEEBA81"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I=Informed (kept updated)</w:t>
      </w:r>
    </w:p>
    <w:p w14:paraId="4D75BE01"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 xml:space="preserve">In conclusion, stakeholder engagement for the </w:t>
      </w:r>
      <w:proofErr w:type="spellStart"/>
      <w:r w:rsidRPr="00AD2B43">
        <w:rPr>
          <w:rFonts w:ascii="Arial" w:hAnsi="Arial" w:cs="Arial"/>
          <w:sz w:val="22"/>
          <w:szCs w:val="22"/>
        </w:rPr>
        <w:t>StaySmart</w:t>
      </w:r>
      <w:proofErr w:type="spellEnd"/>
      <w:r w:rsidRPr="00AD2B43">
        <w:rPr>
          <w:rFonts w:ascii="Arial" w:hAnsi="Arial" w:cs="Arial"/>
          <w:sz w:val="22"/>
          <w:szCs w:val="22"/>
        </w:rPr>
        <w:t xml:space="preserve">+ project at Hilton necessitates a systematic and multi-faceted strategy. The stakeholder salience model and power-interest matrix facilitate the prioritisation of engagement initiatives. Communication planning and </w:t>
      </w:r>
      <w:r w:rsidRPr="00AD2B43">
        <w:rPr>
          <w:rFonts w:ascii="Arial" w:hAnsi="Arial" w:cs="Arial"/>
          <w:sz w:val="22"/>
          <w:szCs w:val="22"/>
        </w:rPr>
        <w:lastRenderedPageBreak/>
        <w:t xml:space="preserve">RACI frameworks facilitate clarity and coordination among internal and external stakeholders. Collaborative seminars, training programs, and ethical transparency foster trust and dedication. Feedback systems maintain engagement during implementation. Utilising these frameworks allows Hilton to synchronise many stakeholders across international markets’ hence enhancing the probability of successful implementation and sustained value generation from the </w:t>
      </w:r>
      <w:proofErr w:type="spellStart"/>
      <w:r w:rsidRPr="00AD2B43">
        <w:rPr>
          <w:rFonts w:ascii="Arial" w:hAnsi="Arial" w:cs="Arial"/>
          <w:sz w:val="22"/>
          <w:szCs w:val="22"/>
        </w:rPr>
        <w:t>StaySmart</w:t>
      </w:r>
      <w:proofErr w:type="spellEnd"/>
      <w:r w:rsidRPr="00AD2B43">
        <w:rPr>
          <w:rFonts w:ascii="Arial" w:hAnsi="Arial" w:cs="Arial"/>
          <w:sz w:val="22"/>
          <w:szCs w:val="22"/>
        </w:rPr>
        <w:t xml:space="preserve">+ innovation. </w:t>
      </w:r>
    </w:p>
    <w:p w14:paraId="39070FB8"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b/>
          <w:bCs/>
          <w:sz w:val="22"/>
          <w:szCs w:val="22"/>
        </w:rPr>
        <w:t>4C Framework and Conflict Management</w:t>
      </w:r>
    </w:p>
    <w:p w14:paraId="5EF2DA23"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 xml:space="preserve">A coordinated strategy to stakeholder involvement is necessary for the successful global implementation of Hilton’s </w:t>
      </w:r>
      <w:proofErr w:type="spellStart"/>
      <w:r w:rsidRPr="00AD2B43">
        <w:rPr>
          <w:rFonts w:ascii="Arial" w:hAnsi="Arial" w:cs="Arial"/>
          <w:sz w:val="22"/>
          <w:szCs w:val="22"/>
        </w:rPr>
        <w:t>StaySmart</w:t>
      </w:r>
      <w:proofErr w:type="spellEnd"/>
      <w:r w:rsidRPr="00AD2B43">
        <w:rPr>
          <w:rFonts w:ascii="Arial" w:hAnsi="Arial" w:cs="Arial"/>
          <w:sz w:val="22"/>
          <w:szCs w:val="22"/>
        </w:rPr>
        <w:t xml:space="preserve">+ innovation to guarantee alignment, participation, and sustained commitment. This process can be managed clearly with the help of the 4C model, which stands for communication, consultation, collaboration, and commitment. Continuous, clear </w:t>
      </w:r>
      <w:r w:rsidRPr="00AD2B43">
        <w:rPr>
          <w:rFonts w:ascii="Arial" w:hAnsi="Arial" w:cs="Arial"/>
          <w:b/>
          <w:bCs/>
          <w:sz w:val="22"/>
          <w:szCs w:val="22"/>
        </w:rPr>
        <w:t>communication</w:t>
      </w:r>
      <w:r w:rsidRPr="00AD2B43">
        <w:rPr>
          <w:rFonts w:ascii="Arial" w:hAnsi="Arial" w:cs="Arial"/>
          <w:sz w:val="22"/>
          <w:szCs w:val="22"/>
        </w:rPr>
        <w:t xml:space="preserve"> that is adapted to various stakeholders and cultural situations is essential. While hotel managers and franchise partners need practical direction on schedules and infrastructure, senior management need strategic information on return on investment and brand value. Workers need to be reassured that AI enhances rather than replaces their jobs, and visitors need to hear about the advantages of sustainability and customisation. According to studies, two-way communication and a reduction in uncertainty are made possible by structured channels like dashboards, briefings, webinars and feedback platforms. This boots acceptability throughout technological transition (Kotter,1996).</w:t>
      </w:r>
    </w:p>
    <w:p w14:paraId="25A757D1"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b/>
          <w:bCs/>
          <w:sz w:val="22"/>
          <w:szCs w:val="22"/>
        </w:rPr>
        <w:t>Consultation</w:t>
      </w:r>
      <w:r w:rsidRPr="00AD2B43">
        <w:rPr>
          <w:rFonts w:ascii="Arial" w:hAnsi="Arial" w:cs="Arial"/>
          <w:sz w:val="22"/>
          <w:szCs w:val="22"/>
        </w:rPr>
        <w:t xml:space="preserve"> and collaboration enhance involvement by actively involving stakeholders in the design and execution processes. Internal consultations with managers, frontline personnel, IT and sustainability teams via workshops and pilot programs guarantee the system’s practicality and cultural appropriateness, while external consultations with guests, vendors, and partners ensure it fulfils users’ requirements. Engaging employees early mitigates anxiety around potential job displacement due to AI and e enhances their dedication (Freeman,1984). </w:t>
      </w:r>
      <w:r w:rsidRPr="00AD2B43">
        <w:rPr>
          <w:rFonts w:ascii="Arial" w:hAnsi="Arial" w:cs="Arial"/>
          <w:b/>
          <w:bCs/>
          <w:sz w:val="22"/>
          <w:szCs w:val="22"/>
        </w:rPr>
        <w:t>Collaboration</w:t>
      </w:r>
      <w:r w:rsidRPr="00AD2B43">
        <w:rPr>
          <w:rFonts w:ascii="Arial" w:hAnsi="Arial" w:cs="Arial"/>
          <w:sz w:val="22"/>
          <w:szCs w:val="22"/>
        </w:rPr>
        <w:t xml:space="preserve"> facilitates collective advancement among business executives, hotel management, technology vendors, and sustainability collaborators. Co-Design sessions and collaborative governance frameworks facilitate the integration of </w:t>
      </w:r>
      <w:proofErr w:type="spellStart"/>
      <w:r w:rsidRPr="00AD2B43">
        <w:rPr>
          <w:rFonts w:ascii="Arial" w:hAnsi="Arial" w:cs="Arial"/>
          <w:sz w:val="22"/>
          <w:szCs w:val="22"/>
        </w:rPr>
        <w:t>StaySmart</w:t>
      </w:r>
      <w:proofErr w:type="spellEnd"/>
      <w:r w:rsidRPr="00AD2B43">
        <w:rPr>
          <w:rFonts w:ascii="Arial" w:hAnsi="Arial" w:cs="Arial"/>
          <w:sz w:val="22"/>
          <w:szCs w:val="22"/>
        </w:rPr>
        <w:t xml:space="preserve">+ with actual service processes and pre-existing systems, promoting resource sharing throughout Hilton’s global franchise network (Pfeffer &amp; Salancik,1978). This participative approach precludes the invention from being regarded as a top-down business directive. </w:t>
      </w:r>
    </w:p>
    <w:p w14:paraId="1FE0C45F" w14:textId="77777777" w:rsidR="00AD2B43" w:rsidRPr="00AD2B43" w:rsidRDefault="00AD2B43" w:rsidP="00AD2B43">
      <w:pPr>
        <w:tabs>
          <w:tab w:val="left" w:pos="1798"/>
        </w:tabs>
        <w:spacing w:line="360" w:lineRule="auto"/>
        <w:rPr>
          <w:rFonts w:ascii="Arial" w:hAnsi="Arial" w:cs="Arial"/>
          <w:sz w:val="22"/>
          <w:szCs w:val="22"/>
        </w:rPr>
      </w:pPr>
    </w:p>
    <w:p w14:paraId="0CDA2304"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b/>
          <w:bCs/>
          <w:sz w:val="22"/>
          <w:szCs w:val="22"/>
        </w:rPr>
        <w:t>Commitment</w:t>
      </w:r>
      <w:r w:rsidRPr="00AD2B43">
        <w:rPr>
          <w:rFonts w:ascii="Arial" w:hAnsi="Arial" w:cs="Arial"/>
          <w:sz w:val="22"/>
          <w:szCs w:val="22"/>
        </w:rPr>
        <w:t xml:space="preserve"> and conflict management facilitate ensuring adoption post launch. Leadership commitment is evidenced by sponsorship and resource allocation, franchise commitment by </w:t>
      </w:r>
      <w:r w:rsidRPr="00AD2B43">
        <w:rPr>
          <w:rFonts w:ascii="Arial" w:hAnsi="Arial" w:cs="Arial"/>
          <w:sz w:val="22"/>
          <w:szCs w:val="22"/>
        </w:rPr>
        <w:lastRenderedPageBreak/>
        <w:t xml:space="preserve">training and digital career advancements. Guest loyalty is contingent upon dependable service and perceived worth. Incorporating adoption measurements, training completion rates, and satisfaction indicators into performance systems facilitate the institutionalisation of innovation (Bourne,2015). Due to potential concerns around employment, expenses, privacy, and interpersonal communication stemming from AI adoption, the project manager must include interest-based negotiation, cultural intelligence, and explicit escalation procedures to address conflicts across regions (Hofstede,2001; PMI,2021). By planning communication, consultation, collaboration, and commitment, the project manager connects global stakeholders and integrate </w:t>
      </w:r>
      <w:proofErr w:type="spellStart"/>
      <w:r w:rsidRPr="00AD2B43">
        <w:rPr>
          <w:rFonts w:ascii="Arial" w:hAnsi="Arial" w:cs="Arial"/>
          <w:sz w:val="22"/>
          <w:szCs w:val="22"/>
        </w:rPr>
        <w:t>StaySmart</w:t>
      </w:r>
      <w:proofErr w:type="spellEnd"/>
      <w:r w:rsidRPr="00AD2B43">
        <w:rPr>
          <w:rFonts w:ascii="Arial" w:hAnsi="Arial" w:cs="Arial"/>
          <w:sz w:val="22"/>
          <w:szCs w:val="22"/>
        </w:rPr>
        <w:t>+ into Hilton’s everyday operations.</w:t>
      </w:r>
    </w:p>
    <w:tbl>
      <w:tblPr>
        <w:tblStyle w:val="GridTable5Dark-Accent4"/>
        <w:tblpPr w:leftFromText="180" w:rightFromText="180" w:vertAnchor="text" w:horzAnchor="margin" w:tblpXSpec="center" w:tblpY="1177"/>
        <w:tblW w:w="10201" w:type="dxa"/>
        <w:tblInd w:w="0" w:type="dxa"/>
        <w:tblLook w:val="04A0" w:firstRow="1" w:lastRow="0" w:firstColumn="1" w:lastColumn="0" w:noHBand="0" w:noVBand="1"/>
      </w:tblPr>
      <w:tblGrid>
        <w:gridCol w:w="1510"/>
        <w:gridCol w:w="2127"/>
        <w:gridCol w:w="1459"/>
        <w:gridCol w:w="5105"/>
      </w:tblGrid>
      <w:tr w:rsidR="00AD2B43" w:rsidRPr="00AD2B43" w14:paraId="38C159F2" w14:textId="77777777" w:rsidTr="001E33E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0" w:type="dxa"/>
            <w:tcBorders>
              <w:bottom w:val="single" w:sz="4" w:space="0" w:color="FFFFFF" w:themeColor="background1"/>
            </w:tcBorders>
            <w:hideMark/>
          </w:tcPr>
          <w:p w14:paraId="277E1444"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Potential Conflict</w:t>
            </w:r>
          </w:p>
        </w:tc>
        <w:tc>
          <w:tcPr>
            <w:tcW w:w="2127" w:type="dxa"/>
            <w:tcBorders>
              <w:bottom w:val="single" w:sz="4" w:space="0" w:color="FFFFFF" w:themeColor="background1"/>
            </w:tcBorders>
            <w:hideMark/>
          </w:tcPr>
          <w:p w14:paraId="2ADC36F1" w14:textId="77777777" w:rsidR="00AD2B43" w:rsidRPr="00AD2B43" w:rsidRDefault="00AD2B43" w:rsidP="00AD2B43">
            <w:pPr>
              <w:tabs>
                <w:tab w:val="left" w:pos="1798"/>
              </w:tabs>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AD2B43">
              <w:rPr>
                <w:rFonts w:ascii="Arial" w:hAnsi="Arial" w:cs="Arial"/>
                <w:sz w:val="22"/>
                <w:szCs w:val="22"/>
              </w:rPr>
              <w:t>Stakeholders</w:t>
            </w:r>
          </w:p>
        </w:tc>
        <w:tc>
          <w:tcPr>
            <w:tcW w:w="1459" w:type="dxa"/>
            <w:tcBorders>
              <w:bottom w:val="single" w:sz="4" w:space="0" w:color="FFFFFF" w:themeColor="background1"/>
            </w:tcBorders>
            <w:hideMark/>
          </w:tcPr>
          <w:p w14:paraId="5D3484E7" w14:textId="77777777" w:rsidR="00AD2B43" w:rsidRPr="00AD2B43" w:rsidRDefault="00AD2B43" w:rsidP="00AD2B43">
            <w:pPr>
              <w:tabs>
                <w:tab w:val="left" w:pos="1798"/>
              </w:tabs>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AD2B43">
              <w:rPr>
                <w:rFonts w:ascii="Arial" w:hAnsi="Arial" w:cs="Arial"/>
                <w:sz w:val="22"/>
                <w:szCs w:val="22"/>
              </w:rPr>
              <w:t xml:space="preserve">Cause </w:t>
            </w:r>
          </w:p>
        </w:tc>
        <w:tc>
          <w:tcPr>
            <w:tcW w:w="5105" w:type="dxa"/>
            <w:tcBorders>
              <w:bottom w:val="single" w:sz="4" w:space="0" w:color="FFFFFF" w:themeColor="background1"/>
            </w:tcBorders>
            <w:hideMark/>
          </w:tcPr>
          <w:p w14:paraId="42DB8B74" w14:textId="77777777" w:rsidR="00AD2B43" w:rsidRPr="00AD2B43" w:rsidRDefault="00AD2B43" w:rsidP="00AD2B43">
            <w:pPr>
              <w:tabs>
                <w:tab w:val="left" w:pos="1798"/>
              </w:tabs>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AD2B43">
              <w:rPr>
                <w:rFonts w:ascii="Arial" w:hAnsi="Arial" w:cs="Arial"/>
                <w:sz w:val="22"/>
                <w:szCs w:val="22"/>
              </w:rPr>
              <w:t xml:space="preserve">Management strategy </w:t>
            </w:r>
          </w:p>
          <w:p w14:paraId="7B81AC71" w14:textId="77777777" w:rsidR="00AD2B43" w:rsidRPr="00AD2B43" w:rsidRDefault="00AD2B43" w:rsidP="00AD2B43">
            <w:pPr>
              <w:tabs>
                <w:tab w:val="left" w:pos="1798"/>
              </w:tabs>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AD2B43">
              <w:rPr>
                <w:rFonts w:ascii="Arial" w:hAnsi="Arial" w:cs="Arial"/>
                <w:sz w:val="22"/>
                <w:szCs w:val="22"/>
              </w:rPr>
              <w:t>4C Model</w:t>
            </w:r>
          </w:p>
        </w:tc>
      </w:tr>
      <w:tr w:rsidR="00AD2B43" w:rsidRPr="00AD2B43" w14:paraId="72EDE5F7" w14:textId="77777777" w:rsidTr="001E33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0" w:type="dxa"/>
            <w:tcBorders>
              <w:top w:val="single" w:sz="4" w:space="0" w:color="FFFFFF" w:themeColor="background1"/>
              <w:bottom w:val="single" w:sz="4" w:space="0" w:color="FFFFFF" w:themeColor="background1"/>
              <w:right w:val="single" w:sz="4" w:space="0" w:color="FFFFFF" w:themeColor="background1"/>
            </w:tcBorders>
            <w:hideMark/>
          </w:tcPr>
          <w:p w14:paraId="6CA46C28"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Employee resistance to AI</w:t>
            </w:r>
          </w:p>
        </w:tc>
        <w:tc>
          <w:tcPr>
            <w:tcW w:w="2127"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7AD6332A" w14:textId="77777777" w:rsidR="00AD2B43" w:rsidRPr="00AD2B43" w:rsidRDefault="00AD2B43" w:rsidP="00AD2B43">
            <w:pPr>
              <w:tabs>
                <w:tab w:val="left" w:pos="1798"/>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D2B43">
              <w:rPr>
                <w:rFonts w:ascii="Arial" w:hAnsi="Arial" w:cs="Arial"/>
                <w:sz w:val="22"/>
                <w:szCs w:val="22"/>
              </w:rPr>
              <w:t>Employees, HR, managers</w:t>
            </w:r>
          </w:p>
        </w:tc>
        <w:tc>
          <w:tcPr>
            <w:tcW w:w="1459"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0675BD2F" w14:textId="77777777" w:rsidR="00AD2B43" w:rsidRPr="00AD2B43" w:rsidRDefault="00AD2B43" w:rsidP="00AD2B43">
            <w:pPr>
              <w:tabs>
                <w:tab w:val="left" w:pos="1798"/>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D2B43">
              <w:rPr>
                <w:rFonts w:ascii="Arial" w:hAnsi="Arial" w:cs="Arial"/>
                <w:sz w:val="22"/>
                <w:szCs w:val="22"/>
              </w:rPr>
              <w:t xml:space="preserve">Fear of job loss and lack of digital skills </w:t>
            </w:r>
          </w:p>
        </w:tc>
        <w:tc>
          <w:tcPr>
            <w:tcW w:w="510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6DE76F57" w14:textId="77777777" w:rsidR="00AD2B43" w:rsidRPr="00AD2B43" w:rsidRDefault="00AD2B43" w:rsidP="00AD2B43">
            <w:pPr>
              <w:tabs>
                <w:tab w:val="left" w:pos="1798"/>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D2B43">
              <w:rPr>
                <w:rFonts w:ascii="Arial" w:hAnsi="Arial" w:cs="Arial"/>
                <w:sz w:val="22"/>
                <w:szCs w:val="22"/>
              </w:rPr>
              <w:t>Communication through training</w:t>
            </w:r>
          </w:p>
          <w:p w14:paraId="62A75071" w14:textId="77777777" w:rsidR="00AD2B43" w:rsidRPr="00AD2B43" w:rsidRDefault="00AD2B43" w:rsidP="00AD2B43">
            <w:pPr>
              <w:tabs>
                <w:tab w:val="left" w:pos="1798"/>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D2B43">
              <w:rPr>
                <w:rFonts w:ascii="Arial" w:hAnsi="Arial" w:cs="Arial"/>
                <w:sz w:val="22"/>
                <w:szCs w:val="22"/>
              </w:rPr>
              <w:t>Consultation through feedback sessions</w:t>
            </w:r>
          </w:p>
          <w:p w14:paraId="47C5F85C" w14:textId="77777777" w:rsidR="00AD2B43" w:rsidRPr="00AD2B43" w:rsidRDefault="00AD2B43" w:rsidP="00AD2B43">
            <w:pPr>
              <w:tabs>
                <w:tab w:val="left" w:pos="1798"/>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D2B43">
              <w:rPr>
                <w:rFonts w:ascii="Arial" w:hAnsi="Arial" w:cs="Arial"/>
                <w:sz w:val="22"/>
                <w:szCs w:val="22"/>
              </w:rPr>
              <w:t>Collaboration in workshops</w:t>
            </w:r>
          </w:p>
          <w:p w14:paraId="10D5BE30" w14:textId="77777777" w:rsidR="00AD2B43" w:rsidRPr="00AD2B43" w:rsidRDefault="00AD2B43" w:rsidP="00AD2B43">
            <w:pPr>
              <w:tabs>
                <w:tab w:val="left" w:pos="1798"/>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D2B43">
              <w:rPr>
                <w:rFonts w:ascii="Arial" w:hAnsi="Arial" w:cs="Arial"/>
                <w:sz w:val="22"/>
                <w:szCs w:val="22"/>
              </w:rPr>
              <w:t xml:space="preserve">Commitment through career development </w:t>
            </w:r>
          </w:p>
        </w:tc>
      </w:tr>
      <w:tr w:rsidR="00AD2B43" w:rsidRPr="00AD2B43" w14:paraId="2D47B315" w14:textId="77777777" w:rsidTr="001E33E9">
        <w:tc>
          <w:tcPr>
            <w:cnfStyle w:val="001000000000" w:firstRow="0" w:lastRow="0" w:firstColumn="1" w:lastColumn="0" w:oddVBand="0" w:evenVBand="0" w:oddHBand="0" w:evenHBand="0" w:firstRowFirstColumn="0" w:firstRowLastColumn="0" w:lastRowFirstColumn="0" w:lastRowLastColumn="0"/>
            <w:tcW w:w="1510" w:type="dxa"/>
            <w:tcBorders>
              <w:top w:val="single" w:sz="4" w:space="0" w:color="FFFFFF" w:themeColor="background1"/>
              <w:bottom w:val="single" w:sz="4" w:space="0" w:color="FFFFFF" w:themeColor="background1"/>
              <w:right w:val="single" w:sz="4" w:space="0" w:color="FFFFFF" w:themeColor="background1"/>
            </w:tcBorders>
            <w:hideMark/>
          </w:tcPr>
          <w:p w14:paraId="2B9C2D37"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 xml:space="preserve">Investment concerns </w:t>
            </w:r>
          </w:p>
        </w:tc>
        <w:tc>
          <w:tcPr>
            <w:tcW w:w="2127"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217F73D2" w14:textId="77777777" w:rsidR="00AD2B43" w:rsidRPr="00AD2B43" w:rsidRDefault="00AD2B43" w:rsidP="00AD2B43">
            <w:pPr>
              <w:tabs>
                <w:tab w:val="left" w:pos="1798"/>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D2B43">
              <w:rPr>
                <w:rFonts w:ascii="Arial" w:hAnsi="Arial" w:cs="Arial"/>
                <w:sz w:val="22"/>
                <w:szCs w:val="22"/>
              </w:rPr>
              <w:t>Franchise owners, leadership</w:t>
            </w:r>
          </w:p>
        </w:tc>
        <w:tc>
          <w:tcPr>
            <w:tcW w:w="1459"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318AF4CA" w14:textId="77777777" w:rsidR="00AD2B43" w:rsidRPr="00AD2B43" w:rsidRDefault="00AD2B43" w:rsidP="00AD2B43">
            <w:pPr>
              <w:tabs>
                <w:tab w:val="left" w:pos="1798"/>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D2B43">
              <w:rPr>
                <w:rFonts w:ascii="Arial" w:hAnsi="Arial" w:cs="Arial"/>
                <w:sz w:val="22"/>
                <w:szCs w:val="22"/>
              </w:rPr>
              <w:t xml:space="preserve">High installation costs </w:t>
            </w:r>
          </w:p>
        </w:tc>
        <w:tc>
          <w:tcPr>
            <w:tcW w:w="510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3ADDB762" w14:textId="77777777" w:rsidR="00AD2B43" w:rsidRPr="00AD2B43" w:rsidRDefault="00AD2B43" w:rsidP="00AD2B43">
            <w:pPr>
              <w:numPr>
                <w:ilvl w:val="0"/>
                <w:numId w:val="1"/>
              </w:numPr>
              <w:tabs>
                <w:tab w:val="left" w:pos="1798"/>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D2B43">
              <w:rPr>
                <w:rFonts w:ascii="Arial" w:hAnsi="Arial" w:cs="Arial"/>
                <w:sz w:val="22"/>
                <w:szCs w:val="22"/>
              </w:rPr>
              <w:t>Communication of ROI benefits</w:t>
            </w:r>
          </w:p>
          <w:p w14:paraId="66D107CF" w14:textId="77777777" w:rsidR="00AD2B43" w:rsidRPr="00AD2B43" w:rsidRDefault="00AD2B43" w:rsidP="00AD2B43">
            <w:pPr>
              <w:numPr>
                <w:ilvl w:val="0"/>
                <w:numId w:val="1"/>
              </w:numPr>
              <w:tabs>
                <w:tab w:val="left" w:pos="1798"/>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D2B43">
              <w:rPr>
                <w:rFonts w:ascii="Arial" w:hAnsi="Arial" w:cs="Arial"/>
                <w:sz w:val="22"/>
                <w:szCs w:val="22"/>
              </w:rPr>
              <w:t>Consultation in financial planning</w:t>
            </w:r>
          </w:p>
          <w:p w14:paraId="7C258EE6" w14:textId="77777777" w:rsidR="00AD2B43" w:rsidRPr="00AD2B43" w:rsidRDefault="00AD2B43" w:rsidP="00AD2B43">
            <w:pPr>
              <w:numPr>
                <w:ilvl w:val="0"/>
                <w:numId w:val="1"/>
              </w:numPr>
              <w:tabs>
                <w:tab w:val="left" w:pos="1798"/>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D2B43">
              <w:rPr>
                <w:rFonts w:ascii="Arial" w:hAnsi="Arial" w:cs="Arial"/>
                <w:sz w:val="22"/>
                <w:szCs w:val="22"/>
              </w:rPr>
              <w:t>Collaboration in phased rollout</w:t>
            </w:r>
          </w:p>
          <w:p w14:paraId="47E813AD" w14:textId="77777777" w:rsidR="00AD2B43" w:rsidRPr="00AD2B43" w:rsidRDefault="00AD2B43" w:rsidP="00AD2B43">
            <w:pPr>
              <w:numPr>
                <w:ilvl w:val="0"/>
                <w:numId w:val="1"/>
              </w:numPr>
              <w:tabs>
                <w:tab w:val="left" w:pos="1798"/>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D2B43">
              <w:rPr>
                <w:rFonts w:ascii="Arial" w:hAnsi="Arial" w:cs="Arial"/>
                <w:sz w:val="22"/>
                <w:szCs w:val="22"/>
              </w:rPr>
              <w:t xml:space="preserve">Commitment to long term value </w:t>
            </w:r>
          </w:p>
        </w:tc>
      </w:tr>
      <w:tr w:rsidR="00AD2B43" w:rsidRPr="00AD2B43" w14:paraId="6EFC218E" w14:textId="77777777" w:rsidTr="001E33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0" w:type="dxa"/>
            <w:tcBorders>
              <w:top w:val="single" w:sz="4" w:space="0" w:color="FFFFFF" w:themeColor="background1"/>
              <w:bottom w:val="single" w:sz="4" w:space="0" w:color="FFFFFF" w:themeColor="background1"/>
              <w:right w:val="single" w:sz="4" w:space="0" w:color="FFFFFF" w:themeColor="background1"/>
            </w:tcBorders>
            <w:hideMark/>
          </w:tcPr>
          <w:p w14:paraId="32AE014D"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Data privacy concerns</w:t>
            </w:r>
          </w:p>
        </w:tc>
        <w:tc>
          <w:tcPr>
            <w:tcW w:w="2127"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5874A430" w14:textId="77777777" w:rsidR="00AD2B43" w:rsidRPr="00AD2B43" w:rsidRDefault="00AD2B43" w:rsidP="00AD2B43">
            <w:pPr>
              <w:tabs>
                <w:tab w:val="left" w:pos="1798"/>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D2B43">
              <w:rPr>
                <w:rFonts w:ascii="Arial" w:hAnsi="Arial" w:cs="Arial"/>
                <w:sz w:val="22"/>
                <w:szCs w:val="22"/>
              </w:rPr>
              <w:t>Guest, regulators, IT teams</w:t>
            </w:r>
          </w:p>
        </w:tc>
        <w:tc>
          <w:tcPr>
            <w:tcW w:w="1459"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0DCBAEA4" w14:textId="77777777" w:rsidR="00AD2B43" w:rsidRPr="00AD2B43" w:rsidRDefault="00AD2B43" w:rsidP="00AD2B43">
            <w:pPr>
              <w:tabs>
                <w:tab w:val="left" w:pos="1798"/>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D2B43">
              <w:rPr>
                <w:rFonts w:ascii="Arial" w:hAnsi="Arial" w:cs="Arial"/>
                <w:sz w:val="22"/>
                <w:szCs w:val="22"/>
              </w:rPr>
              <w:t>Use of personal data AI systems</w:t>
            </w:r>
          </w:p>
        </w:tc>
        <w:tc>
          <w:tcPr>
            <w:tcW w:w="510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59F77DF4" w14:textId="77777777" w:rsidR="00AD2B43" w:rsidRPr="00AD2B43" w:rsidRDefault="00AD2B43" w:rsidP="00AD2B43">
            <w:pPr>
              <w:numPr>
                <w:ilvl w:val="0"/>
                <w:numId w:val="2"/>
              </w:numPr>
              <w:tabs>
                <w:tab w:val="left" w:pos="1798"/>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D2B43">
              <w:rPr>
                <w:rFonts w:ascii="Arial" w:hAnsi="Arial" w:cs="Arial"/>
                <w:sz w:val="22"/>
                <w:szCs w:val="22"/>
              </w:rPr>
              <w:t>Communication of privacy policies</w:t>
            </w:r>
          </w:p>
          <w:p w14:paraId="06A7D236" w14:textId="77777777" w:rsidR="00AD2B43" w:rsidRPr="00AD2B43" w:rsidRDefault="00AD2B43" w:rsidP="00AD2B43">
            <w:pPr>
              <w:numPr>
                <w:ilvl w:val="0"/>
                <w:numId w:val="2"/>
              </w:numPr>
              <w:tabs>
                <w:tab w:val="left" w:pos="1798"/>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D2B43">
              <w:rPr>
                <w:rFonts w:ascii="Arial" w:hAnsi="Arial" w:cs="Arial"/>
                <w:sz w:val="22"/>
                <w:szCs w:val="22"/>
              </w:rPr>
              <w:t xml:space="preserve">Consultation with legal experts </w:t>
            </w:r>
          </w:p>
          <w:p w14:paraId="6F38098D" w14:textId="77777777" w:rsidR="00AD2B43" w:rsidRPr="00AD2B43" w:rsidRDefault="00AD2B43" w:rsidP="00AD2B43">
            <w:pPr>
              <w:numPr>
                <w:ilvl w:val="0"/>
                <w:numId w:val="2"/>
              </w:numPr>
              <w:tabs>
                <w:tab w:val="left" w:pos="1798"/>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D2B43">
              <w:rPr>
                <w:rFonts w:ascii="Arial" w:hAnsi="Arial" w:cs="Arial"/>
                <w:sz w:val="22"/>
                <w:szCs w:val="22"/>
              </w:rPr>
              <w:t>Collaboration with cybersecurity teams</w:t>
            </w:r>
          </w:p>
          <w:p w14:paraId="53D35F4E" w14:textId="77777777" w:rsidR="00AD2B43" w:rsidRPr="00AD2B43" w:rsidRDefault="00AD2B43" w:rsidP="00AD2B43">
            <w:pPr>
              <w:numPr>
                <w:ilvl w:val="0"/>
                <w:numId w:val="2"/>
              </w:numPr>
              <w:tabs>
                <w:tab w:val="left" w:pos="1798"/>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D2B43">
              <w:rPr>
                <w:rFonts w:ascii="Arial" w:hAnsi="Arial" w:cs="Arial"/>
                <w:sz w:val="22"/>
                <w:szCs w:val="22"/>
              </w:rPr>
              <w:t>Commitment to regulatory compliance</w:t>
            </w:r>
          </w:p>
        </w:tc>
      </w:tr>
      <w:tr w:rsidR="00AD2B43" w:rsidRPr="00AD2B43" w14:paraId="552A99EE" w14:textId="77777777" w:rsidTr="001E33E9">
        <w:tc>
          <w:tcPr>
            <w:cnfStyle w:val="001000000000" w:firstRow="0" w:lastRow="0" w:firstColumn="1" w:lastColumn="0" w:oddVBand="0" w:evenVBand="0" w:oddHBand="0" w:evenHBand="0" w:firstRowFirstColumn="0" w:firstRowLastColumn="0" w:lastRowFirstColumn="0" w:lastRowLastColumn="0"/>
            <w:tcW w:w="1510" w:type="dxa"/>
            <w:tcBorders>
              <w:top w:val="single" w:sz="4" w:space="0" w:color="FFFFFF" w:themeColor="background1"/>
              <w:right w:val="single" w:sz="4" w:space="0" w:color="FFFFFF" w:themeColor="background1"/>
            </w:tcBorders>
            <w:hideMark/>
          </w:tcPr>
          <w:p w14:paraId="59A025D7"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Operational disruption</w:t>
            </w:r>
          </w:p>
        </w:tc>
        <w:tc>
          <w:tcPr>
            <w:tcW w:w="2127"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6FD8A09D" w14:textId="77777777" w:rsidR="00AD2B43" w:rsidRPr="00AD2B43" w:rsidRDefault="00AD2B43" w:rsidP="00AD2B43">
            <w:pPr>
              <w:tabs>
                <w:tab w:val="left" w:pos="1798"/>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D2B43">
              <w:rPr>
                <w:rFonts w:ascii="Arial" w:hAnsi="Arial" w:cs="Arial"/>
                <w:sz w:val="22"/>
                <w:szCs w:val="22"/>
              </w:rPr>
              <w:t>Hotel managers, IT teams</w:t>
            </w:r>
          </w:p>
        </w:tc>
        <w:tc>
          <w:tcPr>
            <w:tcW w:w="1459"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64969C5F" w14:textId="77777777" w:rsidR="00AD2B43" w:rsidRPr="00AD2B43" w:rsidRDefault="00AD2B43" w:rsidP="00AD2B43">
            <w:pPr>
              <w:tabs>
                <w:tab w:val="left" w:pos="1798"/>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D2B43">
              <w:rPr>
                <w:rFonts w:ascii="Arial" w:hAnsi="Arial" w:cs="Arial"/>
                <w:sz w:val="22"/>
                <w:szCs w:val="22"/>
              </w:rPr>
              <w:t>Installation affecting hotel operations</w:t>
            </w:r>
          </w:p>
        </w:tc>
        <w:tc>
          <w:tcPr>
            <w:tcW w:w="510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00F9D3BD" w14:textId="77777777" w:rsidR="00AD2B43" w:rsidRPr="00AD2B43" w:rsidRDefault="00AD2B43" w:rsidP="00AD2B43">
            <w:pPr>
              <w:numPr>
                <w:ilvl w:val="0"/>
                <w:numId w:val="3"/>
              </w:numPr>
              <w:tabs>
                <w:tab w:val="left" w:pos="1798"/>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D2B43">
              <w:rPr>
                <w:rFonts w:ascii="Arial" w:hAnsi="Arial" w:cs="Arial"/>
                <w:sz w:val="22"/>
                <w:szCs w:val="22"/>
              </w:rPr>
              <w:t>Communication of timelines</w:t>
            </w:r>
          </w:p>
          <w:p w14:paraId="0B3CAA5E" w14:textId="77777777" w:rsidR="00AD2B43" w:rsidRPr="00AD2B43" w:rsidRDefault="00AD2B43" w:rsidP="00AD2B43">
            <w:pPr>
              <w:numPr>
                <w:ilvl w:val="0"/>
                <w:numId w:val="3"/>
              </w:numPr>
              <w:tabs>
                <w:tab w:val="left" w:pos="1798"/>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D2B43">
              <w:rPr>
                <w:rFonts w:ascii="Arial" w:hAnsi="Arial" w:cs="Arial"/>
                <w:sz w:val="22"/>
                <w:szCs w:val="22"/>
              </w:rPr>
              <w:t>Consultation with managers</w:t>
            </w:r>
          </w:p>
          <w:p w14:paraId="31608E2D" w14:textId="77777777" w:rsidR="00AD2B43" w:rsidRPr="00AD2B43" w:rsidRDefault="00AD2B43" w:rsidP="00AD2B43">
            <w:pPr>
              <w:numPr>
                <w:ilvl w:val="0"/>
                <w:numId w:val="3"/>
              </w:numPr>
              <w:tabs>
                <w:tab w:val="left" w:pos="1798"/>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D2B43">
              <w:rPr>
                <w:rFonts w:ascii="Arial" w:hAnsi="Arial" w:cs="Arial"/>
                <w:sz w:val="22"/>
                <w:szCs w:val="22"/>
              </w:rPr>
              <w:t xml:space="preserve">Collaboration on scheduling </w:t>
            </w:r>
          </w:p>
          <w:p w14:paraId="603B11E6" w14:textId="77777777" w:rsidR="00AD2B43" w:rsidRPr="00AD2B43" w:rsidRDefault="00AD2B43" w:rsidP="00AD2B43">
            <w:pPr>
              <w:numPr>
                <w:ilvl w:val="0"/>
                <w:numId w:val="3"/>
              </w:numPr>
              <w:tabs>
                <w:tab w:val="left" w:pos="1798"/>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D2B43">
              <w:rPr>
                <w:rFonts w:ascii="Arial" w:hAnsi="Arial" w:cs="Arial"/>
                <w:sz w:val="22"/>
                <w:szCs w:val="22"/>
              </w:rPr>
              <w:t>Commitment to technical support</w:t>
            </w:r>
          </w:p>
        </w:tc>
      </w:tr>
    </w:tbl>
    <w:p w14:paraId="5E601ADF" w14:textId="77777777" w:rsidR="00AD2B43" w:rsidRPr="00AD2B43" w:rsidRDefault="00AD2B43" w:rsidP="00AD2B43">
      <w:pPr>
        <w:tabs>
          <w:tab w:val="left" w:pos="1798"/>
        </w:tabs>
        <w:spacing w:line="360" w:lineRule="auto"/>
        <w:rPr>
          <w:rFonts w:ascii="Arial" w:hAnsi="Arial" w:cs="Arial"/>
          <w:sz w:val="22"/>
          <w:szCs w:val="22"/>
        </w:rPr>
      </w:pPr>
    </w:p>
    <w:p w14:paraId="27F3CDEE" w14:textId="77777777" w:rsidR="00AD2B43" w:rsidRPr="00AD2B43" w:rsidRDefault="00AD2B43" w:rsidP="00AD2B43">
      <w:pPr>
        <w:tabs>
          <w:tab w:val="left" w:pos="1798"/>
        </w:tabs>
        <w:spacing w:line="360" w:lineRule="auto"/>
        <w:rPr>
          <w:rFonts w:ascii="Arial" w:hAnsi="Arial" w:cs="Arial"/>
          <w:sz w:val="22"/>
          <w:szCs w:val="22"/>
        </w:rPr>
      </w:pPr>
    </w:p>
    <w:p w14:paraId="4F2FF309" w14:textId="77777777" w:rsidR="00AD2B43" w:rsidRPr="00AD2B43" w:rsidRDefault="00AD2B43" w:rsidP="00AD2B43">
      <w:pPr>
        <w:tabs>
          <w:tab w:val="left" w:pos="1798"/>
        </w:tabs>
        <w:spacing w:line="360" w:lineRule="auto"/>
        <w:rPr>
          <w:rFonts w:ascii="Arial" w:hAnsi="Arial" w:cs="Arial"/>
          <w:sz w:val="22"/>
          <w:szCs w:val="22"/>
        </w:rPr>
      </w:pPr>
    </w:p>
    <w:p w14:paraId="7D8B765C" w14:textId="77777777" w:rsidR="00AD2B43" w:rsidRPr="00AD2B43" w:rsidRDefault="00AD2B43" w:rsidP="00AD2B43">
      <w:pPr>
        <w:tabs>
          <w:tab w:val="left" w:pos="1798"/>
        </w:tabs>
        <w:spacing w:line="360" w:lineRule="auto"/>
        <w:rPr>
          <w:rFonts w:ascii="Arial" w:hAnsi="Arial" w:cs="Arial"/>
          <w:b/>
          <w:bCs/>
          <w:sz w:val="22"/>
          <w:szCs w:val="22"/>
        </w:rPr>
      </w:pPr>
      <w:r w:rsidRPr="00AD2B43">
        <w:rPr>
          <w:rFonts w:ascii="Arial" w:hAnsi="Arial" w:cs="Arial"/>
          <w:b/>
          <w:bCs/>
          <w:sz w:val="22"/>
          <w:szCs w:val="22"/>
        </w:rPr>
        <w:t>Recommendations at Hilton</w:t>
      </w:r>
    </w:p>
    <w:p w14:paraId="6A489C4F"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 xml:space="preserve">Effective stakeholder involvement profoundly impacts the business performance of the </w:t>
      </w:r>
      <w:proofErr w:type="spellStart"/>
      <w:r w:rsidRPr="00AD2B43">
        <w:rPr>
          <w:rFonts w:ascii="Arial" w:hAnsi="Arial" w:cs="Arial"/>
          <w:sz w:val="22"/>
          <w:szCs w:val="22"/>
        </w:rPr>
        <w:t>StaySmart</w:t>
      </w:r>
      <w:proofErr w:type="spellEnd"/>
      <w:r w:rsidRPr="00AD2B43">
        <w:rPr>
          <w:rFonts w:ascii="Arial" w:hAnsi="Arial" w:cs="Arial"/>
          <w:sz w:val="22"/>
          <w:szCs w:val="22"/>
        </w:rPr>
        <w:t xml:space="preserve">+ innovation, as its success relies on both stakeholder acceptance and technological capacity. Engaging with visitors through consultation and pilot testing </w:t>
      </w:r>
      <w:r w:rsidRPr="00AD2B43">
        <w:rPr>
          <w:rFonts w:ascii="Arial" w:hAnsi="Arial" w:cs="Arial"/>
          <w:sz w:val="22"/>
          <w:szCs w:val="22"/>
        </w:rPr>
        <w:lastRenderedPageBreak/>
        <w:t>guarantees that AI personalisation and sustainability features align with cultural expectations, hence enhancing satisfaction, loyalty, and return visits. Theory of relationship marketing indicates that customised and trustworthy interactions enhance long-term consumer value (Christopher et al.,2013). Employee engagement via training and collaborative design enhances service quality and consistency, as frontline staff comprehend and endorse the system instead of opposing it (Kotter,1996). Engagement with stakeholders, including managers and technology partners, enhances operational efficiency and facilitates the adoption of innovation by early identification of process bottlenecks and assuring system compatibility (PMI,2021).</w:t>
      </w:r>
    </w:p>
    <w:p w14:paraId="7EA16A52"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 xml:space="preserve">Engaging stakeholders enhances brand reputation, sustainability performance, and risk management. Transparent interactions with authorities, guests, and sustainability partners foster trust in data privacy and environmental obligations, reinforcing Hilton’s image of responsible innovation (Freeman, 1984). Engagement with sustainability stakeholders facilitates the implementation of energy-efficient amenities and promotes environmentally conscious visitor behaviour, enhancing ecological results (Bramwell&amp;Lane,2011). Interacting with legal and regulatory stakeholders mitigates risks associated with AI governance, cybersecurity, and compliance by addressing issues prior to implementation (Bourne,2015). From a balanced scorecard viewpoint, these engagement benefits enhance customer happiness, internal processes, organisational learning, and financial performance, illustrating that stakeholder engagement serves a s a strategic driver of a competitive advantage rather than only a relational activity. </w:t>
      </w:r>
    </w:p>
    <w:p w14:paraId="1178D403"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 xml:space="preserve">To enhance future stakeholder engagement in global developments, Hilton could adopt various techniques. Continuous feedback systems utilising analytics and employee and guest platforms must assess uptake and perceptions beyond implementation. Enhanced employee training in digital service delivery and AI ethics will bolster confidence and diminish opposition. R6egionally tailored involvement tactics and consultation panels must consider cultural disparities among markets. Hilton should enhance enduring collaborations with technology and sustainability organisations to foster ingoing innovation. Engagement results, including adoption rates and stakeholder satisfaction, ought to be incorporated into performance indicators, while institutional ethical governance panels should oversee responsible AI use. Consistent stakeholder interaction improves happiness, service quality, reputation, sustainability, efficiency, and risk management, facilitating the effective global implementation of </w:t>
      </w:r>
      <w:proofErr w:type="spellStart"/>
      <w:r w:rsidRPr="00AD2B43">
        <w:rPr>
          <w:rFonts w:ascii="Arial" w:hAnsi="Arial" w:cs="Arial"/>
          <w:sz w:val="22"/>
          <w:szCs w:val="22"/>
        </w:rPr>
        <w:t>StaySmart</w:t>
      </w:r>
      <w:proofErr w:type="spellEnd"/>
      <w:r w:rsidRPr="00AD2B43">
        <w:rPr>
          <w:rFonts w:ascii="Arial" w:hAnsi="Arial" w:cs="Arial"/>
          <w:sz w:val="22"/>
          <w:szCs w:val="22"/>
        </w:rPr>
        <w:t xml:space="preserve">+ and assuring Hilton’s long-term competitiveness. </w:t>
      </w:r>
    </w:p>
    <w:p w14:paraId="636A3341" w14:textId="77777777" w:rsidR="00AD2B43" w:rsidRPr="00AD2B43" w:rsidRDefault="00AD2B43" w:rsidP="00AD2B43">
      <w:pPr>
        <w:tabs>
          <w:tab w:val="left" w:pos="1798"/>
        </w:tabs>
        <w:spacing w:line="360" w:lineRule="auto"/>
        <w:rPr>
          <w:rFonts w:ascii="Arial" w:hAnsi="Arial" w:cs="Arial"/>
          <w:b/>
          <w:bCs/>
          <w:sz w:val="22"/>
          <w:szCs w:val="22"/>
        </w:rPr>
      </w:pPr>
      <w:r w:rsidRPr="00AD2B43">
        <w:rPr>
          <w:rFonts w:ascii="Arial" w:hAnsi="Arial" w:cs="Arial"/>
          <w:b/>
          <w:bCs/>
          <w:sz w:val="22"/>
          <w:szCs w:val="22"/>
        </w:rPr>
        <w:t xml:space="preserve">Conclusion </w:t>
      </w:r>
    </w:p>
    <w:p w14:paraId="7C3D3F58"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lastRenderedPageBreak/>
        <w:t xml:space="preserve">This report analysed the essential function of stakeholder interaction in the effective development and worldwide execution of the </w:t>
      </w:r>
      <w:proofErr w:type="spellStart"/>
      <w:r w:rsidRPr="00AD2B43">
        <w:rPr>
          <w:rFonts w:ascii="Arial" w:hAnsi="Arial" w:cs="Arial"/>
          <w:sz w:val="22"/>
          <w:szCs w:val="22"/>
        </w:rPr>
        <w:t>StaySmart</w:t>
      </w:r>
      <w:proofErr w:type="spellEnd"/>
      <w:r w:rsidRPr="00AD2B43">
        <w:rPr>
          <w:rFonts w:ascii="Arial" w:hAnsi="Arial" w:cs="Arial"/>
          <w:sz w:val="22"/>
          <w:szCs w:val="22"/>
        </w:rPr>
        <w:t xml:space="preserve">+ service innovation inside Hilton’s operations. </w:t>
      </w:r>
      <w:proofErr w:type="spellStart"/>
      <w:r w:rsidRPr="00AD2B43">
        <w:rPr>
          <w:rFonts w:ascii="Arial" w:hAnsi="Arial" w:cs="Arial"/>
          <w:sz w:val="22"/>
          <w:szCs w:val="22"/>
        </w:rPr>
        <w:t>StaySmart</w:t>
      </w:r>
      <w:proofErr w:type="spellEnd"/>
      <w:r w:rsidRPr="00AD2B43">
        <w:rPr>
          <w:rFonts w:ascii="Arial" w:hAnsi="Arial" w:cs="Arial"/>
          <w:sz w:val="22"/>
          <w:szCs w:val="22"/>
        </w:rPr>
        <w:t>+ incorporates artificial intelligence for guest interaction personalised trip planning, and sustainability-oriented amenities to improve hospitality experiences and bolster competitive advantage. Due to the innovation’s impact on several organisational levels and global markets, effective stakeholder involvement is crucial for ensuring alignment, acceptability, and ongoing adoption. The investigation revealed that Hilton functions within a multifaceted global landscape influenced by technical advancements, regulatory frameworks, cultural heterogeneity, and sustainability demands. Although Hilton possesses a robust brand recognition and digital proficiency, effective implementation hinges on resolving stakeholder preparedness, investment apprehensions, and ethical considerations among many stakeholder groups, including leadership, employees, guests, partners, and regulators.</w:t>
      </w:r>
    </w:p>
    <w:p w14:paraId="54B4010A" w14:textId="77777777" w:rsidR="00AD2B43" w:rsidRPr="00AD2B43" w:rsidRDefault="00AD2B43" w:rsidP="00AD2B43">
      <w:pPr>
        <w:tabs>
          <w:tab w:val="left" w:pos="1798"/>
        </w:tabs>
        <w:spacing w:line="360" w:lineRule="auto"/>
        <w:rPr>
          <w:rFonts w:ascii="Arial" w:hAnsi="Arial" w:cs="Arial"/>
          <w:sz w:val="22"/>
          <w:szCs w:val="22"/>
        </w:rPr>
      </w:pPr>
      <w:r w:rsidRPr="00AD2B43">
        <w:rPr>
          <w:rFonts w:ascii="Arial" w:hAnsi="Arial" w:cs="Arial"/>
          <w:sz w:val="22"/>
          <w:szCs w:val="22"/>
        </w:rPr>
        <w:t xml:space="preserve">The paper illustrated that organised stakeholder management frameworks- such as salience analysis, communication planning, RACI structures, and the 4C engagement model-facilitate trust, collaboration, and commitment in global innovation. Effective engagement has been demonstrated to enhance business performance by elevating guest happiness, staff involvement, operational efficiency, sustainability results, and risk management, whereas inadequate engagement may impede adoption and harm brand reputation. Stakeholder involvement is a strategic competence essential for the success of innovation in hospitality, rather than only a supportive activity. Hilton will enhance future innovations beyond </w:t>
      </w:r>
      <w:proofErr w:type="spellStart"/>
      <w:r w:rsidRPr="00AD2B43">
        <w:rPr>
          <w:rFonts w:ascii="Arial" w:hAnsi="Arial" w:cs="Arial"/>
          <w:sz w:val="22"/>
          <w:szCs w:val="22"/>
        </w:rPr>
        <w:t>StaySmart</w:t>
      </w:r>
      <w:proofErr w:type="spellEnd"/>
      <w:r w:rsidRPr="00AD2B43">
        <w:rPr>
          <w:rFonts w:ascii="Arial" w:hAnsi="Arial" w:cs="Arial"/>
          <w:sz w:val="22"/>
          <w:szCs w:val="22"/>
        </w:rPr>
        <w:t>+ by integrating continuous feedback systems, developing employee capabilities, using localised engagement tactics, and ensuring ethical governance. Consistent stakeholder alignment guarantees that technological progress augments rather than supplants the human-centred principles of hospitality, thereby bolstering long-term organisational success and worldwide brand leadership.</w:t>
      </w:r>
    </w:p>
    <w:p w14:paraId="1898B008" w14:textId="77777777" w:rsidR="00AD2B43" w:rsidRPr="00AD2B43" w:rsidRDefault="00AD2B43" w:rsidP="00AD2B43">
      <w:pPr>
        <w:tabs>
          <w:tab w:val="left" w:pos="1798"/>
        </w:tabs>
        <w:spacing w:line="360" w:lineRule="auto"/>
        <w:rPr>
          <w:rFonts w:ascii="Arial" w:hAnsi="Arial" w:cs="Arial"/>
          <w:sz w:val="22"/>
          <w:szCs w:val="22"/>
        </w:rPr>
      </w:pPr>
    </w:p>
    <w:p w14:paraId="34A5DCC0" w14:textId="77777777" w:rsidR="00AD2B43" w:rsidRPr="00AD2B43" w:rsidRDefault="00AD2B43" w:rsidP="00AD2B43">
      <w:pPr>
        <w:tabs>
          <w:tab w:val="left" w:pos="1798"/>
        </w:tabs>
        <w:spacing w:line="360" w:lineRule="auto"/>
        <w:rPr>
          <w:rFonts w:ascii="Arial" w:hAnsi="Arial" w:cs="Arial"/>
          <w:sz w:val="22"/>
          <w:szCs w:val="22"/>
        </w:rPr>
      </w:pPr>
    </w:p>
    <w:p w14:paraId="5A129448" w14:textId="77777777" w:rsidR="00AD2B43" w:rsidRPr="00AD2B43" w:rsidRDefault="00AD2B43" w:rsidP="00AD2B43">
      <w:pPr>
        <w:tabs>
          <w:tab w:val="left" w:pos="1798"/>
        </w:tabs>
        <w:spacing w:line="360" w:lineRule="auto"/>
        <w:rPr>
          <w:rFonts w:ascii="Arial" w:hAnsi="Arial" w:cs="Arial"/>
          <w:sz w:val="22"/>
          <w:szCs w:val="22"/>
        </w:rPr>
      </w:pPr>
    </w:p>
    <w:p w14:paraId="15CF6287" w14:textId="77777777" w:rsidR="00AD2B43" w:rsidRPr="00AD2B43" w:rsidRDefault="00AD2B43" w:rsidP="00AD2B43">
      <w:pPr>
        <w:tabs>
          <w:tab w:val="left" w:pos="1798"/>
        </w:tabs>
        <w:spacing w:line="360" w:lineRule="auto"/>
        <w:rPr>
          <w:rFonts w:ascii="Arial" w:hAnsi="Arial" w:cs="Arial"/>
          <w:sz w:val="22"/>
          <w:szCs w:val="22"/>
        </w:rPr>
      </w:pPr>
    </w:p>
    <w:p w14:paraId="50039CC0" w14:textId="77777777" w:rsidR="00AD2B43" w:rsidRPr="00AD2B43" w:rsidRDefault="00AD2B43" w:rsidP="00AD2B43">
      <w:pPr>
        <w:tabs>
          <w:tab w:val="left" w:pos="1798"/>
        </w:tabs>
        <w:spacing w:line="360" w:lineRule="auto"/>
        <w:rPr>
          <w:rFonts w:ascii="Arial" w:hAnsi="Arial" w:cs="Arial"/>
          <w:sz w:val="22"/>
          <w:szCs w:val="22"/>
        </w:rPr>
      </w:pPr>
    </w:p>
    <w:p w14:paraId="35A14512" w14:textId="77777777" w:rsidR="00AD2B43" w:rsidRPr="00AD2B43" w:rsidRDefault="00AD2B43" w:rsidP="00AD2B43">
      <w:pPr>
        <w:tabs>
          <w:tab w:val="left" w:pos="1798"/>
        </w:tabs>
        <w:spacing w:line="276" w:lineRule="auto"/>
      </w:pPr>
    </w:p>
    <w:p w14:paraId="06E39CC8" w14:textId="77777777" w:rsidR="00AD2B43" w:rsidRPr="00AD2B43" w:rsidRDefault="00AD2B43" w:rsidP="00AD2B43">
      <w:pPr>
        <w:tabs>
          <w:tab w:val="left" w:pos="1798"/>
        </w:tabs>
        <w:spacing w:line="276" w:lineRule="auto"/>
      </w:pPr>
    </w:p>
    <w:p w14:paraId="650264F1" w14:textId="77777777" w:rsidR="00AD2B43" w:rsidRPr="00AD2B43" w:rsidRDefault="00AD2B43" w:rsidP="00AD2B43">
      <w:pPr>
        <w:tabs>
          <w:tab w:val="left" w:pos="1798"/>
        </w:tabs>
        <w:spacing w:line="276" w:lineRule="auto"/>
      </w:pPr>
    </w:p>
    <w:p w14:paraId="27E76BE9" w14:textId="77777777" w:rsidR="00AD2B43" w:rsidRPr="00AD2B43" w:rsidRDefault="00AD2B43" w:rsidP="00AD2B43">
      <w:pPr>
        <w:tabs>
          <w:tab w:val="left" w:pos="1798"/>
        </w:tabs>
        <w:spacing w:line="276" w:lineRule="auto"/>
      </w:pPr>
    </w:p>
    <w:p w14:paraId="742394DF" w14:textId="77777777" w:rsidR="00AD2B43" w:rsidRPr="00AD2B43" w:rsidRDefault="00AD2B43" w:rsidP="00AD2B43">
      <w:pPr>
        <w:tabs>
          <w:tab w:val="left" w:pos="1798"/>
        </w:tabs>
        <w:spacing w:line="276" w:lineRule="auto"/>
      </w:pPr>
    </w:p>
    <w:p w14:paraId="141316F1" w14:textId="77777777" w:rsidR="00AD2B43" w:rsidRPr="00AD2B43" w:rsidRDefault="00AD2B43" w:rsidP="00AD2B43">
      <w:pPr>
        <w:tabs>
          <w:tab w:val="left" w:pos="1798"/>
        </w:tabs>
        <w:spacing w:line="276" w:lineRule="auto"/>
      </w:pPr>
    </w:p>
    <w:p w14:paraId="3B63CCA1" w14:textId="77777777" w:rsidR="00AD2B43" w:rsidRPr="00AD2B43" w:rsidRDefault="00AD2B43" w:rsidP="00AD2B43">
      <w:pPr>
        <w:tabs>
          <w:tab w:val="left" w:pos="1798"/>
        </w:tabs>
        <w:spacing w:line="276" w:lineRule="auto"/>
      </w:pPr>
    </w:p>
    <w:p w14:paraId="7EAE155A" w14:textId="77777777" w:rsidR="00AD2B43" w:rsidRPr="00AD2B43" w:rsidRDefault="00AD2B43" w:rsidP="00AD2B43">
      <w:pPr>
        <w:tabs>
          <w:tab w:val="left" w:pos="1798"/>
        </w:tabs>
        <w:spacing w:line="276" w:lineRule="auto"/>
      </w:pPr>
    </w:p>
    <w:p w14:paraId="777607DE" w14:textId="77777777" w:rsidR="00AD2B43" w:rsidRPr="00AD2B43" w:rsidRDefault="00AD2B43" w:rsidP="00AD2B43">
      <w:pPr>
        <w:tabs>
          <w:tab w:val="left" w:pos="1798"/>
        </w:tabs>
        <w:spacing w:line="276" w:lineRule="auto"/>
      </w:pPr>
    </w:p>
    <w:p w14:paraId="0618B854" w14:textId="77777777" w:rsidR="00AD2B43" w:rsidRPr="00AD2B43" w:rsidRDefault="00AD2B43" w:rsidP="00AD2B43">
      <w:pPr>
        <w:tabs>
          <w:tab w:val="left" w:pos="1798"/>
        </w:tabs>
        <w:spacing w:line="276" w:lineRule="auto"/>
        <w:rPr>
          <w:rFonts w:ascii="Arial" w:hAnsi="Arial" w:cs="Arial"/>
          <w:b/>
          <w:bCs/>
          <w:sz w:val="28"/>
          <w:szCs w:val="28"/>
        </w:rPr>
      </w:pPr>
      <w:r w:rsidRPr="00AD2B43">
        <w:rPr>
          <w:rFonts w:ascii="Arial" w:hAnsi="Arial" w:cs="Arial"/>
          <w:b/>
          <w:bCs/>
          <w:sz w:val="28"/>
          <w:szCs w:val="28"/>
        </w:rPr>
        <w:t xml:space="preserve">References </w:t>
      </w:r>
    </w:p>
    <w:p w14:paraId="7D64188C" w14:textId="77777777" w:rsidR="00AD2B43" w:rsidRPr="00AD2B43" w:rsidRDefault="00AD2B43" w:rsidP="00AD2B43">
      <w:pPr>
        <w:tabs>
          <w:tab w:val="left" w:pos="1798"/>
        </w:tabs>
        <w:spacing w:line="276" w:lineRule="auto"/>
        <w:rPr>
          <w:rFonts w:ascii="Arial" w:hAnsi="Arial" w:cs="Arial"/>
        </w:rPr>
      </w:pPr>
      <w:r w:rsidRPr="00AD2B43">
        <w:rPr>
          <w:rFonts w:ascii="Arial" w:hAnsi="Arial" w:cs="Arial"/>
        </w:rPr>
        <w:t xml:space="preserve">Hilton.com. (2026). </w:t>
      </w:r>
      <w:r w:rsidRPr="00AD2B43">
        <w:rPr>
          <w:rFonts w:ascii="Arial" w:hAnsi="Arial" w:cs="Arial"/>
          <w:i/>
          <w:iCs/>
        </w:rPr>
        <w:t>Challenge Page</w:t>
      </w:r>
      <w:r w:rsidRPr="00AD2B43">
        <w:rPr>
          <w:rFonts w:ascii="Arial" w:hAnsi="Arial" w:cs="Arial"/>
        </w:rPr>
        <w:t xml:space="preserve">.  Available at: </w:t>
      </w:r>
      <w:hyperlink r:id="rId19" w:history="1">
        <w:r w:rsidRPr="00AD2B43">
          <w:rPr>
            <w:rFonts w:ascii="Arial" w:hAnsi="Arial" w:cs="Arial"/>
            <w:color w:val="467886" w:themeColor="hyperlink"/>
            <w:u w:val="single"/>
          </w:rPr>
          <w:t>https://www.hilton.com/en/hilton-honors/?msockid=16996e92da04606f384c7beedbe461bd</w:t>
        </w:r>
      </w:hyperlink>
      <w:r w:rsidRPr="00AD2B43">
        <w:rPr>
          <w:rFonts w:ascii="Arial" w:hAnsi="Arial" w:cs="Arial"/>
        </w:rPr>
        <w:t xml:space="preserve"> </w:t>
      </w:r>
    </w:p>
    <w:p w14:paraId="040EAF3F" w14:textId="77777777" w:rsidR="00AD2B43" w:rsidRPr="00AD2B43" w:rsidRDefault="00AD2B43" w:rsidP="00AD2B43">
      <w:pPr>
        <w:tabs>
          <w:tab w:val="left" w:pos="1798"/>
        </w:tabs>
        <w:spacing w:line="276" w:lineRule="auto"/>
        <w:rPr>
          <w:rFonts w:ascii="Arial" w:hAnsi="Arial" w:cs="Arial"/>
        </w:rPr>
      </w:pPr>
    </w:p>
    <w:p w14:paraId="4265A515" w14:textId="77777777" w:rsidR="00AD2B43" w:rsidRPr="00AD2B43" w:rsidRDefault="00AD2B43" w:rsidP="00AD2B43">
      <w:pPr>
        <w:tabs>
          <w:tab w:val="left" w:pos="1798"/>
        </w:tabs>
        <w:spacing w:line="276" w:lineRule="auto"/>
        <w:rPr>
          <w:rFonts w:ascii="Arial" w:hAnsi="Arial" w:cs="Arial"/>
        </w:rPr>
      </w:pPr>
      <w:r w:rsidRPr="00AD2B43">
        <w:rPr>
          <w:rFonts w:ascii="Arial" w:hAnsi="Arial" w:cs="Arial"/>
        </w:rPr>
        <w:t xml:space="preserve">Hilton Corporate. (2026). </w:t>
      </w:r>
      <w:r w:rsidRPr="00AD2B43">
        <w:rPr>
          <w:rFonts w:ascii="Arial" w:hAnsi="Arial" w:cs="Arial"/>
          <w:i/>
          <w:iCs/>
        </w:rPr>
        <w:t>Hilton Brands | Global Hospitality Company</w:t>
      </w:r>
      <w:r w:rsidRPr="00AD2B43">
        <w:rPr>
          <w:rFonts w:ascii="Arial" w:hAnsi="Arial" w:cs="Arial"/>
        </w:rPr>
        <w:t xml:space="preserve">. Available at: </w:t>
      </w:r>
      <w:hyperlink r:id="rId20" w:history="1">
        <w:r w:rsidRPr="00AD2B43">
          <w:rPr>
            <w:rFonts w:ascii="Arial" w:hAnsi="Arial" w:cs="Arial"/>
            <w:color w:val="467886" w:themeColor="hyperlink"/>
            <w:u w:val="single"/>
          </w:rPr>
          <w:t>https://www.hilton.com/en/corporate/?msockid=16996e92da04606f384c7beedbe461bd</w:t>
        </w:r>
      </w:hyperlink>
      <w:r w:rsidRPr="00AD2B43">
        <w:rPr>
          <w:rFonts w:ascii="Arial" w:hAnsi="Arial" w:cs="Arial"/>
        </w:rPr>
        <w:t xml:space="preserve"> </w:t>
      </w:r>
    </w:p>
    <w:p w14:paraId="507ADC03" w14:textId="77777777" w:rsidR="00AD2B43" w:rsidRPr="00AD2B43" w:rsidRDefault="00AD2B43" w:rsidP="00AD2B43">
      <w:pPr>
        <w:tabs>
          <w:tab w:val="left" w:pos="1798"/>
        </w:tabs>
        <w:spacing w:line="276" w:lineRule="auto"/>
        <w:rPr>
          <w:rFonts w:ascii="Arial" w:hAnsi="Arial" w:cs="Arial"/>
        </w:rPr>
      </w:pPr>
    </w:p>
    <w:p w14:paraId="14574093" w14:textId="77777777" w:rsidR="00AD2B43" w:rsidRPr="00AD2B43" w:rsidRDefault="00AD2B43" w:rsidP="00AD2B43">
      <w:pPr>
        <w:tabs>
          <w:tab w:val="left" w:pos="1798"/>
        </w:tabs>
        <w:spacing w:line="276" w:lineRule="auto"/>
        <w:rPr>
          <w:rFonts w:ascii="Arial" w:hAnsi="Arial" w:cs="Arial"/>
        </w:rPr>
      </w:pPr>
      <w:proofErr w:type="spellStart"/>
      <w:r w:rsidRPr="00AD2B43">
        <w:rPr>
          <w:rFonts w:ascii="Arial" w:hAnsi="Arial" w:cs="Arial"/>
        </w:rPr>
        <w:t>Appinio</w:t>
      </w:r>
      <w:proofErr w:type="spellEnd"/>
      <w:r w:rsidRPr="00AD2B43">
        <w:rPr>
          <w:rFonts w:ascii="Arial" w:hAnsi="Arial" w:cs="Arial"/>
        </w:rPr>
        <w:t xml:space="preserve"> Research (2024). </w:t>
      </w:r>
      <w:r w:rsidRPr="00AD2B43">
        <w:rPr>
          <w:rFonts w:ascii="Arial" w:hAnsi="Arial" w:cs="Arial"/>
          <w:i/>
          <w:iCs/>
        </w:rPr>
        <w:t xml:space="preserve">Situational Analysis: Definition, Methods, Examples | </w:t>
      </w:r>
      <w:proofErr w:type="spellStart"/>
      <w:r w:rsidRPr="00AD2B43">
        <w:rPr>
          <w:rFonts w:ascii="Arial" w:hAnsi="Arial" w:cs="Arial"/>
          <w:i/>
          <w:iCs/>
        </w:rPr>
        <w:t>Appinio</w:t>
      </w:r>
      <w:proofErr w:type="spellEnd"/>
      <w:r w:rsidRPr="00AD2B43">
        <w:rPr>
          <w:rFonts w:ascii="Arial" w:hAnsi="Arial" w:cs="Arial"/>
          <w:i/>
          <w:iCs/>
        </w:rPr>
        <w:t xml:space="preserve"> Blog</w:t>
      </w:r>
      <w:r w:rsidRPr="00AD2B43">
        <w:rPr>
          <w:rFonts w:ascii="Arial" w:hAnsi="Arial" w:cs="Arial"/>
        </w:rPr>
        <w:t xml:space="preserve">.  www.appinio.com. Available at: </w:t>
      </w:r>
      <w:hyperlink r:id="rId21" w:history="1">
        <w:r w:rsidRPr="00AD2B43">
          <w:rPr>
            <w:rFonts w:ascii="Arial" w:hAnsi="Arial" w:cs="Arial"/>
            <w:color w:val="467886" w:themeColor="hyperlink"/>
            <w:u w:val="single"/>
          </w:rPr>
          <w:t>https://www.appinio.com/en/blog/market-research/situational-analysis</w:t>
        </w:r>
      </w:hyperlink>
      <w:r w:rsidRPr="00AD2B43">
        <w:rPr>
          <w:rFonts w:ascii="Arial" w:hAnsi="Arial" w:cs="Arial"/>
        </w:rPr>
        <w:t>.</w:t>
      </w:r>
    </w:p>
    <w:p w14:paraId="725506F0" w14:textId="77777777" w:rsidR="00AD2B43" w:rsidRPr="00AD2B43" w:rsidRDefault="00AD2B43" w:rsidP="00AD2B43">
      <w:pPr>
        <w:tabs>
          <w:tab w:val="left" w:pos="1798"/>
        </w:tabs>
        <w:spacing w:line="276" w:lineRule="auto"/>
        <w:rPr>
          <w:rFonts w:ascii="Arial" w:hAnsi="Arial" w:cs="Arial"/>
        </w:rPr>
      </w:pPr>
    </w:p>
    <w:p w14:paraId="42F82697" w14:textId="77777777" w:rsidR="00AD2B43" w:rsidRPr="00AD2B43" w:rsidRDefault="00AD2B43" w:rsidP="00AD2B43">
      <w:pPr>
        <w:tabs>
          <w:tab w:val="left" w:pos="1798"/>
        </w:tabs>
        <w:spacing w:line="276" w:lineRule="auto"/>
        <w:rPr>
          <w:rFonts w:ascii="Arial" w:hAnsi="Arial" w:cs="Arial"/>
        </w:rPr>
      </w:pPr>
      <w:r w:rsidRPr="00AD2B43">
        <w:rPr>
          <w:rFonts w:ascii="Arial" w:hAnsi="Arial" w:cs="Arial"/>
        </w:rPr>
        <w:t>Porter, M.E. (1985) Competitive Advantage. Creating and Sustaining Superior Performance. Free Press, New York, 557 p.</w:t>
      </w:r>
    </w:p>
    <w:p w14:paraId="44ED3D01" w14:textId="77777777" w:rsidR="00AD2B43" w:rsidRPr="00AD2B43" w:rsidRDefault="00AD2B43" w:rsidP="00AD2B43">
      <w:pPr>
        <w:tabs>
          <w:tab w:val="left" w:pos="1798"/>
        </w:tabs>
        <w:spacing w:line="276" w:lineRule="auto"/>
        <w:rPr>
          <w:rFonts w:ascii="Arial" w:hAnsi="Arial" w:cs="Arial"/>
        </w:rPr>
      </w:pPr>
    </w:p>
    <w:p w14:paraId="5C4A3A82" w14:textId="77777777" w:rsidR="00AD2B43" w:rsidRPr="00AD2B43" w:rsidRDefault="00AD2B43" w:rsidP="00AD2B43">
      <w:pPr>
        <w:tabs>
          <w:tab w:val="left" w:pos="1798"/>
        </w:tabs>
        <w:spacing w:line="276" w:lineRule="auto"/>
        <w:rPr>
          <w:rFonts w:ascii="Arial" w:hAnsi="Arial" w:cs="Arial"/>
        </w:rPr>
      </w:pPr>
      <w:r w:rsidRPr="00AD2B43">
        <w:rPr>
          <w:rFonts w:ascii="Arial" w:hAnsi="Arial" w:cs="Arial"/>
        </w:rPr>
        <w:t>PMI (2021). The Standard for Project Management and a Guide to the Project Management Body of Knowledge (7th ed.). PMBOK Guide, Project Management Institute (PMI).</w:t>
      </w:r>
    </w:p>
    <w:p w14:paraId="26B383B1" w14:textId="77777777" w:rsidR="00AD2B43" w:rsidRPr="00AD2B43" w:rsidRDefault="00AD2B43" w:rsidP="00AD2B43">
      <w:pPr>
        <w:tabs>
          <w:tab w:val="left" w:pos="1798"/>
        </w:tabs>
        <w:spacing w:line="276" w:lineRule="auto"/>
        <w:rPr>
          <w:rFonts w:ascii="Arial" w:hAnsi="Arial" w:cs="Arial"/>
        </w:rPr>
      </w:pPr>
    </w:p>
    <w:p w14:paraId="4FCFD772" w14:textId="77777777" w:rsidR="00AD2B43" w:rsidRPr="00AD2B43" w:rsidRDefault="00AD2B43" w:rsidP="00AD2B43">
      <w:pPr>
        <w:tabs>
          <w:tab w:val="left" w:pos="1798"/>
        </w:tabs>
        <w:spacing w:line="276" w:lineRule="auto"/>
        <w:rPr>
          <w:rFonts w:ascii="Arial" w:hAnsi="Arial" w:cs="Arial"/>
        </w:rPr>
      </w:pPr>
      <w:proofErr w:type="spellStart"/>
      <w:r w:rsidRPr="00AD2B43">
        <w:rPr>
          <w:rFonts w:ascii="Arial" w:hAnsi="Arial" w:cs="Arial"/>
        </w:rPr>
        <w:t>eBusiness@Newcastle</w:t>
      </w:r>
      <w:proofErr w:type="spellEnd"/>
      <w:r w:rsidRPr="00AD2B43">
        <w:rPr>
          <w:rFonts w:ascii="Arial" w:hAnsi="Arial" w:cs="Arial"/>
        </w:rPr>
        <w:t xml:space="preserve"> (n.d.). </w:t>
      </w:r>
      <w:r w:rsidRPr="00AD2B43">
        <w:rPr>
          <w:rFonts w:ascii="Arial" w:hAnsi="Arial" w:cs="Arial"/>
          <w:i/>
          <w:iCs/>
        </w:rPr>
        <w:t xml:space="preserve">Resource Dependence Theory - </w:t>
      </w:r>
      <w:proofErr w:type="spellStart"/>
      <w:r w:rsidRPr="00AD2B43">
        <w:rPr>
          <w:rFonts w:ascii="Arial" w:hAnsi="Arial" w:cs="Arial"/>
          <w:i/>
          <w:iCs/>
        </w:rPr>
        <w:t>TheoryHub</w:t>
      </w:r>
      <w:proofErr w:type="spellEnd"/>
      <w:r w:rsidRPr="00AD2B43">
        <w:rPr>
          <w:rFonts w:ascii="Arial" w:hAnsi="Arial" w:cs="Arial"/>
          <w:i/>
          <w:iCs/>
        </w:rPr>
        <w:t xml:space="preserve"> - Academic theories reviews for research and T&amp;L</w:t>
      </w:r>
      <w:r w:rsidRPr="00AD2B43">
        <w:rPr>
          <w:rFonts w:ascii="Arial" w:hAnsi="Arial" w:cs="Arial"/>
        </w:rPr>
        <w:t xml:space="preserve">. [online] open.ncl.ac.uk. Available at: </w:t>
      </w:r>
      <w:hyperlink r:id="rId22" w:history="1">
        <w:r w:rsidRPr="00AD2B43">
          <w:rPr>
            <w:rFonts w:ascii="Arial" w:hAnsi="Arial" w:cs="Arial"/>
            <w:color w:val="467886" w:themeColor="hyperlink"/>
            <w:u w:val="single"/>
          </w:rPr>
          <w:t>https://open.ncl.ac.uk/academic-theories/43/resource-dependence-theory/</w:t>
        </w:r>
      </w:hyperlink>
      <w:r w:rsidRPr="00AD2B43">
        <w:rPr>
          <w:rFonts w:ascii="Arial" w:hAnsi="Arial" w:cs="Arial"/>
        </w:rPr>
        <w:t>.</w:t>
      </w:r>
    </w:p>
    <w:p w14:paraId="73890874" w14:textId="77777777" w:rsidR="00AD2B43" w:rsidRPr="00AD2B43" w:rsidRDefault="00AD2B43" w:rsidP="00AD2B43">
      <w:pPr>
        <w:tabs>
          <w:tab w:val="left" w:pos="1798"/>
        </w:tabs>
        <w:spacing w:line="276" w:lineRule="auto"/>
        <w:rPr>
          <w:rFonts w:ascii="Arial" w:hAnsi="Arial" w:cs="Arial"/>
        </w:rPr>
      </w:pPr>
    </w:p>
    <w:p w14:paraId="6B163463" w14:textId="77777777" w:rsidR="00AD2B43" w:rsidRPr="00AD2B43" w:rsidRDefault="00AD2B43" w:rsidP="00AD2B43">
      <w:pPr>
        <w:tabs>
          <w:tab w:val="left" w:pos="1798"/>
        </w:tabs>
        <w:spacing w:line="276" w:lineRule="auto"/>
        <w:rPr>
          <w:rFonts w:ascii="Arial" w:hAnsi="Arial" w:cs="Arial"/>
        </w:rPr>
      </w:pPr>
      <w:r w:rsidRPr="00AD2B43">
        <w:rPr>
          <w:rFonts w:ascii="Arial" w:hAnsi="Arial" w:cs="Arial"/>
        </w:rPr>
        <w:t xml:space="preserve">Scribd. (n.d.). </w:t>
      </w:r>
      <w:r w:rsidRPr="00AD2B43">
        <w:rPr>
          <w:rFonts w:ascii="Arial" w:hAnsi="Arial" w:cs="Arial"/>
          <w:i/>
          <w:iCs/>
        </w:rPr>
        <w:t>Kotter, J. - 1996 - Leading Change | PDF</w:t>
      </w:r>
      <w:r w:rsidRPr="00AD2B43">
        <w:rPr>
          <w:rFonts w:ascii="Arial" w:hAnsi="Arial" w:cs="Arial"/>
        </w:rPr>
        <w:t xml:space="preserve">. [online] Available at: </w:t>
      </w:r>
      <w:hyperlink r:id="rId23" w:history="1">
        <w:r w:rsidRPr="00AD2B43">
          <w:rPr>
            <w:rFonts w:ascii="Arial" w:hAnsi="Arial" w:cs="Arial"/>
            <w:color w:val="467886" w:themeColor="hyperlink"/>
            <w:u w:val="single"/>
          </w:rPr>
          <w:t>https://www.scribd.com/document/537869501/Kotter-J-1996-Leading-Change</w:t>
        </w:r>
      </w:hyperlink>
      <w:r w:rsidRPr="00AD2B43">
        <w:rPr>
          <w:rFonts w:ascii="Arial" w:hAnsi="Arial" w:cs="Arial"/>
        </w:rPr>
        <w:t>.</w:t>
      </w:r>
    </w:p>
    <w:p w14:paraId="4DE4A9AF" w14:textId="77777777" w:rsidR="00AD2B43" w:rsidRPr="00AD2B43" w:rsidRDefault="00AD2B43" w:rsidP="00AD2B43">
      <w:pPr>
        <w:tabs>
          <w:tab w:val="left" w:pos="1798"/>
        </w:tabs>
        <w:spacing w:line="276" w:lineRule="auto"/>
        <w:rPr>
          <w:rFonts w:ascii="Arial" w:hAnsi="Arial" w:cs="Arial"/>
        </w:rPr>
      </w:pPr>
    </w:p>
    <w:p w14:paraId="584E71D2" w14:textId="77777777" w:rsidR="00AD2B43" w:rsidRPr="00AD2B43" w:rsidRDefault="00AD2B43" w:rsidP="00AD2B43">
      <w:pPr>
        <w:tabs>
          <w:tab w:val="left" w:pos="1798"/>
        </w:tabs>
        <w:spacing w:line="276" w:lineRule="auto"/>
        <w:rPr>
          <w:rFonts w:ascii="Arial" w:hAnsi="Arial" w:cs="Arial"/>
        </w:rPr>
      </w:pPr>
      <w:r w:rsidRPr="00AD2B43">
        <w:rPr>
          <w:rFonts w:ascii="Arial" w:hAnsi="Arial" w:cs="Arial"/>
        </w:rPr>
        <w:t>Cornelissen, J. (2017). Corporate Identity, Branding and Corporate Reputation. London: SAGE Publications Ltd.</w:t>
      </w:r>
    </w:p>
    <w:p w14:paraId="5471578F" w14:textId="77777777" w:rsidR="00AD2B43" w:rsidRPr="00AD2B43" w:rsidRDefault="00AD2B43" w:rsidP="00AD2B43">
      <w:pPr>
        <w:tabs>
          <w:tab w:val="left" w:pos="1798"/>
        </w:tabs>
        <w:spacing w:line="276" w:lineRule="auto"/>
        <w:rPr>
          <w:rFonts w:ascii="Arial" w:hAnsi="Arial" w:cs="Arial"/>
        </w:rPr>
      </w:pPr>
      <w:r w:rsidRPr="00AD2B43">
        <w:rPr>
          <w:rFonts w:ascii="Arial" w:hAnsi="Arial" w:cs="Arial"/>
        </w:rPr>
        <w:t>.</w:t>
      </w:r>
    </w:p>
    <w:p w14:paraId="1B38F3B9" w14:textId="77777777" w:rsidR="00AD2B43" w:rsidRPr="00AD2B43" w:rsidRDefault="00AD2B43" w:rsidP="00AD2B43">
      <w:pPr>
        <w:tabs>
          <w:tab w:val="left" w:pos="1798"/>
        </w:tabs>
        <w:spacing w:line="276" w:lineRule="auto"/>
        <w:rPr>
          <w:rFonts w:ascii="Arial" w:hAnsi="Arial" w:cs="Arial"/>
        </w:rPr>
      </w:pPr>
      <w:r w:rsidRPr="00AD2B43">
        <w:rPr>
          <w:rFonts w:ascii="Arial" w:hAnsi="Arial" w:cs="Arial"/>
        </w:rPr>
        <w:t xml:space="preserve">Freeman, R.E., 1984. </w:t>
      </w:r>
      <w:r w:rsidRPr="00AD2B43">
        <w:rPr>
          <w:rFonts w:ascii="Arial" w:hAnsi="Arial" w:cs="Arial"/>
          <w:i/>
          <w:iCs/>
        </w:rPr>
        <w:t>Strategic Management: A Stakeholder Approach</w:t>
      </w:r>
      <w:r w:rsidRPr="00AD2B43">
        <w:rPr>
          <w:rFonts w:ascii="Arial" w:hAnsi="Arial" w:cs="Arial"/>
        </w:rPr>
        <w:t>. Boston: Pitman.</w:t>
      </w:r>
    </w:p>
    <w:p w14:paraId="72EAD3D3" w14:textId="77777777" w:rsidR="00AD2B43" w:rsidRPr="00AD2B43" w:rsidRDefault="00AD2B43" w:rsidP="00AD2B43">
      <w:pPr>
        <w:tabs>
          <w:tab w:val="left" w:pos="1798"/>
        </w:tabs>
        <w:spacing w:line="276" w:lineRule="auto"/>
        <w:rPr>
          <w:rFonts w:ascii="Arial" w:hAnsi="Arial" w:cs="Arial"/>
        </w:rPr>
      </w:pPr>
    </w:p>
    <w:p w14:paraId="35CD3AC4" w14:textId="77777777" w:rsidR="00AD2B43" w:rsidRPr="00AD2B43" w:rsidRDefault="00AD2B43" w:rsidP="00AD2B43">
      <w:pPr>
        <w:tabs>
          <w:tab w:val="left" w:pos="1798"/>
        </w:tabs>
        <w:spacing w:line="276" w:lineRule="auto"/>
        <w:rPr>
          <w:rFonts w:ascii="Arial" w:hAnsi="Arial" w:cs="Arial"/>
        </w:rPr>
      </w:pPr>
      <w:r w:rsidRPr="00AD2B43">
        <w:rPr>
          <w:rFonts w:ascii="Arial" w:hAnsi="Arial" w:cs="Arial"/>
        </w:rPr>
        <w:t xml:space="preserve">Mitchell, R., Agle, B. and Wood, D., 1997. Toward a Theory of Stakeholder Identification and Salience. </w:t>
      </w:r>
      <w:r w:rsidRPr="00AD2B43">
        <w:rPr>
          <w:rFonts w:ascii="Arial" w:hAnsi="Arial" w:cs="Arial"/>
          <w:i/>
          <w:iCs/>
        </w:rPr>
        <w:t>Academy of Management Review</w:t>
      </w:r>
      <w:r w:rsidRPr="00AD2B43">
        <w:rPr>
          <w:rFonts w:ascii="Arial" w:hAnsi="Arial" w:cs="Arial"/>
        </w:rPr>
        <w:t>, 22(4), pp.853-886</w:t>
      </w:r>
    </w:p>
    <w:p w14:paraId="1D544773" w14:textId="77777777" w:rsidR="00AD2B43" w:rsidRPr="00AD2B43" w:rsidRDefault="00AD2B43" w:rsidP="00AD2B43">
      <w:pPr>
        <w:tabs>
          <w:tab w:val="left" w:pos="1798"/>
        </w:tabs>
        <w:spacing w:line="276" w:lineRule="auto"/>
        <w:rPr>
          <w:rFonts w:ascii="Arial" w:hAnsi="Arial" w:cs="Arial"/>
        </w:rPr>
      </w:pPr>
    </w:p>
    <w:p w14:paraId="4545BCE0" w14:textId="77777777" w:rsidR="00AD2B43" w:rsidRPr="00AD2B43" w:rsidRDefault="00AD2B43" w:rsidP="00AD2B43">
      <w:pPr>
        <w:tabs>
          <w:tab w:val="left" w:pos="1798"/>
        </w:tabs>
        <w:spacing w:line="276" w:lineRule="auto"/>
        <w:rPr>
          <w:rFonts w:ascii="Arial" w:hAnsi="Arial" w:cs="Arial"/>
        </w:rPr>
      </w:pPr>
      <w:r w:rsidRPr="00AD2B43">
        <w:rPr>
          <w:rFonts w:ascii="Arial" w:hAnsi="Arial" w:cs="Arial"/>
        </w:rPr>
        <w:t xml:space="preserve">Rogers, E., 2003. </w:t>
      </w:r>
      <w:r w:rsidRPr="00AD2B43">
        <w:rPr>
          <w:rFonts w:ascii="Arial" w:hAnsi="Arial" w:cs="Arial"/>
          <w:i/>
          <w:iCs/>
        </w:rPr>
        <w:t>Diffusion of Innovations</w:t>
      </w:r>
      <w:r w:rsidRPr="00AD2B43">
        <w:rPr>
          <w:rFonts w:ascii="Arial" w:hAnsi="Arial" w:cs="Arial"/>
        </w:rPr>
        <w:t>. 5th ed. New York: Free Press.</w:t>
      </w:r>
    </w:p>
    <w:p w14:paraId="1F6BBCC3" w14:textId="77777777" w:rsidR="00AD2B43" w:rsidRPr="00AD2B43" w:rsidRDefault="00AD2B43" w:rsidP="00AD2B43">
      <w:pPr>
        <w:tabs>
          <w:tab w:val="left" w:pos="1798"/>
        </w:tabs>
        <w:spacing w:line="276" w:lineRule="auto"/>
        <w:rPr>
          <w:rFonts w:ascii="Arial" w:hAnsi="Arial" w:cs="Arial"/>
        </w:rPr>
      </w:pPr>
    </w:p>
    <w:p w14:paraId="03354116" w14:textId="77777777" w:rsidR="00AD2B43" w:rsidRPr="00AD2B43" w:rsidRDefault="00AD2B43" w:rsidP="00AD2B43">
      <w:pPr>
        <w:tabs>
          <w:tab w:val="left" w:pos="1798"/>
        </w:tabs>
        <w:spacing w:line="276" w:lineRule="auto"/>
        <w:rPr>
          <w:rFonts w:ascii="Arial" w:hAnsi="Arial" w:cs="Arial"/>
        </w:rPr>
      </w:pPr>
      <w:proofErr w:type="spellStart"/>
      <w:r w:rsidRPr="00AD2B43">
        <w:rPr>
          <w:rFonts w:ascii="Arial" w:hAnsi="Arial" w:cs="Arial"/>
        </w:rPr>
        <w:t>Tussyadiah</w:t>
      </w:r>
      <w:proofErr w:type="spellEnd"/>
      <w:r w:rsidRPr="00AD2B43">
        <w:rPr>
          <w:rFonts w:ascii="Arial" w:hAnsi="Arial" w:cs="Arial"/>
        </w:rPr>
        <w:t xml:space="preserve">, I., 2020. Automation in tourism and hospitality. </w:t>
      </w:r>
      <w:r w:rsidRPr="00AD2B43">
        <w:rPr>
          <w:rFonts w:ascii="Arial" w:hAnsi="Arial" w:cs="Arial"/>
          <w:i/>
          <w:iCs/>
        </w:rPr>
        <w:t>Journal of Hospitality Marketing &amp; Management</w:t>
      </w:r>
      <w:r w:rsidRPr="00AD2B43">
        <w:rPr>
          <w:rFonts w:ascii="Arial" w:hAnsi="Arial" w:cs="Arial"/>
        </w:rPr>
        <w:t>, 29(3), pp.279-303</w:t>
      </w:r>
    </w:p>
    <w:p w14:paraId="2D0E9DF8" w14:textId="77777777" w:rsidR="00AD2B43" w:rsidRPr="00AD2B43" w:rsidRDefault="00AD2B43" w:rsidP="00AD2B43">
      <w:pPr>
        <w:tabs>
          <w:tab w:val="left" w:pos="1798"/>
        </w:tabs>
        <w:spacing w:line="276" w:lineRule="auto"/>
        <w:rPr>
          <w:rFonts w:ascii="Arial" w:hAnsi="Arial" w:cs="Arial"/>
        </w:rPr>
      </w:pPr>
    </w:p>
    <w:p w14:paraId="24CEF6AF" w14:textId="77777777" w:rsidR="00AD2B43" w:rsidRPr="00AD2B43" w:rsidRDefault="00AD2B43" w:rsidP="00AD2B43">
      <w:pPr>
        <w:tabs>
          <w:tab w:val="left" w:pos="1798"/>
        </w:tabs>
        <w:spacing w:line="276" w:lineRule="auto"/>
        <w:rPr>
          <w:rFonts w:ascii="Arial" w:hAnsi="Arial" w:cs="Arial"/>
        </w:rPr>
      </w:pPr>
      <w:r w:rsidRPr="00AD2B43">
        <w:rPr>
          <w:rFonts w:ascii="Arial" w:hAnsi="Arial" w:cs="Arial"/>
        </w:rPr>
        <w:t xml:space="preserve">Bourne, L., 2015. </w:t>
      </w:r>
      <w:r w:rsidRPr="00AD2B43">
        <w:rPr>
          <w:rFonts w:ascii="Arial" w:hAnsi="Arial" w:cs="Arial"/>
          <w:i/>
          <w:iCs/>
        </w:rPr>
        <w:t>Stakeholder Relationship Management</w:t>
      </w:r>
      <w:r w:rsidRPr="00AD2B43">
        <w:rPr>
          <w:rFonts w:ascii="Arial" w:hAnsi="Arial" w:cs="Arial"/>
        </w:rPr>
        <w:t>. London: Routledge.</w:t>
      </w:r>
    </w:p>
    <w:p w14:paraId="32DA5BE9" w14:textId="77777777" w:rsidR="00AD2B43" w:rsidRPr="00AD2B43" w:rsidRDefault="00AD2B43" w:rsidP="00AD2B43">
      <w:pPr>
        <w:tabs>
          <w:tab w:val="left" w:pos="1798"/>
        </w:tabs>
        <w:spacing w:line="276" w:lineRule="auto"/>
        <w:rPr>
          <w:rFonts w:ascii="Arial" w:hAnsi="Arial" w:cs="Arial"/>
        </w:rPr>
      </w:pPr>
    </w:p>
    <w:p w14:paraId="7E04C64B" w14:textId="77777777" w:rsidR="00AD2B43" w:rsidRPr="00AD2B43" w:rsidRDefault="00AD2B43" w:rsidP="00AD2B43">
      <w:pPr>
        <w:tabs>
          <w:tab w:val="left" w:pos="1798"/>
        </w:tabs>
        <w:spacing w:line="276" w:lineRule="auto"/>
        <w:rPr>
          <w:rFonts w:ascii="Arial" w:hAnsi="Arial" w:cs="Arial"/>
        </w:rPr>
      </w:pPr>
      <w:r w:rsidRPr="00AD2B43">
        <w:rPr>
          <w:rFonts w:ascii="Arial" w:hAnsi="Arial" w:cs="Arial"/>
        </w:rPr>
        <w:t xml:space="preserve">Hofstede, G., 2001. </w:t>
      </w:r>
      <w:r w:rsidRPr="00AD2B43">
        <w:rPr>
          <w:rFonts w:ascii="Arial" w:hAnsi="Arial" w:cs="Arial"/>
          <w:i/>
          <w:iCs/>
        </w:rPr>
        <w:t>Culture’s Consequences</w:t>
      </w:r>
      <w:r w:rsidRPr="00AD2B43">
        <w:rPr>
          <w:rFonts w:ascii="Arial" w:hAnsi="Arial" w:cs="Arial"/>
        </w:rPr>
        <w:t>. 2nd ed. London: Sage</w:t>
      </w:r>
    </w:p>
    <w:p w14:paraId="1838247C" w14:textId="77777777" w:rsidR="00AD2B43" w:rsidRPr="00AD2B43" w:rsidRDefault="00AD2B43" w:rsidP="00AD2B43">
      <w:pPr>
        <w:tabs>
          <w:tab w:val="left" w:pos="1798"/>
        </w:tabs>
        <w:spacing w:line="276" w:lineRule="auto"/>
        <w:rPr>
          <w:rFonts w:ascii="Arial" w:hAnsi="Arial" w:cs="Arial"/>
        </w:rPr>
      </w:pPr>
    </w:p>
    <w:p w14:paraId="3CDC58A0" w14:textId="77777777" w:rsidR="00AD2B43" w:rsidRPr="00AD2B43" w:rsidRDefault="00AD2B43" w:rsidP="00AD2B43">
      <w:pPr>
        <w:tabs>
          <w:tab w:val="left" w:pos="1798"/>
        </w:tabs>
        <w:spacing w:line="276" w:lineRule="auto"/>
        <w:rPr>
          <w:rFonts w:ascii="Arial" w:hAnsi="Arial" w:cs="Arial"/>
        </w:rPr>
      </w:pPr>
      <w:r w:rsidRPr="00AD2B43">
        <w:rPr>
          <w:rFonts w:ascii="Arial" w:hAnsi="Arial" w:cs="Arial"/>
        </w:rPr>
        <w:t xml:space="preserve">Pfeffer, J. and </w:t>
      </w:r>
      <w:proofErr w:type="spellStart"/>
      <w:r w:rsidRPr="00AD2B43">
        <w:rPr>
          <w:rFonts w:ascii="Arial" w:hAnsi="Arial" w:cs="Arial"/>
        </w:rPr>
        <w:t>Salancik</w:t>
      </w:r>
      <w:proofErr w:type="spellEnd"/>
      <w:r w:rsidRPr="00AD2B43">
        <w:rPr>
          <w:rFonts w:ascii="Arial" w:hAnsi="Arial" w:cs="Arial"/>
        </w:rPr>
        <w:t xml:space="preserve">, G., 1978. </w:t>
      </w:r>
      <w:r w:rsidRPr="00AD2B43">
        <w:rPr>
          <w:rFonts w:ascii="Arial" w:hAnsi="Arial" w:cs="Arial"/>
          <w:i/>
          <w:iCs/>
        </w:rPr>
        <w:t>The External Control of Organizations</w:t>
      </w:r>
      <w:r w:rsidRPr="00AD2B43">
        <w:rPr>
          <w:rFonts w:ascii="Arial" w:hAnsi="Arial" w:cs="Arial"/>
        </w:rPr>
        <w:t>. New York: Harper &amp; Row</w:t>
      </w:r>
    </w:p>
    <w:p w14:paraId="6567B6ED" w14:textId="77777777" w:rsidR="00AD2B43" w:rsidRDefault="00AD2B43"/>
    <w:sectPr w:rsidR="00AD2B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7C675F"/>
    <w:multiLevelType w:val="hybridMultilevel"/>
    <w:tmpl w:val="DB26009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57441B4C"/>
    <w:multiLevelType w:val="hybridMultilevel"/>
    <w:tmpl w:val="AF04B3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72E57E87"/>
    <w:multiLevelType w:val="hybridMultilevel"/>
    <w:tmpl w:val="B11292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4137527">
    <w:abstractNumId w:val="0"/>
  </w:num>
  <w:num w:numId="2" w16cid:durableId="1069959482">
    <w:abstractNumId w:val="2"/>
  </w:num>
  <w:num w:numId="3" w16cid:durableId="18724566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2B43"/>
    <w:rsid w:val="000F09E5"/>
    <w:rsid w:val="0030225A"/>
    <w:rsid w:val="00980B10"/>
    <w:rsid w:val="00AD2B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DCD7FD"/>
  <w15:chartTrackingRefBased/>
  <w15:docId w15:val="{D2F60B3D-9D70-4FD8-99D1-ECC0734CE2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2B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D2B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2B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2B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2B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2B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2B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2B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2B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2B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D2B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2B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2B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2B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2B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2B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2B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2B43"/>
    <w:rPr>
      <w:rFonts w:eastAsiaTheme="majorEastAsia" w:cstheme="majorBidi"/>
      <w:color w:val="272727" w:themeColor="text1" w:themeTint="D8"/>
    </w:rPr>
  </w:style>
  <w:style w:type="paragraph" w:styleId="Title">
    <w:name w:val="Title"/>
    <w:basedOn w:val="Normal"/>
    <w:next w:val="Normal"/>
    <w:link w:val="TitleChar"/>
    <w:uiPriority w:val="10"/>
    <w:qFormat/>
    <w:rsid w:val="00AD2B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2B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2B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2B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2B43"/>
    <w:pPr>
      <w:spacing w:before="160"/>
      <w:jc w:val="center"/>
    </w:pPr>
    <w:rPr>
      <w:i/>
      <w:iCs/>
      <w:color w:val="404040" w:themeColor="text1" w:themeTint="BF"/>
    </w:rPr>
  </w:style>
  <w:style w:type="character" w:customStyle="1" w:styleId="QuoteChar">
    <w:name w:val="Quote Char"/>
    <w:basedOn w:val="DefaultParagraphFont"/>
    <w:link w:val="Quote"/>
    <w:uiPriority w:val="29"/>
    <w:rsid w:val="00AD2B43"/>
    <w:rPr>
      <w:i/>
      <w:iCs/>
      <w:color w:val="404040" w:themeColor="text1" w:themeTint="BF"/>
    </w:rPr>
  </w:style>
  <w:style w:type="paragraph" w:styleId="ListParagraph">
    <w:name w:val="List Paragraph"/>
    <w:basedOn w:val="Normal"/>
    <w:uiPriority w:val="34"/>
    <w:qFormat/>
    <w:rsid w:val="00AD2B43"/>
    <w:pPr>
      <w:ind w:left="720"/>
      <w:contextualSpacing/>
    </w:pPr>
  </w:style>
  <w:style w:type="character" w:styleId="IntenseEmphasis">
    <w:name w:val="Intense Emphasis"/>
    <w:basedOn w:val="DefaultParagraphFont"/>
    <w:uiPriority w:val="21"/>
    <w:qFormat/>
    <w:rsid w:val="00AD2B43"/>
    <w:rPr>
      <w:i/>
      <w:iCs/>
      <w:color w:val="0F4761" w:themeColor="accent1" w:themeShade="BF"/>
    </w:rPr>
  </w:style>
  <w:style w:type="paragraph" w:styleId="IntenseQuote">
    <w:name w:val="Intense Quote"/>
    <w:basedOn w:val="Normal"/>
    <w:next w:val="Normal"/>
    <w:link w:val="IntenseQuoteChar"/>
    <w:uiPriority w:val="30"/>
    <w:qFormat/>
    <w:rsid w:val="00AD2B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2B43"/>
    <w:rPr>
      <w:i/>
      <w:iCs/>
      <w:color w:val="0F4761" w:themeColor="accent1" w:themeShade="BF"/>
    </w:rPr>
  </w:style>
  <w:style w:type="character" w:styleId="IntenseReference">
    <w:name w:val="Intense Reference"/>
    <w:basedOn w:val="DefaultParagraphFont"/>
    <w:uiPriority w:val="32"/>
    <w:qFormat/>
    <w:rsid w:val="00AD2B43"/>
    <w:rPr>
      <w:b/>
      <w:bCs/>
      <w:smallCaps/>
      <w:color w:val="0F4761" w:themeColor="accent1" w:themeShade="BF"/>
      <w:spacing w:val="5"/>
    </w:rPr>
  </w:style>
  <w:style w:type="table" w:styleId="GridTable2-Accent4">
    <w:name w:val="Grid Table 2 Accent 4"/>
    <w:basedOn w:val="TableNormal"/>
    <w:uiPriority w:val="47"/>
    <w:rsid w:val="00AD2B43"/>
    <w:pPr>
      <w:spacing w:after="0" w:line="240" w:lineRule="auto"/>
    </w:pPr>
    <w:tblPr>
      <w:tblStyleRowBandSize w:val="1"/>
      <w:tblStyleColBandSize w:val="1"/>
      <w:tblInd w:w="0" w:type="nil"/>
      <w:tblBorders>
        <w:top w:val="single" w:sz="2" w:space="0" w:color="60CAF3" w:themeColor="accent4" w:themeTint="99"/>
        <w:bottom w:val="single" w:sz="2" w:space="0" w:color="60CAF3" w:themeColor="accent4" w:themeTint="99"/>
        <w:insideH w:val="single" w:sz="2" w:space="0" w:color="60CAF3" w:themeColor="accent4" w:themeTint="99"/>
        <w:insideV w:val="single" w:sz="2" w:space="0" w:color="60CAF3" w:themeColor="accent4" w:themeTint="99"/>
      </w:tblBorders>
    </w:tblPr>
    <w:tblStylePr w:type="firstRow">
      <w:rPr>
        <w:b/>
        <w:bCs/>
      </w:rPr>
      <w:tblPr/>
      <w:tcPr>
        <w:tcBorders>
          <w:top w:val="nil"/>
          <w:bottom w:val="single" w:sz="12" w:space="0" w:color="60CAF3" w:themeColor="accent4" w:themeTint="99"/>
          <w:insideH w:val="nil"/>
          <w:insideV w:val="nil"/>
        </w:tcBorders>
        <w:shd w:val="clear" w:color="auto" w:fill="FFFFFF" w:themeFill="background1"/>
      </w:tcPr>
    </w:tblStylePr>
    <w:tblStylePr w:type="lastRow">
      <w:rPr>
        <w:b/>
        <w:bCs/>
      </w:rPr>
      <w:tblPr/>
      <w:tcPr>
        <w:tcBorders>
          <w:top w:val="double" w:sz="2" w:space="0" w:color="60CAF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5Dark-Accent4">
    <w:name w:val="Grid Table 5 Dark Accent 4"/>
    <w:basedOn w:val="TableNormal"/>
    <w:uiPriority w:val="50"/>
    <w:rsid w:val="00AD2B43"/>
    <w:pPr>
      <w:spacing w:after="0" w:line="240" w:lineRule="auto"/>
    </w:pPr>
    <w:tblPr>
      <w:tblStyleRowBandSize w:val="1"/>
      <w:tblStyleColBandSize w:val="1"/>
      <w:tblInd w:w="0" w:type="nil"/>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GridTable4-Accent4">
    <w:name w:val="Grid Table 4 Accent 4"/>
    <w:basedOn w:val="TableNormal"/>
    <w:uiPriority w:val="49"/>
    <w:rsid w:val="00AD2B43"/>
    <w:pPr>
      <w:spacing w:after="0" w:line="240" w:lineRule="auto"/>
    </w:pPr>
    <w:tblPr>
      <w:tblStyleRowBandSize w:val="1"/>
      <w:tblStyleColBandSize w:val="1"/>
      <w:tblInd w:w="0" w:type="nil"/>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diama\Downloads\violeta%20disney%20channel%20(1).docx" TargetMode="External"/><Relationship Id="rId13" Type="http://schemas.openxmlformats.org/officeDocument/2006/relationships/hyperlink" Target="file:///C:\Users\diama\Downloads\violeta%20disney%20channel%20(1).docx" TargetMode="External"/><Relationship Id="rId18" Type="http://schemas.openxmlformats.org/officeDocument/2006/relationships/hyperlink" Target="file:///C:\Users\diama\Downloads\violeta%20disney%20channel%20(1).docx" TargetMode="External"/><Relationship Id="rId3" Type="http://schemas.openxmlformats.org/officeDocument/2006/relationships/customXml" Target="../customXml/item3.xml"/><Relationship Id="rId21" Type="http://schemas.openxmlformats.org/officeDocument/2006/relationships/hyperlink" Target="https://www.appinio.com/en/blog/market-research/situational-analysis" TargetMode="External"/><Relationship Id="rId7" Type="http://schemas.openxmlformats.org/officeDocument/2006/relationships/webSettings" Target="webSettings.xml"/><Relationship Id="rId12" Type="http://schemas.openxmlformats.org/officeDocument/2006/relationships/hyperlink" Target="file:///C:\Users\diama\Downloads\violeta%20disney%20channel%20(1).docx" TargetMode="External"/><Relationship Id="rId17" Type="http://schemas.openxmlformats.org/officeDocument/2006/relationships/hyperlink" Target="file:///C:\Users\diama\Downloads\violeta%20disney%20channel%20(1).docx"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file:///C:\Users\diama\Downloads\violeta%20disney%20channel%20(1).docx" TargetMode="External"/><Relationship Id="rId20" Type="http://schemas.openxmlformats.org/officeDocument/2006/relationships/hyperlink" Target="https://www.hilton.com/en/corporate/?msockid=16996e92da04606f384c7beedbe461bd"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file:///C:\Users\diama\Downloads\violeta%20disney%20channel%20(1).docx"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file:///C:\Users\diama\Downloads\violeta%20disney%20channel%20(1).docx" TargetMode="External"/><Relationship Id="rId23" Type="http://schemas.openxmlformats.org/officeDocument/2006/relationships/hyperlink" Target="https://www.scribd.com/document/537869501/Kotter-J-1996-Leading-Change" TargetMode="External"/><Relationship Id="rId10" Type="http://schemas.openxmlformats.org/officeDocument/2006/relationships/hyperlink" Target="file:///C:\Users\diama\Downloads\violeta%20disney%20channel%20(1).docx" TargetMode="External"/><Relationship Id="rId19" Type="http://schemas.openxmlformats.org/officeDocument/2006/relationships/hyperlink" Target="https://www.hilton.com/en/hilton-honors/?msockid=16996e92da04606f384c7beedbe461bd" TargetMode="External"/><Relationship Id="rId4" Type="http://schemas.openxmlformats.org/officeDocument/2006/relationships/numbering" Target="numbering.xml"/><Relationship Id="rId9" Type="http://schemas.openxmlformats.org/officeDocument/2006/relationships/hyperlink" Target="file:///C:\Users\diama\Downloads\violeta%20disney%20channel%20(1).docx" TargetMode="External"/><Relationship Id="rId14" Type="http://schemas.openxmlformats.org/officeDocument/2006/relationships/hyperlink" Target="file:///C:\Users\diama\Downloads\violeta%20disney%20channel%20(1).docx" TargetMode="External"/><Relationship Id="rId22" Type="http://schemas.openxmlformats.org/officeDocument/2006/relationships/hyperlink" Target="https://open.ncl.ac.uk/academic-theories/43/resource-dependence-the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f85534914e096e2b52be965a0a70bff4">
  <xsd:schema xmlns:xsd="http://www.w3.org/2001/XMLSchema" xmlns:xs="http://www.w3.org/2001/XMLSchema" xmlns:p="http://schemas.microsoft.com/office/2006/metadata/properties" xmlns:ns3="ccfc14db-0f45-423b-b2f5-752f8f8a0ada" targetNamespace="http://schemas.microsoft.com/office/2006/metadata/properties" ma:root="true" ma:fieldsID="71da40152eea4f3decf70d61472950c7"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92994AEC-A834-4E92-A51F-64BDDE814D78}">
  <ds:schemaRefs>
    <ds:schemaRef ds:uri="http://schemas.microsoft.com/sharepoint/v3/contenttype/forms"/>
  </ds:schemaRefs>
</ds:datastoreItem>
</file>

<file path=customXml/itemProps2.xml><?xml version="1.0" encoding="utf-8"?>
<ds:datastoreItem xmlns:ds="http://schemas.openxmlformats.org/officeDocument/2006/customXml" ds:itemID="{A4EAF0E2-369B-49FF-935D-B2D9B46B48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5631ECF-0189-4624-B91E-E06950C52A0D}">
  <ds:schemaRefs>
    <ds:schemaRef ds:uri="http://schemas.microsoft.com/office/2006/metadata/properties"/>
    <ds:schemaRef ds:uri="http://schemas.microsoft.com/office/infopath/2007/PartnerControls"/>
    <ds:schemaRef ds:uri="ccfc14db-0f45-423b-b2f5-752f8f8a0ada"/>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21</Pages>
  <Words>6901</Words>
  <Characters>39339</Characters>
  <Application>Microsoft Office Word</Application>
  <DocSecurity>0</DocSecurity>
  <Lines>327</Lines>
  <Paragraphs>92</Paragraphs>
  <ScaleCrop>false</ScaleCrop>
  <Company/>
  <LinksUpToDate>false</LinksUpToDate>
  <CharactersWithSpaces>46148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Bechian (2419518)</dc:creator>
  <cp:keywords/>
  <dc:description/>
  <cp:lastModifiedBy>Diana Bechian (2419518)</cp:lastModifiedBy>
  <cp:revision>2</cp:revision>
  <dcterms:created xsi:type="dcterms:W3CDTF">2026-03-18T10:13:00Z</dcterms:created>
  <dcterms:modified xsi:type="dcterms:W3CDTF">2026-03-18T10:13:00Z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