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ackground w:color="F2F2F2" w:themeColor="background1" w:themeShade="F2"/>
  <w:body>
    <w:p w:rsidR="4D0980ED" w:rsidP="4D0980ED" w:rsidRDefault="4D0980ED" w14:paraId="121DAC0E" w14:textId="4B5BD9DE">
      <w:pPr>
        <w:spacing w:before="0" w:beforeAutospacing="off" w:after="160" w:afterAutospacing="off" w:line="360" w:lineRule="auto"/>
        <w:ind w:left="720"/>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p>
    <w:p w:rsidR="4D0980ED" w:rsidP="4D0980ED" w:rsidRDefault="4D0980ED" w14:paraId="64F779DE" w14:textId="4966529E">
      <w:pPr>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p>
    <w:p w:rsidR="4D0980ED" w:rsidP="4D0980ED" w:rsidRDefault="4D0980ED" w14:paraId="4D9CB02E" w14:textId="639EB269">
      <w:pPr>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p>
    <w:p xmlns:wp14="http://schemas.microsoft.com/office/word/2010/wordml" w:rsidP="4D0980ED" wp14:paraId="3231DF93" wp14:textId="6DB1FA53">
      <w:pPr>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Full Name:</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Febechukwu Miriam Iwuala      </w:t>
      </w:r>
    </w:p>
    <w:p xmlns:wp14="http://schemas.microsoft.com/office/word/2010/wordml" w:rsidP="7E1F9EF1" wp14:paraId="6036438B" wp14:textId="7589ED2D">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E1F9EF1" w:rsidR="3F8AA0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67CCE9FC" wp14:textId="546E13F7">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Student ID Number:</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2409092      </w:t>
      </w:r>
    </w:p>
    <w:p xmlns:wp14="http://schemas.microsoft.com/office/word/2010/wordml" w:rsidP="7E1F9EF1" wp14:paraId="0F242E90" wp14:textId="76413216">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E1F9EF1" w:rsidR="3F8AA0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2FF3D55C" wp14:textId="174423F1">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Programme</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BSc (Hons) Health and Social Care        </w:t>
      </w:r>
    </w:p>
    <w:p xmlns:wp14="http://schemas.microsoft.com/office/word/2010/wordml" w:rsidP="7E1F9EF1" wp14:paraId="661A0705" wp14:textId="7D23DE5E">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E1F9EF1" w:rsidR="3F8AA0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61FF3C14" wp14:textId="0AB43DD7">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Module:</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4D0980ED" w:rsidR="5B202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Digital Transformation in the Health and Care Professions</w:t>
      </w:r>
    </w:p>
    <w:p xmlns:wp14="http://schemas.microsoft.com/office/word/2010/wordml" w:rsidP="4D0980ED" wp14:paraId="049EDC63" wp14:textId="3FE173AF">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768547D4" wp14:textId="54CD8A4F">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noProof w:val="0"/>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Title:</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Component 1 –</w:t>
      </w:r>
      <w:r w:rsidRPr="4D0980ED" w:rsidR="047812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4D0980ED" w:rsidR="2FD89001">
        <w:rPr>
          <w:rFonts w:ascii="Arial" w:hAnsi="Arial" w:eastAsia="Arial" w:cs="Arial" w:asciiTheme="minorAscii" w:hAnsiTheme="minorAscii" w:eastAsiaTheme="minorAscii" w:cstheme="minorAscii"/>
          <w:b w:val="0"/>
          <w:bCs w:val="0"/>
          <w:noProof w:val="0"/>
          <w:sz w:val="22"/>
          <w:szCs w:val="22"/>
          <w:lang w:val="en-US"/>
        </w:rPr>
        <w:t>Written Report</w:t>
      </w:r>
      <w:r w:rsidRPr="4D0980ED" w:rsidR="06847232">
        <w:rPr>
          <w:rFonts w:ascii="Arial" w:hAnsi="Arial" w:eastAsia="Arial" w:cs="Arial" w:asciiTheme="minorAscii" w:hAnsiTheme="minorAscii" w:eastAsiaTheme="minorAscii" w:cstheme="minorAscii"/>
          <w:b w:val="0"/>
          <w:bCs w:val="0"/>
          <w:noProof w:val="0"/>
          <w:sz w:val="22"/>
          <w:szCs w:val="22"/>
          <w:lang w:val="en-US"/>
        </w:rPr>
        <w:t xml:space="preserve"> on </w:t>
      </w:r>
      <w:r w:rsidRPr="4D0980ED" w:rsidR="06847232">
        <w:rPr>
          <w:rFonts w:ascii="Arial" w:hAnsi="Arial" w:eastAsia="Arial" w:cs="Arial" w:asciiTheme="minorAscii" w:hAnsiTheme="minorAscii" w:eastAsiaTheme="minorAscii" w:cstheme="minorAscii"/>
          <w:b w:val="0"/>
          <w:bCs w:val="0"/>
          <w:noProof w:val="0"/>
          <w:sz w:val="22"/>
          <w:szCs w:val="22"/>
          <w:lang w:val="en-US"/>
        </w:rPr>
        <w:t>KardiaMobile</w:t>
      </w:r>
      <w:r w:rsidRPr="4D0980ED" w:rsidR="06847232">
        <w:rPr>
          <w:rFonts w:ascii="Arial" w:hAnsi="Arial" w:eastAsia="Arial" w:cs="Arial" w:asciiTheme="minorAscii" w:hAnsiTheme="minorAscii" w:eastAsiaTheme="minorAscii" w:cstheme="minorAscii"/>
          <w:b w:val="0"/>
          <w:bCs w:val="0"/>
          <w:noProof w:val="0"/>
          <w:sz w:val="22"/>
          <w:szCs w:val="22"/>
          <w:lang w:val="en-US"/>
        </w:rPr>
        <w:t xml:space="preserve"> App</w:t>
      </w:r>
    </w:p>
    <w:p xmlns:wp14="http://schemas.microsoft.com/office/word/2010/wordml" w:rsidP="7E1F9EF1" wp14:paraId="2D18DB84" wp14:textId="60636433">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E1F9EF1" w:rsidR="3F8AA0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4B3C3287" wp14:textId="43DC28B1">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Module Code</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BMHP</w:t>
      </w:r>
      <w:r w:rsidRPr="4D0980ED" w:rsidR="2885DA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6</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02</w:t>
      </w:r>
      <w:r w:rsidRPr="4D0980ED" w:rsidR="29D87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6</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_BIRM    </w:t>
      </w:r>
    </w:p>
    <w:p xmlns:wp14="http://schemas.microsoft.com/office/word/2010/wordml" w:rsidP="7E1F9EF1" wp14:paraId="7637F66D" wp14:textId="0007633E">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E1F9EF1" w:rsidR="3F8AA0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xmlns:wp14="http://schemas.microsoft.com/office/word/2010/wordml" w:rsidP="4D0980ED" wp14:paraId="3777C3C6" wp14:textId="6865FA66">
      <w:pPr>
        <w:pStyle w:val="Normal"/>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FF0000"/>
          <w:sz w:val="22"/>
          <w:szCs w:val="22"/>
          <w:lang w:val="en-US"/>
        </w:rPr>
      </w:pP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Lecturer: </w:t>
      </w:r>
      <w:r w:rsidRPr="4D0980ED" w:rsidR="5DBD5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4D0980ED" w:rsidR="7C0728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Martin Svejda</w:t>
      </w:r>
    </w:p>
    <w:p xmlns:wp14="http://schemas.microsoft.com/office/word/2010/wordml" w:rsidP="4D0980ED" wp14:paraId="6ACB5289" wp14:textId="1C59799A">
      <w:pPr>
        <w:spacing w:before="0" w:beforeAutospacing="off" w:after="16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7E1F9EF1" wp14:paraId="1084A91F" wp14:textId="6C6EB3C3">
      <w:pPr>
        <w:spacing w:line="360" w:lineRule="auto"/>
        <w:jc w:val="center"/>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52BB4489" wp14:textId="17803369">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00125ED7" wp14:textId="0248FD3D">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5F169427" wp14:textId="3BA0ED66">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52CFFB56" wp14:textId="769583B2">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2B773756" wp14:textId="7D318E08">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12A531D9" wp14:textId="364F85EE">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5F602C1C" wp14:textId="6643D0AB">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4D0980ED" wp14:paraId="339CC2F6" wp14:textId="02EBC6E2">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46970897" wp14:textId="7579F8F3">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4D0980ED" wp14:paraId="00A08072" wp14:textId="0B60C4C5">
      <w:pPr>
        <w:pBdr>
          <w:top w:val="single" w:color="FF000000" w:sz="4" w:space="4"/>
          <w:left w:val="single" w:color="FF000000" w:sz="4" w:space="4"/>
          <w:bottom w:val="single" w:color="FF000000" w:sz="4" w:space="4"/>
          <w:right w:val="single" w:color="FF000000" w:sz="4" w:space="4"/>
        </w:pBdr>
        <w:spacing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0980ED" w:rsidR="379A5B7A">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 xml:space="preserve">  TABLE OF CONTENT </w:t>
      </w:r>
    </w:p>
    <w:p xmlns:wp14="http://schemas.microsoft.com/office/word/2010/wordml" w:rsidP="7E1F9EF1" wp14:paraId="6C6604BA" wp14:textId="0E8CB56C">
      <w:pPr>
        <w:spacing w:line="360" w:lineRule="auto"/>
        <w:rPr>
          <w:rFonts w:ascii="Arial" w:hAnsi="Arial" w:eastAsia="Arial" w:cs="Arial" w:asciiTheme="minorAscii" w:hAnsiTheme="minorAscii" w:eastAsiaTheme="minorAscii" w:cstheme="minorAscii"/>
          <w:b w:val="0"/>
          <w:bCs w:val="0"/>
          <w:color w:val="auto"/>
          <w:sz w:val="22"/>
          <w:szCs w:val="22"/>
        </w:rPr>
      </w:pPr>
    </w:p>
    <w:sdt>
      <w:sdtPr>
        <w:id w:val="368948517"/>
        <w:docPartObj>
          <w:docPartGallery w:val="Table of Contents"/>
          <w:docPartUnique/>
        </w:docPartObj>
      </w:sdtPr>
      <w:sdtContent>
        <w:p w:rsidR="4D0980ED" w:rsidP="4D0980ED" w:rsidRDefault="4D0980ED" w14:paraId="76EA4DE2" w14:textId="7596C6E5">
          <w:pPr>
            <w:pStyle w:val="TOC1"/>
            <w:tabs>
              <w:tab w:val="right" w:leader="hyphen" w:pos="9015"/>
            </w:tabs>
            <w:bidi w:val="0"/>
          </w:pPr>
          <w:r>
            <w:fldChar w:fldCharType="begin"/>
          </w:r>
          <w:r>
            <w:instrText xml:space="preserve">TOC \o "1-7" \z \u</w:instrText>
          </w:r>
          <w:r>
            <w:fldChar w:fldCharType="separate"/>
          </w:r>
          <w:r w:rsidR="4D0980ED">
            <w:rPr/>
            <w:t>INTRODUCTION</w:t>
          </w:r>
          <w:r>
            <w:tab/>
          </w:r>
          <w:r>
            <w:fldChar w:fldCharType="begin"/>
          </w:r>
          <w:r>
            <w:instrText xml:space="preserve">PAGEREF _Toc821175439 \h</w:instrText>
          </w:r>
          <w:r>
            <w:fldChar w:fldCharType="separate"/>
          </w:r>
          <w:r w:rsidR="4D0980ED">
            <w:rPr/>
            <w:t>2</w:t>
          </w:r>
          <w:r>
            <w:fldChar w:fldCharType="end"/>
          </w:r>
        </w:p>
        <w:p w:rsidR="4D0980ED" w:rsidP="4D0980ED" w:rsidRDefault="4D0980ED" w14:paraId="60D99AF3" w14:textId="0B0CB90B">
          <w:pPr>
            <w:pStyle w:val="TOC1"/>
            <w:tabs>
              <w:tab w:val="right" w:leader="hyphen" w:pos="9015"/>
            </w:tabs>
            <w:bidi w:val="0"/>
          </w:pPr>
          <w:r w:rsidR="4D0980ED">
            <w:rPr/>
            <w:t>IMPACT ON THE HEALTH AND SOCIAL CARE WORKFORCE</w:t>
          </w:r>
          <w:r>
            <w:tab/>
          </w:r>
          <w:r>
            <w:fldChar w:fldCharType="begin"/>
          </w:r>
          <w:r>
            <w:instrText xml:space="preserve">PAGEREF _Toc384826268 \h</w:instrText>
          </w:r>
          <w:r>
            <w:fldChar w:fldCharType="separate"/>
          </w:r>
          <w:r w:rsidR="4D0980ED">
            <w:rPr/>
            <w:t>4</w:t>
          </w:r>
          <w:r>
            <w:fldChar w:fldCharType="end"/>
          </w:r>
        </w:p>
        <w:p w:rsidR="4D0980ED" w:rsidP="4D0980ED" w:rsidRDefault="4D0980ED" w14:paraId="06D35677" w14:textId="71D3EBD6">
          <w:pPr>
            <w:pStyle w:val="TOC1"/>
            <w:tabs>
              <w:tab w:val="right" w:leader="hyphen" w:pos="9015"/>
            </w:tabs>
            <w:bidi w:val="0"/>
          </w:pPr>
          <w:r w:rsidR="4D0980ED">
            <w:rPr/>
            <w:t>IMPACT ON SERVICE DELIVERY</w:t>
          </w:r>
          <w:r>
            <w:tab/>
          </w:r>
          <w:r>
            <w:fldChar w:fldCharType="begin"/>
          </w:r>
          <w:r>
            <w:instrText xml:space="preserve">PAGEREF _Toc798855047 \h</w:instrText>
          </w:r>
          <w:r>
            <w:fldChar w:fldCharType="separate"/>
          </w:r>
          <w:r w:rsidR="4D0980ED">
            <w:rPr/>
            <w:t>6</w:t>
          </w:r>
          <w:r>
            <w:fldChar w:fldCharType="end"/>
          </w:r>
        </w:p>
        <w:p w:rsidR="4D0980ED" w:rsidP="4D0980ED" w:rsidRDefault="4D0980ED" w14:paraId="26611F7F" w14:textId="7CA76D18">
          <w:pPr>
            <w:pStyle w:val="TOC1"/>
            <w:tabs>
              <w:tab w:val="right" w:leader="hyphen" w:pos="9015"/>
            </w:tabs>
            <w:bidi w:val="0"/>
          </w:pPr>
          <w:r w:rsidR="4D0980ED">
            <w:rPr/>
            <w:t>IMPACT ON PATIENTS AND SERVICE USERS</w:t>
          </w:r>
          <w:r>
            <w:tab/>
          </w:r>
          <w:r>
            <w:fldChar w:fldCharType="begin"/>
          </w:r>
          <w:r>
            <w:instrText xml:space="preserve">PAGEREF _Toc156467440 \h</w:instrText>
          </w:r>
          <w:r>
            <w:fldChar w:fldCharType="separate"/>
          </w:r>
          <w:r w:rsidR="4D0980ED">
            <w:rPr/>
            <w:t>8</w:t>
          </w:r>
          <w:r>
            <w:fldChar w:fldCharType="end"/>
          </w:r>
        </w:p>
        <w:p w:rsidR="4D0980ED" w:rsidP="4D0980ED" w:rsidRDefault="4D0980ED" w14:paraId="76D6D0B1" w14:textId="458E6637">
          <w:pPr>
            <w:pStyle w:val="TOC1"/>
            <w:tabs>
              <w:tab w:val="right" w:leader="hyphen" w:pos="9015"/>
            </w:tabs>
            <w:bidi w:val="0"/>
          </w:pPr>
          <w:r w:rsidR="4D0980ED">
            <w:rPr/>
            <w:t>CONCLUSION AND RECOMMENDATIONS</w:t>
          </w:r>
          <w:r>
            <w:tab/>
          </w:r>
          <w:r>
            <w:fldChar w:fldCharType="begin"/>
          </w:r>
          <w:r>
            <w:instrText xml:space="preserve">PAGEREF _Toc1104212601 \h</w:instrText>
          </w:r>
          <w:r>
            <w:fldChar w:fldCharType="separate"/>
          </w:r>
          <w:r w:rsidR="4D0980ED">
            <w:rPr/>
            <w:t>10</w:t>
          </w:r>
          <w:r>
            <w:fldChar w:fldCharType="end"/>
          </w:r>
        </w:p>
        <w:p w:rsidR="4D0980ED" w:rsidP="4D0980ED" w:rsidRDefault="4D0980ED" w14:paraId="020083BF" w14:textId="7A1268CC">
          <w:pPr>
            <w:pStyle w:val="TOC1"/>
            <w:tabs>
              <w:tab w:val="right" w:leader="hyphen" w:pos="9015"/>
            </w:tabs>
            <w:bidi w:val="0"/>
          </w:pPr>
          <w:r w:rsidR="4D0980ED">
            <w:rPr/>
            <w:t>REFERENCES LIST</w:t>
          </w:r>
          <w:r>
            <w:tab/>
          </w:r>
          <w:r>
            <w:fldChar w:fldCharType="begin"/>
          </w:r>
          <w:r>
            <w:instrText xml:space="preserve">PAGEREF _Toc170222055 \h</w:instrText>
          </w:r>
          <w:r>
            <w:fldChar w:fldCharType="separate"/>
          </w:r>
          <w:r w:rsidR="4D0980ED">
            <w:rPr/>
            <w:t>11</w:t>
          </w:r>
          <w:r>
            <w:fldChar w:fldCharType="end"/>
          </w:r>
        </w:p>
        <w:p w:rsidR="4D0980ED" w:rsidRDefault="4D0980ED" w14:paraId="7A434458" w14:textId="5BCBF9B9">
          <w:r>
            <w:fldChar w:fldCharType="end"/>
          </w:r>
        </w:p>
      </w:sdtContent>
    </w:sdt>
    <w:p w:rsidR="4D0980ED" w:rsidP="4D0980ED" w:rsidRDefault="4D0980ED" w14:paraId="37E9D65B" w14:textId="4B532294">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54F54638" w14:textId="09065125">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6E066C68" w14:textId="20F27D07">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1711BC67" w14:textId="6C95A044">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4F9567DF" w14:textId="78535B02">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0096B3EB" w14:textId="3D2160DF">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76FF79CA" w14:textId="6B0656B4">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6D18DD61" w14:textId="34102BEF">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396D3E8D" w14:textId="7DFF7A90">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43B2A76C" w14:textId="7918C416">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68594708" wp14:textId="676D11A4">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2FF9CF7A" wp14:textId="7651CC03">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4D65D6B3" wp14:textId="1A60712C">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1D84B8B9" wp14:textId="61A2609B">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3CD8800C" wp14:textId="77723A82">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729CE143" wp14:textId="7D0E88BA">
      <w:pPr>
        <w:spacing w:line="360" w:lineRule="auto"/>
        <w:rPr>
          <w:rFonts w:ascii="Arial" w:hAnsi="Arial" w:eastAsia="Arial" w:cs="Arial" w:asciiTheme="minorAscii" w:hAnsiTheme="minorAscii" w:eastAsiaTheme="minorAscii" w:cstheme="minorAscii"/>
          <w:b w:val="0"/>
          <w:bCs w:val="0"/>
          <w:color w:val="auto"/>
          <w:sz w:val="22"/>
          <w:szCs w:val="22"/>
        </w:rPr>
      </w:pPr>
    </w:p>
    <w:p xmlns:wp14="http://schemas.microsoft.com/office/word/2010/wordml" w:rsidP="7E1F9EF1" wp14:paraId="0369CD2E" wp14:textId="62E65952">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3643356B" w14:textId="47E6E317">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w:rsidR="3B28C72C" w:rsidP="4D0980ED" w:rsidRDefault="3B28C72C" w14:paraId="2FA51379" w14:textId="231A8526">
      <w:pPr>
        <w:pStyle w:val="Heading1"/>
        <w:spacing w:before="200" w:beforeAutospacing="off" w:after="8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bookmarkStart w:name="_Toc251958835" w:id="307493915"/>
      <w:bookmarkStart w:name="_Toc1241220727" w:id="248546092"/>
      <w:bookmarkStart w:name="_Toc1117602865" w:id="937043139"/>
      <w:bookmarkStart w:name="_Toc932612951" w:id="476011388"/>
      <w:bookmarkStart w:name="_Toc1572432429" w:id="1659782125"/>
      <w:bookmarkStart w:name="_Toc624656172" w:id="2114513324"/>
      <w:bookmarkStart w:name="_Toc370494875" w:id="989169049"/>
      <w:bookmarkStart w:name="_Toc1692983749" w:id="1684760764"/>
      <w:bookmarkStart w:name="_Toc1778343069" w:id="78708161"/>
      <w:bookmarkStart w:name="_Toc1298441891" w:id="1940845837"/>
      <w:bookmarkStart w:name="_Toc1253004487" w:id="163441234"/>
      <w:bookmarkStart w:name="_Toc334913699" w:id="1526955884"/>
      <w:bookmarkStart w:name="_Toc821175439" w:id="2133974868"/>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INTRODUCTION</w:t>
      </w:r>
      <w:bookmarkEnd w:id="307493915"/>
      <w:bookmarkEnd w:id="248546092"/>
      <w:bookmarkEnd w:id="937043139"/>
      <w:bookmarkEnd w:id="476011388"/>
      <w:bookmarkEnd w:id="1659782125"/>
      <w:bookmarkEnd w:id="2114513324"/>
      <w:bookmarkEnd w:id="989169049"/>
      <w:bookmarkEnd w:id="1684760764"/>
      <w:bookmarkEnd w:id="78708161"/>
      <w:bookmarkEnd w:id="1940845837"/>
      <w:bookmarkEnd w:id="163441234"/>
      <w:bookmarkEnd w:id="1526955884"/>
      <w:bookmarkEnd w:id="2133974868"/>
    </w:p>
    <w:p w:rsidR="2AB6C811" w:rsidP="4D0980ED" w:rsidRDefault="2AB6C811" w14:paraId="5852FCF1" w14:textId="43C2E8B3">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4D0980ED" w:rsidR="2AB6C811">
        <w:rPr>
          <w:rFonts w:ascii="Arial" w:hAnsi="Arial" w:eastAsia="Arial" w:cs="Arial" w:asciiTheme="minorAscii" w:hAnsiTheme="minorAscii" w:eastAsiaTheme="minorAscii" w:cstheme="minorAscii"/>
          <w:b w:val="0"/>
          <w:bCs w:val="0"/>
          <w:noProof w:val="0"/>
          <w:sz w:val="22"/>
          <w:szCs w:val="22"/>
          <w:lang w:val="en-GB"/>
        </w:rPr>
        <w:t>Kardia</w:t>
      </w:r>
      <w:r w:rsidRPr="4D0980ED" w:rsidR="2AB6C811">
        <w:rPr>
          <w:rFonts w:ascii="Arial" w:hAnsi="Arial" w:eastAsia="Arial" w:cs="Arial" w:asciiTheme="minorAscii" w:hAnsiTheme="minorAscii" w:eastAsiaTheme="minorAscii" w:cstheme="minorAscii"/>
          <w:b w:val="0"/>
          <w:bCs w:val="0"/>
          <w:noProof w:val="0"/>
          <w:sz w:val="22"/>
          <w:szCs w:val="22"/>
          <w:lang w:val="en-GB"/>
        </w:rPr>
        <w:t>Mobile</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is a portable, single-lead electrocardiogram (ECG) device that works with a smartphone application to record and display a cardiac rhythm tracing. The innovation is particularly relevant to </w:t>
      </w:r>
      <w:r w:rsidRPr="4D0980ED" w:rsidR="2B3A5078">
        <w:rPr>
          <w:rFonts w:ascii="Arial" w:hAnsi="Arial" w:eastAsia="Arial" w:cs="Arial" w:asciiTheme="minorAscii" w:hAnsiTheme="minorAscii" w:eastAsiaTheme="minorAscii" w:cstheme="minorAscii"/>
          <w:b w:val="0"/>
          <w:bCs w:val="0"/>
          <w:noProof w:val="0"/>
          <w:sz w:val="22"/>
          <w:szCs w:val="22"/>
          <w:lang w:val="en-GB"/>
        </w:rPr>
        <w:t>A</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trial </w:t>
      </w:r>
      <w:r w:rsidRPr="4D0980ED" w:rsidR="1DC00632">
        <w:rPr>
          <w:rFonts w:ascii="Arial" w:hAnsi="Arial" w:eastAsia="Arial" w:cs="Arial" w:asciiTheme="minorAscii" w:hAnsiTheme="minorAscii" w:eastAsiaTheme="minorAscii" w:cstheme="minorAscii"/>
          <w:b w:val="0"/>
          <w:bCs w:val="0"/>
          <w:noProof w:val="0"/>
          <w:sz w:val="22"/>
          <w:szCs w:val="22"/>
          <w:lang w:val="en-GB"/>
        </w:rPr>
        <w:t>F</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ibrillation (AF), an irregular heart rhythm associated with an increased risk of stroke. The technology records a short ECG at the point of care and can make the tracing available for clinical review, potentially moving diagnostic activity from hospital or surgery-based settings into patients’ homes and community services. In the UK, its implementation is significant because a community NHS trust adopted </w:t>
      </w:r>
      <w:r w:rsidRPr="4D0980ED" w:rsidR="2E3FD1EB">
        <w:rPr>
          <w:rFonts w:ascii="Arial" w:hAnsi="Arial" w:eastAsia="Arial" w:cs="Arial" w:asciiTheme="minorAscii" w:hAnsiTheme="minorAscii" w:eastAsiaTheme="minorAscii" w:cstheme="minorAscii"/>
          <w:b w:val="0"/>
          <w:bCs w:val="0"/>
          <w:noProof w:val="0"/>
          <w:sz w:val="22"/>
          <w:szCs w:val="22"/>
          <w:lang w:val="en-GB"/>
        </w:rPr>
        <w:t>it</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in 2017–2018 to support ECG assessment of housebound patients, while subsequent National Institute for Health and Care Excellence (NICE) guidance recommended Kardia</w:t>
      </w:r>
      <w:r w:rsidRPr="4D0980ED" w:rsidR="5F50E43D">
        <w:rPr>
          <w:rFonts w:ascii="Arial" w:hAnsi="Arial" w:eastAsia="Arial" w:cs="Arial" w:asciiTheme="minorAscii" w:hAnsiTheme="minorAscii" w:eastAsiaTheme="minorAscii" w:cstheme="minorAscii"/>
          <w:b w:val="0"/>
          <w:bCs w:val="0"/>
          <w:noProof w:val="0"/>
          <w:sz w:val="22"/>
          <w:szCs w:val="22"/>
          <w:lang w:val="en-GB"/>
        </w:rPr>
        <w:t xml:space="preserve"> </w:t>
      </w:r>
      <w:r w:rsidRPr="4D0980ED" w:rsidR="2AB6C811">
        <w:rPr>
          <w:rFonts w:ascii="Arial" w:hAnsi="Arial" w:eastAsia="Arial" w:cs="Arial" w:asciiTheme="minorAscii" w:hAnsiTheme="minorAscii" w:eastAsiaTheme="minorAscii" w:cstheme="minorAscii"/>
          <w:b w:val="0"/>
          <w:bCs w:val="0"/>
          <w:noProof w:val="0"/>
          <w:sz w:val="22"/>
          <w:szCs w:val="22"/>
          <w:lang w:val="en-GB"/>
        </w:rPr>
        <w:t>Mobile</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as an option for people with suspected paroxysmal AF who have symptoms such as palpitations and are referred for ambulatory ECG monitoring (Emmett et al., 2024; NICE, 2022).</w:t>
      </w:r>
    </w:p>
    <w:p w:rsidR="2AB6C811" w:rsidP="4D0980ED" w:rsidRDefault="2AB6C811" w14:paraId="607D4FF3" w14:textId="70FDA71B">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This report critically evaluates the implementation of </w:t>
      </w:r>
      <w:r w:rsidRPr="4D0980ED" w:rsidR="2AB6C811">
        <w:rPr>
          <w:rFonts w:ascii="Arial" w:hAnsi="Arial" w:eastAsia="Arial" w:cs="Arial" w:asciiTheme="minorAscii" w:hAnsiTheme="minorAscii" w:eastAsiaTheme="minorAscii" w:cstheme="minorAscii"/>
          <w:b w:val="0"/>
          <w:bCs w:val="0"/>
          <w:noProof w:val="0"/>
          <w:sz w:val="22"/>
          <w:szCs w:val="22"/>
          <w:lang w:val="en-GB"/>
        </w:rPr>
        <w:t>KardiaMobile</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as a digital transformation in UK health and social care, focusing on its impact on the workforce, service delivery, and patient's/service users. Although evidence </w:t>
      </w:r>
      <w:r w:rsidRPr="4D0980ED" w:rsidR="2AB6C811">
        <w:rPr>
          <w:rFonts w:ascii="Arial" w:hAnsi="Arial" w:eastAsia="Arial" w:cs="Arial" w:asciiTheme="minorAscii" w:hAnsiTheme="minorAscii" w:eastAsiaTheme="minorAscii" w:cstheme="minorAscii"/>
          <w:b w:val="0"/>
          <w:bCs w:val="0"/>
          <w:noProof w:val="0"/>
          <w:sz w:val="22"/>
          <w:szCs w:val="22"/>
          <w:lang w:val="en-GB"/>
        </w:rPr>
        <w:t>indicates</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that the technology can improve access to ECG recording and may reduce diagnostic costs in </w:t>
      </w:r>
      <w:r w:rsidRPr="4D0980ED" w:rsidR="2AB6C811">
        <w:rPr>
          <w:rFonts w:ascii="Arial" w:hAnsi="Arial" w:eastAsia="Arial" w:cs="Arial" w:asciiTheme="minorAscii" w:hAnsiTheme="minorAscii" w:eastAsiaTheme="minorAscii" w:cstheme="minorAscii"/>
          <w:b w:val="0"/>
          <w:bCs w:val="0"/>
          <w:noProof w:val="0"/>
          <w:sz w:val="22"/>
          <w:szCs w:val="22"/>
          <w:lang w:val="en-GB"/>
        </w:rPr>
        <w:t>an appropriate pathway</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successful implementation should not be equated with universal effectiveness. Evidence also </w:t>
      </w:r>
      <w:r w:rsidRPr="4D0980ED" w:rsidR="2AB6C811">
        <w:rPr>
          <w:rFonts w:ascii="Arial" w:hAnsi="Arial" w:eastAsia="Arial" w:cs="Arial" w:asciiTheme="minorAscii" w:hAnsiTheme="minorAscii" w:eastAsiaTheme="minorAscii" w:cstheme="minorAscii"/>
          <w:b w:val="0"/>
          <w:bCs w:val="0"/>
          <w:noProof w:val="0"/>
          <w:sz w:val="22"/>
          <w:szCs w:val="22"/>
          <w:lang w:val="en-GB"/>
        </w:rPr>
        <w:t>identifies</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limitations involving staff training, clinical time, connectivity, patient suitability, digital </w:t>
      </w:r>
      <w:r w:rsidRPr="4D0980ED" w:rsidR="2AB6C811">
        <w:rPr>
          <w:rFonts w:ascii="Arial" w:hAnsi="Arial" w:eastAsia="Arial" w:cs="Arial" w:asciiTheme="minorAscii" w:hAnsiTheme="minorAscii" w:eastAsiaTheme="minorAscii" w:cstheme="minorAscii"/>
          <w:b w:val="0"/>
          <w:bCs w:val="0"/>
          <w:noProof w:val="0"/>
          <w:sz w:val="22"/>
          <w:szCs w:val="22"/>
          <w:lang w:val="en-GB"/>
        </w:rPr>
        <w:t>exclusion</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and integration with electronic health records. The central argument is therefore that </w:t>
      </w:r>
      <w:r w:rsidRPr="4D0980ED" w:rsidR="2AB6C811">
        <w:rPr>
          <w:rFonts w:ascii="Arial" w:hAnsi="Arial" w:eastAsia="Arial" w:cs="Arial" w:asciiTheme="minorAscii" w:hAnsiTheme="minorAscii" w:eastAsiaTheme="minorAscii" w:cstheme="minorAscii"/>
          <w:b w:val="0"/>
          <w:bCs w:val="0"/>
          <w:noProof w:val="0"/>
          <w:sz w:val="22"/>
          <w:szCs w:val="22"/>
          <w:lang w:val="en-GB"/>
        </w:rPr>
        <w:t>Kardia</w:t>
      </w:r>
      <w:r w:rsidRPr="4D0980ED" w:rsidR="2AB6C811">
        <w:rPr>
          <w:rFonts w:ascii="Arial" w:hAnsi="Arial" w:eastAsia="Arial" w:cs="Arial" w:asciiTheme="minorAscii" w:hAnsiTheme="minorAscii" w:eastAsiaTheme="minorAscii" w:cstheme="minorAscii"/>
          <w:b w:val="0"/>
          <w:bCs w:val="0"/>
          <w:noProof w:val="0"/>
          <w:sz w:val="22"/>
          <w:szCs w:val="22"/>
          <w:lang w:val="en-GB"/>
        </w:rPr>
        <w:t>Mobile</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is best understood as an enabling technology whose benefits depend on workforce capability, clinical </w:t>
      </w:r>
      <w:r w:rsidRPr="4D0980ED" w:rsidR="2AB6C811">
        <w:rPr>
          <w:rFonts w:ascii="Arial" w:hAnsi="Arial" w:eastAsia="Arial" w:cs="Arial" w:asciiTheme="minorAscii" w:hAnsiTheme="minorAscii" w:eastAsiaTheme="minorAscii" w:cstheme="minorAscii"/>
          <w:b w:val="0"/>
          <w:bCs w:val="0"/>
          <w:noProof w:val="0"/>
          <w:sz w:val="22"/>
          <w:szCs w:val="22"/>
          <w:lang w:val="en-GB"/>
        </w:rPr>
        <w:t>governance</w:t>
      </w:r>
      <w:r w:rsidRPr="4D0980ED" w:rsidR="2AB6C811">
        <w:rPr>
          <w:rFonts w:ascii="Arial" w:hAnsi="Arial" w:eastAsia="Arial" w:cs="Arial" w:asciiTheme="minorAscii" w:hAnsiTheme="minorAscii" w:eastAsiaTheme="minorAscii" w:cstheme="minorAscii"/>
          <w:b w:val="0"/>
          <w:bCs w:val="0"/>
          <w:noProof w:val="0"/>
          <w:sz w:val="22"/>
          <w:szCs w:val="22"/>
          <w:lang w:val="en-GB"/>
        </w:rPr>
        <w:t xml:space="preserve"> and an inclusive service model rather than on the device itself.</w:t>
      </w:r>
    </w:p>
    <w:p w:rsidR="4D0980ED" w:rsidP="4D0980ED" w:rsidRDefault="4D0980ED" w14:paraId="09C9C93F" w14:textId="056C2086">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1E2DB9AF" w14:textId="27DADB06">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4B79388C" w14:textId="7422FAD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0D953DEF" w14:textId="477DD692">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2F8015A7" w14:textId="53BA786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1078E4AA" w14:textId="1EB91AB3">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48140981" w14:textId="07D4901C">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2AFDD132" w14:textId="25CD1CD1">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7D94643" w14:textId="7A7214B2">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3B28C72C" w:rsidP="4D0980ED" w:rsidRDefault="3B28C72C" w14:paraId="018A6B36" w14:textId="10CB57AC">
      <w:pPr>
        <w:spacing w:before="220" w:beforeAutospacing="off" w:after="12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 xml:space="preserve"> THE INNOVATION AND ITS IMPLEMENTATION </w:t>
      </w:r>
    </w:p>
    <w:p w:rsidR="02675BE4" w:rsidP="4D0980ED" w:rsidRDefault="02675BE4" w14:paraId="18F3ADAB" w14:textId="2F049C57">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combines a handheld ECG sensor with a smartphone or tablet application to record a single-lead ECG in approximately 30 seconds. It can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identify</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possible AF</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but abnormal or unclassified results require clinical assessment. It does not replace a 12-lead ECG, which NICE (2021) recommends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confirming</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AF, but can be useful for detecting intermittent or paroxysmal episodes (NICE, 2019; NICE, 2021).</w:t>
      </w:r>
    </w:p>
    <w:p w:rsidR="02675BE4" w:rsidP="4D0980ED" w:rsidRDefault="02675BE4" w14:paraId="5D4AAD63" w14:textId="6F01EC76">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In the UK, a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predominantly rural</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NHS trust introduced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in 2017–2018 to support ECG assessment of housebound patients who had difficulty travelling to healthcare services (Emmett et al., 2024). NICE (2022) later recommended it for suspected paroxysmal AF and reported that it detected more AF than Holter monitoring in the relevant pathway, with estimated savings of £13.22 per patient over two years. However, this applies to a specific clinical pathway and does not mean that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should replace conventional ECG services. Therefore, the value of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depends not only on the technology but also on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appropriate clinical</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pathways, trained </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staff</w:t>
      </w:r>
      <w:r w:rsidRPr="4D0980ED" w:rsidR="02675BE4">
        <w:rPr>
          <w:rFonts w:ascii="Arial" w:hAnsi="Arial" w:eastAsia="Arial" w:cs="Arial" w:asciiTheme="minorAscii" w:hAnsiTheme="minorAscii" w:eastAsiaTheme="minorAscii" w:cstheme="minorAscii"/>
          <w:b w:val="0"/>
          <w:bCs w:val="0"/>
          <w:noProof w:val="0"/>
          <w:color w:val="auto"/>
          <w:sz w:val="22"/>
          <w:szCs w:val="22"/>
          <w:lang w:val="en-GB"/>
        </w:rPr>
        <w:t xml:space="preserve"> and patient access. It should be viewed as part of wider care transformation rather than as a standalone solution.</w:t>
      </w:r>
    </w:p>
    <w:p w:rsidR="4D0980ED" w:rsidP="4D0980ED" w:rsidRDefault="4D0980ED" w14:paraId="45FEDF05" w14:textId="6BB74643">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223886BC" w14:textId="4CD1312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7E1F9EF1" w:rsidRDefault="7E1F9EF1" w14:paraId="1DF82BCA" w14:textId="52B3C21B">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7E1F9EF1" w:rsidRDefault="7E1F9EF1" w14:paraId="631B41E3" w14:textId="09FD5C22">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465132E8" w14:textId="31C9BE3F">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8098289" w14:textId="77DEF55C">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2169D607" w14:textId="1D68E7E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13C6F3AB" w14:textId="14CBCE7A">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4B281224" w14:textId="76A88D9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3849A291" w14:textId="15BF2B10">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1A65E5AA" w14:textId="6ECAC143">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7E1F9EF1" w:rsidRDefault="7E1F9EF1" w14:paraId="3CD6E26B" w14:textId="5F08ADD3">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5A504887" w14:textId="34C0945D">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3B28C72C" w:rsidP="4D0980ED" w:rsidRDefault="3B28C72C" w14:paraId="460DF2FE" w14:textId="440D1A29">
      <w:pPr>
        <w:pStyle w:val="Heading1"/>
        <w:spacing w:before="200" w:beforeAutospacing="off" w:after="8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bookmarkStart w:name="_Toc1690457573" w:id="80219615"/>
      <w:bookmarkStart w:name="_Toc138330167" w:id="1410697841"/>
      <w:bookmarkStart w:name="_Toc213172557" w:id="1981114487"/>
      <w:bookmarkStart w:name="_Toc842934319" w:id="1413915849"/>
      <w:bookmarkStart w:name="_Toc512404084" w:id="1114649801"/>
      <w:bookmarkStart w:name="_Toc1054741071" w:id="1790382260"/>
      <w:bookmarkStart w:name="_Toc1364607217" w:id="720034831"/>
      <w:bookmarkStart w:name="_Toc1672822912" w:id="426344336"/>
      <w:bookmarkStart w:name="_Toc1270548112" w:id="1728423320"/>
      <w:bookmarkStart w:name="_Toc1950517678" w:id="39393570"/>
      <w:bookmarkStart w:name="_Toc1518733978" w:id="734988398"/>
      <w:bookmarkStart w:name="_Toc500079182" w:id="960454135"/>
      <w:bookmarkStart w:name="_Toc384826268" w:id="1948207697"/>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IMPACT ON THE HEALTH AND SOCIAL CARE WORKFORCE</w:t>
      </w:r>
      <w:bookmarkEnd w:id="80219615"/>
      <w:bookmarkEnd w:id="1410697841"/>
      <w:bookmarkEnd w:id="1981114487"/>
      <w:bookmarkEnd w:id="1413915849"/>
      <w:bookmarkEnd w:id="1114649801"/>
      <w:bookmarkEnd w:id="1790382260"/>
      <w:bookmarkEnd w:id="720034831"/>
      <w:bookmarkEnd w:id="426344336"/>
      <w:bookmarkEnd w:id="1728423320"/>
      <w:bookmarkEnd w:id="39393570"/>
      <w:bookmarkEnd w:id="734988398"/>
      <w:bookmarkEnd w:id="960454135"/>
      <w:bookmarkEnd w:id="1948207697"/>
    </w:p>
    <w:p w:rsidR="0E8907AA" w:rsidP="4D0980ED" w:rsidRDefault="0E8907AA" w14:paraId="6657A1CF" w14:textId="03A868ED">
      <w:pPr>
        <w:spacing w:before="240" w:beforeAutospacing="off" w:after="240" w:afterAutospacing="off" w:line="360" w:lineRule="auto"/>
        <w:jc w:val="both"/>
        <w:rPr>
          <w:rFonts w:ascii="Arial" w:hAnsi="Arial" w:eastAsia="Arial" w:cs="Arial"/>
          <w:noProof w:val="0"/>
          <w:sz w:val="22"/>
          <w:szCs w:val="22"/>
          <w:lang w:val="en-GB"/>
        </w:rPr>
      </w:pPr>
      <w:r w:rsidRPr="4D0980ED" w:rsidR="0E8907AA">
        <w:rPr>
          <w:rFonts w:ascii="Arial" w:hAnsi="Arial" w:eastAsia="Arial" w:cs="Arial"/>
          <w:noProof w:val="0"/>
          <w:sz w:val="22"/>
          <w:szCs w:val="22"/>
          <w:lang w:val="en-GB"/>
        </w:rPr>
        <w:t>KardiaMobile</w:t>
      </w:r>
      <w:r w:rsidRPr="4D0980ED" w:rsidR="0E8907AA">
        <w:rPr>
          <w:rFonts w:ascii="Arial" w:hAnsi="Arial" w:eastAsia="Arial" w:cs="Arial"/>
          <w:noProof w:val="0"/>
          <w:sz w:val="22"/>
          <w:szCs w:val="22"/>
          <w:lang w:val="en-GB"/>
        </w:rPr>
        <w:t xml:space="preserve"> changes professional practice by enabling </w:t>
      </w:r>
      <w:r w:rsidRPr="4D0980ED" w:rsidR="0E8907AA">
        <w:rPr>
          <w:rFonts w:ascii="Arial" w:hAnsi="Arial" w:eastAsia="Arial" w:cs="Arial"/>
          <w:noProof w:val="0"/>
          <w:sz w:val="22"/>
          <w:szCs w:val="22"/>
          <w:lang w:val="en-GB"/>
        </w:rPr>
        <w:t>nurses,</w:t>
      </w:r>
      <w:r w:rsidRPr="4D0980ED" w:rsidR="7D649CF8">
        <w:rPr>
          <w:rFonts w:ascii="Arial" w:hAnsi="Arial" w:eastAsia="Arial" w:cs="Arial"/>
          <w:noProof w:val="0"/>
          <w:sz w:val="22"/>
          <w:szCs w:val="22"/>
          <w:lang w:val="en-GB"/>
        </w:rPr>
        <w:t xml:space="preserve"> </w:t>
      </w:r>
      <w:r w:rsidRPr="4D0980ED" w:rsidR="0E8907AA">
        <w:rPr>
          <w:rFonts w:ascii="Arial" w:hAnsi="Arial" w:eastAsia="Arial" w:cs="Arial"/>
          <w:noProof w:val="0"/>
          <w:sz w:val="22"/>
          <w:szCs w:val="22"/>
          <w:lang w:val="en-GB"/>
        </w:rPr>
        <w:t>phar</w:t>
      </w:r>
      <w:r w:rsidRPr="4D0980ED" w:rsidR="0E8907AA">
        <w:rPr>
          <w:rFonts w:ascii="Arial" w:hAnsi="Arial" w:eastAsia="Arial" w:cs="Arial"/>
          <w:noProof w:val="0"/>
          <w:sz w:val="22"/>
          <w:szCs w:val="22"/>
          <w:lang w:val="en-GB"/>
        </w:rPr>
        <w:t>macists and other appropriately trained community clinicians to record cardiac rhythms during consultations or home visits. This may reduce th</w:t>
      </w:r>
      <w:r w:rsidRPr="4D0980ED" w:rsidR="0E8907AA">
        <w:rPr>
          <w:rFonts w:ascii="Arial" w:hAnsi="Arial" w:eastAsia="Arial" w:cs="Arial"/>
          <w:noProof w:val="0"/>
          <w:sz w:val="22"/>
          <w:szCs w:val="22"/>
          <w:lang w:val="en-GB"/>
        </w:rPr>
        <w:t>e n</w:t>
      </w:r>
      <w:r w:rsidRPr="4D0980ED" w:rsidR="0E8907AA">
        <w:rPr>
          <w:rFonts w:ascii="Arial" w:hAnsi="Arial" w:eastAsia="Arial" w:cs="Arial"/>
          <w:noProof w:val="0"/>
          <w:sz w:val="22"/>
          <w:szCs w:val="22"/>
          <w:lang w:val="en-GB"/>
        </w:rPr>
        <w:t>eed for separate app</w:t>
      </w:r>
      <w:r w:rsidRPr="4D0980ED" w:rsidR="0E8907AA">
        <w:rPr>
          <w:rFonts w:ascii="Arial" w:hAnsi="Arial" w:eastAsia="Arial" w:cs="Arial"/>
          <w:noProof w:val="0"/>
          <w:sz w:val="22"/>
          <w:szCs w:val="22"/>
          <w:lang w:val="en-GB"/>
        </w:rPr>
        <w:t>ointments</w:t>
      </w:r>
      <w:r w:rsidRPr="4D0980ED" w:rsidR="0E8907AA">
        <w:rPr>
          <w:rFonts w:ascii="Arial" w:hAnsi="Arial" w:eastAsia="Arial" w:cs="Arial"/>
          <w:noProof w:val="0"/>
          <w:sz w:val="22"/>
          <w:szCs w:val="22"/>
          <w:lang w:val="en-GB"/>
        </w:rPr>
        <w:t>. Emmett et al. (2023) found that professionals generally considered mobile ECG technology q</w:t>
      </w:r>
      <w:r w:rsidRPr="4D0980ED" w:rsidR="0E8907AA">
        <w:rPr>
          <w:rFonts w:ascii="Arial" w:hAnsi="Arial" w:eastAsia="Arial" w:cs="Arial"/>
          <w:noProof w:val="0"/>
          <w:sz w:val="22"/>
          <w:szCs w:val="22"/>
          <w:lang w:val="en-GB"/>
        </w:rPr>
        <w:t>uick, simple and non-i</w:t>
      </w:r>
      <w:r w:rsidRPr="4D0980ED" w:rsidR="0E8907AA">
        <w:rPr>
          <w:rFonts w:ascii="Arial" w:hAnsi="Arial" w:eastAsia="Arial" w:cs="Arial"/>
          <w:noProof w:val="0"/>
          <w:sz w:val="22"/>
          <w:szCs w:val="22"/>
          <w:lang w:val="en-GB"/>
        </w:rPr>
        <w:t>nvasive. However, successful adoption depended on staff time, resources, interoperability and organisational support.</w:t>
      </w:r>
    </w:p>
    <w:p w:rsidR="434B7EFD" w:rsidP="4D0980ED" w:rsidRDefault="434B7EFD" w14:paraId="5A603489" w14:textId="47386038">
      <w:pPr>
        <w:spacing w:before="240" w:beforeAutospacing="off" w:after="240" w:afterAutospacing="off" w:line="360" w:lineRule="auto"/>
        <w:jc w:val="both"/>
        <w:rPr>
          <w:rFonts w:ascii="Arial" w:hAnsi="Arial" w:eastAsia="Arial" w:cs="Arial"/>
          <w:b w:val="0"/>
          <w:bCs w:val="0"/>
          <w:noProof w:val="0"/>
          <w:sz w:val="22"/>
          <w:szCs w:val="22"/>
          <w:lang w:val="en-GB"/>
        </w:rPr>
      </w:pPr>
      <w:r w:rsidRPr="4D0980ED" w:rsidR="434B7EFD">
        <w:rPr>
          <w:rFonts w:ascii="Arial" w:hAnsi="Arial" w:eastAsia="Arial" w:cs="Arial"/>
          <w:b w:val="0"/>
          <w:bCs w:val="0"/>
          <w:noProof w:val="0"/>
          <w:sz w:val="22"/>
          <w:szCs w:val="22"/>
          <w:lang w:val="en-GB"/>
        </w:rPr>
        <w:t xml:space="preserve">A key workforce challenge is whether staff have sufficient time, training and support to use KardiaMobile effectively. In an NHS community evaluation, 97% of 33 respondents recognised its value, but only 57.6% felt there was sufficient training, resources and shared understanding. Staff also reported limited ECG review time and difficulties communicating abnormal results (Emmett et al., 2024). Although the small sample limits generalisability, the findings suggest that </w:t>
      </w:r>
      <w:r w:rsidRPr="4D0980ED" w:rsidR="434B7EFD">
        <w:rPr>
          <w:rFonts w:ascii="Arial" w:hAnsi="Arial" w:eastAsia="Arial" w:cs="Arial"/>
          <w:b w:val="0"/>
          <w:bCs w:val="0"/>
          <w:noProof w:val="0"/>
          <w:sz w:val="22"/>
          <w:szCs w:val="22"/>
          <w:lang w:val="en-GB"/>
        </w:rPr>
        <w:t>positive staff attitudes alone are insufficient; effective implementation requires adequate training, protected time and organisational support.</w:t>
      </w:r>
    </w:p>
    <w:p w:rsidR="4D0980ED" w:rsidP="4D0980ED" w:rsidRDefault="4D0980ED" w14:paraId="29618CB4" w14:textId="2997DA3D">
      <w:pPr>
        <w:spacing w:before="240" w:beforeAutospacing="off" w:after="240" w:afterAutospacing="off" w:line="360" w:lineRule="auto"/>
        <w:jc w:val="both"/>
        <w:rPr>
          <w:rFonts w:ascii="Arial" w:hAnsi="Arial" w:eastAsia="Arial" w:cs="Arial"/>
          <w:noProof w:val="0"/>
          <w:sz w:val="22"/>
          <w:szCs w:val="22"/>
          <w:lang w:val="en-GB"/>
        </w:rPr>
      </w:pPr>
    </w:p>
    <w:p w:rsidR="0E8907AA" w:rsidP="4D0980ED" w:rsidRDefault="0E8907AA" w14:paraId="30A5E957" w14:textId="5FAEDF35">
      <w:pPr>
        <w:spacing w:before="240" w:beforeAutospacing="off" w:after="240" w:afterAutospacing="off" w:line="360" w:lineRule="auto"/>
        <w:jc w:val="both"/>
        <w:rPr>
          <w:rFonts w:ascii="Arial" w:hAnsi="Arial" w:eastAsia="Arial" w:cs="Arial"/>
          <w:noProof w:val="0"/>
          <w:sz w:val="22"/>
          <w:szCs w:val="22"/>
          <w:lang w:val="en-GB"/>
        </w:rPr>
      </w:pPr>
      <w:r w:rsidRPr="4D0980ED" w:rsidR="0E8907AA">
        <w:rPr>
          <w:rFonts w:ascii="Arial" w:hAnsi="Arial" w:eastAsia="Arial" w:cs="Arial"/>
          <w:noProof w:val="0"/>
          <w:sz w:val="22"/>
          <w:szCs w:val="22"/>
          <w:lang w:val="en-GB"/>
        </w:rPr>
        <w:t>Effective implementation requires more than technical competence. Staff must select appropriate patients, obtain interpretable recordings, understand diagnostic limitations, communicate findings and arrange confirmatory testing and follow-up. NICE (2022) positions KardiaMobile within an established diagnostic pathway rather than as a replacement for professional assessment. Competency-based training, clear accountability and defined escalation procedures are therefore essential to patient safety.</w:t>
      </w:r>
    </w:p>
    <w:p w:rsidR="0E8907AA" w:rsidP="4D0980ED" w:rsidRDefault="0E8907AA" w14:paraId="3CDA4B08" w14:textId="30BB89AC">
      <w:pPr>
        <w:spacing w:before="240" w:beforeAutospacing="off" w:after="240" w:afterAutospacing="off" w:line="360" w:lineRule="auto"/>
        <w:jc w:val="both"/>
        <w:rPr>
          <w:rFonts w:ascii="Arial" w:hAnsi="Arial" w:eastAsia="Arial" w:cs="Arial"/>
          <w:noProof w:val="0"/>
          <w:sz w:val="22"/>
          <w:szCs w:val="22"/>
          <w:lang w:val="en-GB"/>
        </w:rPr>
      </w:pPr>
      <w:r w:rsidRPr="4D0980ED" w:rsidR="0E8907AA">
        <w:rPr>
          <w:rFonts w:ascii="Arial" w:hAnsi="Arial" w:eastAsia="Arial" w:cs="Arial"/>
          <w:noProof w:val="0"/>
          <w:sz w:val="22"/>
          <w:szCs w:val="22"/>
          <w:lang w:val="en-GB"/>
        </w:rPr>
        <w:t xml:space="preserve">Workload presents a further challenge. If ECG interpretation and documentation are added without protected clinical time, the technology may transfer work rather than reduce it. This concern is consistent with Emmett et al. (2023), who identified workload and interoperability as important implementation considerations. Organisations should </w:t>
      </w:r>
      <w:r w:rsidRPr="4D0980ED" w:rsidR="0E8907AA">
        <w:rPr>
          <w:rFonts w:ascii="Arial" w:hAnsi="Arial" w:eastAsia="Arial" w:cs="Arial"/>
          <w:noProof w:val="0"/>
          <w:sz w:val="22"/>
          <w:szCs w:val="22"/>
          <w:lang w:val="en-GB"/>
        </w:rPr>
        <w:t>consequently</w:t>
      </w:r>
      <w:r w:rsidRPr="4D0980ED" w:rsidR="0E8907AA">
        <w:rPr>
          <w:rFonts w:ascii="Arial" w:hAnsi="Arial" w:eastAsia="Arial" w:cs="Arial"/>
          <w:noProof w:val="0"/>
          <w:sz w:val="22"/>
          <w:szCs w:val="22"/>
          <w:lang w:val="en-GB"/>
        </w:rPr>
        <w:t xml:space="preserve"> </w:t>
      </w:r>
      <w:r w:rsidRPr="4D0980ED" w:rsidR="0E8907AA">
        <w:rPr>
          <w:rFonts w:ascii="Arial" w:hAnsi="Arial" w:eastAsia="Arial" w:cs="Arial"/>
          <w:noProof w:val="0"/>
          <w:sz w:val="22"/>
          <w:szCs w:val="22"/>
          <w:lang w:val="en-GB"/>
        </w:rPr>
        <w:t>allocate</w:t>
      </w:r>
      <w:r w:rsidRPr="4D0980ED" w:rsidR="0E8907AA">
        <w:rPr>
          <w:rFonts w:ascii="Arial" w:hAnsi="Arial" w:eastAsia="Arial" w:cs="Arial"/>
          <w:noProof w:val="0"/>
          <w:sz w:val="22"/>
          <w:szCs w:val="22"/>
          <w:lang w:val="en-GB"/>
        </w:rPr>
        <w:t xml:space="preserve"> review time, provide refresher </w:t>
      </w:r>
      <w:r w:rsidRPr="4D0980ED" w:rsidR="0E8907AA">
        <w:rPr>
          <w:rFonts w:ascii="Arial" w:hAnsi="Arial" w:eastAsia="Arial" w:cs="Arial"/>
          <w:noProof w:val="0"/>
          <w:sz w:val="22"/>
          <w:szCs w:val="22"/>
          <w:lang w:val="en-GB"/>
        </w:rPr>
        <w:t>training</w:t>
      </w:r>
      <w:r w:rsidRPr="4D0980ED" w:rsidR="0E8907AA">
        <w:rPr>
          <w:rFonts w:ascii="Arial" w:hAnsi="Arial" w:eastAsia="Arial" w:cs="Arial"/>
          <w:noProof w:val="0"/>
          <w:sz w:val="22"/>
          <w:szCs w:val="22"/>
          <w:lang w:val="en-GB"/>
        </w:rPr>
        <w:t xml:space="preserve"> and clarify responsibility for recording, </w:t>
      </w:r>
      <w:r w:rsidRPr="4D0980ED" w:rsidR="0E8907AA">
        <w:rPr>
          <w:rFonts w:ascii="Arial" w:hAnsi="Arial" w:eastAsia="Arial" w:cs="Arial"/>
          <w:noProof w:val="0"/>
          <w:sz w:val="22"/>
          <w:szCs w:val="22"/>
          <w:lang w:val="en-GB"/>
        </w:rPr>
        <w:t>interpreting</w:t>
      </w:r>
      <w:r w:rsidRPr="4D0980ED" w:rsidR="0E8907AA">
        <w:rPr>
          <w:rFonts w:ascii="Arial" w:hAnsi="Arial" w:eastAsia="Arial" w:cs="Arial"/>
          <w:noProof w:val="0"/>
          <w:sz w:val="22"/>
          <w:szCs w:val="22"/>
          <w:lang w:val="en-GB"/>
        </w:rPr>
        <w:t xml:space="preserve"> and communicating results.</w:t>
      </w:r>
      <w:r w:rsidRPr="4D0980ED" w:rsidR="1FF87A35">
        <w:rPr>
          <w:rFonts w:ascii="Arial" w:hAnsi="Arial" w:eastAsia="Arial" w:cs="Arial"/>
          <w:noProof w:val="0"/>
          <w:sz w:val="22"/>
          <w:szCs w:val="22"/>
          <w:lang w:val="en-GB"/>
        </w:rPr>
        <w:t xml:space="preserve"> </w:t>
      </w:r>
      <w:r w:rsidRPr="4D0980ED" w:rsidR="0E8907AA">
        <w:rPr>
          <w:rFonts w:ascii="Arial" w:hAnsi="Arial" w:eastAsia="Arial" w:cs="Arial"/>
          <w:noProof w:val="0"/>
          <w:sz w:val="22"/>
          <w:szCs w:val="22"/>
          <w:lang w:val="en-GB"/>
        </w:rPr>
        <w:t xml:space="preserve">Workforce engagement and leadership also influence sustainable adoption. Change champions may support colleagues and encourage consistent practice; however, their contribution will be limited if staffing, </w:t>
      </w:r>
      <w:r w:rsidRPr="4D0980ED" w:rsidR="0E8907AA">
        <w:rPr>
          <w:rFonts w:ascii="Arial" w:hAnsi="Arial" w:eastAsia="Arial" w:cs="Arial"/>
          <w:noProof w:val="0"/>
          <w:sz w:val="22"/>
          <w:szCs w:val="22"/>
          <w:lang w:val="en-GB"/>
        </w:rPr>
        <w:t>training</w:t>
      </w:r>
      <w:r w:rsidRPr="4D0980ED" w:rsidR="0E8907AA">
        <w:rPr>
          <w:rFonts w:ascii="Arial" w:hAnsi="Arial" w:eastAsia="Arial" w:cs="Arial"/>
          <w:noProof w:val="0"/>
          <w:sz w:val="22"/>
          <w:szCs w:val="22"/>
          <w:lang w:val="en-GB"/>
        </w:rPr>
        <w:t xml:space="preserve"> or digital infrastructure is inadequate. Healthcare organisations should assess the complete workflow before implementation to </w:t>
      </w:r>
      <w:r w:rsidRPr="4D0980ED" w:rsidR="0E8907AA">
        <w:rPr>
          <w:rFonts w:ascii="Arial" w:hAnsi="Arial" w:eastAsia="Arial" w:cs="Arial"/>
          <w:noProof w:val="0"/>
          <w:sz w:val="22"/>
          <w:szCs w:val="22"/>
          <w:lang w:val="en-GB"/>
        </w:rPr>
        <w:t>identify</w:t>
      </w:r>
      <w:r w:rsidRPr="4D0980ED" w:rsidR="0E8907AA">
        <w:rPr>
          <w:rFonts w:ascii="Arial" w:hAnsi="Arial" w:eastAsia="Arial" w:cs="Arial"/>
          <w:noProof w:val="0"/>
          <w:sz w:val="22"/>
          <w:szCs w:val="22"/>
          <w:lang w:val="en-GB"/>
        </w:rPr>
        <w:t xml:space="preserve"> resource requirements and prevent </w:t>
      </w:r>
      <w:r w:rsidRPr="4D0980ED" w:rsidR="0E8907AA">
        <w:rPr>
          <w:rFonts w:ascii="Arial" w:hAnsi="Arial" w:eastAsia="Arial" w:cs="Arial"/>
          <w:noProof w:val="0"/>
          <w:sz w:val="22"/>
          <w:szCs w:val="22"/>
          <w:lang w:val="en-GB"/>
        </w:rPr>
        <w:t>additional</w:t>
      </w:r>
      <w:r w:rsidRPr="4D0980ED" w:rsidR="0E8907AA">
        <w:rPr>
          <w:rFonts w:ascii="Arial" w:hAnsi="Arial" w:eastAsia="Arial" w:cs="Arial"/>
          <w:noProof w:val="0"/>
          <w:sz w:val="22"/>
          <w:szCs w:val="22"/>
          <w:lang w:val="en-GB"/>
        </w:rPr>
        <w:t xml:space="preserve"> administrative burdens.</w:t>
      </w:r>
    </w:p>
    <w:p w:rsidR="0E8907AA" w:rsidP="4D0980ED" w:rsidRDefault="0E8907AA" w14:paraId="36EE0E02" w14:textId="1DD4C471">
      <w:pPr>
        <w:spacing w:before="240" w:beforeAutospacing="off" w:after="240" w:afterAutospacing="off" w:line="360" w:lineRule="auto"/>
        <w:jc w:val="both"/>
        <w:rPr>
          <w:rFonts w:ascii="Arial" w:hAnsi="Arial" w:eastAsia="Arial" w:cs="Arial"/>
          <w:b w:val="1"/>
          <w:bCs w:val="1"/>
          <w:noProof w:val="0"/>
          <w:sz w:val="22"/>
          <w:szCs w:val="22"/>
          <w:lang w:val="en-GB"/>
        </w:rPr>
      </w:pPr>
      <w:r w:rsidRPr="4D0980ED" w:rsidR="0E8907AA">
        <w:rPr>
          <w:rFonts w:ascii="Arial" w:hAnsi="Arial" w:eastAsia="Arial" w:cs="Arial"/>
          <w:noProof w:val="0"/>
          <w:sz w:val="22"/>
          <w:szCs w:val="22"/>
          <w:lang w:val="en-GB"/>
        </w:rPr>
        <w:t>Overall, KardiaMobile demonstrates that digital transformation requires investment in workforce capability as well as technology. Although portable ECG recording may improve convenience, efficiency depends on professi</w:t>
      </w:r>
      <w:r w:rsidRPr="4D0980ED" w:rsidR="0E8907AA">
        <w:rPr>
          <w:rFonts w:ascii="Arial" w:hAnsi="Arial" w:eastAsia="Arial" w:cs="Arial"/>
          <w:b w:val="0"/>
          <w:bCs w:val="0"/>
          <w:noProof w:val="0"/>
          <w:sz w:val="22"/>
          <w:szCs w:val="22"/>
          <w:lang w:val="en-GB"/>
        </w:rPr>
        <w:t xml:space="preserve">onals having the time, skills and systems to translate recordings into appropriate clinical action. </w:t>
      </w:r>
      <w:r w:rsidRPr="4D0980ED" w:rsidR="0E8907AA">
        <w:rPr>
          <w:rFonts w:ascii="Arial" w:hAnsi="Arial" w:eastAsia="Arial" w:cs="Arial"/>
          <w:b w:val="0"/>
          <w:bCs w:val="0"/>
          <w:noProof w:val="0"/>
          <w:sz w:val="22"/>
          <w:szCs w:val="22"/>
          <w:lang w:val="en-GB"/>
        </w:rPr>
        <w:t>Targeted implementation supported by training, clinical governance and protected review time is therefore more defensible than introducing the device without adequate organisational preparation.</w:t>
      </w:r>
    </w:p>
    <w:p w:rsidR="4D0980ED" w:rsidP="4D0980ED" w:rsidRDefault="4D0980ED" w14:paraId="5BCDE7CF" w14:textId="549CE8F4">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4D0980ED" w:rsidP="4D0980ED" w:rsidRDefault="4D0980ED" w14:paraId="429BC053" w14:textId="202F2B6D">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FF0000"/>
          <w:sz w:val="22"/>
          <w:szCs w:val="22"/>
          <w:lang w:val="en-GB"/>
        </w:rPr>
      </w:pPr>
    </w:p>
    <w:p w:rsidR="7E1F9EF1" w:rsidP="7E1F9EF1" w:rsidRDefault="7E1F9EF1" w14:paraId="71908EEA" w14:textId="34BCFA5A">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7E1F9EF1" w:rsidRDefault="7E1F9EF1" w14:paraId="3BD5F509" w14:textId="48F498DA">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0E803324" w14:textId="1B2E1439">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5D409779" w14:textId="5C1689B9">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3E9694C4" w14:textId="6C8C85E0">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0EF26560" w14:textId="6401F805">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75C2C08C" w14:textId="0190818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4DC95776" w14:textId="4B3A57A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6C1F3FB0" w14:textId="132B169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6DFC660F" w14:textId="0D727DE9">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7A5A4AAD" w14:textId="54C3CB3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67D6109C" w14:textId="45AC6FF3">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1FAB70B" w14:textId="3F2DAE04">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36F03A57" w14:textId="03F69FFD">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A69334B" w14:textId="16AC2ED3">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6A78764A" w14:textId="70788AF6">
      <w:pPr>
        <w:pStyle w:val="Heading1"/>
        <w:spacing w:before="200" w:beforeAutospacing="off" w:after="8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p>
    <w:p w:rsidR="3B28C72C" w:rsidP="4D0980ED" w:rsidRDefault="3B28C72C" w14:paraId="59DE00CC" w14:textId="44932158">
      <w:pPr>
        <w:pStyle w:val="Heading1"/>
        <w:spacing w:before="200" w:beforeAutospacing="off" w:after="8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bookmarkStart w:name="_Toc916545519" w:id="551938421"/>
      <w:bookmarkStart w:name="_Toc1892472648" w:id="1711807423"/>
      <w:bookmarkStart w:name="_Toc1326999104" w:id="324137791"/>
      <w:bookmarkStart w:name="_Toc2071053466" w:id="999531906"/>
      <w:bookmarkStart w:name="_Toc1776199656" w:id="183037096"/>
      <w:bookmarkStart w:name="_Toc848407460" w:id="1850518483"/>
      <w:bookmarkStart w:name="_Toc1361242769" w:id="1083707838"/>
      <w:bookmarkStart w:name="_Toc1976682574" w:id="605645459"/>
      <w:bookmarkStart w:name="_Toc1667825575" w:id="1749963965"/>
      <w:bookmarkStart w:name="_Toc1129994063" w:id="814699931"/>
      <w:bookmarkStart w:name="_Toc469749488" w:id="824182590"/>
      <w:bookmarkStart w:name="_Toc1154619561" w:id="720641855"/>
      <w:bookmarkStart w:name="_Toc798855047" w:id="1948418211"/>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IMPACT ON SERVICE DELIVERY</w:t>
      </w:r>
      <w:bookmarkEnd w:id="551938421"/>
      <w:bookmarkEnd w:id="1711807423"/>
      <w:bookmarkEnd w:id="324137791"/>
      <w:bookmarkEnd w:id="999531906"/>
      <w:bookmarkEnd w:id="183037096"/>
      <w:bookmarkEnd w:id="1850518483"/>
      <w:bookmarkEnd w:id="1083707838"/>
      <w:bookmarkEnd w:id="605645459"/>
      <w:bookmarkEnd w:id="1749963965"/>
      <w:bookmarkEnd w:id="814699931"/>
      <w:bookmarkEnd w:id="824182590"/>
      <w:bookmarkEnd w:id="720641855"/>
      <w:bookmarkEnd w:id="1948418211"/>
    </w:p>
    <w:p w:rsidR="595DAC14" w:rsidP="4D0980ED" w:rsidRDefault="595DAC14" w14:paraId="4D94F50C" w14:textId="204483BF">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The principal service</w:t>
      </w:r>
      <w:r w:rsidRPr="4D0980ED" w:rsidR="5AFA75BE">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delivery change is a shift from a location-dependent diagnostic pathway towards point-of-care assessment. For housebound patients, the clinician can obtain an ECG during a scheduled community visit. This may reduce unnecessary travel, avoid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additional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appointments</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provide information when symptoms are present. NICE (2019) noted that delays in conventional ECG access can make paroxysmal AF difficult to capture because episodes may stop before the patient receives a test. </w:t>
      </w:r>
      <w:r w:rsidRPr="4D0980ED" w:rsidR="43E68290">
        <w:rPr>
          <w:rFonts w:ascii="Arial" w:hAnsi="Arial" w:eastAsia="Arial" w:cs="Arial" w:asciiTheme="minorAscii" w:hAnsiTheme="minorAscii" w:eastAsiaTheme="minorAscii" w:cstheme="minorAscii"/>
          <w:b w:val="0"/>
          <w:bCs w:val="0"/>
          <w:noProof w:val="0"/>
          <w:color w:val="auto"/>
          <w:sz w:val="22"/>
          <w:szCs w:val="22"/>
          <w:lang w:val="en-GB"/>
        </w:rPr>
        <w:t>Kardia Mobile</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therefore has value where symptoms are intermittent.</w:t>
      </w:r>
    </w:p>
    <w:p w:rsidR="595DAC14" w:rsidP="4D0980ED" w:rsidRDefault="595DAC14" w14:paraId="6C8BA586" w14:textId="581596EB">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The service model can also support earlier clinical decision-making. In a UK care-home pilot, Savickas et al. (2024) used pulse palpation followed by </w:t>
      </w:r>
      <w:r w:rsidRPr="4D0980ED" w:rsidR="59C58A5A">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single-lead ECG, with cardiologist review of recordings. Among 52 usable recordings, 13.5% were interpreted as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possible AF</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9.6% represented previously unknown AF; one participant with previously unknown AF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subsequently</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received anticoagulation. These findings suggest that mobile ECG can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identify</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clinically relevant previously unrecognised AF in a high-risk care setting. However, the small, cross-sectional pilot cannot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demonstrate</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that the technology reduces stroke incidence or is cost-effective across care homes.</w:t>
      </w:r>
      <w:r w:rsidRPr="4D0980ED" w:rsidR="746E677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The “so what?” is therefore important. Detecting more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possible AF</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is only beneficial if the finding results in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timely</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appropriate clinical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assessment and treatment. If an abnormal recording does not lead to effective follow-up, the technological improvement in detection may have limited practical value. Similarly, if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additional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recordings increase referrals without improving diagnostic accuracy or outcomes, the technology could create pressure elsewhere in the healthcare system. Therefore, service-delivery evaluation needs to consider the whole pathway rather than focusing only on the speed or convenience of ECG recording.</w:t>
      </w:r>
    </w:p>
    <w:p w:rsidR="595DAC14" w:rsidP="4D0980ED" w:rsidRDefault="595DAC14" w14:paraId="408EF5A5" w14:textId="5D638AC3">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Service redesign also creates risks. A mobile ECG can generate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additional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traces that require review, documentation and potentially a 12-lead ECG or specialist assessment. NICE (2019) specifically emphasised that lead-I ECG devices should not be treated as replacements for confirmatory investigation where this is clinically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required</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Therefore, a poorly designed pathway could increase workload and create false reassurance or unnecessary referrals. The implementation question is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consequently</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not simply whether </w:t>
      </w:r>
      <w:r w:rsidRPr="4D0980ED" w:rsidR="07FE16FA">
        <w:rPr>
          <w:rFonts w:ascii="Arial" w:hAnsi="Arial" w:eastAsia="Arial" w:cs="Arial" w:asciiTheme="minorAscii" w:hAnsiTheme="minorAscii" w:eastAsiaTheme="minorAscii" w:cstheme="minorAscii"/>
          <w:b w:val="0"/>
          <w:bCs w:val="0"/>
          <w:noProof w:val="0"/>
          <w:color w:val="auto"/>
          <w:sz w:val="22"/>
          <w:szCs w:val="22"/>
          <w:lang w:val="en-GB"/>
        </w:rPr>
        <w:t>KardiaMobile</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works, but whether the whole pathway from patient selection and recording to interpretation, documentation,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referral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treatment is designed safely.</w:t>
      </w:r>
    </w:p>
    <w:p w:rsidR="595DAC14" w:rsidP="4D0980ED" w:rsidRDefault="595DAC14" w14:paraId="79B4C8E9" w14:textId="61BFB60C">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Data integration is another service-delivery weakness. Emmett et al. (2024)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identified</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incomplete integration of device-generated rhythm data into the electronic health record as a barrier. NHS England (2025) similarly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identifies</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interoperability, clinical safety, data protection, technical security,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usability</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accessibility as important criteria for digital health technologies. If ECG results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remain</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in a separate application, email or shared folder, clinicians may have to duplicate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documentation,</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and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important information</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may be less visible to other professionals.</w:t>
      </w:r>
    </w:p>
    <w:p w:rsidR="595DAC14" w:rsidP="4D0980ED" w:rsidRDefault="595DAC14" w14:paraId="1DCBB206" w14:textId="5FF39507">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The implication is that procurement decisions should not focus solely on whether the device performs the technical task. Organisations must consider whether the device fits existing digital infrastructure and whether information can move safely between professionals. Otherwise, a technology intended to improve efficiency may create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additional</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administrative work and fragmentation. </w:t>
      </w:r>
      <w:r w:rsidRPr="4D0980ED" w:rsidR="2B502696">
        <w:rPr>
          <w:rFonts w:ascii="Arial" w:hAnsi="Arial" w:eastAsia="Arial" w:cs="Arial" w:asciiTheme="minorAscii" w:hAnsiTheme="minorAscii" w:eastAsiaTheme="minorAscii" w:cstheme="minorAscii"/>
          <w:b w:val="0"/>
          <w:bCs w:val="0"/>
          <w:noProof w:val="0"/>
          <w:color w:val="auto"/>
          <w:sz w:val="22"/>
          <w:szCs w:val="22"/>
          <w:lang w:val="en-GB"/>
        </w:rPr>
        <w:t>Kardia Mobile</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therefore needs to be implemented as part of the information architecture of the service, not simply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purchased</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as equipment.</w:t>
      </w:r>
      <w:r w:rsidRPr="4D0980ED" w:rsidR="6AA14A55">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There are nevertheless potential service-level benefits. Bringing ECG assessment into community settings may reduce dependence on hospital-based diagnostic appointments and make services more responsive to patients who have difficulty travelling. This may be particularly valuable for community nursing and care-home services. However, these benefits depend on </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appropriate patient</w:t>
      </w:r>
      <w:r w:rsidRPr="4D0980ED" w:rsidR="595DAC14">
        <w:rPr>
          <w:rFonts w:ascii="Arial" w:hAnsi="Arial" w:eastAsia="Arial" w:cs="Arial" w:asciiTheme="minorAscii" w:hAnsiTheme="minorAscii" w:eastAsiaTheme="minorAscii" w:cstheme="minorAscii"/>
          <w:b w:val="0"/>
          <w:bCs w:val="0"/>
          <w:noProof w:val="0"/>
          <w:color w:val="auto"/>
          <w:sz w:val="22"/>
          <w:szCs w:val="22"/>
          <w:lang w:val="en-GB"/>
        </w:rPr>
        <w:t xml:space="preserve"> selection, clear referral arrangements and reliable clinical oversight. Digital transformation should therefore be judged by whether it improves the overall patient pathway rather than whether the technology itself is convenient.</w:t>
      </w:r>
    </w:p>
    <w:p w:rsidR="4D0980ED" w:rsidP="4D0980ED" w:rsidRDefault="4D0980ED" w14:paraId="7C1BCB73" w14:textId="245F44A1">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7045B5F" w14:textId="3922986C">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0218F4BF" w14:textId="6FFABF9D">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3F89DE07" w14:textId="3E7468CF">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352CDA65" w14:textId="6DC9CA95">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1B21E1AF" w14:textId="61056D50">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7D452E28" w14:textId="0AAAA3C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49E373F3" w14:textId="0F85301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318C6E1C" w14:textId="64E97C18">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64203F79" w14:textId="56A1FBDB">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54CEE86B" w14:textId="782F7525">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5A585A3C" w14:textId="2C315EB4">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6AA1DC39" w14:textId="77309407">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3B28C72C" w:rsidP="4D0980ED" w:rsidRDefault="3B28C72C" w14:paraId="61CC2480" w14:textId="7134C7BB">
      <w:pPr>
        <w:pStyle w:val="Heading1"/>
        <w:spacing w:before="200" w:beforeAutospacing="off" w:after="80" w:afterAutospacing="off" w:line="360" w:lineRule="auto"/>
        <w:jc w:val="center"/>
        <w:rPr>
          <w:rFonts w:ascii="Arial" w:hAnsi="Arial" w:eastAsia="Arial" w:cs="Arial" w:asciiTheme="minorAscii" w:hAnsiTheme="minorAscii" w:eastAsiaTheme="minorAscii" w:cstheme="minorAscii"/>
          <w:b w:val="1"/>
          <w:bCs w:val="1"/>
          <w:noProof w:val="0"/>
          <w:color w:val="auto"/>
          <w:sz w:val="22"/>
          <w:szCs w:val="22"/>
          <w:lang w:val="en-GB"/>
        </w:rPr>
      </w:pPr>
      <w:bookmarkStart w:name="_Toc1963120151" w:id="299688892"/>
      <w:bookmarkStart w:name="_Toc18559917" w:id="961606675"/>
      <w:bookmarkStart w:name="_Toc1686878344" w:id="1890811262"/>
      <w:bookmarkStart w:name="_Toc1833152579" w:id="1935769790"/>
      <w:bookmarkStart w:name="_Toc883125484" w:id="2105260409"/>
      <w:bookmarkStart w:name="_Toc1301148567" w:id="883494433"/>
      <w:bookmarkStart w:name="_Toc683439253" w:id="993386861"/>
      <w:bookmarkStart w:name="_Toc2131522136" w:id="326343097"/>
      <w:bookmarkStart w:name="_Toc1617267530" w:id="1523266348"/>
      <w:bookmarkStart w:name="_Toc616328227" w:id="1624992059"/>
      <w:bookmarkStart w:name="_Toc755002128" w:id="453994897"/>
      <w:bookmarkStart w:name="_Toc1372691820" w:id="121873538"/>
      <w:bookmarkStart w:name="_Toc156467440" w:id="1123284176"/>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IMPACT ON PATIENTS AND SERVICE USERS</w:t>
      </w:r>
      <w:bookmarkEnd w:id="299688892"/>
      <w:bookmarkEnd w:id="961606675"/>
      <w:bookmarkEnd w:id="1890811262"/>
      <w:bookmarkEnd w:id="1935769790"/>
      <w:bookmarkEnd w:id="2105260409"/>
      <w:bookmarkEnd w:id="883494433"/>
      <w:bookmarkEnd w:id="993386861"/>
      <w:bookmarkEnd w:id="326343097"/>
      <w:bookmarkEnd w:id="1523266348"/>
      <w:bookmarkEnd w:id="1624992059"/>
      <w:bookmarkEnd w:id="453994897"/>
      <w:bookmarkEnd w:id="121873538"/>
      <w:bookmarkEnd w:id="1123284176"/>
    </w:p>
    <w:p w:rsidR="1F294A6F" w:rsidP="4D0980ED" w:rsidRDefault="1F294A6F" w14:paraId="61E2C098" w14:textId="0EC928E2">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KardiaMobile can transform patients’ experience of care by bringing electrocardiogram (ECG) recording closer to home, particularly for housebound, frail and older people with multiple health conditions. Portable monitoring may reduce unnecessary travel and support the identification of paroxysmal atrial fibrillation (AF), which can be difficult to detect during a brief clinical appointment. NICE (2019) reported positive patient and general practitioner views regarding the convenience of lead-I ECG recording in primary care. However, positive perceptions demonstrate acceptability rather than definitive improvements in diagnostic accuracy or long-term health outcomes. Therefore, convenience should be considered alongside clinical effectiveness.</w:t>
      </w:r>
    </w:p>
    <w:p w:rsidR="1F294A6F" w:rsidP="4D0980ED" w:rsidRDefault="1F294A6F" w14:paraId="1A27E7E5" w14:textId="10B98505">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KardiaMobile may also promote patient involvement by allowing patients and healthcare professionals to view rhythm recordings and discuss results. This can make heart rhythm assessment more understandable and encourage participation in decisions about care. Nevertheless, increased access to health information does not automatically produce empowerment. Abnormal or unclassified recordings may cause anxiety, while normal readings may provide false reassurance when symptoms occur intermittently. Consequently, professional interpretation, clear explanations and safety-netting are essential to ensure that patients understand the limitations of individual recordings and know when further assessment is required.</w:t>
      </w:r>
    </w:p>
    <w:p w:rsidR="1F294A6F" w:rsidP="4D0980ED" w:rsidRDefault="1F294A6F" w14:paraId="2589F8BB" w14:textId="76508563">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Importantly, access and usability are not consistent across all patient groups. Emmett et al. (2024) identified practical difficulties associated with tremor, rheumatoid fingers and connectivity problems in remote areas. These limitations may disproportionately affect people with physical impairments or those living in underserved communities. Although the technology may improve access for some patients, it could disadvantage others if implementation assumes that everyone can obtain a reliable recording. Healthcare professionals should therefore offer reasonable adjustments, assistance where appropriate and alternative diagnostic pathways.</w:t>
      </w:r>
    </w:p>
    <w:p w:rsidR="1F294A6F" w:rsidP="4D0980ED" w:rsidRDefault="1F294A6F" w14:paraId="50F98AA9" w14:textId="2501124E">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Digital inclusion is consequently central to patient-centred care. NHS England (2024) emphasises that digital approaches should complement rather than replace non-digital support. Patients with limited digital literacy, cognitive impairment, communication needs or difficulties using technology should retain access to suitable conventional ECG services. This requires services to assess individual needs rather than adopting a universal digital-first approach. Such flexibility can help reduce inequalities while preserving patient choice.</w:t>
      </w:r>
    </w:p>
    <w:p w:rsidR="1F294A6F" w:rsidP="4D0980ED" w:rsidRDefault="1F294A6F" w14:paraId="22020958" w14:textId="706F6643">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Privacy and information governance are equally important because ECG recordings constitute sensitive health information. UK GDPR and the Data Protection Act 2018 require appropriate safeguards for processing personal data. NHS England (2025) also highlights the importance of secure access, technical assurance and privacy considerations in digital health. Patients should understand how recordings are stored, accessed, shared and incorporated into clinical records. Clear communication and secure systems can strengthen trust and support informed engagement with digital care.</w:t>
      </w:r>
    </w:p>
    <w:p w:rsidR="1F294A6F" w:rsidP="4D0980ED" w:rsidRDefault="1F294A6F" w14:paraId="2614413E" w14:textId="76CC82EC">
      <w:pPr>
        <w:pStyle w:val="Normal"/>
        <w:spacing w:before="240" w:beforeAutospacing="off" w:after="240" w:afterAutospacing="off" w:line="360" w:lineRule="auto"/>
        <w:jc w:val="both"/>
      </w:pPr>
      <w:r w:rsidRPr="4D0980ED" w:rsidR="1F294A6F">
        <w:rPr>
          <w:rFonts w:ascii="Arial" w:hAnsi="Arial" w:eastAsia="Arial" w:cs="Arial" w:asciiTheme="minorAscii" w:hAnsiTheme="minorAscii" w:eastAsiaTheme="minorAscii" w:cstheme="minorAscii"/>
          <w:b w:val="0"/>
          <w:bCs w:val="0"/>
          <w:noProof w:val="0"/>
          <w:sz w:val="22"/>
          <w:szCs w:val="22"/>
          <w:lang w:val="en-GB"/>
        </w:rPr>
        <w:t>Overall, KardiaMobile offers potential benefits through convenience, patient involvement and improved access to rhythm assessment. However, the evidence limitations and practical barriers mean that these benefits should not be assumed for every patient. Its effectiveness depends on appropriate clinical interpretation, accessible alternatives, data protection and timely follow-up. Therefore, KardiaMobile should be implemented as a supportive component of person-centred care rather than a replacement for established diagnostic pathways.</w:t>
      </w:r>
    </w:p>
    <w:p w:rsidR="4D0980ED" w:rsidP="4D0980ED" w:rsidRDefault="4D0980ED" w14:paraId="1E0BD3F8" w14:textId="3F9C52E0">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7E1F9EF1" w:rsidP="7E1F9EF1" w:rsidRDefault="7E1F9EF1" w14:paraId="397AA460" w14:textId="4A989FD3">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16E9D13D" w14:textId="0697422A">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10DF7BEA" w14:textId="369B5A07">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5730DCC2" w14:textId="2C2C9BA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6813A95C" w14:textId="61DF3D42">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2A1D037A" w14:textId="328A9F55">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5776CAF3" w14:textId="1ED27F5F">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6586969F" w14:textId="0357A2EE">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32BA01CC" w14:textId="50E858E4">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29391711" w14:textId="386C040C">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3017C63A" w14:textId="03C8B797">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2D4EDD3E" w14:textId="7F0C9140">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7E1F9EF1" w:rsidP="4D0980ED" w:rsidRDefault="7E1F9EF1" w14:paraId="08BA68BB" w14:textId="48D727F7">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3B28C72C" w:rsidP="7E1F9EF1" w:rsidRDefault="3B28C72C" w14:paraId="676D3FD4" w14:textId="2F5C7ED8">
      <w:pPr>
        <w:pStyle w:val="Heading1"/>
        <w:spacing w:before="200" w:beforeAutospacing="off" w:after="8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bookmarkStart w:name="_Toc830156367" w:id="1166821805"/>
      <w:bookmarkStart w:name="_Toc1857246486" w:id="1257573010"/>
      <w:bookmarkStart w:name="_Toc1345747079" w:id="545847666"/>
      <w:bookmarkStart w:name="_Toc537074668" w:id="224221118"/>
      <w:bookmarkStart w:name="_Toc1592800551" w:id="620668417"/>
      <w:bookmarkStart w:name="_Toc333276960" w:id="1993598609"/>
      <w:bookmarkStart w:name="_Toc1277257956" w:id="1390966284"/>
      <w:bookmarkStart w:name="_Toc1077022484" w:id="1297201662"/>
      <w:bookmarkStart w:name="_Toc381132370" w:id="837469674"/>
      <w:bookmarkStart w:name="_Toc1842360939" w:id="986737217"/>
      <w:bookmarkStart w:name="_Toc1980003523" w:id="849825057"/>
      <w:bookmarkStart w:name="_Toc797547691" w:id="1721609053"/>
      <w:bookmarkStart w:name="_Toc1104212601" w:id="383167055"/>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CONCLUSION</w:t>
      </w:r>
      <w:r w:rsidRPr="4D0980ED" w:rsidR="7904DE60">
        <w:rPr>
          <w:rFonts w:ascii="Arial" w:hAnsi="Arial" w:eastAsia="Arial" w:cs="Arial" w:asciiTheme="minorAscii" w:hAnsiTheme="minorAscii" w:eastAsiaTheme="minorAscii" w:cstheme="minorAscii"/>
          <w:b w:val="1"/>
          <w:bCs w:val="1"/>
          <w:noProof w:val="0"/>
          <w:color w:val="auto"/>
          <w:sz w:val="22"/>
          <w:szCs w:val="22"/>
          <w:lang w:val="en-GB"/>
        </w:rPr>
        <w:t xml:space="preserve"> AND RECOMMENDATIONS</w:t>
      </w:r>
      <w:bookmarkEnd w:id="1166821805"/>
      <w:bookmarkEnd w:id="1257573010"/>
      <w:bookmarkEnd w:id="545847666"/>
      <w:bookmarkEnd w:id="224221118"/>
      <w:bookmarkEnd w:id="620668417"/>
      <w:bookmarkEnd w:id="1993598609"/>
      <w:bookmarkEnd w:id="1390966284"/>
      <w:bookmarkEnd w:id="1297201662"/>
      <w:bookmarkEnd w:id="837469674"/>
      <w:bookmarkEnd w:id="986737217"/>
      <w:bookmarkEnd w:id="849825057"/>
      <w:bookmarkEnd w:id="1721609053"/>
      <w:bookmarkEnd w:id="383167055"/>
    </w:p>
    <w:p w:rsidR="21E7E947" w:rsidP="4D0980ED" w:rsidRDefault="21E7E947" w14:paraId="23769B9A" w14:textId="31D8F5FC">
      <w:pPr>
        <w:spacing w:before="240" w:beforeAutospacing="off" w:after="240" w:afterAutospacing="off" w:line="360" w:lineRule="auto"/>
        <w:jc w:val="both"/>
        <w:rPr>
          <w:rFonts w:ascii="Arial" w:hAnsi="Arial" w:eastAsia="Arial" w:cs="Arial"/>
          <w:b w:val="0"/>
          <w:bCs w:val="0"/>
          <w:noProof w:val="0"/>
          <w:sz w:val="22"/>
          <w:szCs w:val="22"/>
          <w:lang w:val="en-GB"/>
        </w:rPr>
      </w:pPr>
      <w:r w:rsidRPr="4D0980ED" w:rsidR="21E7E947">
        <w:rPr>
          <w:rFonts w:ascii="Arial" w:hAnsi="Arial" w:eastAsia="Arial" w:cs="Arial"/>
          <w:b w:val="0"/>
          <w:bCs w:val="0"/>
          <w:noProof w:val="0"/>
          <w:sz w:val="22"/>
          <w:szCs w:val="22"/>
          <w:lang w:val="en-GB"/>
        </w:rPr>
        <w:t xml:space="preserve">Based on the attachment, your lecturer wants the conclusion to show the tension/friction, a clear evaluative judgement, and concrete “Now What?” recommendations. I would rewrite it as: </w:t>
      </w:r>
      <w:r w:rsidRPr="4D0980ED" w:rsidR="21E7E947">
        <w:rPr>
          <w:rFonts w:ascii="Arial" w:hAnsi="Arial" w:eastAsia="Arial" w:cs="Arial"/>
          <w:b w:val="0"/>
          <w:bCs w:val="0"/>
          <w:noProof w:val="0"/>
          <w:sz w:val="22"/>
          <w:szCs w:val="22"/>
          <w:lang w:val="en-GB"/>
        </w:rPr>
        <w:t>KardiaMobile</w:t>
      </w:r>
      <w:r w:rsidRPr="4D0980ED" w:rsidR="21E7E947">
        <w:rPr>
          <w:rFonts w:ascii="Arial" w:hAnsi="Arial" w:eastAsia="Arial" w:cs="Arial"/>
          <w:b w:val="0"/>
          <w:bCs w:val="0"/>
          <w:noProof w:val="0"/>
          <w:sz w:val="22"/>
          <w:szCs w:val="22"/>
          <w:lang w:val="en-GB"/>
        </w:rPr>
        <w:t xml:space="preserve"> shows how digital innovation can bring ECG recording closer to patients in community and care-home settings. Although NICE guidance and UK evidence support its use for AF detection (NICE, 2022; Emmett et al., 2024; Savickas et al., 2024), implementation evidence </w:t>
      </w:r>
      <w:r w:rsidRPr="4D0980ED" w:rsidR="21E7E947">
        <w:rPr>
          <w:rFonts w:ascii="Arial" w:hAnsi="Arial" w:eastAsia="Arial" w:cs="Arial"/>
          <w:b w:val="0"/>
          <w:bCs w:val="0"/>
          <w:noProof w:val="0"/>
          <w:sz w:val="22"/>
          <w:szCs w:val="22"/>
          <w:lang w:val="en-GB"/>
        </w:rPr>
        <w:t>remains</w:t>
      </w:r>
      <w:r w:rsidRPr="4D0980ED" w:rsidR="21E7E947">
        <w:rPr>
          <w:rFonts w:ascii="Arial" w:hAnsi="Arial" w:eastAsia="Arial" w:cs="Arial"/>
          <w:b w:val="0"/>
          <w:bCs w:val="0"/>
          <w:noProof w:val="0"/>
          <w:sz w:val="22"/>
          <w:szCs w:val="22"/>
          <w:lang w:val="en-GB"/>
        </w:rPr>
        <w:t xml:space="preserve"> limited. The small community evaluation and cross-sectional care-home study restrict generalisability and conclusions about long-term outcomes (Emmett et al., 2024; Savickas et al., 2024). Therefore, </w:t>
      </w:r>
      <w:r w:rsidRPr="4D0980ED" w:rsidR="21E7E947">
        <w:rPr>
          <w:rFonts w:ascii="Arial" w:hAnsi="Arial" w:eastAsia="Arial" w:cs="Arial"/>
          <w:b w:val="0"/>
          <w:bCs w:val="0"/>
          <w:noProof w:val="0"/>
          <w:sz w:val="22"/>
          <w:szCs w:val="22"/>
          <w:lang w:val="en-GB"/>
        </w:rPr>
        <w:t>KardiaMobile</w:t>
      </w:r>
      <w:r w:rsidRPr="4D0980ED" w:rsidR="21E7E947">
        <w:rPr>
          <w:rFonts w:ascii="Arial" w:hAnsi="Arial" w:eastAsia="Arial" w:cs="Arial"/>
          <w:b w:val="0"/>
          <w:bCs w:val="0"/>
          <w:noProof w:val="0"/>
          <w:sz w:val="22"/>
          <w:szCs w:val="22"/>
          <w:lang w:val="en-GB"/>
        </w:rPr>
        <w:t xml:space="preserve"> should be viewed as a useful but targeted innovation, rather than a replacement for established ECG pathways.</w:t>
      </w:r>
    </w:p>
    <w:p w:rsidR="21E7E947" w:rsidP="4D0980ED" w:rsidRDefault="21E7E947" w14:paraId="7DE54E17" w14:textId="6C3CE15A">
      <w:pPr>
        <w:spacing w:before="240" w:beforeAutospacing="off" w:after="240" w:afterAutospacing="off" w:line="360" w:lineRule="auto"/>
        <w:jc w:val="both"/>
        <w:rPr>
          <w:rFonts w:ascii="Arial" w:hAnsi="Arial" w:eastAsia="Arial" w:cs="Arial"/>
          <w:b w:val="0"/>
          <w:bCs w:val="0"/>
          <w:noProof w:val="0"/>
          <w:sz w:val="22"/>
          <w:szCs w:val="22"/>
          <w:lang w:val="en-GB"/>
        </w:rPr>
      </w:pPr>
      <w:r w:rsidRPr="4D0980ED" w:rsidR="21E7E947">
        <w:rPr>
          <w:rFonts w:ascii="Arial" w:hAnsi="Arial" w:eastAsia="Arial" w:cs="Arial"/>
          <w:b w:val="0"/>
          <w:bCs w:val="0"/>
          <w:noProof w:val="0"/>
          <w:sz w:val="22"/>
          <w:szCs w:val="22"/>
          <w:lang w:val="en-GB"/>
        </w:rPr>
        <w:t xml:space="preserve">The main implementation tension is between improved access and the practical demands placed on staff and services. </w:t>
      </w:r>
      <w:r w:rsidRPr="4D0980ED" w:rsidR="21E7E947">
        <w:rPr>
          <w:rFonts w:ascii="Arial" w:hAnsi="Arial" w:eastAsia="Arial" w:cs="Arial"/>
          <w:b w:val="0"/>
          <w:bCs w:val="0"/>
          <w:noProof w:val="0"/>
          <w:sz w:val="22"/>
          <w:szCs w:val="22"/>
          <w:lang w:val="en-GB"/>
        </w:rPr>
        <w:t>Training,</w:t>
      </w:r>
      <w:r w:rsidRPr="4D0980ED" w:rsidR="21E7E947">
        <w:rPr>
          <w:rFonts w:ascii="Arial" w:hAnsi="Arial" w:eastAsia="Arial" w:cs="Arial"/>
          <w:b w:val="0"/>
          <w:bCs w:val="0"/>
          <w:noProof w:val="0"/>
          <w:sz w:val="22"/>
          <w:szCs w:val="22"/>
          <w:lang w:val="en-GB"/>
        </w:rPr>
        <w:t xml:space="preserve"> protected clinical time, interoperability and digital inclusion must be addressed for the technology to deliver sustainable benefits. Three priorities follow. First, NHS services should </w:t>
      </w:r>
      <w:r w:rsidRPr="4D0980ED" w:rsidR="21E7E947">
        <w:rPr>
          <w:rFonts w:ascii="Arial" w:hAnsi="Arial" w:eastAsia="Arial" w:cs="Arial"/>
          <w:b w:val="0"/>
          <w:bCs w:val="0"/>
          <w:noProof w:val="0"/>
          <w:sz w:val="22"/>
          <w:szCs w:val="22"/>
          <w:lang w:val="en-GB"/>
        </w:rPr>
        <w:t>establish</w:t>
      </w:r>
      <w:r w:rsidRPr="4D0980ED" w:rsidR="21E7E947">
        <w:rPr>
          <w:rFonts w:ascii="Arial" w:hAnsi="Arial" w:eastAsia="Arial" w:cs="Arial"/>
          <w:b w:val="0"/>
          <w:bCs w:val="0"/>
          <w:noProof w:val="0"/>
          <w:sz w:val="22"/>
          <w:szCs w:val="22"/>
          <w:lang w:val="en-GB"/>
        </w:rPr>
        <w:t xml:space="preserve"> clear pathways for interpretation, </w:t>
      </w:r>
      <w:r w:rsidRPr="4D0980ED" w:rsidR="21E7E947">
        <w:rPr>
          <w:rFonts w:ascii="Arial" w:hAnsi="Arial" w:eastAsia="Arial" w:cs="Arial"/>
          <w:b w:val="0"/>
          <w:bCs w:val="0"/>
          <w:noProof w:val="0"/>
          <w:sz w:val="22"/>
          <w:szCs w:val="22"/>
          <w:lang w:val="en-GB"/>
        </w:rPr>
        <w:t>escalation</w:t>
      </w:r>
      <w:r w:rsidRPr="4D0980ED" w:rsidR="21E7E947">
        <w:rPr>
          <w:rFonts w:ascii="Arial" w:hAnsi="Arial" w:eastAsia="Arial" w:cs="Arial"/>
          <w:b w:val="0"/>
          <w:bCs w:val="0"/>
          <w:noProof w:val="0"/>
          <w:sz w:val="22"/>
          <w:szCs w:val="22"/>
          <w:lang w:val="en-GB"/>
        </w:rPr>
        <w:t xml:space="preserve"> and follow-up, supported by competency-based staff training. Second, services should assess interoperability and clinical safety before wider adoption. Third, non-digital alternatives should remain available to prevent digital exclusion (NHS England, 2024). Ongoing evaluation should measure diagnostic outcomes, workload, patient experience, </w:t>
      </w:r>
      <w:r w:rsidRPr="4D0980ED" w:rsidR="21E7E947">
        <w:rPr>
          <w:rFonts w:ascii="Arial" w:hAnsi="Arial" w:eastAsia="Arial" w:cs="Arial"/>
          <w:b w:val="0"/>
          <w:bCs w:val="0"/>
          <w:noProof w:val="0"/>
          <w:sz w:val="22"/>
          <w:szCs w:val="22"/>
          <w:lang w:val="en-GB"/>
        </w:rPr>
        <w:t>equity</w:t>
      </w:r>
      <w:r w:rsidRPr="4D0980ED" w:rsidR="21E7E947">
        <w:rPr>
          <w:rFonts w:ascii="Arial" w:hAnsi="Arial" w:eastAsia="Arial" w:cs="Arial"/>
          <w:b w:val="0"/>
          <w:bCs w:val="0"/>
          <w:noProof w:val="0"/>
          <w:sz w:val="22"/>
          <w:szCs w:val="22"/>
          <w:lang w:val="en-GB"/>
        </w:rPr>
        <w:t xml:space="preserve"> and cost-effectiveness. Wider implementation should therefore be phased and guided by evidence of clinical benefit, </w:t>
      </w:r>
      <w:r w:rsidRPr="4D0980ED" w:rsidR="21E7E947">
        <w:rPr>
          <w:rFonts w:ascii="Arial" w:hAnsi="Arial" w:eastAsia="Arial" w:cs="Arial"/>
          <w:b w:val="0"/>
          <w:bCs w:val="0"/>
          <w:noProof w:val="0"/>
          <w:sz w:val="22"/>
          <w:szCs w:val="22"/>
          <w:lang w:val="en-GB"/>
        </w:rPr>
        <w:t>safety</w:t>
      </w:r>
      <w:r w:rsidRPr="4D0980ED" w:rsidR="21E7E947">
        <w:rPr>
          <w:rFonts w:ascii="Arial" w:hAnsi="Arial" w:eastAsia="Arial" w:cs="Arial"/>
          <w:b w:val="0"/>
          <w:bCs w:val="0"/>
          <w:noProof w:val="0"/>
          <w:sz w:val="22"/>
          <w:szCs w:val="22"/>
          <w:lang w:val="en-GB"/>
        </w:rPr>
        <w:t xml:space="preserve"> and </w:t>
      </w:r>
      <w:r w:rsidRPr="4D0980ED" w:rsidR="21E7E947">
        <w:rPr>
          <w:rFonts w:ascii="Arial" w:hAnsi="Arial" w:eastAsia="Arial" w:cs="Arial"/>
          <w:b w:val="0"/>
          <w:bCs w:val="0"/>
          <w:noProof w:val="0"/>
          <w:sz w:val="22"/>
          <w:szCs w:val="22"/>
          <w:lang w:val="en-GB"/>
        </w:rPr>
        <w:t>equitable</w:t>
      </w:r>
      <w:r w:rsidRPr="4D0980ED" w:rsidR="21E7E947">
        <w:rPr>
          <w:rFonts w:ascii="Arial" w:hAnsi="Arial" w:eastAsia="Arial" w:cs="Arial"/>
          <w:b w:val="0"/>
          <w:bCs w:val="0"/>
          <w:noProof w:val="0"/>
          <w:sz w:val="22"/>
          <w:szCs w:val="22"/>
          <w:lang w:val="en-GB"/>
        </w:rPr>
        <w:t xml:space="preserve"> access.</w:t>
      </w:r>
    </w:p>
    <w:p w:rsidR="4D0980ED" w:rsidP="4D0980ED" w:rsidRDefault="4D0980ED" w14:paraId="70DDD1E1" w14:textId="688C0411">
      <w:pPr>
        <w:pStyle w:val="Normal"/>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4D0980ED" w:rsidP="4D0980ED" w:rsidRDefault="4D0980ED" w14:paraId="5E6CA0B6" w14:textId="26BB7ED6">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4D0980ED" w:rsidP="4D0980ED" w:rsidRDefault="4D0980ED" w14:paraId="17A9B73D" w14:textId="24BB83A7">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4D0980ED" w:rsidP="4D0980ED" w:rsidRDefault="4D0980ED" w14:paraId="45AE36FB" w14:textId="62C506FB">
      <w:pPr>
        <w:pStyle w:val="Normal"/>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217F32D0" w14:textId="448FA07B">
      <w:pPr>
        <w:spacing w:before="220" w:beforeAutospacing="off" w:after="120" w:afterAutospacing="off" w:line="360" w:lineRule="auto"/>
        <w:jc w:val="both"/>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6B34C0BC" w14:textId="0D42DBA1">
      <w:pPr>
        <w:pStyle w:val="Normal"/>
        <w:spacing w:before="200" w:beforeAutospacing="off" w:after="8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p>
    <w:p w:rsidR="4D0980ED" w:rsidP="4D0980ED" w:rsidRDefault="4D0980ED" w14:paraId="28334E4C" w14:textId="48EE49CC">
      <w:pPr>
        <w:pStyle w:val="Normal"/>
        <w:spacing w:before="200" w:beforeAutospacing="off" w:after="80"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GB"/>
        </w:rPr>
      </w:pPr>
    </w:p>
    <w:p w:rsidR="3B28C72C" w:rsidP="7E1F9EF1" w:rsidRDefault="3B28C72C" w14:paraId="11B2FCB9" w14:textId="2E891117">
      <w:pPr>
        <w:pStyle w:val="Heading1"/>
        <w:spacing w:before="200" w:beforeAutospacing="off" w:after="8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bookmarkStart w:name="_Toc1801509847" w:id="2096068585"/>
      <w:bookmarkStart w:name="_Toc1199147487" w:id="1133740133"/>
      <w:bookmarkStart w:name="_Toc210328114" w:id="453389297"/>
      <w:bookmarkStart w:name="_Toc2076065710" w:id="123146837"/>
      <w:bookmarkStart w:name="_Toc1617233745" w:id="1004258996"/>
      <w:bookmarkStart w:name="_Toc1381160318" w:id="319287924"/>
      <w:bookmarkStart w:name="_Toc888532274" w:id="1613990350"/>
      <w:bookmarkStart w:name="_Toc558006273" w:id="1427711956"/>
      <w:bookmarkStart w:name="_Toc1987416030" w:id="717258536"/>
      <w:bookmarkStart w:name="_Toc2062396968" w:id="1635784772"/>
      <w:bookmarkStart w:name="_Toc506961536" w:id="520420539"/>
      <w:bookmarkStart w:name="_Toc275937278" w:id="1495061918"/>
      <w:bookmarkStart w:name="_Toc170222055" w:id="732746620"/>
      <w:r w:rsidRPr="4D0980ED" w:rsidR="4C14CB0C">
        <w:rPr>
          <w:rFonts w:ascii="Arial" w:hAnsi="Arial" w:eastAsia="Arial" w:cs="Arial" w:asciiTheme="minorAscii" w:hAnsiTheme="minorAscii" w:eastAsiaTheme="minorAscii" w:cstheme="minorAscii"/>
          <w:b w:val="1"/>
          <w:bCs w:val="1"/>
          <w:noProof w:val="0"/>
          <w:color w:val="auto"/>
          <w:sz w:val="22"/>
          <w:szCs w:val="22"/>
          <w:lang w:val="en-GB"/>
        </w:rPr>
        <w:t>REFERENCES</w:t>
      </w:r>
      <w:r w:rsidRPr="4D0980ED" w:rsidR="267618F7">
        <w:rPr>
          <w:rFonts w:ascii="Arial" w:hAnsi="Arial" w:eastAsia="Arial" w:cs="Arial" w:asciiTheme="minorAscii" w:hAnsiTheme="minorAscii" w:eastAsiaTheme="minorAscii" w:cstheme="minorAscii"/>
          <w:b w:val="1"/>
          <w:bCs w:val="1"/>
          <w:noProof w:val="0"/>
          <w:color w:val="auto"/>
          <w:sz w:val="22"/>
          <w:szCs w:val="22"/>
          <w:lang w:val="en-GB"/>
        </w:rPr>
        <w:t xml:space="preserve"> LIST</w:t>
      </w:r>
      <w:bookmarkEnd w:id="2096068585"/>
      <w:bookmarkEnd w:id="1133740133"/>
      <w:bookmarkEnd w:id="453389297"/>
      <w:bookmarkEnd w:id="123146837"/>
      <w:bookmarkEnd w:id="1004258996"/>
      <w:bookmarkEnd w:id="319287924"/>
      <w:bookmarkEnd w:id="1613990350"/>
      <w:bookmarkEnd w:id="1427711956"/>
      <w:bookmarkEnd w:id="717258536"/>
      <w:bookmarkEnd w:id="1635784772"/>
      <w:bookmarkEnd w:id="520420539"/>
      <w:bookmarkEnd w:id="1495061918"/>
      <w:bookmarkEnd w:id="732746620"/>
    </w:p>
    <w:p w:rsidR="4D0980ED" w:rsidP="4D0980ED" w:rsidRDefault="4D0980ED" w14:paraId="39A8F03F" w14:textId="523B1C2E">
      <w:pPr>
        <w:pStyle w:val="Normal"/>
        <w:rPr>
          <w:noProof w:val="0"/>
          <w:lang w:val="en-GB"/>
        </w:rPr>
      </w:pPr>
    </w:p>
    <w:p w:rsidR="267618F7" w:rsidP="4D0980ED" w:rsidRDefault="267618F7" w14:paraId="0CB85227" w14:textId="328E0DA2">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AliveCor UK (2026) </w:t>
      </w:r>
      <w:r w:rsidRPr="4D0980ED" w:rsidR="267618F7">
        <w:rPr>
          <w:rFonts w:ascii="Arial" w:hAnsi="Arial" w:eastAsia="Arial" w:cs="Arial" w:asciiTheme="minorAscii" w:hAnsiTheme="minorAscii" w:eastAsiaTheme="minorAscii" w:cstheme="minorAscii"/>
          <w:noProof w:val="0"/>
          <w:sz w:val="22"/>
          <w:szCs w:val="22"/>
          <w:lang w:val="en-GB"/>
        </w:rPr>
        <w:t>KardiaMobile</w:t>
      </w:r>
      <w:r w:rsidRPr="4D0980ED" w:rsidR="267618F7">
        <w:rPr>
          <w:rFonts w:ascii="Arial" w:hAnsi="Arial" w:eastAsia="Arial" w:cs="Arial" w:asciiTheme="minorAscii" w:hAnsiTheme="minorAscii" w:eastAsiaTheme="minorAscii" w:cstheme="minorAscii"/>
          <w:noProof w:val="0"/>
          <w:sz w:val="22"/>
          <w:szCs w:val="22"/>
          <w:lang w:val="en-GB"/>
        </w:rPr>
        <w:t xml:space="preserve">: home ECG monitor. Available at: </w:t>
      </w:r>
      <w:hyperlink r:id="R2fc1dd7227e245f8">
        <w:r w:rsidRPr="4D0980ED" w:rsidR="267618F7">
          <w:rPr>
            <w:rStyle w:val="Hyperlink"/>
            <w:rFonts w:ascii="Arial" w:hAnsi="Arial" w:eastAsia="Arial" w:cs="Arial" w:asciiTheme="minorAscii" w:hAnsiTheme="minorAscii" w:eastAsiaTheme="minorAscii" w:cstheme="minorAscii"/>
            <w:noProof w:val="0"/>
            <w:sz w:val="22"/>
            <w:szCs w:val="22"/>
            <w:lang w:val="en-GB"/>
          </w:rPr>
          <w:t>https://store.alivecor.co.uk/collections/main-product/products/kardiamobile</w:t>
        </w:r>
      </w:hyperlink>
      <w:r w:rsidRPr="4D0980ED" w:rsidR="267618F7">
        <w:rPr>
          <w:rFonts w:ascii="Arial" w:hAnsi="Arial" w:eastAsia="Arial" w:cs="Arial" w:asciiTheme="minorAscii" w:hAnsiTheme="minorAscii" w:eastAsiaTheme="minorAscii" w:cstheme="minorAscii"/>
          <w:noProof w:val="0"/>
          <w:sz w:val="22"/>
          <w:szCs w:val="22"/>
          <w:lang w:val="en-GB"/>
        </w:rPr>
        <w:t xml:space="preserve"> (Accessed: </w:t>
      </w:r>
      <w:r w:rsidRPr="4D0980ED" w:rsidR="04C26E40">
        <w:rPr>
          <w:rFonts w:ascii="Arial" w:hAnsi="Arial" w:eastAsia="Arial" w:cs="Arial" w:asciiTheme="minorAscii" w:hAnsiTheme="minorAscii" w:eastAsiaTheme="minorAscii" w:cstheme="minorAscii"/>
          <w:noProof w:val="0"/>
          <w:sz w:val="22"/>
          <w:szCs w:val="22"/>
          <w:lang w:val="en-GB"/>
        </w:rPr>
        <w:t>1</w:t>
      </w:r>
      <w:r w:rsidRPr="4D0980ED" w:rsidR="267618F7">
        <w:rPr>
          <w:rFonts w:ascii="Arial" w:hAnsi="Arial" w:eastAsia="Arial" w:cs="Arial" w:asciiTheme="minorAscii" w:hAnsiTheme="minorAscii" w:eastAsiaTheme="minorAscii" w:cstheme="minorAscii"/>
          <w:noProof w:val="0"/>
          <w:sz w:val="22"/>
          <w:szCs w:val="22"/>
          <w:lang w:val="en-GB"/>
        </w:rPr>
        <w:t xml:space="preserve"> October 2026). </w:t>
      </w:r>
    </w:p>
    <w:p w:rsidR="267618F7" w:rsidP="4D0980ED" w:rsidRDefault="267618F7" w14:paraId="49A234D3" w14:textId="556BB952">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Emmett, A., Kent, B., James, </w:t>
      </w:r>
      <w:r w:rsidRPr="4D0980ED" w:rsidR="267618F7">
        <w:rPr>
          <w:rFonts w:ascii="Arial" w:hAnsi="Arial" w:eastAsia="Arial" w:cs="Arial" w:asciiTheme="minorAscii" w:hAnsiTheme="minorAscii" w:eastAsiaTheme="minorAscii" w:cstheme="minorAscii"/>
          <w:noProof w:val="0"/>
          <w:sz w:val="22"/>
          <w:szCs w:val="22"/>
          <w:lang w:val="en-GB"/>
        </w:rPr>
        <w:t>A.</w:t>
      </w:r>
      <w:r w:rsidRPr="4D0980ED" w:rsidR="267618F7">
        <w:rPr>
          <w:rFonts w:ascii="Arial" w:hAnsi="Arial" w:eastAsia="Arial" w:cs="Arial" w:asciiTheme="minorAscii" w:hAnsiTheme="minorAscii" w:eastAsiaTheme="minorAscii" w:cstheme="minorAscii"/>
          <w:noProof w:val="0"/>
          <w:sz w:val="22"/>
          <w:szCs w:val="22"/>
          <w:lang w:val="en-GB"/>
        </w:rPr>
        <w:t xml:space="preserve"> and March-McDonald, J. (2023) ‘Experiences of health professionals towards using mobile electrocardiogram (ECG) technology: a qualitative systematic review’, Journal of Clinical Nursing, 32, pp. 3205–3218. </w:t>
      </w:r>
      <w:r w:rsidRPr="4D0980ED" w:rsidR="267618F7">
        <w:rPr>
          <w:rFonts w:ascii="Arial" w:hAnsi="Arial" w:eastAsia="Arial" w:cs="Arial" w:asciiTheme="minorAscii" w:hAnsiTheme="minorAscii" w:eastAsiaTheme="minorAscii" w:cstheme="minorAscii"/>
          <w:noProof w:val="0"/>
          <w:sz w:val="22"/>
          <w:szCs w:val="22"/>
          <w:lang w:val="en-GB"/>
        </w:rPr>
        <w:t>doi</w:t>
      </w:r>
      <w:r w:rsidRPr="4D0980ED" w:rsidR="267618F7">
        <w:rPr>
          <w:rFonts w:ascii="Arial" w:hAnsi="Arial" w:eastAsia="Arial" w:cs="Arial" w:asciiTheme="minorAscii" w:hAnsiTheme="minorAscii" w:eastAsiaTheme="minorAscii" w:cstheme="minorAscii"/>
          <w:noProof w:val="0"/>
          <w:sz w:val="22"/>
          <w:szCs w:val="22"/>
          <w:lang w:val="en-GB"/>
        </w:rPr>
        <w:t>: 10.1111/jocn.16434.</w:t>
      </w:r>
      <w:r w:rsidRPr="4D0980ED" w:rsidR="43C5BE1D">
        <w:rPr>
          <w:rFonts w:ascii="Arial" w:hAnsi="Arial" w:eastAsia="Arial" w:cs="Arial" w:asciiTheme="minorAscii" w:hAnsiTheme="minorAscii" w:eastAsiaTheme="minorAscii" w:cstheme="minorAscii"/>
          <w:noProof w:val="0"/>
          <w:sz w:val="22"/>
          <w:szCs w:val="22"/>
          <w:lang w:val="en-GB"/>
        </w:rPr>
        <w:t xml:space="preserve"> </w:t>
      </w:r>
    </w:p>
    <w:p w:rsidR="267618F7" w:rsidP="4D0980ED" w:rsidRDefault="267618F7" w14:paraId="3D5B6162" w14:textId="121E5CB1">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Emmett, A., Kent, B., James, </w:t>
      </w:r>
      <w:r w:rsidRPr="4D0980ED" w:rsidR="267618F7">
        <w:rPr>
          <w:rFonts w:ascii="Arial" w:hAnsi="Arial" w:eastAsia="Arial" w:cs="Arial" w:asciiTheme="minorAscii" w:hAnsiTheme="minorAscii" w:eastAsiaTheme="minorAscii" w:cstheme="minorAscii"/>
          <w:noProof w:val="0"/>
          <w:sz w:val="22"/>
          <w:szCs w:val="22"/>
          <w:lang w:val="en-GB"/>
        </w:rPr>
        <w:t>A.</w:t>
      </w:r>
      <w:r w:rsidRPr="4D0980ED" w:rsidR="267618F7">
        <w:rPr>
          <w:rFonts w:ascii="Arial" w:hAnsi="Arial" w:eastAsia="Arial" w:cs="Arial" w:asciiTheme="minorAscii" w:hAnsiTheme="minorAscii" w:eastAsiaTheme="minorAscii" w:cstheme="minorAscii"/>
          <w:noProof w:val="0"/>
          <w:sz w:val="22"/>
          <w:szCs w:val="22"/>
          <w:lang w:val="en-GB"/>
        </w:rPr>
        <w:t xml:space="preserve"> and March-McDonald, J. (2024) ‘Evaluating the use of the mobile electrocardiogram technology </w:t>
      </w:r>
      <w:r w:rsidRPr="4D0980ED" w:rsidR="267618F7">
        <w:rPr>
          <w:rFonts w:ascii="Arial" w:hAnsi="Arial" w:eastAsia="Arial" w:cs="Arial" w:asciiTheme="minorAscii" w:hAnsiTheme="minorAscii" w:eastAsiaTheme="minorAscii" w:cstheme="minorAscii"/>
          <w:noProof w:val="0"/>
          <w:sz w:val="22"/>
          <w:szCs w:val="22"/>
          <w:lang w:val="en-GB"/>
        </w:rPr>
        <w:t>KardiaMobile</w:t>
      </w:r>
      <w:r w:rsidRPr="4D0980ED" w:rsidR="267618F7">
        <w:rPr>
          <w:rFonts w:ascii="Arial" w:hAnsi="Arial" w:eastAsia="Arial" w:cs="Arial" w:asciiTheme="minorAscii" w:hAnsiTheme="minorAscii" w:eastAsiaTheme="minorAscii" w:cstheme="minorAscii"/>
          <w:noProof w:val="0"/>
          <w:sz w:val="22"/>
          <w:szCs w:val="22"/>
          <w:lang w:val="en-GB"/>
        </w:rPr>
        <w:t xml:space="preserve">™ in community settings: an online survey’, Nursing Open, 11(6), e2225. </w:t>
      </w:r>
      <w:r w:rsidRPr="4D0980ED" w:rsidR="267618F7">
        <w:rPr>
          <w:rFonts w:ascii="Arial" w:hAnsi="Arial" w:eastAsia="Arial" w:cs="Arial" w:asciiTheme="minorAscii" w:hAnsiTheme="minorAscii" w:eastAsiaTheme="minorAscii" w:cstheme="minorAscii"/>
          <w:noProof w:val="0"/>
          <w:sz w:val="22"/>
          <w:szCs w:val="22"/>
          <w:lang w:val="en-GB"/>
        </w:rPr>
        <w:t>doi</w:t>
      </w:r>
      <w:r w:rsidRPr="4D0980ED" w:rsidR="267618F7">
        <w:rPr>
          <w:rFonts w:ascii="Arial" w:hAnsi="Arial" w:eastAsia="Arial" w:cs="Arial" w:asciiTheme="minorAscii" w:hAnsiTheme="minorAscii" w:eastAsiaTheme="minorAscii" w:cstheme="minorAscii"/>
          <w:noProof w:val="0"/>
          <w:sz w:val="22"/>
          <w:szCs w:val="22"/>
          <w:lang w:val="en-GB"/>
        </w:rPr>
        <w:t>: 10.1002/nop2.2225.</w:t>
      </w:r>
      <w:r w:rsidRPr="4D0980ED" w:rsidR="599F243C">
        <w:rPr>
          <w:rFonts w:ascii="Arial" w:hAnsi="Arial" w:eastAsia="Arial" w:cs="Arial" w:asciiTheme="minorAscii" w:hAnsiTheme="minorAscii" w:eastAsiaTheme="minorAscii" w:cstheme="minorAscii"/>
          <w:noProof w:val="0"/>
          <w:sz w:val="22"/>
          <w:szCs w:val="22"/>
          <w:lang w:val="en-GB"/>
        </w:rPr>
        <w:t xml:space="preserve"> </w:t>
      </w:r>
    </w:p>
    <w:p w:rsidR="267618F7" w:rsidP="4D0980ED" w:rsidRDefault="267618F7" w14:paraId="659C3A37" w14:textId="778A42AE">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GOV.WALES (2024) How to make a service inclusive. Available at: </w:t>
      </w:r>
      <w:hyperlink r:id="R0d5bf600f9ac418e">
        <w:r w:rsidRPr="4D0980ED" w:rsidR="267618F7">
          <w:rPr>
            <w:rStyle w:val="Hyperlink"/>
            <w:noProof w:val="0"/>
            <w:sz w:val="22"/>
            <w:szCs w:val="22"/>
            <w:lang w:val="en-GB"/>
          </w:rPr>
          <w:t>https://www.gov.wales/how-make-service-inclusive-html</w:t>
        </w:r>
      </w:hyperlink>
      <w:r w:rsidRPr="4D0980ED" w:rsidR="6EAFEE91">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 xml:space="preserve">(Accessed: </w:t>
      </w:r>
      <w:r w:rsidRPr="4D0980ED" w:rsidR="2EBAB305">
        <w:rPr>
          <w:rFonts w:ascii="Arial" w:hAnsi="Arial" w:eastAsia="Arial" w:cs="Arial" w:asciiTheme="minorAscii" w:hAnsiTheme="minorAscii" w:eastAsiaTheme="minorAscii" w:cstheme="minorAscii"/>
          <w:noProof w:val="0"/>
          <w:sz w:val="22"/>
          <w:szCs w:val="22"/>
          <w:lang w:val="en-GB"/>
        </w:rPr>
        <w:t>2</w:t>
      </w:r>
      <w:r w:rsidRPr="4D0980ED" w:rsidR="267618F7">
        <w:rPr>
          <w:rFonts w:ascii="Arial" w:hAnsi="Arial" w:eastAsia="Arial" w:cs="Arial" w:asciiTheme="minorAscii" w:hAnsiTheme="minorAscii" w:eastAsiaTheme="minorAscii" w:cstheme="minorAscii"/>
          <w:noProof w:val="0"/>
          <w:sz w:val="22"/>
          <w:szCs w:val="22"/>
          <w:lang w:val="en-GB"/>
        </w:rPr>
        <w:t xml:space="preserve"> October 2026).</w:t>
      </w:r>
    </w:p>
    <w:p w:rsidR="267618F7" w:rsidP="4D0980ED" w:rsidRDefault="267618F7" w14:paraId="62643C3E" w14:textId="0398A4D0">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NHS England (2024) Inclusive digital healthcare: a framework for NHS action on digital inclusion. Available at: </w:t>
      </w:r>
      <w:hyperlink r:id="R2815b951957342e7">
        <w:r w:rsidRPr="4D0980ED" w:rsidR="267618F7">
          <w:rPr>
            <w:rStyle w:val="Hyperlink"/>
            <w:noProof w:val="0"/>
            <w:sz w:val="22"/>
            <w:szCs w:val="22"/>
            <w:lang w:val="en-GB"/>
          </w:rPr>
          <w:t>https://www.england.nhs.uk/long-read/inclusive-digital-healthcare-a-framework-for-nhs-action-on-digital-inclusion/</w:t>
        </w:r>
      </w:hyperlink>
      <w:r w:rsidRPr="4D0980ED" w:rsidR="58D58EE4">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 xml:space="preserve"> (Accessed: 3 October 2026).</w:t>
      </w:r>
    </w:p>
    <w:p w:rsidR="267618F7" w:rsidP="4D0980ED" w:rsidRDefault="267618F7" w14:paraId="696032D4" w14:textId="1BF9E3C1">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NHS England (2025) Medical devices and digital tools. Available at: </w:t>
      </w:r>
      <w:hyperlink r:id="Raa6213d1e68a46dd">
        <w:r w:rsidRPr="4D0980ED" w:rsidR="267618F7">
          <w:rPr>
            <w:rStyle w:val="Hyperlink"/>
            <w:noProof w:val="0"/>
            <w:sz w:val="22"/>
            <w:szCs w:val="22"/>
            <w:lang w:val="en-GB"/>
          </w:rPr>
          <w:t>https://www.england.nhs.uk/long-read/medical-devices-and-digital-tools/</w:t>
        </w:r>
      </w:hyperlink>
      <w:r w:rsidRPr="4D0980ED" w:rsidR="3125158D">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(Accessed: 3 October 2026).</w:t>
      </w:r>
    </w:p>
    <w:p w:rsidR="267618F7" w:rsidP="4D0980ED" w:rsidRDefault="267618F7" w14:paraId="70DE244C" w14:textId="1D4712B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NICE (2019) Lead-I ECG devices for detecting symptomatic atrial fibrillation using single time point testing in primary care (HTG508). Available at: </w:t>
      </w:r>
      <w:hyperlink r:id="R2a7e5506aff94ffc">
        <w:r w:rsidRPr="4D0980ED" w:rsidR="267618F7">
          <w:rPr>
            <w:rStyle w:val="Hyperlink"/>
            <w:noProof w:val="0"/>
            <w:sz w:val="22"/>
            <w:szCs w:val="22"/>
            <w:lang w:val="en-GB"/>
          </w:rPr>
          <w:t>https://www.nice.org.uk/guidance/htg508</w:t>
        </w:r>
      </w:hyperlink>
      <w:r w:rsidRPr="4D0980ED" w:rsidR="45655CAD">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 xml:space="preserve">(Accessed: </w:t>
      </w:r>
      <w:r w:rsidRPr="4D0980ED" w:rsidR="27C2BDB6">
        <w:rPr>
          <w:rFonts w:ascii="Arial" w:hAnsi="Arial" w:eastAsia="Arial" w:cs="Arial" w:asciiTheme="minorAscii" w:hAnsiTheme="minorAscii" w:eastAsiaTheme="minorAscii" w:cstheme="minorAscii"/>
          <w:noProof w:val="0"/>
          <w:sz w:val="22"/>
          <w:szCs w:val="22"/>
          <w:lang w:val="en-GB"/>
        </w:rPr>
        <w:t>4</w:t>
      </w:r>
      <w:r w:rsidRPr="4D0980ED" w:rsidR="267618F7">
        <w:rPr>
          <w:rFonts w:ascii="Arial" w:hAnsi="Arial" w:eastAsia="Arial" w:cs="Arial" w:asciiTheme="minorAscii" w:hAnsiTheme="minorAscii" w:eastAsiaTheme="minorAscii" w:cstheme="minorAscii"/>
          <w:noProof w:val="0"/>
          <w:sz w:val="22"/>
          <w:szCs w:val="22"/>
          <w:lang w:val="en-GB"/>
        </w:rPr>
        <w:t xml:space="preserve"> October 2026).</w:t>
      </w:r>
    </w:p>
    <w:p w:rsidR="267618F7" w:rsidP="4D0980ED" w:rsidRDefault="267618F7" w14:paraId="06F02CC8" w14:textId="7B0A16D7">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NICE (2021) Atrial fibrillation: diagnosis and management (NG196). Available at: </w:t>
      </w:r>
      <w:hyperlink r:id="R3a7b0372629a485f">
        <w:r w:rsidRPr="4D0980ED" w:rsidR="267618F7">
          <w:rPr>
            <w:rStyle w:val="Hyperlink"/>
            <w:noProof w:val="0"/>
            <w:sz w:val="22"/>
            <w:szCs w:val="22"/>
            <w:lang w:val="en-GB"/>
          </w:rPr>
          <w:t>https://www.nice.org.uk/guidance/ng196</w:t>
        </w:r>
      </w:hyperlink>
      <w:r w:rsidRPr="4D0980ED" w:rsidR="7E3C785C">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 xml:space="preserve">(Accessed: </w:t>
      </w:r>
      <w:r w:rsidRPr="4D0980ED" w:rsidR="6BC8D9FC">
        <w:rPr>
          <w:rFonts w:ascii="Arial" w:hAnsi="Arial" w:eastAsia="Arial" w:cs="Arial" w:asciiTheme="minorAscii" w:hAnsiTheme="minorAscii" w:eastAsiaTheme="minorAscii" w:cstheme="minorAscii"/>
          <w:noProof w:val="0"/>
          <w:sz w:val="22"/>
          <w:szCs w:val="22"/>
          <w:lang w:val="en-GB"/>
        </w:rPr>
        <w:t>4</w:t>
      </w:r>
      <w:r w:rsidRPr="4D0980ED" w:rsidR="267618F7">
        <w:rPr>
          <w:rFonts w:ascii="Arial" w:hAnsi="Arial" w:eastAsia="Arial" w:cs="Arial" w:asciiTheme="minorAscii" w:hAnsiTheme="minorAscii" w:eastAsiaTheme="minorAscii" w:cstheme="minorAscii"/>
          <w:noProof w:val="0"/>
          <w:sz w:val="22"/>
          <w:szCs w:val="22"/>
          <w:lang w:val="en-GB"/>
        </w:rPr>
        <w:t xml:space="preserve"> October 2026).</w:t>
      </w:r>
    </w:p>
    <w:p w:rsidR="267618F7" w:rsidP="4D0980ED" w:rsidRDefault="267618F7" w14:paraId="762935B9" w14:textId="222DC344">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NICE (2022) </w:t>
      </w:r>
      <w:r w:rsidRPr="4D0980ED" w:rsidR="267618F7">
        <w:rPr>
          <w:rFonts w:ascii="Arial" w:hAnsi="Arial" w:eastAsia="Arial" w:cs="Arial" w:asciiTheme="minorAscii" w:hAnsiTheme="minorAscii" w:eastAsiaTheme="minorAscii" w:cstheme="minorAscii"/>
          <w:noProof w:val="0"/>
          <w:sz w:val="22"/>
          <w:szCs w:val="22"/>
          <w:lang w:val="en-GB"/>
        </w:rPr>
        <w:t>KardiaMobile</w:t>
      </w:r>
      <w:r w:rsidRPr="4D0980ED" w:rsidR="267618F7">
        <w:rPr>
          <w:rFonts w:ascii="Arial" w:hAnsi="Arial" w:eastAsia="Arial" w:cs="Arial" w:asciiTheme="minorAscii" w:hAnsiTheme="minorAscii" w:eastAsiaTheme="minorAscii" w:cstheme="minorAscii"/>
          <w:noProof w:val="0"/>
          <w:sz w:val="22"/>
          <w:szCs w:val="22"/>
          <w:lang w:val="en-GB"/>
        </w:rPr>
        <w:t xml:space="preserve"> for detecting atrial fibrillation (HTG606). Available at: </w:t>
      </w:r>
      <w:hyperlink r:id="Rb3fedf1848164f17">
        <w:r w:rsidRPr="4D0980ED" w:rsidR="267618F7">
          <w:rPr>
            <w:rStyle w:val="Hyperlink"/>
            <w:noProof w:val="0"/>
            <w:sz w:val="22"/>
            <w:szCs w:val="22"/>
            <w:lang w:val="en-GB"/>
          </w:rPr>
          <w:t>https://www.nice.org.uk/guidance/htg606</w:t>
        </w:r>
      </w:hyperlink>
      <w:r w:rsidRPr="4D0980ED" w:rsidR="64638F96">
        <w:rPr>
          <w:rFonts w:ascii="Arial" w:hAnsi="Arial" w:eastAsia="Arial" w:cs="Arial" w:asciiTheme="minorAscii" w:hAnsiTheme="minorAscii" w:eastAsiaTheme="minorAscii" w:cstheme="minorAscii"/>
          <w:noProof w:val="0"/>
          <w:sz w:val="22"/>
          <w:szCs w:val="22"/>
          <w:lang w:val="en-GB"/>
        </w:rPr>
        <w:t xml:space="preserve"> </w:t>
      </w:r>
      <w:r w:rsidRPr="4D0980ED" w:rsidR="267618F7">
        <w:rPr>
          <w:rFonts w:ascii="Arial" w:hAnsi="Arial" w:eastAsia="Arial" w:cs="Arial" w:asciiTheme="minorAscii" w:hAnsiTheme="minorAscii" w:eastAsiaTheme="minorAscii" w:cstheme="minorAscii"/>
          <w:noProof w:val="0"/>
          <w:sz w:val="22"/>
          <w:szCs w:val="22"/>
          <w:lang w:val="en-GB"/>
        </w:rPr>
        <w:t xml:space="preserve">(Accessed: </w:t>
      </w:r>
      <w:r w:rsidRPr="4D0980ED" w:rsidR="116F2E1A">
        <w:rPr>
          <w:rFonts w:ascii="Arial" w:hAnsi="Arial" w:eastAsia="Arial" w:cs="Arial" w:asciiTheme="minorAscii" w:hAnsiTheme="minorAscii" w:eastAsiaTheme="minorAscii" w:cstheme="minorAscii"/>
          <w:noProof w:val="0"/>
          <w:sz w:val="22"/>
          <w:szCs w:val="22"/>
          <w:lang w:val="en-GB"/>
        </w:rPr>
        <w:t>4</w:t>
      </w:r>
      <w:r w:rsidRPr="4D0980ED" w:rsidR="267618F7">
        <w:rPr>
          <w:rFonts w:ascii="Arial" w:hAnsi="Arial" w:eastAsia="Arial" w:cs="Arial" w:asciiTheme="minorAscii" w:hAnsiTheme="minorAscii" w:eastAsiaTheme="minorAscii" w:cstheme="minorAscii"/>
          <w:noProof w:val="0"/>
          <w:sz w:val="22"/>
          <w:szCs w:val="22"/>
          <w:lang w:val="en-GB"/>
        </w:rPr>
        <w:t xml:space="preserve"> October 2026).</w:t>
      </w:r>
    </w:p>
    <w:p w:rsidR="267618F7" w:rsidP="4D0980ED" w:rsidRDefault="267618F7" w14:paraId="379B4864" w14:textId="44D5B43E">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 xml:space="preserve">Ritchie, L.A., Harrison, S.L., Penson, P.E., Akbari, A., Torabi, F., Hollinghurst, J., Harris, D., Oke, O.B., Akpan, A., </w:t>
      </w:r>
      <w:r w:rsidRPr="4D0980ED" w:rsidR="267618F7">
        <w:rPr>
          <w:rFonts w:ascii="Arial" w:hAnsi="Arial" w:eastAsia="Arial" w:cs="Arial" w:asciiTheme="minorAscii" w:hAnsiTheme="minorAscii" w:eastAsiaTheme="minorAscii" w:cstheme="minorAscii"/>
          <w:noProof w:val="0"/>
          <w:sz w:val="22"/>
          <w:szCs w:val="22"/>
          <w:lang w:val="en-GB"/>
        </w:rPr>
        <w:t>Halcox</w:t>
      </w:r>
      <w:r w:rsidRPr="4D0980ED" w:rsidR="267618F7">
        <w:rPr>
          <w:rFonts w:ascii="Arial" w:hAnsi="Arial" w:eastAsia="Arial" w:cs="Arial" w:asciiTheme="minorAscii" w:hAnsiTheme="minorAscii" w:eastAsiaTheme="minorAscii" w:cstheme="minorAscii"/>
          <w:noProof w:val="0"/>
          <w:sz w:val="22"/>
          <w:szCs w:val="22"/>
          <w:lang w:val="en-GB"/>
        </w:rPr>
        <w:t xml:space="preserve">, J.P., Rodgers, S.E., Lip, G.Y.H. and Lane, D.A. (2022) ‘Prevalence and outcomes of atrial fibrillation in older people living in care homes in Wales: a routine data linkage study 2003–2018’, Age and Ageing, 51(12), afac252. </w:t>
      </w:r>
      <w:r w:rsidRPr="4D0980ED" w:rsidR="267618F7">
        <w:rPr>
          <w:rFonts w:ascii="Arial" w:hAnsi="Arial" w:eastAsia="Arial" w:cs="Arial" w:asciiTheme="minorAscii" w:hAnsiTheme="minorAscii" w:eastAsiaTheme="minorAscii" w:cstheme="minorAscii"/>
          <w:noProof w:val="0"/>
          <w:sz w:val="22"/>
          <w:szCs w:val="22"/>
          <w:lang w:val="en-GB"/>
        </w:rPr>
        <w:t>doi</w:t>
      </w:r>
      <w:r w:rsidRPr="4D0980ED" w:rsidR="267618F7">
        <w:rPr>
          <w:rFonts w:ascii="Arial" w:hAnsi="Arial" w:eastAsia="Arial" w:cs="Arial" w:asciiTheme="minorAscii" w:hAnsiTheme="minorAscii" w:eastAsiaTheme="minorAscii" w:cstheme="minorAscii"/>
          <w:noProof w:val="0"/>
          <w:sz w:val="22"/>
          <w:szCs w:val="22"/>
          <w:lang w:val="en-GB"/>
        </w:rPr>
        <w:t>: 10.1093/ageing/afac252.</w:t>
      </w:r>
      <w:r w:rsidRPr="4D0980ED" w:rsidR="71A5774B">
        <w:rPr>
          <w:rFonts w:ascii="Arial" w:hAnsi="Arial" w:eastAsia="Arial" w:cs="Arial" w:asciiTheme="minorAscii" w:hAnsiTheme="minorAscii" w:eastAsiaTheme="minorAscii" w:cstheme="minorAscii"/>
          <w:noProof w:val="0"/>
          <w:sz w:val="22"/>
          <w:szCs w:val="22"/>
          <w:lang w:val="en-GB"/>
        </w:rPr>
        <w:t xml:space="preserve"> </w:t>
      </w:r>
    </w:p>
    <w:p w:rsidR="267618F7" w:rsidP="4D0980ED" w:rsidRDefault="267618F7" w14:paraId="0D8A13DA" w14:textId="137F9A54">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D0980ED" w:rsidR="267618F7">
        <w:rPr>
          <w:rFonts w:ascii="Arial" w:hAnsi="Arial" w:eastAsia="Arial" w:cs="Arial" w:asciiTheme="minorAscii" w:hAnsiTheme="minorAscii" w:eastAsiaTheme="minorAscii" w:cstheme="minorAscii"/>
          <w:noProof w:val="0"/>
          <w:sz w:val="22"/>
          <w:szCs w:val="22"/>
          <w:lang w:val="en-GB"/>
        </w:rPr>
        <w:t>Savickas, V., Stewart, A.J., Short, V.J., Mathie, A., Bhamra, S.K., Veale, E.L. and Corlett, S.A. (2024) ‘Screening for atrial fibrillation in care homes using pulse palpation and the AliveCor Kardia Mobile® device: a comparative cross-sectional pilot study’, International Journal of Clinical Pharmacy, 46, pp. 529–535. doi: 10.1007/s11096-023-01672-z.</w:t>
      </w:r>
    </w:p>
    <w:p w:rsidR="4D0980ED" w:rsidP="4D0980ED" w:rsidRDefault="4D0980ED" w14:paraId="28F69C33" w14:textId="1CBD0948">
      <w:pPr>
        <w:pStyle w:val="Normal"/>
        <w:spacing w:line="360" w:lineRule="auto"/>
        <w:rPr>
          <w:rFonts w:ascii="Arial" w:hAnsi="Arial" w:eastAsia="Arial" w:cs="Arial" w:asciiTheme="minorAscii" w:hAnsiTheme="minorAscii" w:eastAsiaTheme="minorAscii" w:cstheme="minorAscii"/>
          <w:noProof w:val="0"/>
          <w:sz w:val="22"/>
          <w:szCs w:val="22"/>
          <w:lang w:val="en-GB"/>
        </w:rPr>
      </w:pPr>
    </w:p>
    <w:p w:rsidR="7E1F9EF1" w:rsidP="7E1F9EF1" w:rsidRDefault="7E1F9EF1" w14:paraId="565DAFF4" w14:textId="364CA5DC">
      <w:pPr>
        <w:spacing w:line="360" w:lineRule="auto"/>
        <w:rPr>
          <w:rFonts w:ascii="Arial" w:hAnsi="Arial" w:eastAsia="Arial" w:cs="Arial" w:asciiTheme="minorAscii" w:hAnsiTheme="minorAscii" w:eastAsiaTheme="minorAscii" w:cstheme="minorAscii"/>
          <w:b w:val="0"/>
          <w:bCs w:val="0"/>
          <w:color w:val="auto"/>
          <w:sz w:val="22"/>
          <w:szCs w:val="22"/>
        </w:rPr>
      </w:pPr>
    </w:p>
    <w:p w:rsidR="4D0980ED" w:rsidP="4D0980ED" w:rsidRDefault="4D0980ED" w14:paraId="24E4FD86" w14:textId="4A09C64D">
      <w:pPr>
        <w:spacing w:line="360" w:lineRule="auto"/>
        <w:rPr>
          <w:rFonts w:ascii="Arial" w:hAnsi="Arial" w:eastAsia="Arial" w:cs="Arial" w:asciiTheme="minorAscii" w:hAnsiTheme="minorAscii" w:eastAsiaTheme="minorAscii" w:cstheme="minorAscii"/>
          <w:b w:val="0"/>
          <w:bCs w:val="0"/>
          <w:color w:val="auto"/>
          <w:sz w:val="22"/>
          <w:szCs w:val="22"/>
        </w:rPr>
      </w:pPr>
    </w:p>
    <w:sectPr>
      <w:pgSz w:w="11906" w:h="16838" w:orient="portrait"/>
      <w:pgMar w:top="1440" w:right="1440" w:bottom="1440" w:left="1440" w:header="720" w:footer="720" w:gutter="0"/>
      <w:cols w:space="720"/>
      <w:docGrid w:linePitch="360"/>
      <w:headerReference w:type="default" r:id="R810d6f27217f44bc"/>
      <w:footerReference w:type="default" r:id="Re7ef16fe1fb5433f"/>
      <w:pgBorders w:offsetFrom="page">
        <w:top w:val="dotted" w:color="bf4e14" w:sz="48" w:space="24"/>
        <w:left w:val="dotted" w:color="bf4e14" w:sz="48" w:space="24"/>
        <w:bottom w:val="dotted" w:color="bf4e14" w:sz="48" w:space="24"/>
        <w:right w:val="dotted" w:color="bf4e14" w:sz="48"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1F9EF1" w:rsidTr="7E1F9EF1" w14:paraId="001CEA4D">
      <w:trPr>
        <w:trHeight w:val="300"/>
      </w:trPr>
      <w:tc>
        <w:tcPr>
          <w:tcW w:w="3005" w:type="dxa"/>
          <w:tcMar/>
        </w:tcPr>
        <w:p w:rsidR="7E1F9EF1" w:rsidP="7E1F9EF1" w:rsidRDefault="7E1F9EF1" w14:paraId="36EFB6F8" w14:textId="146D5ADB">
          <w:pPr>
            <w:pStyle w:val="Header"/>
            <w:bidi w:val="0"/>
            <w:ind w:left="-115"/>
            <w:jc w:val="left"/>
          </w:pPr>
        </w:p>
      </w:tc>
      <w:tc>
        <w:tcPr>
          <w:tcW w:w="3005" w:type="dxa"/>
          <w:tcMar/>
        </w:tcPr>
        <w:p w:rsidR="7E1F9EF1" w:rsidP="7E1F9EF1" w:rsidRDefault="7E1F9EF1" w14:paraId="32BDC4E0" w14:textId="5CCA1F66">
          <w:pPr>
            <w:pStyle w:val="Header"/>
            <w:bidi w:val="0"/>
            <w:jc w:val="center"/>
          </w:pPr>
        </w:p>
      </w:tc>
      <w:tc>
        <w:tcPr>
          <w:tcW w:w="3005" w:type="dxa"/>
          <w:tcMar/>
        </w:tcPr>
        <w:p w:rsidR="7E1F9EF1" w:rsidP="7E1F9EF1" w:rsidRDefault="7E1F9EF1" w14:paraId="6E38E312" w14:textId="3E4F26D1">
          <w:pPr>
            <w:pStyle w:val="Header"/>
            <w:bidi w:val="0"/>
            <w:ind w:right="-115"/>
            <w:jc w:val="right"/>
          </w:pPr>
        </w:p>
      </w:tc>
    </w:tr>
  </w:tbl>
  <w:p w:rsidR="7E1F9EF1" w:rsidP="7E1F9EF1" w:rsidRDefault="7E1F9EF1" w14:paraId="2D55BB6C" w14:textId="68F66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1F9EF1" w:rsidTr="7E1F9EF1" w14:paraId="165B2032">
      <w:trPr>
        <w:trHeight w:val="300"/>
      </w:trPr>
      <w:tc>
        <w:tcPr>
          <w:tcW w:w="3005" w:type="dxa"/>
          <w:tcMar/>
        </w:tcPr>
        <w:p w:rsidR="7E1F9EF1" w:rsidP="7E1F9EF1" w:rsidRDefault="7E1F9EF1" w14:paraId="0B4FB706" w14:textId="0DB734FB">
          <w:pPr>
            <w:pStyle w:val="Header"/>
            <w:bidi w:val="0"/>
            <w:ind w:left="-115"/>
            <w:jc w:val="left"/>
          </w:pPr>
        </w:p>
      </w:tc>
      <w:tc>
        <w:tcPr>
          <w:tcW w:w="3005" w:type="dxa"/>
          <w:tcMar/>
        </w:tcPr>
        <w:p w:rsidR="7E1F9EF1" w:rsidP="7E1F9EF1" w:rsidRDefault="7E1F9EF1" w14:paraId="7CC4710C" w14:textId="70F7A430">
          <w:pPr>
            <w:pStyle w:val="Header"/>
            <w:bidi w:val="0"/>
            <w:jc w:val="center"/>
          </w:pPr>
        </w:p>
      </w:tc>
      <w:tc>
        <w:tcPr>
          <w:tcW w:w="3005" w:type="dxa"/>
          <w:tcMar/>
        </w:tcPr>
        <w:p w:rsidR="7E1F9EF1" w:rsidP="7E1F9EF1" w:rsidRDefault="7E1F9EF1" w14:paraId="04CF43CA" w14:textId="550EA28A">
          <w:pPr>
            <w:pStyle w:val="Header"/>
            <w:bidi w:val="0"/>
            <w:ind w:right="-115"/>
            <w:jc w:val="right"/>
          </w:pPr>
        </w:p>
      </w:tc>
    </w:tr>
  </w:tbl>
  <w:p w:rsidR="7E1F9EF1" w:rsidP="7E1F9EF1" w:rsidRDefault="7E1F9EF1" w14:paraId="251CEB06" w14:textId="45801D3A">
    <w:pPr>
      <w:pStyle w:val="Header"/>
      <w:bidi w:val="0"/>
    </w:pPr>
  </w:p>
</w:hdr>
</file>

<file path=word/intelligence2.xml><?xml version="1.0" encoding="utf-8"?>
<int2:intelligence xmlns:int2="http://schemas.microsoft.com/office/intelligence/2020/intelligence">
  <int2:observations>
    <int2:textHash int2:hashCode="Cpr6LKnNxEBq7I" int2:id="dCxQwkP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473981"/>
    <w:rsid w:val="011B156F"/>
    <w:rsid w:val="0186E684"/>
    <w:rsid w:val="0189B7BB"/>
    <w:rsid w:val="02675BE4"/>
    <w:rsid w:val="02E5150C"/>
    <w:rsid w:val="02F85029"/>
    <w:rsid w:val="0335B821"/>
    <w:rsid w:val="0358712E"/>
    <w:rsid w:val="04193997"/>
    <w:rsid w:val="04568179"/>
    <w:rsid w:val="04781204"/>
    <w:rsid w:val="04C26E40"/>
    <w:rsid w:val="0525EBD9"/>
    <w:rsid w:val="05816C96"/>
    <w:rsid w:val="05A36990"/>
    <w:rsid w:val="065655CF"/>
    <w:rsid w:val="06847232"/>
    <w:rsid w:val="06A310AC"/>
    <w:rsid w:val="06B233BB"/>
    <w:rsid w:val="06EE11C1"/>
    <w:rsid w:val="07FE16FA"/>
    <w:rsid w:val="08832F2B"/>
    <w:rsid w:val="09C7E07C"/>
    <w:rsid w:val="0AA9C2BC"/>
    <w:rsid w:val="0CA9F636"/>
    <w:rsid w:val="0DDDC5EF"/>
    <w:rsid w:val="0E8907AA"/>
    <w:rsid w:val="0F3359E8"/>
    <w:rsid w:val="1123300C"/>
    <w:rsid w:val="1162E87A"/>
    <w:rsid w:val="116F2E1A"/>
    <w:rsid w:val="11CE484C"/>
    <w:rsid w:val="13245105"/>
    <w:rsid w:val="13EEB9B0"/>
    <w:rsid w:val="14303B8F"/>
    <w:rsid w:val="147786A4"/>
    <w:rsid w:val="14AC7AB3"/>
    <w:rsid w:val="194943F7"/>
    <w:rsid w:val="19A5334B"/>
    <w:rsid w:val="1A53B719"/>
    <w:rsid w:val="1B05B199"/>
    <w:rsid w:val="1B598148"/>
    <w:rsid w:val="1BC17C34"/>
    <w:rsid w:val="1D0C9638"/>
    <w:rsid w:val="1DC00632"/>
    <w:rsid w:val="1E0AA8C2"/>
    <w:rsid w:val="1E473981"/>
    <w:rsid w:val="1EB47CAE"/>
    <w:rsid w:val="1EDBA8C2"/>
    <w:rsid w:val="1F294A6F"/>
    <w:rsid w:val="1F430A8B"/>
    <w:rsid w:val="1FF87A35"/>
    <w:rsid w:val="21E7E947"/>
    <w:rsid w:val="224C7212"/>
    <w:rsid w:val="23DDA198"/>
    <w:rsid w:val="24706DA7"/>
    <w:rsid w:val="24D86ECF"/>
    <w:rsid w:val="24FDC72D"/>
    <w:rsid w:val="25227B9C"/>
    <w:rsid w:val="256BB426"/>
    <w:rsid w:val="267618F7"/>
    <w:rsid w:val="27C2BDB6"/>
    <w:rsid w:val="27DD5926"/>
    <w:rsid w:val="2885DAA9"/>
    <w:rsid w:val="2924A782"/>
    <w:rsid w:val="29D87098"/>
    <w:rsid w:val="2AB6C811"/>
    <w:rsid w:val="2B1049E7"/>
    <w:rsid w:val="2B3A5078"/>
    <w:rsid w:val="2B502696"/>
    <w:rsid w:val="2BB0C8A3"/>
    <w:rsid w:val="2D05E092"/>
    <w:rsid w:val="2E3FD1EB"/>
    <w:rsid w:val="2EBAB305"/>
    <w:rsid w:val="2EBD5688"/>
    <w:rsid w:val="2ED9BD1D"/>
    <w:rsid w:val="2FD573B9"/>
    <w:rsid w:val="2FD7A830"/>
    <w:rsid w:val="2FD89001"/>
    <w:rsid w:val="30480011"/>
    <w:rsid w:val="3049E322"/>
    <w:rsid w:val="3055809B"/>
    <w:rsid w:val="30DECA97"/>
    <w:rsid w:val="3125158D"/>
    <w:rsid w:val="3213A09D"/>
    <w:rsid w:val="3224846F"/>
    <w:rsid w:val="329EFDCA"/>
    <w:rsid w:val="33C700CC"/>
    <w:rsid w:val="33D552C8"/>
    <w:rsid w:val="360C5811"/>
    <w:rsid w:val="36381A47"/>
    <w:rsid w:val="379A5B7A"/>
    <w:rsid w:val="37AC5E88"/>
    <w:rsid w:val="38B15834"/>
    <w:rsid w:val="3ADC57FD"/>
    <w:rsid w:val="3B28C72C"/>
    <w:rsid w:val="3E948090"/>
    <w:rsid w:val="3EB8947A"/>
    <w:rsid w:val="3F1A13D3"/>
    <w:rsid w:val="3F8AA0CD"/>
    <w:rsid w:val="3FA832FC"/>
    <w:rsid w:val="41862BD0"/>
    <w:rsid w:val="434B7EFD"/>
    <w:rsid w:val="43C5BE1D"/>
    <w:rsid w:val="43E68290"/>
    <w:rsid w:val="45655CAD"/>
    <w:rsid w:val="45B349D8"/>
    <w:rsid w:val="45E7B662"/>
    <w:rsid w:val="465BE365"/>
    <w:rsid w:val="478FC5F7"/>
    <w:rsid w:val="47A84A59"/>
    <w:rsid w:val="480F0A08"/>
    <w:rsid w:val="49A087C2"/>
    <w:rsid w:val="4A29B608"/>
    <w:rsid w:val="4A473CA0"/>
    <w:rsid w:val="4AFCCD25"/>
    <w:rsid w:val="4B682190"/>
    <w:rsid w:val="4BD36B8F"/>
    <w:rsid w:val="4C14CB0C"/>
    <w:rsid w:val="4C6FEFEE"/>
    <w:rsid w:val="4D0980ED"/>
    <w:rsid w:val="4D0AFC49"/>
    <w:rsid w:val="4DD31FAA"/>
    <w:rsid w:val="4DD3A134"/>
    <w:rsid w:val="4E7BBC52"/>
    <w:rsid w:val="52BECD51"/>
    <w:rsid w:val="55012BA4"/>
    <w:rsid w:val="553C7BD8"/>
    <w:rsid w:val="55C6CDB7"/>
    <w:rsid w:val="55E12FB0"/>
    <w:rsid w:val="56C7181C"/>
    <w:rsid w:val="58D58EE4"/>
    <w:rsid w:val="594F9DC2"/>
    <w:rsid w:val="595DAC14"/>
    <w:rsid w:val="599F243C"/>
    <w:rsid w:val="59C58A5A"/>
    <w:rsid w:val="59FF0AD4"/>
    <w:rsid w:val="5A65AFE4"/>
    <w:rsid w:val="5AFA75BE"/>
    <w:rsid w:val="5AFD96F2"/>
    <w:rsid w:val="5B1F1CA8"/>
    <w:rsid w:val="5B2022A8"/>
    <w:rsid w:val="5DBD5891"/>
    <w:rsid w:val="5EA652E9"/>
    <w:rsid w:val="5EB7A49C"/>
    <w:rsid w:val="5EDA9C95"/>
    <w:rsid w:val="5F50E43D"/>
    <w:rsid w:val="603D0F02"/>
    <w:rsid w:val="60A37E05"/>
    <w:rsid w:val="60A37E05"/>
    <w:rsid w:val="61E04AEF"/>
    <w:rsid w:val="64004D32"/>
    <w:rsid w:val="64638F96"/>
    <w:rsid w:val="656E9675"/>
    <w:rsid w:val="678506BC"/>
    <w:rsid w:val="67E983BF"/>
    <w:rsid w:val="68124457"/>
    <w:rsid w:val="68B27CEF"/>
    <w:rsid w:val="6A3681EF"/>
    <w:rsid w:val="6A5754DB"/>
    <w:rsid w:val="6AA04728"/>
    <w:rsid w:val="6AA14A55"/>
    <w:rsid w:val="6BC8D9FC"/>
    <w:rsid w:val="6CCC60DA"/>
    <w:rsid w:val="6EAFEE91"/>
    <w:rsid w:val="701F673E"/>
    <w:rsid w:val="71A5774B"/>
    <w:rsid w:val="72726D73"/>
    <w:rsid w:val="73507438"/>
    <w:rsid w:val="73BEDD4F"/>
    <w:rsid w:val="746E6776"/>
    <w:rsid w:val="7475E4A5"/>
    <w:rsid w:val="74A51DA3"/>
    <w:rsid w:val="751358AC"/>
    <w:rsid w:val="754C3035"/>
    <w:rsid w:val="7615E9DE"/>
    <w:rsid w:val="763111A7"/>
    <w:rsid w:val="76525D6A"/>
    <w:rsid w:val="76BA150F"/>
    <w:rsid w:val="779AFD2D"/>
    <w:rsid w:val="77C5811A"/>
    <w:rsid w:val="78D0FB92"/>
    <w:rsid w:val="7904DE60"/>
    <w:rsid w:val="7A2E36D9"/>
    <w:rsid w:val="7B14C9E8"/>
    <w:rsid w:val="7B1A7BBE"/>
    <w:rsid w:val="7B6F18D7"/>
    <w:rsid w:val="7B8B0D7C"/>
    <w:rsid w:val="7BA57CB5"/>
    <w:rsid w:val="7C0728CF"/>
    <w:rsid w:val="7D649CF8"/>
    <w:rsid w:val="7D7633D0"/>
    <w:rsid w:val="7DC0E6B6"/>
    <w:rsid w:val="7DC11BBF"/>
    <w:rsid w:val="7DF4F7B5"/>
    <w:rsid w:val="7E1F9EF1"/>
    <w:rsid w:val="7E28E752"/>
    <w:rsid w:val="7E3C785C"/>
    <w:rsid w:val="7F147C4A"/>
    <w:rsid w:val="7F84E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C39EF"/>
  <w15:chartTrackingRefBased/>
  <w15:docId w15:val="{14A59D36-9AAA-4B91-AAB4-8AB3732C63AF}"/>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AA0472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AA0472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AA0472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AA04728"/>
    <w:rPr>
      <w:color w:val="467886"/>
      <w:u w:val="single"/>
    </w:rPr>
  </w:style>
  <w:style w:type="paragraph" w:styleId="Header">
    <w:uiPriority w:val="99"/>
    <w:name w:val="header"/>
    <w:basedOn w:val="Normal"/>
    <w:unhideWhenUsed/>
    <w:rsid w:val="7E1F9EF1"/>
    <w:pPr>
      <w:tabs>
        <w:tab w:val="center" w:leader="none" w:pos="4680"/>
        <w:tab w:val="right" w:leader="none" w:pos="9360"/>
      </w:tabs>
      <w:spacing w:after="0" w:line="240" w:lineRule="auto"/>
    </w:pPr>
  </w:style>
  <w:style w:type="paragraph" w:styleId="Footer">
    <w:uiPriority w:val="99"/>
    <w:name w:val="footer"/>
    <w:basedOn w:val="Normal"/>
    <w:unhideWhenUsed/>
    <w:rsid w:val="7E1F9EF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10d6f27217f44bc" /><Relationship Type="http://schemas.openxmlformats.org/officeDocument/2006/relationships/footer" Target="/word/footer.xml" Id="Re7ef16fe1fb5433f" /><Relationship Type="http://schemas.openxmlformats.org/officeDocument/2006/relationships/hyperlink" Target="https://store.alivecor.co.uk/collections/main-product/products/kardiamobile" TargetMode="External" Id="R2fc1dd7227e245f8" /><Relationship Type="http://schemas.openxmlformats.org/officeDocument/2006/relationships/hyperlink" Target="https://www.gov.wales/how-make-service-inclusive-html" TargetMode="External" Id="R0d5bf600f9ac418e" /><Relationship Type="http://schemas.openxmlformats.org/officeDocument/2006/relationships/hyperlink" Target="https://www.england.nhs.uk/long-read/inclusive-digital-healthcare-a-framework-for-nhs-action-on-digital-inclusion/" TargetMode="External" Id="R2815b951957342e7" /><Relationship Type="http://schemas.openxmlformats.org/officeDocument/2006/relationships/hyperlink" Target="https://www.england.nhs.uk/long-read/medical-devices-and-digital-tools/" TargetMode="External" Id="Raa6213d1e68a46dd" /><Relationship Type="http://schemas.openxmlformats.org/officeDocument/2006/relationships/hyperlink" Target="https://www.nice.org.uk/guidance/htg508" TargetMode="External" Id="R2a7e5506aff94ffc" /><Relationship Type="http://schemas.openxmlformats.org/officeDocument/2006/relationships/hyperlink" Target="https://www.nice.org.uk/guidance/ng196" TargetMode="External" Id="R3a7b0372629a485f" /><Relationship Type="http://schemas.openxmlformats.org/officeDocument/2006/relationships/hyperlink" Target="https://www.nice.org.uk/guidance/htg606" TargetMode="External" Id="Rb3fedf1848164f17" /><Relationship Type="http://schemas.microsoft.com/office/2020/10/relationships/intelligence" Target="/word/intelligence2.xml" Id="Rf167bda0fc6d47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Febechukwu Miriam Iwuala (2409092)</dc:creator>
  <keywords/>
  <dc:description/>
  <lastModifiedBy>Febechukwu Miriam Iwuala (2409092)</lastModifiedBy>
  <revision>4</revision>
  <dcterms:created xsi:type="dcterms:W3CDTF">2026-09-27T15:33:02.2124828Z</dcterms:created>
  <dcterms:modified xsi:type="dcterms:W3CDTF">2026-10-19T13:30:46.8707977Z</dcterms:modified>
</coreProperties>
</file>