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1759B" w14:textId="5F4D2D30" w:rsidR="00E159BE" w:rsidRDefault="00E159BE"/>
    <w:p w14:paraId="2ECB61CE" w14:textId="7A57894D" w:rsidR="00E159BE" w:rsidRDefault="00E159BE" w:rsidP="00E159BE">
      <w:pPr>
        <w:jc w:val="center"/>
        <w:rPr>
          <w:u w:val="single"/>
        </w:rPr>
      </w:pPr>
      <w:r>
        <w:rPr>
          <w:u w:val="single"/>
        </w:rPr>
        <w:t xml:space="preserve">Determination of an unknown concentration of hydrochloric acid </w:t>
      </w:r>
      <w:r w:rsidR="00F73723">
        <w:rPr>
          <w:u w:val="single"/>
        </w:rPr>
        <w:t>using titration</w:t>
      </w:r>
    </w:p>
    <w:p w14:paraId="0B3B4EBB" w14:textId="7D4803DE" w:rsidR="00F73723" w:rsidRDefault="00F73723" w:rsidP="00F73723"/>
    <w:p w14:paraId="4EC954BB" w14:textId="2A7E31BC" w:rsidR="00F73723" w:rsidRDefault="00F73723" w:rsidP="00F73723">
      <w:pPr>
        <w:rPr>
          <w:u w:val="single"/>
        </w:rPr>
      </w:pPr>
      <w:r>
        <w:rPr>
          <w:u w:val="single"/>
        </w:rPr>
        <w:t>Purpose</w:t>
      </w:r>
    </w:p>
    <w:p w14:paraId="4646BCF5" w14:textId="16BCF0E9" w:rsidR="00F73723" w:rsidRDefault="008B1621" w:rsidP="00F73723">
      <w:r>
        <w:t xml:space="preserve">The purpose of this </w:t>
      </w:r>
      <w:r w:rsidR="00D272AC">
        <w:t>experiment</w:t>
      </w:r>
      <w:r>
        <w:t xml:space="preserve"> is to perform a titration to determine an unknown concentration of a sample of hydrochloric acid. </w:t>
      </w:r>
      <w:r w:rsidR="00D272AC">
        <w:t xml:space="preserve">A titration is a volumetrically controlled reaction where a reactant of known </w:t>
      </w:r>
      <w:r w:rsidR="00BC750E">
        <w:t>concentration</w:t>
      </w:r>
      <w:r w:rsidR="00D272AC">
        <w:t xml:space="preserve"> is added in a controlled manner to a </w:t>
      </w:r>
      <w:r w:rsidR="00BC750E">
        <w:t>regent</w:t>
      </w:r>
      <w:r w:rsidR="00D272AC">
        <w:t xml:space="preserve"> of unknown </w:t>
      </w:r>
      <w:r w:rsidR="00BC750E">
        <w:t>concentration</w:t>
      </w:r>
      <w:r w:rsidR="00D272AC">
        <w:t xml:space="preserve">, </w:t>
      </w:r>
      <w:proofErr w:type="gramStart"/>
      <w:r w:rsidR="00D272AC">
        <w:t>in order to</w:t>
      </w:r>
      <w:proofErr w:type="gramEnd"/>
      <w:r w:rsidR="00D272AC">
        <w:t xml:space="preserve"> </w:t>
      </w:r>
      <w:r w:rsidR="00BC750E">
        <w:t>calculate</w:t>
      </w:r>
      <w:r w:rsidR="00D272AC">
        <w:t xml:space="preserve"> the unknown concentration. In t</w:t>
      </w:r>
      <w:r w:rsidR="00BC750E">
        <w:t>h</w:t>
      </w:r>
      <w:r w:rsidR="00D272AC">
        <w:t xml:space="preserve">is case, </w:t>
      </w:r>
      <w:r w:rsidR="00BC750E">
        <w:t xml:space="preserve">known concentration sodium hydroxide was added to the acid. </w:t>
      </w:r>
    </w:p>
    <w:p w14:paraId="6972E486" w14:textId="77B5C643" w:rsidR="00BC750E" w:rsidRDefault="00BC750E" w:rsidP="00F73723"/>
    <w:p w14:paraId="1383F386" w14:textId="7484B3C1" w:rsidR="00BC750E" w:rsidRDefault="00BC750E" w:rsidP="00F73723">
      <w:pPr>
        <w:rPr>
          <w:u w:val="single"/>
        </w:rPr>
      </w:pPr>
      <w:r>
        <w:rPr>
          <w:u w:val="single"/>
        </w:rPr>
        <w:t>Theory</w:t>
      </w:r>
    </w:p>
    <w:p w14:paraId="3E0E4B54" w14:textId="2C4C259E" w:rsidR="00BC750E" w:rsidRDefault="00941DB7" w:rsidP="00F73723">
      <w:r>
        <w:t xml:space="preserve">Neutralisation occurs between an acidic an alkali substance, when hydrogen ion transfer occurs, resulting in the production of a salt and water.  For the reactants in this experiment, </w:t>
      </w:r>
      <w:r w:rsidR="00F43A39">
        <w:t>Hydrochloric</w:t>
      </w:r>
      <w:r>
        <w:t xml:space="preserve"> acid and sodium hydroxide, </w:t>
      </w:r>
      <w:r w:rsidR="00E46FEA">
        <w:t>the equation is as follows:</w:t>
      </w:r>
    </w:p>
    <w:p w14:paraId="38CBECB6" w14:textId="2F713F6B" w:rsidR="00E46FEA" w:rsidRDefault="00E46FEA" w:rsidP="00E46FEA">
      <w:pPr>
        <w:jc w:val="center"/>
        <w:rPr>
          <w:vertAlign w:val="subscript"/>
        </w:rPr>
      </w:pPr>
      <w:r>
        <w:t>NaOH</w:t>
      </w:r>
      <w:r>
        <w:rPr>
          <w:vertAlign w:val="subscript"/>
        </w:rPr>
        <w:t>(</w:t>
      </w:r>
      <w:proofErr w:type="spellStart"/>
      <w:r>
        <w:rPr>
          <w:vertAlign w:val="subscript"/>
        </w:rPr>
        <w:t>aq</w:t>
      </w:r>
      <w:proofErr w:type="spellEnd"/>
      <w:r>
        <w:rPr>
          <w:vertAlign w:val="subscript"/>
        </w:rPr>
        <w:t>)</w:t>
      </w:r>
      <w:r>
        <w:t xml:space="preserve"> + HCl</w:t>
      </w:r>
      <w:r>
        <w:rPr>
          <w:vertAlign w:val="subscript"/>
        </w:rPr>
        <w:t>(</w:t>
      </w:r>
      <w:proofErr w:type="spellStart"/>
      <w:r>
        <w:rPr>
          <w:vertAlign w:val="subscript"/>
        </w:rPr>
        <w:t>aq</w:t>
      </w:r>
      <w:proofErr w:type="spellEnd"/>
      <w:r>
        <w:rPr>
          <w:vertAlign w:val="subscript"/>
        </w:rPr>
        <w:t>)</w:t>
      </w:r>
      <w:r>
        <w:t xml:space="preserve"> </w:t>
      </w:r>
      <w:r w:rsidRPr="00E46FEA">
        <w:t>→</w:t>
      </w:r>
      <w:r>
        <w:t xml:space="preserve"> </w:t>
      </w:r>
      <w:r w:rsidR="00F60C30">
        <w:t>NaCl</w:t>
      </w:r>
      <w:r w:rsidR="00F60C30">
        <w:rPr>
          <w:vertAlign w:val="subscript"/>
        </w:rPr>
        <w:t>(</w:t>
      </w:r>
      <w:proofErr w:type="spellStart"/>
      <w:r w:rsidR="00F60C30">
        <w:rPr>
          <w:vertAlign w:val="subscript"/>
        </w:rPr>
        <w:t>aq</w:t>
      </w:r>
      <w:proofErr w:type="spellEnd"/>
      <w:r w:rsidR="00F60C30">
        <w:rPr>
          <w:vertAlign w:val="subscript"/>
        </w:rPr>
        <w:t xml:space="preserve">) </w:t>
      </w:r>
      <w:r w:rsidR="00F60C30">
        <w:t>+ H</w:t>
      </w:r>
      <w:r w:rsidR="00F60C30">
        <w:rPr>
          <w:vertAlign w:val="subscript"/>
        </w:rPr>
        <w:t>2</w:t>
      </w:r>
      <w:r w:rsidR="00F60C30">
        <w:t>O</w:t>
      </w:r>
      <w:r w:rsidR="00F60C30">
        <w:rPr>
          <w:vertAlign w:val="subscript"/>
        </w:rPr>
        <w:t>(l)</w:t>
      </w:r>
    </w:p>
    <w:p w14:paraId="269AADF6" w14:textId="6926A7B3" w:rsidR="00F60C30" w:rsidRDefault="00F60C30" w:rsidP="00F60C30">
      <w:r>
        <w:t xml:space="preserve">From this </w:t>
      </w:r>
      <w:r w:rsidR="00F43A39">
        <w:t>stoichiometry</w:t>
      </w:r>
      <w:r>
        <w:t xml:space="preserve">, it is seen that an amount of sodium hydroxide in moles, will neutralise an equal amount of hydrochloric acid. </w:t>
      </w:r>
      <w:r w:rsidR="009F5FDA">
        <w:t>Therefore</w:t>
      </w:r>
      <w:r w:rsidR="007B5BB8">
        <w:t xml:space="preserve">, </w:t>
      </w:r>
      <w:r w:rsidR="009F5FDA">
        <w:t xml:space="preserve">the </w:t>
      </w:r>
      <w:r w:rsidR="007B5BB8">
        <w:t xml:space="preserve">amount (in moles) of sodium hydroxide added to the acid to </w:t>
      </w:r>
      <w:r w:rsidR="00F43A39">
        <w:t>neutralise</w:t>
      </w:r>
      <w:r w:rsidR="007B5BB8">
        <w:t xml:space="preserve"> it will be equal to the number of moles of acid present, and </w:t>
      </w:r>
      <w:proofErr w:type="spellStart"/>
      <w:r w:rsidR="007B5BB8">
        <w:t>frokm</w:t>
      </w:r>
      <w:proofErr w:type="spellEnd"/>
      <w:r w:rsidR="007B5BB8">
        <w:t xml:space="preserve"> this the concentration can be calculate using the following formulae:</w:t>
      </w:r>
    </w:p>
    <w:p w14:paraId="20C191D5" w14:textId="010FFDF0" w:rsidR="007B5BB8" w:rsidRDefault="00F43A39" w:rsidP="00F60C30">
      <w:r>
        <w:t>Moles = concentration x volume, for the sodium hydroxide and</w:t>
      </w:r>
    </w:p>
    <w:p w14:paraId="1B2D8416" w14:textId="18A951FD" w:rsidR="00F43A39" w:rsidRDefault="00F43A39" w:rsidP="00F60C30">
      <w:r>
        <w:t xml:space="preserve">Concentration = moles / volume, for the hydrochloric acid. </w:t>
      </w:r>
    </w:p>
    <w:p w14:paraId="43FD3677" w14:textId="73AF03C1" w:rsidR="00164172" w:rsidRDefault="000D4DAF" w:rsidP="00F60C30">
      <w:r>
        <w:t>This reaction does not involve a change in colour, so an indicator</w:t>
      </w:r>
      <w:r w:rsidR="00AA209A">
        <w:t>, phenolphthalein that will change colour when the solution is neutralised</w:t>
      </w:r>
      <w:r>
        <w:t xml:space="preserve"> is added to the</w:t>
      </w:r>
      <w:r w:rsidR="001104A6">
        <w:t xml:space="preserve"> unknown</w:t>
      </w:r>
      <w:r w:rsidR="00AA209A">
        <w:t>,</w:t>
      </w:r>
      <w:r w:rsidR="001104A6">
        <w:t xml:space="preserve"> </w:t>
      </w:r>
      <w:r>
        <w:t>hydrochloric acid</w:t>
      </w:r>
      <w:r w:rsidR="00AA209A">
        <w:t>. A</w:t>
      </w:r>
      <w:r w:rsidR="001104A6">
        <w:t xml:space="preserve">s the titrant, sodium hydroxide, is added to </w:t>
      </w:r>
      <w:r w:rsidR="00AA209A">
        <w:t>the acid</w:t>
      </w:r>
      <w:r w:rsidR="001104A6">
        <w:t>, checks are made to determine the point at which the solution just changes from</w:t>
      </w:r>
      <w:r w:rsidR="00C921A3">
        <w:t xml:space="preserve"> colourless to pink. </w:t>
      </w:r>
      <w:r w:rsidR="00ED387C">
        <w:t xml:space="preserve">The titrant used is a standard solution, a solution made using precise volumetric glassware, to ensure an accurate and high precision concentration value. </w:t>
      </w:r>
    </w:p>
    <w:p w14:paraId="6A636E2D" w14:textId="38844D5E" w:rsidR="00C921A3" w:rsidRDefault="002F2C25" w:rsidP="00F60C30">
      <w:r>
        <w:t xml:space="preserve">In an OME environment, unknown concentrations are found when disassembling munitions of an improvised nature. It is important to determine the makeup of improvised explosive devices, as this can be used to determine where the device is </w:t>
      </w:r>
      <w:r w:rsidR="00FA6184">
        <w:t>manufactured and</w:t>
      </w:r>
      <w:r>
        <w:t xml:space="preserve"> quantify the level of hazard an </w:t>
      </w:r>
      <w:r w:rsidR="00FA6184">
        <w:t>initiation</w:t>
      </w:r>
      <w:r>
        <w:t xml:space="preserve"> would cause. However, as shown </w:t>
      </w:r>
      <w:r w:rsidR="00716963">
        <w:t>in the journal Analytical Methods</w:t>
      </w:r>
      <w:r w:rsidR="00792CE0">
        <w:t xml:space="preserve">, </w:t>
      </w:r>
      <w:r w:rsidR="00716963">
        <w:t>colorimetry</w:t>
      </w:r>
      <w:r w:rsidR="00792CE0">
        <w:t xml:space="preserve"> is usually used to determine </w:t>
      </w:r>
      <w:r w:rsidR="00716963">
        <w:t>concentrations</w:t>
      </w:r>
      <w:sdt>
        <w:sdtPr>
          <w:id w:val="1938939117"/>
          <w:citation/>
        </w:sdtPr>
        <w:sdtContent>
          <w:r w:rsidR="00FA6184">
            <w:fldChar w:fldCharType="begin"/>
          </w:r>
          <w:r w:rsidR="00FA6184">
            <w:instrText xml:space="preserve"> CITATION Kel15 \l 2057 </w:instrText>
          </w:r>
          <w:r w:rsidR="00FA6184">
            <w:fldChar w:fldCharType="separate"/>
          </w:r>
          <w:r w:rsidR="00FA6184">
            <w:rPr>
              <w:noProof/>
            </w:rPr>
            <w:t xml:space="preserve"> </w:t>
          </w:r>
          <w:r w:rsidR="00FA6184" w:rsidRPr="00FA6184">
            <w:rPr>
              <w:noProof/>
            </w:rPr>
            <w:t>[1]</w:t>
          </w:r>
          <w:r w:rsidR="00FA6184">
            <w:fldChar w:fldCharType="end"/>
          </w:r>
        </w:sdtContent>
      </w:sdt>
      <w:r w:rsidR="00792CE0">
        <w:t xml:space="preserve">, due to having a greater accuracy and </w:t>
      </w:r>
      <w:r w:rsidR="00716963">
        <w:t>range of detectable compounds, as it is not reliant on performing a reaction</w:t>
      </w:r>
      <w:r w:rsidR="00FA6184">
        <w:t xml:space="preserve">. </w:t>
      </w:r>
    </w:p>
    <w:p w14:paraId="4698EA56" w14:textId="6A8D291F" w:rsidR="00ED387C" w:rsidRDefault="000C1A9C" w:rsidP="00F60C30">
      <w:pPr>
        <w:rPr>
          <w:u w:val="single"/>
        </w:rPr>
      </w:pPr>
      <w:r>
        <w:rPr>
          <w:u w:val="single"/>
        </w:rPr>
        <w:t>Chemicals and equipment</w:t>
      </w:r>
    </w:p>
    <w:p w14:paraId="446F6A8B" w14:textId="2D1EB47B" w:rsidR="000C1A9C" w:rsidRDefault="007E3C74" w:rsidP="00F60C30">
      <w:r>
        <w:t>Unknown concentration hydrochloric acid</w:t>
      </w:r>
    </w:p>
    <w:p w14:paraId="0DFE9466" w14:textId="7C4D4159" w:rsidR="007E3C74" w:rsidRDefault="007E3C74" w:rsidP="00F60C30">
      <w:r>
        <w:t>0.1002 M sodium hydroxide solution</w:t>
      </w:r>
    </w:p>
    <w:p w14:paraId="3AD0E945" w14:textId="3E3EE2D4" w:rsidR="007E3C74" w:rsidRDefault="007E3C74" w:rsidP="00F60C30">
      <w:r>
        <w:t xml:space="preserve">Dilute </w:t>
      </w:r>
      <w:r w:rsidR="00AA209A">
        <w:t>phenolphthalein</w:t>
      </w:r>
      <w:r>
        <w:t xml:space="preserve"> </w:t>
      </w:r>
      <w:r w:rsidR="00AA209A">
        <w:t>indicator</w:t>
      </w:r>
    </w:p>
    <w:p w14:paraId="0D90B3D6" w14:textId="7B512E1B" w:rsidR="00AA209A" w:rsidRDefault="00621895" w:rsidP="00F60C30">
      <w:r>
        <w:t>50 cm</w:t>
      </w:r>
      <w:r>
        <w:rPr>
          <w:vertAlign w:val="superscript"/>
        </w:rPr>
        <w:t>3</w:t>
      </w:r>
      <w:r>
        <w:t xml:space="preserve"> volumetric burette</w:t>
      </w:r>
    </w:p>
    <w:p w14:paraId="7462BBB7" w14:textId="0293BA11" w:rsidR="00621895" w:rsidRDefault="00621895" w:rsidP="00F60C30">
      <w:r>
        <w:lastRenderedPageBreak/>
        <w:t>10 cm</w:t>
      </w:r>
      <w:r>
        <w:rPr>
          <w:vertAlign w:val="superscript"/>
        </w:rPr>
        <w:t>3</w:t>
      </w:r>
      <w:r>
        <w:t xml:space="preserve"> graduated </w:t>
      </w:r>
      <w:proofErr w:type="gramStart"/>
      <w:r>
        <w:t>pipette</w:t>
      </w:r>
      <w:proofErr w:type="gramEnd"/>
    </w:p>
    <w:p w14:paraId="7855C390" w14:textId="2653A91C" w:rsidR="00621895" w:rsidRDefault="00621895" w:rsidP="00F60C30">
      <w:r>
        <w:t>3 x 100 cm</w:t>
      </w:r>
      <w:r>
        <w:rPr>
          <w:vertAlign w:val="superscript"/>
        </w:rPr>
        <w:t>3</w:t>
      </w:r>
      <w:r>
        <w:t xml:space="preserve"> conical flasks</w:t>
      </w:r>
    </w:p>
    <w:p w14:paraId="728B586F" w14:textId="1C52B9BB" w:rsidR="00621895" w:rsidRDefault="00621895" w:rsidP="00F60C30">
      <w:r>
        <w:t>Glass funnel</w:t>
      </w:r>
    </w:p>
    <w:p w14:paraId="2CABFC7F" w14:textId="5C3EBC06" w:rsidR="00621895" w:rsidRDefault="00621895" w:rsidP="00F60C30"/>
    <w:p w14:paraId="6DC02425" w14:textId="5E2FDF81" w:rsidR="000130EB" w:rsidRDefault="00252A23" w:rsidP="00F60C30">
      <w:pPr>
        <w:rPr>
          <w:u w:val="single"/>
        </w:rPr>
      </w:pPr>
      <w:r>
        <w:rPr>
          <w:u w:val="single"/>
        </w:rPr>
        <w:t>Procedure</w:t>
      </w:r>
    </w:p>
    <w:p w14:paraId="682F7CE5" w14:textId="145C491D" w:rsidR="00252A23" w:rsidRDefault="00252A23" w:rsidP="00F60C30">
      <w:r w:rsidRPr="00252A23">
        <w:t>25 cm</w:t>
      </w:r>
      <w:r w:rsidRPr="00252A23">
        <w:rPr>
          <w:vertAlign w:val="superscript"/>
        </w:rPr>
        <w:t>3</w:t>
      </w:r>
      <w:r w:rsidRPr="00252A23">
        <w:t xml:space="preserve"> of hydrochloric acid was added tot a conical flask using the graduated pipette, with 3 drops of phenolphthalein indicator added to it. </w:t>
      </w:r>
      <w:r w:rsidR="00E81DE7">
        <w:t xml:space="preserve"> The burette was filled with the sodium hydroxide solution using a glass funnel. A rough titration was performed with the base added</w:t>
      </w:r>
      <w:r w:rsidR="00CD5484">
        <w:t xml:space="preserve"> in a continuous fashion until a colour changed occurred, to provide an approximate titre value. A new conical flask with 25cm</w:t>
      </w:r>
      <w:r w:rsidR="00CD5484">
        <w:rPr>
          <w:vertAlign w:val="superscript"/>
        </w:rPr>
        <w:t xml:space="preserve">3 </w:t>
      </w:r>
      <w:r w:rsidR="00CD5484">
        <w:t xml:space="preserve">of acid and 3 drops of indicator added was then used for the subsequent titration, with care </w:t>
      </w:r>
      <w:r w:rsidR="00367835">
        <w:t>being</w:t>
      </w:r>
      <w:r w:rsidR="00CD5484">
        <w:t xml:space="preserve"> taken once </w:t>
      </w:r>
      <w:r w:rsidR="00367835">
        <w:t>the added amount of titrant was approaching 2 cm</w:t>
      </w:r>
      <w:r w:rsidR="00367835">
        <w:rPr>
          <w:vertAlign w:val="superscript"/>
        </w:rPr>
        <w:t>3</w:t>
      </w:r>
      <w:r w:rsidR="00367835">
        <w:t xml:space="preserve"> less than the rough titre, until the solution just held a light pink colour. </w:t>
      </w:r>
      <w:r w:rsidR="00CD5484">
        <w:t xml:space="preserve"> </w:t>
      </w:r>
      <w:r w:rsidR="00367835">
        <w:t>This was then repeated until results within 0.10 cm</w:t>
      </w:r>
      <w:r w:rsidR="00367835">
        <w:rPr>
          <w:vertAlign w:val="superscript"/>
        </w:rPr>
        <w:t>3</w:t>
      </w:r>
      <w:r w:rsidR="00367835">
        <w:rPr>
          <w:vertAlign w:val="subscript"/>
        </w:rPr>
        <w:t xml:space="preserve"> </w:t>
      </w:r>
      <w:r w:rsidR="00367835">
        <w:t>were achieved</w:t>
      </w:r>
      <w:r w:rsidR="00BE7C08">
        <w:t xml:space="preserve">. </w:t>
      </w:r>
    </w:p>
    <w:p w14:paraId="336DA9D0" w14:textId="111866F5" w:rsidR="00BE7C08" w:rsidRDefault="00BE7C08" w:rsidP="00F60C30"/>
    <w:p w14:paraId="70328909" w14:textId="6B78C516" w:rsidR="00BE7C08" w:rsidRDefault="00BE7C08" w:rsidP="00F60C30">
      <w:pPr>
        <w:rPr>
          <w:u w:val="single"/>
        </w:rPr>
      </w:pPr>
      <w:r>
        <w:rPr>
          <w:u w:val="single"/>
        </w:rPr>
        <w:t>Results</w:t>
      </w:r>
    </w:p>
    <w:p w14:paraId="08EACC9E" w14:textId="609512B1" w:rsidR="00BE7C08" w:rsidRDefault="00E319EB" w:rsidP="00F60C30">
      <w:r>
        <w:t>Original in annex A</w:t>
      </w:r>
    </w:p>
    <w:tbl>
      <w:tblPr>
        <w:tblStyle w:val="TableGrid"/>
        <w:tblW w:w="0" w:type="auto"/>
        <w:tblLook w:val="04A0" w:firstRow="1" w:lastRow="0" w:firstColumn="1" w:lastColumn="0" w:noHBand="0" w:noVBand="1"/>
      </w:tblPr>
      <w:tblGrid>
        <w:gridCol w:w="1288"/>
        <w:gridCol w:w="1542"/>
        <w:gridCol w:w="1843"/>
        <w:gridCol w:w="1418"/>
        <w:gridCol w:w="1275"/>
      </w:tblGrid>
      <w:tr w:rsidR="00396CF9" w14:paraId="28BF208A" w14:textId="77777777" w:rsidTr="009F7845">
        <w:tc>
          <w:tcPr>
            <w:tcW w:w="1288" w:type="dxa"/>
          </w:tcPr>
          <w:p w14:paraId="4E15CA46" w14:textId="4330E4AB" w:rsidR="00396CF9" w:rsidRPr="00396CF9" w:rsidRDefault="00396CF9" w:rsidP="00396CF9">
            <w:pPr>
              <w:jc w:val="center"/>
              <w:rPr>
                <w:u w:val="single"/>
              </w:rPr>
            </w:pPr>
            <w:r w:rsidRPr="00396CF9">
              <w:rPr>
                <w:u w:val="single"/>
              </w:rPr>
              <w:t>Titration</w:t>
            </w:r>
          </w:p>
        </w:tc>
        <w:tc>
          <w:tcPr>
            <w:tcW w:w="1542" w:type="dxa"/>
          </w:tcPr>
          <w:p w14:paraId="34FDC15D" w14:textId="0B08F336" w:rsidR="00396CF9" w:rsidRPr="00396CF9" w:rsidRDefault="00396CF9" w:rsidP="00396CF9">
            <w:pPr>
              <w:jc w:val="center"/>
              <w:rPr>
                <w:u w:val="single"/>
                <w:vertAlign w:val="superscript"/>
              </w:rPr>
            </w:pPr>
            <w:r w:rsidRPr="00396CF9">
              <w:rPr>
                <w:u w:val="single"/>
              </w:rPr>
              <w:t>Volume of HCl used / cm</w:t>
            </w:r>
            <w:r w:rsidRPr="00396CF9">
              <w:rPr>
                <w:u w:val="single"/>
                <w:vertAlign w:val="superscript"/>
              </w:rPr>
              <w:t>3</w:t>
            </w:r>
          </w:p>
        </w:tc>
        <w:tc>
          <w:tcPr>
            <w:tcW w:w="1843" w:type="dxa"/>
          </w:tcPr>
          <w:p w14:paraId="05EFCFC6" w14:textId="2D3F95EF" w:rsidR="00396CF9" w:rsidRPr="00396CF9" w:rsidRDefault="00396CF9" w:rsidP="00396CF9">
            <w:pPr>
              <w:jc w:val="center"/>
              <w:rPr>
                <w:u w:val="single"/>
                <w:vertAlign w:val="subscript"/>
              </w:rPr>
            </w:pPr>
            <w:r w:rsidRPr="00396CF9">
              <w:rPr>
                <w:u w:val="single"/>
              </w:rPr>
              <w:t>Titre value / cm</w:t>
            </w:r>
            <w:r w:rsidRPr="00396CF9">
              <w:rPr>
                <w:u w:val="single"/>
                <w:vertAlign w:val="superscript"/>
              </w:rPr>
              <w:t>3</w:t>
            </w:r>
          </w:p>
        </w:tc>
        <w:tc>
          <w:tcPr>
            <w:tcW w:w="1418" w:type="dxa"/>
          </w:tcPr>
          <w:p w14:paraId="5C02A13D" w14:textId="6FE23D59" w:rsidR="00396CF9" w:rsidRPr="00396CF9" w:rsidRDefault="00396CF9" w:rsidP="00396CF9">
            <w:pPr>
              <w:jc w:val="center"/>
              <w:rPr>
                <w:u w:val="single"/>
              </w:rPr>
            </w:pPr>
            <w:r w:rsidRPr="00396CF9">
              <w:rPr>
                <w:u w:val="single"/>
              </w:rPr>
              <w:t>Moles of NaOH / mol</w:t>
            </w:r>
          </w:p>
        </w:tc>
        <w:tc>
          <w:tcPr>
            <w:tcW w:w="1275" w:type="dxa"/>
          </w:tcPr>
          <w:p w14:paraId="6BF097D8" w14:textId="658DD15F" w:rsidR="00396CF9" w:rsidRPr="00396CF9" w:rsidRDefault="00396CF9" w:rsidP="00396CF9">
            <w:pPr>
              <w:jc w:val="center"/>
              <w:rPr>
                <w:u w:val="single"/>
              </w:rPr>
            </w:pPr>
            <w:r w:rsidRPr="00396CF9">
              <w:rPr>
                <w:u w:val="single"/>
              </w:rPr>
              <w:t>Moles of HCl / mol</w:t>
            </w:r>
          </w:p>
        </w:tc>
      </w:tr>
      <w:tr w:rsidR="00396CF9" w14:paraId="3DC0F20D" w14:textId="77777777" w:rsidTr="009F7845">
        <w:tc>
          <w:tcPr>
            <w:tcW w:w="1288" w:type="dxa"/>
          </w:tcPr>
          <w:p w14:paraId="475008A7" w14:textId="77990E2D" w:rsidR="00396CF9" w:rsidRDefault="00396CF9" w:rsidP="00396CF9">
            <w:pPr>
              <w:jc w:val="center"/>
            </w:pPr>
            <w:r>
              <w:t>Rough</w:t>
            </w:r>
          </w:p>
        </w:tc>
        <w:tc>
          <w:tcPr>
            <w:tcW w:w="1542" w:type="dxa"/>
          </w:tcPr>
          <w:p w14:paraId="6468C32F" w14:textId="5E3C891A" w:rsidR="00396CF9" w:rsidRDefault="00EF3B87" w:rsidP="00396CF9">
            <w:pPr>
              <w:jc w:val="center"/>
            </w:pPr>
            <w:r>
              <w:t>25.00</w:t>
            </w:r>
          </w:p>
        </w:tc>
        <w:tc>
          <w:tcPr>
            <w:tcW w:w="1843" w:type="dxa"/>
          </w:tcPr>
          <w:p w14:paraId="2214DE15" w14:textId="4B4F5C96" w:rsidR="00396CF9" w:rsidRDefault="00EF3B87" w:rsidP="00396CF9">
            <w:pPr>
              <w:jc w:val="center"/>
            </w:pPr>
            <w:r>
              <w:t>16.60</w:t>
            </w:r>
          </w:p>
        </w:tc>
        <w:tc>
          <w:tcPr>
            <w:tcW w:w="1418" w:type="dxa"/>
          </w:tcPr>
          <w:p w14:paraId="159896B6" w14:textId="428BA532" w:rsidR="00396CF9" w:rsidRPr="00EF3B87" w:rsidRDefault="00EF3B87" w:rsidP="00396CF9">
            <w:pPr>
              <w:jc w:val="center"/>
              <w:rPr>
                <w:vertAlign w:val="superscript"/>
              </w:rPr>
            </w:pPr>
            <w:r>
              <w:t>1.663 x 10</w:t>
            </w:r>
            <w:r>
              <w:rPr>
                <w:vertAlign w:val="superscript"/>
              </w:rPr>
              <w:t>-</w:t>
            </w:r>
            <w:r w:rsidR="009F7845">
              <w:rPr>
                <w:vertAlign w:val="superscript"/>
              </w:rPr>
              <w:t>3</w:t>
            </w:r>
          </w:p>
        </w:tc>
        <w:tc>
          <w:tcPr>
            <w:tcW w:w="1275" w:type="dxa"/>
          </w:tcPr>
          <w:p w14:paraId="19DA77BF" w14:textId="3065D5E0" w:rsidR="00396CF9" w:rsidRDefault="009F7845" w:rsidP="00396CF9">
            <w:pPr>
              <w:jc w:val="center"/>
            </w:pPr>
            <w:r>
              <w:t>1.663 x 10</w:t>
            </w:r>
            <w:r>
              <w:rPr>
                <w:vertAlign w:val="superscript"/>
              </w:rPr>
              <w:t>-3</w:t>
            </w:r>
          </w:p>
        </w:tc>
      </w:tr>
      <w:tr w:rsidR="00396CF9" w14:paraId="204CA524" w14:textId="77777777" w:rsidTr="009F7845">
        <w:tc>
          <w:tcPr>
            <w:tcW w:w="1288" w:type="dxa"/>
          </w:tcPr>
          <w:p w14:paraId="2E12A87A" w14:textId="45C1DCF1" w:rsidR="00396CF9" w:rsidRDefault="00396CF9" w:rsidP="00396CF9">
            <w:pPr>
              <w:jc w:val="center"/>
            </w:pPr>
            <w:r>
              <w:t>1</w:t>
            </w:r>
          </w:p>
        </w:tc>
        <w:tc>
          <w:tcPr>
            <w:tcW w:w="1542" w:type="dxa"/>
          </w:tcPr>
          <w:p w14:paraId="1CD61C4D" w14:textId="716DFE23" w:rsidR="00396CF9" w:rsidRDefault="00EF3B87" w:rsidP="00396CF9">
            <w:pPr>
              <w:jc w:val="center"/>
            </w:pPr>
            <w:r>
              <w:t>25.00</w:t>
            </w:r>
          </w:p>
        </w:tc>
        <w:tc>
          <w:tcPr>
            <w:tcW w:w="1843" w:type="dxa"/>
          </w:tcPr>
          <w:p w14:paraId="5D08707D" w14:textId="5356B7F3" w:rsidR="00396CF9" w:rsidRDefault="00EF3B87" w:rsidP="00396CF9">
            <w:pPr>
              <w:jc w:val="center"/>
            </w:pPr>
            <w:r>
              <w:t>16.50</w:t>
            </w:r>
          </w:p>
        </w:tc>
        <w:tc>
          <w:tcPr>
            <w:tcW w:w="1418" w:type="dxa"/>
          </w:tcPr>
          <w:p w14:paraId="27D0664B" w14:textId="358F7BFC" w:rsidR="00396CF9" w:rsidRDefault="009F7845" w:rsidP="00396CF9">
            <w:pPr>
              <w:jc w:val="center"/>
            </w:pPr>
            <w:r>
              <w:t>1.653 x 10</w:t>
            </w:r>
            <w:r>
              <w:rPr>
                <w:vertAlign w:val="superscript"/>
              </w:rPr>
              <w:t>-3</w:t>
            </w:r>
          </w:p>
        </w:tc>
        <w:tc>
          <w:tcPr>
            <w:tcW w:w="1275" w:type="dxa"/>
          </w:tcPr>
          <w:p w14:paraId="00F120E5" w14:textId="331BA258" w:rsidR="00396CF9" w:rsidRDefault="009F7845" w:rsidP="00396CF9">
            <w:pPr>
              <w:jc w:val="center"/>
            </w:pPr>
            <w:r>
              <w:t>1.653 x 10</w:t>
            </w:r>
            <w:r>
              <w:rPr>
                <w:vertAlign w:val="superscript"/>
              </w:rPr>
              <w:t>-3</w:t>
            </w:r>
          </w:p>
        </w:tc>
      </w:tr>
      <w:tr w:rsidR="00396CF9" w14:paraId="4220DEB4" w14:textId="77777777" w:rsidTr="009F7845">
        <w:tc>
          <w:tcPr>
            <w:tcW w:w="1288" w:type="dxa"/>
          </w:tcPr>
          <w:p w14:paraId="37681F36" w14:textId="3945E87C" w:rsidR="00396CF9" w:rsidRDefault="00396CF9" w:rsidP="00396CF9">
            <w:pPr>
              <w:jc w:val="center"/>
            </w:pPr>
            <w:r>
              <w:t>2</w:t>
            </w:r>
          </w:p>
        </w:tc>
        <w:tc>
          <w:tcPr>
            <w:tcW w:w="1542" w:type="dxa"/>
          </w:tcPr>
          <w:p w14:paraId="308218E2" w14:textId="74807D7E" w:rsidR="00396CF9" w:rsidRDefault="00EF3B87" w:rsidP="00396CF9">
            <w:pPr>
              <w:jc w:val="center"/>
            </w:pPr>
            <w:r>
              <w:t>25.00</w:t>
            </w:r>
          </w:p>
        </w:tc>
        <w:tc>
          <w:tcPr>
            <w:tcW w:w="1843" w:type="dxa"/>
          </w:tcPr>
          <w:p w14:paraId="0A016DC5" w14:textId="6953E196" w:rsidR="00396CF9" w:rsidRDefault="00EF3B87" w:rsidP="00396CF9">
            <w:pPr>
              <w:jc w:val="center"/>
            </w:pPr>
            <w:r>
              <w:t>16.45</w:t>
            </w:r>
          </w:p>
        </w:tc>
        <w:tc>
          <w:tcPr>
            <w:tcW w:w="1418" w:type="dxa"/>
          </w:tcPr>
          <w:p w14:paraId="73DCE5F8" w14:textId="3D9A085E" w:rsidR="00396CF9" w:rsidRDefault="009F7845" w:rsidP="00396CF9">
            <w:pPr>
              <w:jc w:val="center"/>
            </w:pPr>
            <w:r>
              <w:t>1.648 x 10</w:t>
            </w:r>
            <w:r>
              <w:rPr>
                <w:vertAlign w:val="superscript"/>
              </w:rPr>
              <w:t>-3</w:t>
            </w:r>
          </w:p>
        </w:tc>
        <w:tc>
          <w:tcPr>
            <w:tcW w:w="1275" w:type="dxa"/>
          </w:tcPr>
          <w:p w14:paraId="7C6F5F44" w14:textId="3012FB42" w:rsidR="00396CF9" w:rsidRDefault="009F7845" w:rsidP="00396CF9">
            <w:pPr>
              <w:jc w:val="center"/>
            </w:pPr>
            <w:r>
              <w:t>1.648 x 10</w:t>
            </w:r>
            <w:r>
              <w:rPr>
                <w:vertAlign w:val="superscript"/>
              </w:rPr>
              <w:t>-3</w:t>
            </w:r>
          </w:p>
        </w:tc>
      </w:tr>
    </w:tbl>
    <w:p w14:paraId="1EC7BCA9" w14:textId="6F9D672C" w:rsidR="005450B0" w:rsidRDefault="005450B0" w:rsidP="00F60C30"/>
    <w:p w14:paraId="048C03A4" w14:textId="1C35F0CF" w:rsidR="005450B0" w:rsidRDefault="005450B0" w:rsidP="00F60C30">
      <w:r>
        <w:t>Using the concordant titres of 1 and 2, an average value of the number of moles of HCl present in 25 cm</w:t>
      </w:r>
      <w:r>
        <w:rPr>
          <w:vertAlign w:val="superscript"/>
        </w:rPr>
        <w:t>3</w:t>
      </w:r>
      <w:r>
        <w:t xml:space="preserve"> can be found as:</w:t>
      </w:r>
    </w:p>
    <w:p w14:paraId="028CE861" w14:textId="7B8BAD02" w:rsidR="005450B0" w:rsidRDefault="00094AD6" w:rsidP="00F60C30">
      <w:r>
        <w:t>(1.653 x 10</w:t>
      </w:r>
      <w:r>
        <w:rPr>
          <w:vertAlign w:val="superscript"/>
        </w:rPr>
        <w:t xml:space="preserve">-3 </w:t>
      </w:r>
      <w:r>
        <w:t>+ 1.648 x 10</w:t>
      </w:r>
      <w:r>
        <w:rPr>
          <w:vertAlign w:val="superscript"/>
        </w:rPr>
        <w:t>-3</w:t>
      </w:r>
      <w:r>
        <w:t xml:space="preserve">) mol / 2 = </w:t>
      </w:r>
      <w:r w:rsidR="00712480">
        <w:t>1.6505 x 10</w:t>
      </w:r>
      <w:r w:rsidR="00712480">
        <w:rPr>
          <w:vertAlign w:val="superscript"/>
        </w:rPr>
        <w:t xml:space="preserve">-3 </w:t>
      </w:r>
      <w:r w:rsidR="00712480">
        <w:t>mol</w:t>
      </w:r>
    </w:p>
    <w:p w14:paraId="387914FF" w14:textId="00E33BCF" w:rsidR="00712480" w:rsidRDefault="00712480" w:rsidP="00F60C30">
      <w:r>
        <w:t xml:space="preserve">Using this </w:t>
      </w:r>
      <w:r w:rsidR="00C171A5">
        <w:t>value</w:t>
      </w:r>
      <w:r>
        <w:t xml:space="preserve"> </w:t>
      </w:r>
      <w:proofErr w:type="gramStart"/>
      <w:r>
        <w:t>n</w:t>
      </w:r>
      <w:proofErr w:type="gramEnd"/>
      <w:r>
        <w:t xml:space="preserve"> the </w:t>
      </w:r>
      <w:r w:rsidR="00C171A5">
        <w:t>concentration</w:t>
      </w:r>
      <w:r>
        <w:t xml:space="preserve"> equation gives</w:t>
      </w:r>
      <w:r w:rsidR="00C171A5">
        <w:t>:</w:t>
      </w:r>
    </w:p>
    <w:p w14:paraId="287A1B50" w14:textId="79BAF4E3" w:rsidR="00C171A5" w:rsidRDefault="00C171A5" w:rsidP="00F60C30">
      <w:r>
        <w:t>1.6505 x 10</w:t>
      </w:r>
      <w:r>
        <w:rPr>
          <w:vertAlign w:val="superscript"/>
        </w:rPr>
        <w:t xml:space="preserve">-3 </w:t>
      </w:r>
      <w:r>
        <w:t>mol / (25 cm</w:t>
      </w:r>
      <w:r>
        <w:rPr>
          <w:vertAlign w:val="superscript"/>
        </w:rPr>
        <w:t>3</w:t>
      </w:r>
      <w:r>
        <w:t xml:space="preserve"> / 1000) = </w:t>
      </w:r>
      <w:r w:rsidR="00D3092B">
        <w:t>0.06602 M</w:t>
      </w:r>
    </w:p>
    <w:p w14:paraId="14519B68" w14:textId="72DCB399" w:rsidR="00D3092B" w:rsidRDefault="00321DF4" w:rsidP="00F60C30">
      <w:r>
        <w:t xml:space="preserve">The calculated value for the concentration of the unknown hydrochloric acid is 0.06602 M, to 4 significant figures. However, there are </w:t>
      </w:r>
      <w:proofErr w:type="gramStart"/>
      <w:r>
        <w:t>a number of</w:t>
      </w:r>
      <w:proofErr w:type="gramEnd"/>
      <w:r>
        <w:t xml:space="preserve"> sources of error in the experiment. First of these is the repeated used of a 10cm</w:t>
      </w:r>
      <w:r>
        <w:rPr>
          <w:vertAlign w:val="superscript"/>
        </w:rPr>
        <w:t>3</w:t>
      </w:r>
      <w:r>
        <w:rPr>
          <w:vertAlign w:val="subscript"/>
        </w:rPr>
        <w:t xml:space="preserve"> </w:t>
      </w:r>
      <w:r>
        <w:t>graduated pipette to dispense 25cm</w:t>
      </w:r>
      <w:r>
        <w:rPr>
          <w:vertAlign w:val="superscript"/>
        </w:rPr>
        <w:t>3</w:t>
      </w:r>
      <w:r>
        <w:t xml:space="preserve"> </w:t>
      </w:r>
      <w:r w:rsidR="00CA1F21">
        <w:t>of acid, as a graduated pipette has lower precision than a volumetric pipette, and repeated use for one measurement causes these errors to stack. A second source of error is parallax whilst reading graduated glassware</w:t>
      </w:r>
      <w:r w:rsidR="007C0934">
        <w:t xml:space="preserve">, leading to inaccurate readings. Finally, the precision of the used glassware was not noted, so no error bars can be drawn for the calculated value. </w:t>
      </w:r>
    </w:p>
    <w:p w14:paraId="17E2EAAC" w14:textId="093BF10E" w:rsidR="007C0934" w:rsidRDefault="00C95B35" w:rsidP="00F60C30">
      <w:pPr>
        <w:rPr>
          <w:u w:val="single"/>
        </w:rPr>
      </w:pPr>
      <w:r>
        <w:rPr>
          <w:u w:val="single"/>
        </w:rPr>
        <w:t>Conclusion</w:t>
      </w:r>
    </w:p>
    <w:p w14:paraId="2D9022E5" w14:textId="22E7616D" w:rsidR="00C95B35" w:rsidRPr="00C95B35" w:rsidRDefault="00C95B35" w:rsidP="00F60C30">
      <w:r>
        <w:t xml:space="preserve">The results of this experiment show a simple method for the calculation of an unknown concentration of an acid, in this case hydrochloric acid. This is an easy procedure to perform if he identity of the acid is known, however due to its simple nature, it can introduce a number of errors, so will not give as precise a result as an alternate method, for example colorimetry. </w:t>
      </w:r>
    </w:p>
    <w:p w14:paraId="09385FEF" w14:textId="294E04BF" w:rsidR="00094AD6" w:rsidRDefault="00154136" w:rsidP="00F60C30">
      <w:pPr>
        <w:rPr>
          <w:u w:val="single"/>
        </w:rPr>
      </w:pPr>
      <w:r>
        <w:rPr>
          <w:u w:val="single"/>
        </w:rPr>
        <w:lastRenderedPageBreak/>
        <w:t xml:space="preserve">References </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54136" w14:paraId="1D45B0DE" w14:textId="77777777" w:rsidTr="00AC593D">
        <w:trPr>
          <w:tblCellSpacing w:w="15" w:type="dxa"/>
        </w:trPr>
        <w:tc>
          <w:tcPr>
            <w:tcW w:w="50" w:type="pct"/>
            <w:hideMark/>
          </w:tcPr>
          <w:p w14:paraId="1F2D16FA" w14:textId="77777777" w:rsidR="00154136" w:rsidRDefault="00154136" w:rsidP="00AC593D">
            <w:pPr>
              <w:pStyle w:val="Bibliography"/>
              <w:rPr>
                <w:noProof/>
                <w:sz w:val="24"/>
                <w:szCs w:val="24"/>
                <w:lang w:val="en-US"/>
              </w:rPr>
            </w:pPr>
            <w:r>
              <w:rPr>
                <w:noProof/>
                <w:lang w:val="en-US"/>
              </w:rPr>
              <w:t xml:space="preserve">[1] </w:t>
            </w:r>
          </w:p>
        </w:tc>
        <w:tc>
          <w:tcPr>
            <w:tcW w:w="0" w:type="auto"/>
            <w:hideMark/>
          </w:tcPr>
          <w:p w14:paraId="1FD72F7E" w14:textId="77777777" w:rsidR="00154136" w:rsidRDefault="00154136" w:rsidP="00AC593D">
            <w:pPr>
              <w:pStyle w:val="Bibliography"/>
              <w:rPr>
                <w:noProof/>
                <w:lang w:val="en-US"/>
              </w:rPr>
            </w:pPr>
            <w:r>
              <w:rPr>
                <w:noProof/>
                <w:lang w:val="en-US"/>
              </w:rPr>
              <w:t xml:space="preserve">I. C. L. M. K. K. Z. L. B. a. B. R. M. Kelley L. Peters, "Simultaneous colorimetric detection of improvised explosive compounds using microfluidic paper-based analytical devices (μPADs)," </w:t>
            </w:r>
            <w:r>
              <w:rPr>
                <w:i/>
                <w:iCs/>
                <w:noProof/>
                <w:lang w:val="en-US"/>
              </w:rPr>
              <w:t xml:space="preserve">Analytical Methods, </w:t>
            </w:r>
            <w:r>
              <w:rPr>
                <w:noProof/>
                <w:lang w:val="en-US"/>
              </w:rPr>
              <w:t xml:space="preserve">vol. 7, no. 1, pp. 63-70, 2015. </w:t>
            </w:r>
          </w:p>
        </w:tc>
      </w:tr>
    </w:tbl>
    <w:p w14:paraId="1A54C305" w14:textId="5D422A71" w:rsidR="00154136" w:rsidRDefault="00154136" w:rsidP="00154136"/>
    <w:p w14:paraId="4E631D19" w14:textId="5B21E26C" w:rsidR="00426A65" w:rsidRDefault="0062113D" w:rsidP="00154136">
      <w:pPr>
        <w:rPr>
          <w:u w:val="single"/>
        </w:rPr>
      </w:pPr>
      <w:r>
        <w:rPr>
          <w:noProof/>
        </w:rPr>
        <w:drawing>
          <wp:anchor distT="0" distB="0" distL="114300" distR="114300" simplePos="0" relativeHeight="251658240" behindDoc="0" locked="0" layoutInCell="1" allowOverlap="1" wp14:anchorId="6B0A3221" wp14:editId="0B57A448">
            <wp:simplePos x="0" y="0"/>
            <wp:positionH relativeFrom="column">
              <wp:posOffset>781050</wp:posOffset>
            </wp:positionH>
            <wp:positionV relativeFrom="paragraph">
              <wp:posOffset>270510</wp:posOffset>
            </wp:positionV>
            <wp:extent cx="4142105" cy="5339080"/>
            <wp:effectExtent l="0" t="0" r="0" b="0"/>
            <wp:wrapSquare wrapText="bothSides"/>
            <wp:docPr id="193792957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29574" name="Picture 1"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42105" cy="5339080"/>
                    </a:xfrm>
                    <a:prstGeom prst="rect">
                      <a:avLst/>
                    </a:prstGeom>
                  </pic:spPr>
                </pic:pic>
              </a:graphicData>
            </a:graphic>
            <wp14:sizeRelH relativeFrom="margin">
              <wp14:pctWidth>0</wp14:pctWidth>
            </wp14:sizeRelH>
            <wp14:sizeRelV relativeFrom="margin">
              <wp14:pctHeight>0</wp14:pctHeight>
            </wp14:sizeRelV>
          </wp:anchor>
        </w:drawing>
      </w:r>
      <w:r w:rsidR="00426A65">
        <w:rPr>
          <w:u w:val="single"/>
        </w:rPr>
        <w:t>Annex A – original results table</w:t>
      </w:r>
    </w:p>
    <w:p w14:paraId="0129BF4C" w14:textId="616E2F85" w:rsidR="00426A65" w:rsidRPr="00426A65" w:rsidRDefault="00426A65" w:rsidP="00154136"/>
    <w:sectPr w:rsidR="00426A65" w:rsidRPr="00426A6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4B4D4" w14:textId="77777777" w:rsidR="0097611C" w:rsidRDefault="0097611C" w:rsidP="00E159BE">
      <w:pPr>
        <w:spacing w:after="0" w:line="240" w:lineRule="auto"/>
      </w:pPr>
      <w:r>
        <w:separator/>
      </w:r>
    </w:p>
  </w:endnote>
  <w:endnote w:type="continuationSeparator" w:id="0">
    <w:p w14:paraId="410C3C20" w14:textId="77777777" w:rsidR="0097611C" w:rsidRDefault="0097611C" w:rsidP="00E15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5556F" w14:textId="77777777" w:rsidR="0097611C" w:rsidRDefault="0097611C" w:rsidP="00E159BE">
      <w:pPr>
        <w:spacing w:after="0" w:line="240" w:lineRule="auto"/>
      </w:pPr>
      <w:r>
        <w:separator/>
      </w:r>
    </w:p>
  </w:footnote>
  <w:footnote w:type="continuationSeparator" w:id="0">
    <w:p w14:paraId="572CD43A" w14:textId="77777777" w:rsidR="0097611C" w:rsidRDefault="0097611C" w:rsidP="00E159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F5A3A" w14:textId="54EFDD42" w:rsidR="00E159BE" w:rsidRDefault="00E159BE">
    <w:pPr>
      <w:pStyle w:val="Header"/>
    </w:pPr>
    <w:r>
      <w:t>Quinn Dunbar</w:t>
    </w:r>
    <w:r>
      <w:tab/>
      <w:t>Chemistry ACDB4011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BE"/>
    <w:rsid w:val="000130EB"/>
    <w:rsid w:val="00094AD6"/>
    <w:rsid w:val="000C1A9C"/>
    <w:rsid w:val="000D4DAF"/>
    <w:rsid w:val="001104A6"/>
    <w:rsid w:val="00154136"/>
    <w:rsid w:val="00164172"/>
    <w:rsid w:val="00252A23"/>
    <w:rsid w:val="002F2C25"/>
    <w:rsid w:val="00321DF4"/>
    <w:rsid w:val="00367835"/>
    <w:rsid w:val="00396CF9"/>
    <w:rsid w:val="003F719E"/>
    <w:rsid w:val="00426A65"/>
    <w:rsid w:val="005450B0"/>
    <w:rsid w:val="0062113D"/>
    <w:rsid w:val="00621895"/>
    <w:rsid w:val="00712480"/>
    <w:rsid w:val="00716963"/>
    <w:rsid w:val="00792CE0"/>
    <w:rsid w:val="007B5BB8"/>
    <w:rsid w:val="007C0934"/>
    <w:rsid w:val="007E3C74"/>
    <w:rsid w:val="008B1621"/>
    <w:rsid w:val="00941DB7"/>
    <w:rsid w:val="0097611C"/>
    <w:rsid w:val="009F5FDA"/>
    <w:rsid w:val="009F7845"/>
    <w:rsid w:val="00AA209A"/>
    <w:rsid w:val="00BC750E"/>
    <w:rsid w:val="00BE7C08"/>
    <w:rsid w:val="00C171A5"/>
    <w:rsid w:val="00C921A3"/>
    <w:rsid w:val="00C95B35"/>
    <w:rsid w:val="00CA1F21"/>
    <w:rsid w:val="00CD5484"/>
    <w:rsid w:val="00D272AC"/>
    <w:rsid w:val="00D2770B"/>
    <w:rsid w:val="00D3092B"/>
    <w:rsid w:val="00D753EB"/>
    <w:rsid w:val="00E159BE"/>
    <w:rsid w:val="00E319EB"/>
    <w:rsid w:val="00E46FEA"/>
    <w:rsid w:val="00E81DE7"/>
    <w:rsid w:val="00ED387C"/>
    <w:rsid w:val="00EF3B87"/>
    <w:rsid w:val="00F43A39"/>
    <w:rsid w:val="00F60C30"/>
    <w:rsid w:val="00F73723"/>
    <w:rsid w:val="00FA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6FA5A"/>
  <w15:chartTrackingRefBased/>
  <w15:docId w15:val="{269EE05E-E974-41C7-B7C8-612CFD012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13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5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9BE"/>
  </w:style>
  <w:style w:type="paragraph" w:styleId="Footer">
    <w:name w:val="footer"/>
    <w:basedOn w:val="Normal"/>
    <w:link w:val="FooterChar"/>
    <w:uiPriority w:val="99"/>
    <w:unhideWhenUsed/>
    <w:rsid w:val="00E15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9BE"/>
  </w:style>
  <w:style w:type="table" w:styleId="TableGrid">
    <w:name w:val="Table Grid"/>
    <w:basedOn w:val="TableNormal"/>
    <w:uiPriority w:val="39"/>
    <w:rsid w:val="003F7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5413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54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27481">
      <w:bodyDiv w:val="1"/>
      <w:marLeft w:val="0"/>
      <w:marRight w:val="0"/>
      <w:marTop w:val="0"/>
      <w:marBottom w:val="0"/>
      <w:divBdr>
        <w:top w:val="none" w:sz="0" w:space="0" w:color="auto"/>
        <w:left w:val="none" w:sz="0" w:space="0" w:color="auto"/>
        <w:bottom w:val="none" w:sz="0" w:space="0" w:color="auto"/>
        <w:right w:val="none" w:sz="0" w:space="0" w:color="auto"/>
      </w:divBdr>
    </w:div>
    <w:div w:id="187696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Kel15</b:Tag>
    <b:SourceType>JournalArticle</b:SourceType>
    <b:Guid>{EA6F9F08-57AA-4C03-B3FB-C2C68EAD8C84}</b:Guid>
    <b:Author>
      <b:Author>
        <b:NameList>
          <b:Person>
            <b:Last>Kelley L. Peters</b:Last>
            <b:First>Inge</b:First>
            <b:Middle>Corbin, Lindsay M. Kaufman, Kyle Zreibe, Lucas Blanes and Bruce R. McCord</b:Middle>
          </b:Person>
        </b:NameList>
      </b:Author>
    </b:Author>
    <b:Title>Simultaneous colorimetric detection of improvised explosive compounds using microfluidic paper-based analytical devices (μPADs)</b:Title>
    <b:Year>2015</b:Year>
    <b:JournalName>Analytical Methods</b:JournalName>
    <b:Pages>63-70</b:Pages>
    <b:Volume>7</b:Volume>
    <b:Issue>1</b:Issue>
    <b:RefOrder>1</b:RefOrder>
  </b:Source>
</b:Sources>
</file>

<file path=customXml/itemProps1.xml><?xml version="1.0" encoding="utf-8"?>
<ds:datastoreItem xmlns:ds="http://schemas.openxmlformats.org/officeDocument/2006/customXml" ds:itemID="{16E47BFC-9ECC-4F33-BB9D-E4F6D72E8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3</Pages>
  <Words>766</Words>
  <Characters>4369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dc:creator>
  <cp:keywords/>
  <dc:description/>
  <cp:lastModifiedBy>Quinn</cp:lastModifiedBy>
  <cp:revision>2</cp:revision>
  <dcterms:created xsi:type="dcterms:W3CDTF">2023-04-16T13:35:00Z</dcterms:created>
  <dcterms:modified xsi:type="dcterms:W3CDTF">2023-04-16T16:44:00Z</dcterms:modified>
</cp:coreProperties>
</file>