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A00F68E" w14:textId="26892246" w:rsidR="002C2400" w:rsidRPr="00C214C5" w:rsidRDefault="00F0483E" w:rsidP="00EB5271">
      <w:r w:rsidRPr="00C214C5">
        <w:rPr>
          <w:b/>
          <w:noProof/>
          <w:sz w:val="28"/>
          <w:szCs w:val="28"/>
          <w:lang w:eastAsia="zh-CN"/>
        </w:rPr>
        <w:drawing>
          <wp:inline distT="0" distB="0" distL="0" distR="0" wp14:anchorId="140026DB" wp14:editId="2FF008AA">
            <wp:extent cx="2559050" cy="831850"/>
            <wp:effectExtent l="0" t="0" r="0" b="635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59050" cy="831850"/>
                    </a:xfrm>
                    <a:prstGeom prst="rect">
                      <a:avLst/>
                    </a:prstGeom>
                    <a:noFill/>
                    <a:ln>
                      <a:noFill/>
                    </a:ln>
                  </pic:spPr>
                </pic:pic>
              </a:graphicData>
            </a:graphic>
          </wp:inline>
        </w:drawing>
      </w:r>
    </w:p>
    <w:p w14:paraId="15829F69" w14:textId="77777777" w:rsidR="002C2400" w:rsidRPr="00C214C5" w:rsidRDefault="002C2400" w:rsidP="00EB5271"/>
    <w:p w14:paraId="23CD4DF1" w14:textId="36AC91DA" w:rsidR="002C2400" w:rsidRPr="00C214C5" w:rsidRDefault="002C2400" w:rsidP="00EB5271">
      <w:r w:rsidRPr="00C214C5">
        <w:t>UWTSD</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88"/>
        <w:gridCol w:w="6768"/>
      </w:tblGrid>
      <w:tr w:rsidR="009F6797" w:rsidRPr="00C214C5" w14:paraId="51DF0CA0" w14:textId="77777777">
        <w:tc>
          <w:tcPr>
            <w:tcW w:w="2088" w:type="dxa"/>
            <w:vAlign w:val="center"/>
          </w:tcPr>
          <w:p w14:paraId="0F907C0C" w14:textId="77777777" w:rsidR="009F6797" w:rsidRPr="00C214C5" w:rsidRDefault="009F6797" w:rsidP="009F6797">
            <w:pPr>
              <w:spacing w:after="0" w:line="240" w:lineRule="auto"/>
              <w:ind w:firstLine="0"/>
              <w:jc w:val="center"/>
              <w:rPr>
                <w:rFonts w:ascii="Arial" w:eastAsia="Times New Roman" w:hAnsi="Arial" w:cs="Arial"/>
              </w:rPr>
            </w:pPr>
            <w:r w:rsidRPr="00C214C5">
              <w:rPr>
                <w:rFonts w:ascii="Arial" w:eastAsia="Times New Roman" w:hAnsi="Arial" w:cs="Arial"/>
              </w:rPr>
              <w:t xml:space="preserve">Student Name/ </w:t>
            </w:r>
            <w:r w:rsidRPr="00C214C5">
              <w:rPr>
                <w:rFonts w:ascii="Arial" w:eastAsia="Times New Roman" w:hAnsi="Arial" w:cs="Arial"/>
                <w:i/>
              </w:rPr>
              <w:t>Enw Myfyriwr</w:t>
            </w:r>
          </w:p>
        </w:tc>
        <w:tc>
          <w:tcPr>
            <w:tcW w:w="6768" w:type="dxa"/>
          </w:tcPr>
          <w:p w14:paraId="34F3805F" w14:textId="77777777" w:rsidR="009F6797" w:rsidRPr="00C214C5" w:rsidRDefault="009F6797" w:rsidP="009F6797">
            <w:pPr>
              <w:spacing w:after="0" w:line="240" w:lineRule="auto"/>
              <w:ind w:firstLine="0"/>
              <w:jc w:val="left"/>
              <w:rPr>
                <w:rFonts w:ascii="Arial" w:eastAsia="Times New Roman" w:hAnsi="Arial" w:cs="Arial"/>
              </w:rPr>
            </w:pPr>
            <w:r w:rsidRPr="00C214C5">
              <w:rPr>
                <w:rFonts w:ascii="Arial" w:eastAsia="Times New Roman" w:hAnsi="Arial" w:cs="Arial"/>
              </w:rPr>
              <w:t xml:space="preserve">Craig Steven Wright / </w:t>
            </w:r>
            <w:r w:rsidRPr="00C214C5">
              <w:rPr>
                <w:rFonts w:ascii="Helvetica" w:eastAsia="Times New Roman" w:hAnsi="Helvetica"/>
                <w:b/>
                <w:bCs/>
                <w:color w:val="333333"/>
                <w:sz w:val="20"/>
                <w:szCs w:val="20"/>
                <w:bdr w:val="none" w:sz="0" w:space="0" w:color="auto" w:frame="1"/>
              </w:rPr>
              <w:t>2008826</w:t>
            </w:r>
          </w:p>
          <w:p w14:paraId="7C909633" w14:textId="77777777" w:rsidR="009F6797" w:rsidRPr="00C214C5" w:rsidRDefault="009F6797" w:rsidP="009F6797">
            <w:pPr>
              <w:spacing w:after="0" w:line="240" w:lineRule="auto"/>
              <w:ind w:firstLine="0"/>
              <w:jc w:val="left"/>
              <w:rPr>
                <w:rFonts w:ascii="Arial" w:eastAsia="Times New Roman" w:hAnsi="Arial" w:cs="Arial"/>
              </w:rPr>
            </w:pPr>
          </w:p>
        </w:tc>
      </w:tr>
      <w:tr w:rsidR="009F6797" w:rsidRPr="00C214C5" w14:paraId="58067841" w14:textId="77777777">
        <w:tc>
          <w:tcPr>
            <w:tcW w:w="2088" w:type="dxa"/>
            <w:vAlign w:val="center"/>
          </w:tcPr>
          <w:p w14:paraId="74F437C1" w14:textId="77777777" w:rsidR="009F6797" w:rsidRPr="00C214C5" w:rsidRDefault="009F6797" w:rsidP="009F6797">
            <w:pPr>
              <w:spacing w:after="0" w:line="240" w:lineRule="auto"/>
              <w:ind w:firstLine="0"/>
              <w:jc w:val="center"/>
              <w:rPr>
                <w:rFonts w:ascii="Arial" w:eastAsia="Times New Roman" w:hAnsi="Arial" w:cs="Arial"/>
              </w:rPr>
            </w:pPr>
            <w:r w:rsidRPr="00C214C5">
              <w:rPr>
                <w:rFonts w:ascii="Arial" w:eastAsia="Times New Roman" w:hAnsi="Arial" w:cs="Arial"/>
              </w:rPr>
              <w:t xml:space="preserve">Degree Scheme/ </w:t>
            </w:r>
            <w:r w:rsidRPr="00C214C5">
              <w:rPr>
                <w:rFonts w:ascii="Arial" w:eastAsia="Times New Roman" w:hAnsi="Arial" w:cs="Arial"/>
                <w:i/>
              </w:rPr>
              <w:t>Cynllun Gradd</w:t>
            </w:r>
          </w:p>
        </w:tc>
        <w:tc>
          <w:tcPr>
            <w:tcW w:w="6768" w:type="dxa"/>
          </w:tcPr>
          <w:p w14:paraId="580BDAF4" w14:textId="77777777" w:rsidR="009F6797" w:rsidRPr="00C214C5" w:rsidRDefault="009F6797" w:rsidP="009F6797">
            <w:pPr>
              <w:spacing w:after="0" w:line="240" w:lineRule="auto"/>
              <w:ind w:firstLine="0"/>
              <w:jc w:val="left"/>
              <w:rPr>
                <w:rFonts w:ascii="Arial" w:eastAsia="Times New Roman" w:hAnsi="Arial" w:cs="Arial"/>
              </w:rPr>
            </w:pPr>
            <w:r w:rsidRPr="00C214C5">
              <w:rPr>
                <w:rFonts w:ascii="Arial" w:eastAsia="Times New Roman" w:hAnsi="Arial" w:cs="Arial"/>
              </w:rPr>
              <w:t xml:space="preserve">MA – Ancient History </w:t>
            </w:r>
          </w:p>
          <w:p w14:paraId="59DB9596" w14:textId="77777777" w:rsidR="009F6797" w:rsidRPr="00C214C5" w:rsidRDefault="009F6797" w:rsidP="009F6797">
            <w:pPr>
              <w:spacing w:after="0" w:line="240" w:lineRule="auto"/>
              <w:ind w:firstLine="0"/>
              <w:jc w:val="left"/>
              <w:rPr>
                <w:rFonts w:ascii="Arial" w:eastAsia="Times New Roman" w:hAnsi="Arial" w:cs="Arial"/>
              </w:rPr>
            </w:pPr>
          </w:p>
        </w:tc>
      </w:tr>
    </w:tbl>
    <w:p w14:paraId="344AD853" w14:textId="77777777" w:rsidR="00794974" w:rsidRPr="00C214C5" w:rsidRDefault="00794974" w:rsidP="00EB5271"/>
    <w:p w14:paraId="745960A3" w14:textId="1DFA2051" w:rsidR="00CD5258" w:rsidRPr="00C214C5" w:rsidRDefault="00CD5258" w:rsidP="00CD5258">
      <w:pPr>
        <w:ind w:firstLine="0"/>
        <w:jc w:val="center"/>
        <w:rPr>
          <w:sz w:val="32"/>
          <w:szCs w:val="32"/>
        </w:rPr>
      </w:pPr>
      <w:r w:rsidRPr="00C214C5">
        <w:rPr>
          <w:sz w:val="32"/>
          <w:szCs w:val="32"/>
        </w:rPr>
        <w:t>The Collapse of Empires</w:t>
      </w:r>
    </w:p>
    <w:p w14:paraId="6E0FF2CC" w14:textId="77777777" w:rsidR="008A05BE" w:rsidRPr="00C214C5" w:rsidRDefault="008A05BE" w:rsidP="008A05BE"/>
    <w:p w14:paraId="2C16256F" w14:textId="68A6E179" w:rsidR="008A05BE" w:rsidRPr="00C214C5" w:rsidRDefault="008A05BE">
      <w:pPr>
        <w:spacing w:line="259" w:lineRule="auto"/>
        <w:ind w:firstLine="0"/>
        <w:jc w:val="left"/>
      </w:pPr>
      <w:r w:rsidRPr="00C214C5">
        <w:br w:type="page"/>
      </w:r>
    </w:p>
    <w:p w14:paraId="6524CA1A" w14:textId="56898DEB" w:rsidR="008A05BE" w:rsidRPr="00C214C5" w:rsidRDefault="00B47F16" w:rsidP="00B47F16">
      <w:pPr>
        <w:pStyle w:val="Heading1"/>
        <w:rPr>
          <w:lang w:val="en-GB"/>
        </w:rPr>
      </w:pPr>
      <w:bookmarkStart w:id="0" w:name="_Toc153780235"/>
      <w:bookmarkStart w:id="1" w:name="_Toc182111008"/>
      <w:r w:rsidRPr="00C214C5">
        <w:rPr>
          <w:lang w:val="en-GB"/>
        </w:rPr>
        <w:lastRenderedPageBreak/>
        <w:t>Abstract</w:t>
      </w:r>
      <w:bookmarkEnd w:id="0"/>
      <w:bookmarkEnd w:id="1"/>
    </w:p>
    <w:p w14:paraId="67714D45" w14:textId="77777777" w:rsidR="00C85524" w:rsidRPr="00C85524" w:rsidRDefault="00C85524" w:rsidP="00C85524">
      <w:pPr>
        <w:ind w:firstLine="0"/>
      </w:pPr>
      <w:r w:rsidRPr="00C85524">
        <w:t>This dissertation examines the population dynamics that played a pivotal role in the decline of the Roman Empire, focusing on increased immigration to the Italian peninsula and the resultant socio-political and economic transformations. It explores the multifaceted influences of socioeconomic disparities, political instability, environmental changes, and military pressures, highlighting how these factors collectively shaped population movements and demographic structures.</w:t>
      </w:r>
    </w:p>
    <w:p w14:paraId="00AE3E37" w14:textId="77777777" w:rsidR="00C85524" w:rsidRPr="00C85524" w:rsidRDefault="00C85524" w:rsidP="00C85524">
      <w:pPr>
        <w:ind w:firstLine="0"/>
      </w:pPr>
      <w:r w:rsidRPr="00C85524">
        <w:t>Drawing on diverse historical, archaeological, and quantitative sources, this study integrates advanced analytical techniques, including statistical analysis, demographic modelling, and case studies. It offers new insights by reframing the narrative of Rome’s decline as one of demographic redistribution and adaptation rather than outright collapse. By emphasizing the role of migration and regional realignments, this research sheds light on the Empire’s capacity for socio-political reorganisation in response to systemic challenges.</w:t>
      </w:r>
    </w:p>
    <w:p w14:paraId="379577E8" w14:textId="77777777" w:rsidR="00C85524" w:rsidRDefault="00C85524" w:rsidP="00C85524">
      <w:pPr>
        <w:ind w:firstLine="0"/>
      </w:pPr>
      <w:r w:rsidRPr="00C85524">
        <w:t>This study contributes to the broader discourse on the Roman Empire’s transformation, challenging traditional narratives of decline and providing a comprehensive exploration of the demographic shifts that underpinned one of history’s most significant transitions.</w:t>
      </w:r>
    </w:p>
    <w:p w14:paraId="183C3FC1" w14:textId="77777777" w:rsidR="00C85524" w:rsidRPr="00C85524" w:rsidRDefault="00C85524" w:rsidP="00C85524">
      <w:pPr>
        <w:ind w:firstLine="0"/>
      </w:pPr>
    </w:p>
    <w:p w14:paraId="7C25D466" w14:textId="77777777" w:rsidR="00C85524" w:rsidRPr="00C85524" w:rsidRDefault="00C85524" w:rsidP="00C85524">
      <w:pPr>
        <w:ind w:firstLine="0"/>
      </w:pPr>
      <w:r w:rsidRPr="00C85524">
        <w:rPr>
          <w:b/>
          <w:bCs/>
        </w:rPr>
        <w:t>Key Words</w:t>
      </w:r>
      <w:r w:rsidRPr="00C85524">
        <w:t>: Roman Empire, population dynamics, socioeconomic conditions, immigration, political instability, environmental changes, demographic modelling, historical analysis, case studies.</w:t>
      </w:r>
    </w:p>
    <w:p w14:paraId="44F37405" w14:textId="77777777" w:rsidR="00600759" w:rsidRPr="00C214C5" w:rsidRDefault="00600759" w:rsidP="008A05BE"/>
    <w:p w14:paraId="51617651" w14:textId="2304DC17" w:rsidR="00794974" w:rsidRPr="00C214C5" w:rsidRDefault="00794974" w:rsidP="00EB5271">
      <w:r w:rsidRPr="00C214C5">
        <w:br w:type="page"/>
      </w:r>
    </w:p>
    <w:p w14:paraId="0C7C2FF5" w14:textId="77777777" w:rsidR="00794974" w:rsidRPr="00C214C5" w:rsidRDefault="00794974" w:rsidP="00EB5271"/>
    <w:sdt>
      <w:sdtPr>
        <w:rPr>
          <w:rFonts w:eastAsiaTheme="minorHAnsi"/>
          <w:sz w:val="24"/>
          <w:szCs w:val="24"/>
          <w:lang w:val="en-GB"/>
        </w:rPr>
        <w:id w:val="1852914726"/>
        <w:docPartObj>
          <w:docPartGallery w:val="Table of Contents"/>
          <w:docPartUnique/>
        </w:docPartObj>
      </w:sdtPr>
      <w:sdtEndPr>
        <w:rPr>
          <w:b/>
          <w:bCs/>
          <w:noProof/>
        </w:rPr>
      </w:sdtEndPr>
      <w:sdtContent>
        <w:p w14:paraId="5C6F583D" w14:textId="52844431" w:rsidR="008850E6" w:rsidRDefault="008850E6">
          <w:pPr>
            <w:pStyle w:val="TOCHeading"/>
          </w:pPr>
          <w:r>
            <w:t>Contents</w:t>
          </w:r>
        </w:p>
        <w:p w14:paraId="4FDA3D66" w14:textId="1132A058" w:rsidR="0018686D" w:rsidRDefault="008850E6">
          <w:pPr>
            <w:pStyle w:val="TOC1"/>
            <w:tabs>
              <w:tab w:val="right" w:leader="dot" w:pos="9016"/>
            </w:tabs>
            <w:rPr>
              <w:rFonts w:asciiTheme="minorHAnsi" w:eastAsiaTheme="minorEastAsia" w:hAnsiTheme="minorHAnsi" w:cstheme="minorBidi"/>
              <w:noProof/>
              <w:kern w:val="2"/>
              <w:lang w:eastAsia="en-GB"/>
              <w14:ligatures w14:val="standardContextual"/>
            </w:rPr>
          </w:pPr>
          <w:r>
            <w:fldChar w:fldCharType="begin"/>
          </w:r>
          <w:r>
            <w:instrText xml:space="preserve"> TOC \o "1-3" \h \z \u </w:instrText>
          </w:r>
          <w:r>
            <w:fldChar w:fldCharType="separate"/>
          </w:r>
          <w:hyperlink w:anchor="_Toc182111008" w:history="1">
            <w:r w:rsidR="0018686D" w:rsidRPr="00ED0FFA">
              <w:rPr>
                <w:rStyle w:val="Hyperlink"/>
                <w:noProof/>
              </w:rPr>
              <w:t>Abstract</w:t>
            </w:r>
            <w:r w:rsidR="0018686D">
              <w:rPr>
                <w:noProof/>
                <w:webHidden/>
              </w:rPr>
              <w:tab/>
            </w:r>
            <w:r w:rsidR="0018686D">
              <w:rPr>
                <w:noProof/>
                <w:webHidden/>
              </w:rPr>
              <w:fldChar w:fldCharType="begin"/>
            </w:r>
            <w:r w:rsidR="0018686D">
              <w:rPr>
                <w:noProof/>
                <w:webHidden/>
              </w:rPr>
              <w:instrText xml:space="preserve"> PAGEREF _Toc182111008 \h </w:instrText>
            </w:r>
            <w:r w:rsidR="0018686D">
              <w:rPr>
                <w:noProof/>
                <w:webHidden/>
              </w:rPr>
            </w:r>
            <w:r w:rsidR="0018686D">
              <w:rPr>
                <w:noProof/>
                <w:webHidden/>
              </w:rPr>
              <w:fldChar w:fldCharType="separate"/>
            </w:r>
            <w:r w:rsidR="0018686D">
              <w:rPr>
                <w:noProof/>
                <w:webHidden/>
              </w:rPr>
              <w:t>2</w:t>
            </w:r>
            <w:r w:rsidR="0018686D">
              <w:rPr>
                <w:noProof/>
                <w:webHidden/>
              </w:rPr>
              <w:fldChar w:fldCharType="end"/>
            </w:r>
          </w:hyperlink>
        </w:p>
        <w:p w14:paraId="02725989" w14:textId="711752F5" w:rsidR="0018686D" w:rsidRDefault="0018686D">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182111009" w:history="1">
            <w:r w:rsidRPr="00ED0FFA">
              <w:rPr>
                <w:rStyle w:val="Hyperlink"/>
                <w:noProof/>
              </w:rPr>
              <w:t>Chapter 1 –Setting the Stage: An Overview of Rome’s Demographic Evolution</w:t>
            </w:r>
            <w:r>
              <w:rPr>
                <w:noProof/>
                <w:webHidden/>
              </w:rPr>
              <w:tab/>
            </w:r>
            <w:r>
              <w:rPr>
                <w:noProof/>
                <w:webHidden/>
              </w:rPr>
              <w:fldChar w:fldCharType="begin"/>
            </w:r>
            <w:r>
              <w:rPr>
                <w:noProof/>
                <w:webHidden/>
              </w:rPr>
              <w:instrText xml:space="preserve"> PAGEREF _Toc182111009 \h </w:instrText>
            </w:r>
            <w:r>
              <w:rPr>
                <w:noProof/>
                <w:webHidden/>
              </w:rPr>
            </w:r>
            <w:r>
              <w:rPr>
                <w:noProof/>
                <w:webHidden/>
              </w:rPr>
              <w:fldChar w:fldCharType="separate"/>
            </w:r>
            <w:r>
              <w:rPr>
                <w:noProof/>
                <w:webHidden/>
              </w:rPr>
              <w:t>10</w:t>
            </w:r>
            <w:r>
              <w:rPr>
                <w:noProof/>
                <w:webHidden/>
              </w:rPr>
              <w:fldChar w:fldCharType="end"/>
            </w:r>
          </w:hyperlink>
        </w:p>
        <w:p w14:paraId="77E18A53" w14:textId="046C6931" w:rsidR="0018686D" w:rsidRDefault="0018686D">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82111010" w:history="1">
            <w:r w:rsidRPr="00ED0FFA">
              <w:rPr>
                <w:rStyle w:val="Hyperlink"/>
                <w:noProof/>
              </w:rPr>
              <w:t>1.1 Laying the Foundations: The Importance and Context of Roman Demographic Studies</w:t>
            </w:r>
            <w:r>
              <w:rPr>
                <w:noProof/>
                <w:webHidden/>
              </w:rPr>
              <w:tab/>
            </w:r>
            <w:r>
              <w:rPr>
                <w:noProof/>
                <w:webHidden/>
              </w:rPr>
              <w:fldChar w:fldCharType="begin"/>
            </w:r>
            <w:r>
              <w:rPr>
                <w:noProof/>
                <w:webHidden/>
              </w:rPr>
              <w:instrText xml:space="preserve"> PAGEREF _Toc182111010 \h </w:instrText>
            </w:r>
            <w:r>
              <w:rPr>
                <w:noProof/>
                <w:webHidden/>
              </w:rPr>
            </w:r>
            <w:r>
              <w:rPr>
                <w:noProof/>
                <w:webHidden/>
              </w:rPr>
              <w:fldChar w:fldCharType="separate"/>
            </w:r>
            <w:r>
              <w:rPr>
                <w:noProof/>
                <w:webHidden/>
              </w:rPr>
              <w:t>11</w:t>
            </w:r>
            <w:r>
              <w:rPr>
                <w:noProof/>
                <w:webHidden/>
              </w:rPr>
              <w:fldChar w:fldCharType="end"/>
            </w:r>
          </w:hyperlink>
        </w:p>
        <w:p w14:paraId="22847CC8" w14:textId="32B42ECD" w:rsidR="0018686D" w:rsidRDefault="0018686D">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82111011" w:history="1">
            <w:r w:rsidRPr="00ED0FFA">
              <w:rPr>
                <w:rStyle w:val="Hyperlink"/>
                <w:noProof/>
              </w:rPr>
              <w:t>1.2 Research Objectives</w:t>
            </w:r>
            <w:r>
              <w:rPr>
                <w:noProof/>
                <w:webHidden/>
              </w:rPr>
              <w:tab/>
            </w:r>
            <w:r>
              <w:rPr>
                <w:noProof/>
                <w:webHidden/>
              </w:rPr>
              <w:fldChar w:fldCharType="begin"/>
            </w:r>
            <w:r>
              <w:rPr>
                <w:noProof/>
                <w:webHidden/>
              </w:rPr>
              <w:instrText xml:space="preserve"> PAGEREF _Toc182111011 \h </w:instrText>
            </w:r>
            <w:r>
              <w:rPr>
                <w:noProof/>
                <w:webHidden/>
              </w:rPr>
            </w:r>
            <w:r>
              <w:rPr>
                <w:noProof/>
                <w:webHidden/>
              </w:rPr>
              <w:fldChar w:fldCharType="separate"/>
            </w:r>
            <w:r>
              <w:rPr>
                <w:noProof/>
                <w:webHidden/>
              </w:rPr>
              <w:t>14</w:t>
            </w:r>
            <w:r>
              <w:rPr>
                <w:noProof/>
                <w:webHidden/>
              </w:rPr>
              <w:fldChar w:fldCharType="end"/>
            </w:r>
          </w:hyperlink>
        </w:p>
        <w:p w14:paraId="4FB3BAFB" w14:textId="74AB6291" w:rsidR="0018686D" w:rsidRDefault="0018686D">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82111012" w:history="1">
            <w:r w:rsidRPr="00ED0FFA">
              <w:rPr>
                <w:rStyle w:val="Hyperlink"/>
                <w:noProof/>
              </w:rPr>
              <w:t>1.3 Research Questions</w:t>
            </w:r>
            <w:r>
              <w:rPr>
                <w:noProof/>
                <w:webHidden/>
              </w:rPr>
              <w:tab/>
            </w:r>
            <w:r>
              <w:rPr>
                <w:noProof/>
                <w:webHidden/>
              </w:rPr>
              <w:fldChar w:fldCharType="begin"/>
            </w:r>
            <w:r>
              <w:rPr>
                <w:noProof/>
                <w:webHidden/>
              </w:rPr>
              <w:instrText xml:space="preserve"> PAGEREF _Toc182111012 \h </w:instrText>
            </w:r>
            <w:r>
              <w:rPr>
                <w:noProof/>
                <w:webHidden/>
              </w:rPr>
            </w:r>
            <w:r>
              <w:rPr>
                <w:noProof/>
                <w:webHidden/>
              </w:rPr>
              <w:fldChar w:fldCharType="separate"/>
            </w:r>
            <w:r>
              <w:rPr>
                <w:noProof/>
                <w:webHidden/>
              </w:rPr>
              <w:t>15</w:t>
            </w:r>
            <w:r>
              <w:rPr>
                <w:noProof/>
                <w:webHidden/>
              </w:rPr>
              <w:fldChar w:fldCharType="end"/>
            </w:r>
          </w:hyperlink>
        </w:p>
        <w:p w14:paraId="3D18FD1C" w14:textId="01349BE3" w:rsidR="0018686D" w:rsidRDefault="0018686D">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82111013" w:history="1">
            <w:r w:rsidRPr="00ED0FFA">
              <w:rPr>
                <w:rStyle w:val="Hyperlink"/>
                <w:noProof/>
              </w:rPr>
              <w:t>1.4 Research Methodology</w:t>
            </w:r>
            <w:r>
              <w:rPr>
                <w:noProof/>
                <w:webHidden/>
              </w:rPr>
              <w:tab/>
            </w:r>
            <w:r>
              <w:rPr>
                <w:noProof/>
                <w:webHidden/>
              </w:rPr>
              <w:fldChar w:fldCharType="begin"/>
            </w:r>
            <w:r>
              <w:rPr>
                <w:noProof/>
                <w:webHidden/>
              </w:rPr>
              <w:instrText xml:space="preserve"> PAGEREF _Toc182111013 \h </w:instrText>
            </w:r>
            <w:r>
              <w:rPr>
                <w:noProof/>
                <w:webHidden/>
              </w:rPr>
            </w:r>
            <w:r>
              <w:rPr>
                <w:noProof/>
                <w:webHidden/>
              </w:rPr>
              <w:fldChar w:fldCharType="separate"/>
            </w:r>
            <w:r>
              <w:rPr>
                <w:noProof/>
                <w:webHidden/>
              </w:rPr>
              <w:t>17</w:t>
            </w:r>
            <w:r>
              <w:rPr>
                <w:noProof/>
                <w:webHidden/>
              </w:rPr>
              <w:fldChar w:fldCharType="end"/>
            </w:r>
          </w:hyperlink>
        </w:p>
        <w:p w14:paraId="02B2F16B" w14:textId="699D7E63" w:rsidR="0018686D" w:rsidRDefault="0018686D">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82111014" w:history="1">
            <w:r w:rsidRPr="00ED0FFA">
              <w:rPr>
                <w:rStyle w:val="Hyperlink"/>
                <w:noProof/>
              </w:rPr>
              <w:t>1.5 Dissertation Structure</w:t>
            </w:r>
            <w:r>
              <w:rPr>
                <w:noProof/>
                <w:webHidden/>
              </w:rPr>
              <w:tab/>
            </w:r>
            <w:r>
              <w:rPr>
                <w:noProof/>
                <w:webHidden/>
              </w:rPr>
              <w:fldChar w:fldCharType="begin"/>
            </w:r>
            <w:r>
              <w:rPr>
                <w:noProof/>
                <w:webHidden/>
              </w:rPr>
              <w:instrText xml:space="preserve"> PAGEREF _Toc182111014 \h </w:instrText>
            </w:r>
            <w:r>
              <w:rPr>
                <w:noProof/>
                <w:webHidden/>
              </w:rPr>
            </w:r>
            <w:r>
              <w:rPr>
                <w:noProof/>
                <w:webHidden/>
              </w:rPr>
              <w:fldChar w:fldCharType="separate"/>
            </w:r>
            <w:r>
              <w:rPr>
                <w:noProof/>
                <w:webHidden/>
              </w:rPr>
              <w:t>17</w:t>
            </w:r>
            <w:r>
              <w:rPr>
                <w:noProof/>
                <w:webHidden/>
              </w:rPr>
              <w:fldChar w:fldCharType="end"/>
            </w:r>
          </w:hyperlink>
        </w:p>
        <w:p w14:paraId="25E44BF9" w14:textId="0333276B" w:rsidR="0018686D" w:rsidRDefault="0018686D">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182111015" w:history="1">
            <w:r w:rsidRPr="00ED0FFA">
              <w:rPr>
                <w:rStyle w:val="Hyperlink"/>
                <w:noProof/>
              </w:rPr>
              <w:t>Chapter 2 - Literature Review</w:t>
            </w:r>
            <w:r>
              <w:rPr>
                <w:noProof/>
                <w:webHidden/>
              </w:rPr>
              <w:tab/>
            </w:r>
            <w:r>
              <w:rPr>
                <w:noProof/>
                <w:webHidden/>
              </w:rPr>
              <w:fldChar w:fldCharType="begin"/>
            </w:r>
            <w:r>
              <w:rPr>
                <w:noProof/>
                <w:webHidden/>
              </w:rPr>
              <w:instrText xml:space="preserve"> PAGEREF _Toc182111015 \h </w:instrText>
            </w:r>
            <w:r>
              <w:rPr>
                <w:noProof/>
                <w:webHidden/>
              </w:rPr>
            </w:r>
            <w:r>
              <w:rPr>
                <w:noProof/>
                <w:webHidden/>
              </w:rPr>
              <w:fldChar w:fldCharType="separate"/>
            </w:r>
            <w:r>
              <w:rPr>
                <w:noProof/>
                <w:webHidden/>
              </w:rPr>
              <w:t>20</w:t>
            </w:r>
            <w:r>
              <w:rPr>
                <w:noProof/>
                <w:webHidden/>
              </w:rPr>
              <w:fldChar w:fldCharType="end"/>
            </w:r>
          </w:hyperlink>
        </w:p>
        <w:p w14:paraId="4243487B" w14:textId="09D3FDB5" w:rsidR="0018686D" w:rsidRDefault="0018686D">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82111016" w:history="1">
            <w:r w:rsidRPr="00ED0FFA">
              <w:rPr>
                <w:rStyle w:val="Hyperlink"/>
                <w:noProof/>
              </w:rPr>
              <w:t>2.1 Historical Sources and Data</w:t>
            </w:r>
            <w:r>
              <w:rPr>
                <w:noProof/>
                <w:webHidden/>
              </w:rPr>
              <w:tab/>
            </w:r>
            <w:r>
              <w:rPr>
                <w:noProof/>
                <w:webHidden/>
              </w:rPr>
              <w:fldChar w:fldCharType="begin"/>
            </w:r>
            <w:r>
              <w:rPr>
                <w:noProof/>
                <w:webHidden/>
              </w:rPr>
              <w:instrText xml:space="preserve"> PAGEREF _Toc182111016 \h </w:instrText>
            </w:r>
            <w:r>
              <w:rPr>
                <w:noProof/>
                <w:webHidden/>
              </w:rPr>
            </w:r>
            <w:r>
              <w:rPr>
                <w:noProof/>
                <w:webHidden/>
              </w:rPr>
              <w:fldChar w:fldCharType="separate"/>
            </w:r>
            <w:r>
              <w:rPr>
                <w:noProof/>
                <w:webHidden/>
              </w:rPr>
              <w:t>20</w:t>
            </w:r>
            <w:r>
              <w:rPr>
                <w:noProof/>
                <w:webHidden/>
              </w:rPr>
              <w:fldChar w:fldCharType="end"/>
            </w:r>
          </w:hyperlink>
        </w:p>
        <w:p w14:paraId="2A4069EE" w14:textId="7DDA2C10" w:rsidR="0018686D" w:rsidRDefault="0018686D">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182111017" w:history="1">
            <w:r w:rsidRPr="00ED0FFA">
              <w:rPr>
                <w:rStyle w:val="Hyperlink"/>
                <w:noProof/>
              </w:rPr>
              <w:t>Population Comparison: Rome vs Constantinople (300–600 AD)</w:t>
            </w:r>
            <w:r>
              <w:rPr>
                <w:noProof/>
                <w:webHidden/>
              </w:rPr>
              <w:tab/>
            </w:r>
            <w:r>
              <w:rPr>
                <w:noProof/>
                <w:webHidden/>
              </w:rPr>
              <w:fldChar w:fldCharType="begin"/>
            </w:r>
            <w:r>
              <w:rPr>
                <w:noProof/>
                <w:webHidden/>
              </w:rPr>
              <w:instrText xml:space="preserve"> PAGEREF _Toc182111017 \h </w:instrText>
            </w:r>
            <w:r>
              <w:rPr>
                <w:noProof/>
                <w:webHidden/>
              </w:rPr>
            </w:r>
            <w:r>
              <w:rPr>
                <w:noProof/>
                <w:webHidden/>
              </w:rPr>
              <w:fldChar w:fldCharType="separate"/>
            </w:r>
            <w:r>
              <w:rPr>
                <w:noProof/>
                <w:webHidden/>
              </w:rPr>
              <w:t>21</w:t>
            </w:r>
            <w:r>
              <w:rPr>
                <w:noProof/>
                <w:webHidden/>
              </w:rPr>
              <w:fldChar w:fldCharType="end"/>
            </w:r>
          </w:hyperlink>
        </w:p>
        <w:p w14:paraId="042CA1BC" w14:textId="61D34656" w:rsidR="0018686D" w:rsidRDefault="0018686D">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182111018" w:history="1">
            <w:r w:rsidRPr="00ED0FFA">
              <w:rPr>
                <w:rStyle w:val="Hyperlink"/>
                <w:noProof/>
              </w:rPr>
              <w:t>Analytical Approaches and Methodologies</w:t>
            </w:r>
            <w:r>
              <w:rPr>
                <w:noProof/>
                <w:webHidden/>
              </w:rPr>
              <w:tab/>
            </w:r>
            <w:r>
              <w:rPr>
                <w:noProof/>
                <w:webHidden/>
              </w:rPr>
              <w:fldChar w:fldCharType="begin"/>
            </w:r>
            <w:r>
              <w:rPr>
                <w:noProof/>
                <w:webHidden/>
              </w:rPr>
              <w:instrText xml:space="preserve"> PAGEREF _Toc182111018 \h </w:instrText>
            </w:r>
            <w:r>
              <w:rPr>
                <w:noProof/>
                <w:webHidden/>
              </w:rPr>
            </w:r>
            <w:r>
              <w:rPr>
                <w:noProof/>
                <w:webHidden/>
              </w:rPr>
              <w:fldChar w:fldCharType="separate"/>
            </w:r>
            <w:r>
              <w:rPr>
                <w:noProof/>
                <w:webHidden/>
              </w:rPr>
              <w:t>32</w:t>
            </w:r>
            <w:r>
              <w:rPr>
                <w:noProof/>
                <w:webHidden/>
              </w:rPr>
              <w:fldChar w:fldCharType="end"/>
            </w:r>
          </w:hyperlink>
        </w:p>
        <w:p w14:paraId="3F456DB5" w14:textId="4E8739BF" w:rsidR="0018686D" w:rsidRDefault="0018686D">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182111019" w:history="1">
            <w:r w:rsidRPr="00ED0FFA">
              <w:rPr>
                <w:rStyle w:val="Hyperlink"/>
                <w:noProof/>
              </w:rPr>
              <w:t>Gaps and Limitations in Previous Research</w:t>
            </w:r>
            <w:r>
              <w:rPr>
                <w:noProof/>
                <w:webHidden/>
              </w:rPr>
              <w:tab/>
            </w:r>
            <w:r>
              <w:rPr>
                <w:noProof/>
                <w:webHidden/>
              </w:rPr>
              <w:fldChar w:fldCharType="begin"/>
            </w:r>
            <w:r>
              <w:rPr>
                <w:noProof/>
                <w:webHidden/>
              </w:rPr>
              <w:instrText xml:space="preserve"> PAGEREF _Toc182111019 \h </w:instrText>
            </w:r>
            <w:r>
              <w:rPr>
                <w:noProof/>
                <w:webHidden/>
              </w:rPr>
            </w:r>
            <w:r>
              <w:rPr>
                <w:noProof/>
                <w:webHidden/>
              </w:rPr>
              <w:fldChar w:fldCharType="separate"/>
            </w:r>
            <w:r>
              <w:rPr>
                <w:noProof/>
                <w:webHidden/>
              </w:rPr>
              <w:t>33</w:t>
            </w:r>
            <w:r>
              <w:rPr>
                <w:noProof/>
                <w:webHidden/>
              </w:rPr>
              <w:fldChar w:fldCharType="end"/>
            </w:r>
          </w:hyperlink>
        </w:p>
        <w:p w14:paraId="658E8C5F" w14:textId="47310082" w:rsidR="0018686D" w:rsidRDefault="0018686D">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82111020" w:history="1">
            <w:r w:rsidRPr="00ED0FFA">
              <w:rPr>
                <w:rStyle w:val="Hyperlink"/>
                <w:noProof/>
              </w:rPr>
              <w:t>2.4 Theoretical Framework</w:t>
            </w:r>
            <w:r>
              <w:rPr>
                <w:noProof/>
                <w:webHidden/>
              </w:rPr>
              <w:tab/>
            </w:r>
            <w:r>
              <w:rPr>
                <w:noProof/>
                <w:webHidden/>
              </w:rPr>
              <w:fldChar w:fldCharType="begin"/>
            </w:r>
            <w:r>
              <w:rPr>
                <w:noProof/>
                <w:webHidden/>
              </w:rPr>
              <w:instrText xml:space="preserve"> PAGEREF _Toc182111020 \h </w:instrText>
            </w:r>
            <w:r>
              <w:rPr>
                <w:noProof/>
                <w:webHidden/>
              </w:rPr>
            </w:r>
            <w:r>
              <w:rPr>
                <w:noProof/>
                <w:webHidden/>
              </w:rPr>
              <w:fldChar w:fldCharType="separate"/>
            </w:r>
            <w:r>
              <w:rPr>
                <w:noProof/>
                <w:webHidden/>
              </w:rPr>
              <w:t>34</w:t>
            </w:r>
            <w:r>
              <w:rPr>
                <w:noProof/>
                <w:webHidden/>
              </w:rPr>
              <w:fldChar w:fldCharType="end"/>
            </w:r>
          </w:hyperlink>
        </w:p>
        <w:p w14:paraId="28AC0DA0" w14:textId="034A75A7" w:rsidR="0018686D" w:rsidRDefault="0018686D">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82111021" w:history="1">
            <w:r w:rsidRPr="00ED0FFA">
              <w:rPr>
                <w:rStyle w:val="Hyperlink"/>
                <w:noProof/>
              </w:rPr>
              <w:t>2.5 Population Shifts in Rome, Constantinople, Athens, and Carthage</w:t>
            </w:r>
            <w:r>
              <w:rPr>
                <w:noProof/>
                <w:webHidden/>
              </w:rPr>
              <w:tab/>
            </w:r>
            <w:r>
              <w:rPr>
                <w:noProof/>
                <w:webHidden/>
              </w:rPr>
              <w:fldChar w:fldCharType="begin"/>
            </w:r>
            <w:r>
              <w:rPr>
                <w:noProof/>
                <w:webHidden/>
              </w:rPr>
              <w:instrText xml:space="preserve"> PAGEREF _Toc182111021 \h </w:instrText>
            </w:r>
            <w:r>
              <w:rPr>
                <w:noProof/>
                <w:webHidden/>
              </w:rPr>
            </w:r>
            <w:r>
              <w:rPr>
                <w:noProof/>
                <w:webHidden/>
              </w:rPr>
              <w:fldChar w:fldCharType="separate"/>
            </w:r>
            <w:r>
              <w:rPr>
                <w:noProof/>
                <w:webHidden/>
              </w:rPr>
              <w:t>35</w:t>
            </w:r>
            <w:r>
              <w:rPr>
                <w:noProof/>
                <w:webHidden/>
              </w:rPr>
              <w:fldChar w:fldCharType="end"/>
            </w:r>
          </w:hyperlink>
        </w:p>
        <w:p w14:paraId="6B93894A" w14:textId="250A56FD" w:rsidR="0018686D" w:rsidRDefault="0018686D">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182111022" w:history="1">
            <w:r w:rsidRPr="00ED0FFA">
              <w:rPr>
                <w:rStyle w:val="Hyperlink"/>
                <w:noProof/>
              </w:rPr>
              <w:t>Urban and Rural Populations: Key Trends</w:t>
            </w:r>
            <w:r>
              <w:rPr>
                <w:noProof/>
                <w:webHidden/>
              </w:rPr>
              <w:tab/>
            </w:r>
            <w:r>
              <w:rPr>
                <w:noProof/>
                <w:webHidden/>
              </w:rPr>
              <w:fldChar w:fldCharType="begin"/>
            </w:r>
            <w:r>
              <w:rPr>
                <w:noProof/>
                <w:webHidden/>
              </w:rPr>
              <w:instrText xml:space="preserve"> PAGEREF _Toc182111022 \h </w:instrText>
            </w:r>
            <w:r>
              <w:rPr>
                <w:noProof/>
                <w:webHidden/>
              </w:rPr>
            </w:r>
            <w:r>
              <w:rPr>
                <w:noProof/>
                <w:webHidden/>
              </w:rPr>
              <w:fldChar w:fldCharType="separate"/>
            </w:r>
            <w:r>
              <w:rPr>
                <w:noProof/>
                <w:webHidden/>
              </w:rPr>
              <w:t>36</w:t>
            </w:r>
            <w:r>
              <w:rPr>
                <w:noProof/>
                <w:webHidden/>
              </w:rPr>
              <w:fldChar w:fldCharType="end"/>
            </w:r>
          </w:hyperlink>
        </w:p>
        <w:p w14:paraId="1606D7BE" w14:textId="283C051E" w:rsidR="0018686D" w:rsidRDefault="0018686D">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182111023" w:history="1">
            <w:r w:rsidRPr="00ED0FFA">
              <w:rPr>
                <w:rStyle w:val="Hyperlink"/>
                <w:noProof/>
              </w:rPr>
              <w:t>Regional Redistribution</w:t>
            </w:r>
            <w:r>
              <w:rPr>
                <w:noProof/>
                <w:webHidden/>
              </w:rPr>
              <w:tab/>
            </w:r>
            <w:r>
              <w:rPr>
                <w:noProof/>
                <w:webHidden/>
              </w:rPr>
              <w:fldChar w:fldCharType="begin"/>
            </w:r>
            <w:r>
              <w:rPr>
                <w:noProof/>
                <w:webHidden/>
              </w:rPr>
              <w:instrText xml:space="preserve"> PAGEREF _Toc182111023 \h </w:instrText>
            </w:r>
            <w:r>
              <w:rPr>
                <w:noProof/>
                <w:webHidden/>
              </w:rPr>
            </w:r>
            <w:r>
              <w:rPr>
                <w:noProof/>
                <w:webHidden/>
              </w:rPr>
              <w:fldChar w:fldCharType="separate"/>
            </w:r>
            <w:r>
              <w:rPr>
                <w:noProof/>
                <w:webHidden/>
              </w:rPr>
              <w:t>37</w:t>
            </w:r>
            <w:r>
              <w:rPr>
                <w:noProof/>
                <w:webHidden/>
              </w:rPr>
              <w:fldChar w:fldCharType="end"/>
            </w:r>
          </w:hyperlink>
        </w:p>
        <w:p w14:paraId="1F8F513E" w14:textId="780408B5" w:rsidR="0018686D" w:rsidRDefault="0018686D">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182111024" w:history="1">
            <w:r w:rsidRPr="00ED0FFA">
              <w:rPr>
                <w:rStyle w:val="Hyperlink"/>
                <w:noProof/>
              </w:rPr>
              <w:t>Drivers of Population Shifts</w:t>
            </w:r>
            <w:r>
              <w:rPr>
                <w:noProof/>
                <w:webHidden/>
              </w:rPr>
              <w:tab/>
            </w:r>
            <w:r>
              <w:rPr>
                <w:noProof/>
                <w:webHidden/>
              </w:rPr>
              <w:fldChar w:fldCharType="begin"/>
            </w:r>
            <w:r>
              <w:rPr>
                <w:noProof/>
                <w:webHidden/>
              </w:rPr>
              <w:instrText xml:space="preserve"> PAGEREF _Toc182111024 \h </w:instrText>
            </w:r>
            <w:r>
              <w:rPr>
                <w:noProof/>
                <w:webHidden/>
              </w:rPr>
            </w:r>
            <w:r>
              <w:rPr>
                <w:noProof/>
                <w:webHidden/>
              </w:rPr>
              <w:fldChar w:fldCharType="separate"/>
            </w:r>
            <w:r>
              <w:rPr>
                <w:noProof/>
                <w:webHidden/>
              </w:rPr>
              <w:t>37</w:t>
            </w:r>
            <w:r>
              <w:rPr>
                <w:noProof/>
                <w:webHidden/>
              </w:rPr>
              <w:fldChar w:fldCharType="end"/>
            </w:r>
          </w:hyperlink>
        </w:p>
        <w:p w14:paraId="582C7A5C" w14:textId="45B7AB55" w:rsidR="0018686D" w:rsidRDefault="0018686D">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182111025" w:history="1">
            <w:r w:rsidRPr="00ED0FFA">
              <w:rPr>
                <w:rStyle w:val="Hyperlink"/>
                <w:noProof/>
              </w:rPr>
              <w:t>Urban-Rural Dynamics and Adaptability</w:t>
            </w:r>
            <w:r>
              <w:rPr>
                <w:noProof/>
                <w:webHidden/>
              </w:rPr>
              <w:tab/>
            </w:r>
            <w:r>
              <w:rPr>
                <w:noProof/>
                <w:webHidden/>
              </w:rPr>
              <w:fldChar w:fldCharType="begin"/>
            </w:r>
            <w:r>
              <w:rPr>
                <w:noProof/>
                <w:webHidden/>
              </w:rPr>
              <w:instrText xml:space="preserve"> PAGEREF _Toc182111025 \h </w:instrText>
            </w:r>
            <w:r>
              <w:rPr>
                <w:noProof/>
                <w:webHidden/>
              </w:rPr>
            </w:r>
            <w:r>
              <w:rPr>
                <w:noProof/>
                <w:webHidden/>
              </w:rPr>
              <w:fldChar w:fldCharType="separate"/>
            </w:r>
            <w:r>
              <w:rPr>
                <w:noProof/>
                <w:webHidden/>
              </w:rPr>
              <w:t>37</w:t>
            </w:r>
            <w:r>
              <w:rPr>
                <w:noProof/>
                <w:webHidden/>
              </w:rPr>
              <w:fldChar w:fldCharType="end"/>
            </w:r>
          </w:hyperlink>
        </w:p>
        <w:p w14:paraId="3D5EF629" w14:textId="365A0467" w:rsidR="0018686D" w:rsidRDefault="0018686D">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182111026" w:history="1">
            <w:r w:rsidRPr="00ED0FFA">
              <w:rPr>
                <w:rStyle w:val="Hyperlink"/>
                <w:noProof/>
              </w:rPr>
              <w:t>A Mediterranean in Transition</w:t>
            </w:r>
            <w:r>
              <w:rPr>
                <w:noProof/>
                <w:webHidden/>
              </w:rPr>
              <w:tab/>
            </w:r>
            <w:r>
              <w:rPr>
                <w:noProof/>
                <w:webHidden/>
              </w:rPr>
              <w:fldChar w:fldCharType="begin"/>
            </w:r>
            <w:r>
              <w:rPr>
                <w:noProof/>
                <w:webHidden/>
              </w:rPr>
              <w:instrText xml:space="preserve"> PAGEREF _Toc182111026 \h </w:instrText>
            </w:r>
            <w:r>
              <w:rPr>
                <w:noProof/>
                <w:webHidden/>
              </w:rPr>
            </w:r>
            <w:r>
              <w:rPr>
                <w:noProof/>
                <w:webHidden/>
              </w:rPr>
              <w:fldChar w:fldCharType="separate"/>
            </w:r>
            <w:r>
              <w:rPr>
                <w:noProof/>
                <w:webHidden/>
              </w:rPr>
              <w:t>38</w:t>
            </w:r>
            <w:r>
              <w:rPr>
                <w:noProof/>
                <w:webHidden/>
              </w:rPr>
              <w:fldChar w:fldCharType="end"/>
            </w:r>
          </w:hyperlink>
        </w:p>
        <w:p w14:paraId="7F165B75" w14:textId="43EB44F5" w:rsidR="0018686D" w:rsidRDefault="0018686D">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82111027" w:history="1">
            <w:r w:rsidRPr="00ED0FFA">
              <w:rPr>
                <w:rStyle w:val="Hyperlink"/>
                <w:noProof/>
              </w:rPr>
              <w:t>2.6 Future Research Directions</w:t>
            </w:r>
            <w:r>
              <w:rPr>
                <w:noProof/>
                <w:webHidden/>
              </w:rPr>
              <w:tab/>
            </w:r>
            <w:r>
              <w:rPr>
                <w:noProof/>
                <w:webHidden/>
              </w:rPr>
              <w:fldChar w:fldCharType="begin"/>
            </w:r>
            <w:r>
              <w:rPr>
                <w:noProof/>
                <w:webHidden/>
              </w:rPr>
              <w:instrText xml:space="preserve"> PAGEREF _Toc182111027 \h </w:instrText>
            </w:r>
            <w:r>
              <w:rPr>
                <w:noProof/>
                <w:webHidden/>
              </w:rPr>
            </w:r>
            <w:r>
              <w:rPr>
                <w:noProof/>
                <w:webHidden/>
              </w:rPr>
              <w:fldChar w:fldCharType="separate"/>
            </w:r>
            <w:r>
              <w:rPr>
                <w:noProof/>
                <w:webHidden/>
              </w:rPr>
              <w:t>38</w:t>
            </w:r>
            <w:r>
              <w:rPr>
                <w:noProof/>
                <w:webHidden/>
              </w:rPr>
              <w:fldChar w:fldCharType="end"/>
            </w:r>
          </w:hyperlink>
        </w:p>
        <w:p w14:paraId="17BF8C2C" w14:textId="2E19B7BF" w:rsidR="0018686D" w:rsidRDefault="0018686D">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182111028" w:history="1">
            <w:r w:rsidRPr="00ED0FFA">
              <w:rPr>
                <w:rStyle w:val="Hyperlink"/>
                <w:noProof/>
              </w:rPr>
              <w:t>Chapter 3 - Socioeconomic Conditions and Population Dynamics</w:t>
            </w:r>
            <w:r>
              <w:rPr>
                <w:noProof/>
                <w:webHidden/>
              </w:rPr>
              <w:tab/>
            </w:r>
            <w:r>
              <w:rPr>
                <w:noProof/>
                <w:webHidden/>
              </w:rPr>
              <w:fldChar w:fldCharType="begin"/>
            </w:r>
            <w:r>
              <w:rPr>
                <w:noProof/>
                <w:webHidden/>
              </w:rPr>
              <w:instrText xml:space="preserve"> PAGEREF _Toc182111028 \h </w:instrText>
            </w:r>
            <w:r>
              <w:rPr>
                <w:noProof/>
                <w:webHidden/>
              </w:rPr>
            </w:r>
            <w:r>
              <w:rPr>
                <w:noProof/>
                <w:webHidden/>
              </w:rPr>
              <w:fldChar w:fldCharType="separate"/>
            </w:r>
            <w:r>
              <w:rPr>
                <w:noProof/>
                <w:webHidden/>
              </w:rPr>
              <w:t>42</w:t>
            </w:r>
            <w:r>
              <w:rPr>
                <w:noProof/>
                <w:webHidden/>
              </w:rPr>
              <w:fldChar w:fldCharType="end"/>
            </w:r>
          </w:hyperlink>
        </w:p>
        <w:p w14:paraId="2A71206B" w14:textId="298A05C2" w:rsidR="0018686D" w:rsidRDefault="0018686D">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82111029" w:history="1">
            <w:r w:rsidRPr="00ED0FFA">
              <w:rPr>
                <w:rStyle w:val="Hyperlink"/>
                <w:noProof/>
              </w:rPr>
              <w:t>3.1 Socioeconomic Factors Influencing Population Shifts</w:t>
            </w:r>
            <w:r>
              <w:rPr>
                <w:noProof/>
                <w:webHidden/>
              </w:rPr>
              <w:tab/>
            </w:r>
            <w:r>
              <w:rPr>
                <w:noProof/>
                <w:webHidden/>
              </w:rPr>
              <w:fldChar w:fldCharType="begin"/>
            </w:r>
            <w:r>
              <w:rPr>
                <w:noProof/>
                <w:webHidden/>
              </w:rPr>
              <w:instrText xml:space="preserve"> PAGEREF _Toc182111029 \h </w:instrText>
            </w:r>
            <w:r>
              <w:rPr>
                <w:noProof/>
                <w:webHidden/>
              </w:rPr>
            </w:r>
            <w:r>
              <w:rPr>
                <w:noProof/>
                <w:webHidden/>
              </w:rPr>
              <w:fldChar w:fldCharType="separate"/>
            </w:r>
            <w:r>
              <w:rPr>
                <w:noProof/>
                <w:webHidden/>
              </w:rPr>
              <w:t>43</w:t>
            </w:r>
            <w:r>
              <w:rPr>
                <w:noProof/>
                <w:webHidden/>
              </w:rPr>
              <w:fldChar w:fldCharType="end"/>
            </w:r>
          </w:hyperlink>
        </w:p>
        <w:p w14:paraId="50F577B2" w14:textId="1A6F7C37" w:rsidR="0018686D" w:rsidRDefault="0018686D">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182111030" w:history="1">
            <w:r w:rsidRPr="00ED0FFA">
              <w:rPr>
                <w:rStyle w:val="Hyperlink"/>
                <w:noProof/>
              </w:rPr>
              <w:t>Rome’s Decline and Population Redistribution</w:t>
            </w:r>
            <w:r>
              <w:rPr>
                <w:noProof/>
                <w:webHidden/>
              </w:rPr>
              <w:tab/>
            </w:r>
            <w:r>
              <w:rPr>
                <w:noProof/>
                <w:webHidden/>
              </w:rPr>
              <w:fldChar w:fldCharType="begin"/>
            </w:r>
            <w:r>
              <w:rPr>
                <w:noProof/>
                <w:webHidden/>
              </w:rPr>
              <w:instrText xml:space="preserve"> PAGEREF _Toc182111030 \h </w:instrText>
            </w:r>
            <w:r>
              <w:rPr>
                <w:noProof/>
                <w:webHidden/>
              </w:rPr>
            </w:r>
            <w:r>
              <w:rPr>
                <w:noProof/>
                <w:webHidden/>
              </w:rPr>
              <w:fldChar w:fldCharType="separate"/>
            </w:r>
            <w:r>
              <w:rPr>
                <w:noProof/>
                <w:webHidden/>
              </w:rPr>
              <w:t>46</w:t>
            </w:r>
            <w:r>
              <w:rPr>
                <w:noProof/>
                <w:webHidden/>
              </w:rPr>
              <w:fldChar w:fldCharType="end"/>
            </w:r>
          </w:hyperlink>
        </w:p>
        <w:p w14:paraId="73FDC4CC" w14:textId="49EF0855" w:rsidR="0018686D" w:rsidRDefault="0018686D">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82111031" w:history="1">
            <w:r w:rsidRPr="00ED0FFA">
              <w:rPr>
                <w:rStyle w:val="Hyperlink"/>
                <w:noProof/>
              </w:rPr>
              <w:t>3.2 Wealth Distribution and Income Inequality</w:t>
            </w:r>
            <w:r>
              <w:rPr>
                <w:noProof/>
                <w:webHidden/>
              </w:rPr>
              <w:tab/>
            </w:r>
            <w:r>
              <w:rPr>
                <w:noProof/>
                <w:webHidden/>
              </w:rPr>
              <w:fldChar w:fldCharType="begin"/>
            </w:r>
            <w:r>
              <w:rPr>
                <w:noProof/>
                <w:webHidden/>
              </w:rPr>
              <w:instrText xml:space="preserve"> PAGEREF _Toc182111031 \h </w:instrText>
            </w:r>
            <w:r>
              <w:rPr>
                <w:noProof/>
                <w:webHidden/>
              </w:rPr>
            </w:r>
            <w:r>
              <w:rPr>
                <w:noProof/>
                <w:webHidden/>
              </w:rPr>
              <w:fldChar w:fldCharType="separate"/>
            </w:r>
            <w:r>
              <w:rPr>
                <w:noProof/>
                <w:webHidden/>
              </w:rPr>
              <w:t>48</w:t>
            </w:r>
            <w:r>
              <w:rPr>
                <w:noProof/>
                <w:webHidden/>
              </w:rPr>
              <w:fldChar w:fldCharType="end"/>
            </w:r>
          </w:hyperlink>
        </w:p>
        <w:p w14:paraId="6973BDD8" w14:textId="72044656" w:rsidR="0018686D" w:rsidRDefault="0018686D">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182111032" w:history="1">
            <w:r w:rsidRPr="00ED0FFA">
              <w:rPr>
                <w:rStyle w:val="Hyperlink"/>
                <w:noProof/>
              </w:rPr>
              <w:t>Wealth Distribution and Settlement Patterns</w:t>
            </w:r>
            <w:r>
              <w:rPr>
                <w:noProof/>
                <w:webHidden/>
              </w:rPr>
              <w:tab/>
            </w:r>
            <w:r>
              <w:rPr>
                <w:noProof/>
                <w:webHidden/>
              </w:rPr>
              <w:fldChar w:fldCharType="begin"/>
            </w:r>
            <w:r>
              <w:rPr>
                <w:noProof/>
                <w:webHidden/>
              </w:rPr>
              <w:instrText xml:space="preserve"> PAGEREF _Toc182111032 \h </w:instrText>
            </w:r>
            <w:r>
              <w:rPr>
                <w:noProof/>
                <w:webHidden/>
              </w:rPr>
            </w:r>
            <w:r>
              <w:rPr>
                <w:noProof/>
                <w:webHidden/>
              </w:rPr>
              <w:fldChar w:fldCharType="separate"/>
            </w:r>
            <w:r>
              <w:rPr>
                <w:noProof/>
                <w:webHidden/>
              </w:rPr>
              <w:t>48</w:t>
            </w:r>
            <w:r>
              <w:rPr>
                <w:noProof/>
                <w:webHidden/>
              </w:rPr>
              <w:fldChar w:fldCharType="end"/>
            </w:r>
          </w:hyperlink>
        </w:p>
        <w:p w14:paraId="1846EB80" w14:textId="47F5F2C3" w:rsidR="0018686D" w:rsidRDefault="0018686D">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182111033" w:history="1">
            <w:r w:rsidRPr="00ED0FFA">
              <w:rPr>
                <w:rStyle w:val="Hyperlink"/>
                <w:noProof/>
              </w:rPr>
              <w:t>Case Study 1: Rome’s Economic Decline</w:t>
            </w:r>
            <w:r>
              <w:rPr>
                <w:noProof/>
                <w:webHidden/>
              </w:rPr>
              <w:tab/>
            </w:r>
            <w:r>
              <w:rPr>
                <w:noProof/>
                <w:webHidden/>
              </w:rPr>
              <w:fldChar w:fldCharType="begin"/>
            </w:r>
            <w:r>
              <w:rPr>
                <w:noProof/>
                <w:webHidden/>
              </w:rPr>
              <w:instrText xml:space="preserve"> PAGEREF _Toc182111033 \h </w:instrText>
            </w:r>
            <w:r>
              <w:rPr>
                <w:noProof/>
                <w:webHidden/>
              </w:rPr>
            </w:r>
            <w:r>
              <w:rPr>
                <w:noProof/>
                <w:webHidden/>
              </w:rPr>
              <w:fldChar w:fldCharType="separate"/>
            </w:r>
            <w:r>
              <w:rPr>
                <w:noProof/>
                <w:webHidden/>
              </w:rPr>
              <w:t>48</w:t>
            </w:r>
            <w:r>
              <w:rPr>
                <w:noProof/>
                <w:webHidden/>
              </w:rPr>
              <w:fldChar w:fldCharType="end"/>
            </w:r>
          </w:hyperlink>
        </w:p>
        <w:p w14:paraId="73C553C8" w14:textId="4F7D1165" w:rsidR="0018686D" w:rsidRDefault="0018686D">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182111034" w:history="1">
            <w:r w:rsidRPr="00ED0FFA">
              <w:rPr>
                <w:rStyle w:val="Hyperlink"/>
                <w:noProof/>
              </w:rPr>
              <w:t>Case Study 2: Constantinople as an Economic Hub</w:t>
            </w:r>
            <w:r>
              <w:rPr>
                <w:noProof/>
                <w:webHidden/>
              </w:rPr>
              <w:tab/>
            </w:r>
            <w:r>
              <w:rPr>
                <w:noProof/>
                <w:webHidden/>
              </w:rPr>
              <w:fldChar w:fldCharType="begin"/>
            </w:r>
            <w:r>
              <w:rPr>
                <w:noProof/>
                <w:webHidden/>
              </w:rPr>
              <w:instrText xml:space="preserve"> PAGEREF _Toc182111034 \h </w:instrText>
            </w:r>
            <w:r>
              <w:rPr>
                <w:noProof/>
                <w:webHidden/>
              </w:rPr>
            </w:r>
            <w:r>
              <w:rPr>
                <w:noProof/>
                <w:webHidden/>
              </w:rPr>
              <w:fldChar w:fldCharType="separate"/>
            </w:r>
            <w:r>
              <w:rPr>
                <w:noProof/>
                <w:webHidden/>
              </w:rPr>
              <w:t>49</w:t>
            </w:r>
            <w:r>
              <w:rPr>
                <w:noProof/>
                <w:webHidden/>
              </w:rPr>
              <w:fldChar w:fldCharType="end"/>
            </w:r>
          </w:hyperlink>
        </w:p>
        <w:p w14:paraId="742C0807" w14:textId="195D8D25" w:rsidR="0018686D" w:rsidRDefault="0018686D">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182111035" w:history="1">
            <w:r w:rsidRPr="00ED0FFA">
              <w:rPr>
                <w:rStyle w:val="Hyperlink"/>
                <w:noProof/>
              </w:rPr>
              <w:t>Case Study 3: Rural Hinterlands and Urban Sustainability</w:t>
            </w:r>
            <w:r>
              <w:rPr>
                <w:noProof/>
                <w:webHidden/>
              </w:rPr>
              <w:tab/>
            </w:r>
            <w:r>
              <w:rPr>
                <w:noProof/>
                <w:webHidden/>
              </w:rPr>
              <w:fldChar w:fldCharType="begin"/>
            </w:r>
            <w:r>
              <w:rPr>
                <w:noProof/>
                <w:webHidden/>
              </w:rPr>
              <w:instrText xml:space="preserve"> PAGEREF _Toc182111035 \h </w:instrText>
            </w:r>
            <w:r>
              <w:rPr>
                <w:noProof/>
                <w:webHidden/>
              </w:rPr>
            </w:r>
            <w:r>
              <w:rPr>
                <w:noProof/>
                <w:webHidden/>
              </w:rPr>
              <w:fldChar w:fldCharType="separate"/>
            </w:r>
            <w:r>
              <w:rPr>
                <w:noProof/>
                <w:webHidden/>
              </w:rPr>
              <w:t>49</w:t>
            </w:r>
            <w:r>
              <w:rPr>
                <w:noProof/>
                <w:webHidden/>
              </w:rPr>
              <w:fldChar w:fldCharType="end"/>
            </w:r>
          </w:hyperlink>
        </w:p>
        <w:p w14:paraId="583CF5CB" w14:textId="00F004C7" w:rsidR="0018686D" w:rsidRDefault="0018686D">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182111036" w:history="1">
            <w:r w:rsidRPr="00ED0FFA">
              <w:rPr>
                <w:rStyle w:val="Hyperlink"/>
                <w:noProof/>
              </w:rPr>
              <w:t>Theoretical Framework and Implications</w:t>
            </w:r>
            <w:r>
              <w:rPr>
                <w:noProof/>
                <w:webHidden/>
              </w:rPr>
              <w:tab/>
            </w:r>
            <w:r>
              <w:rPr>
                <w:noProof/>
                <w:webHidden/>
              </w:rPr>
              <w:fldChar w:fldCharType="begin"/>
            </w:r>
            <w:r>
              <w:rPr>
                <w:noProof/>
                <w:webHidden/>
              </w:rPr>
              <w:instrText xml:space="preserve"> PAGEREF _Toc182111036 \h </w:instrText>
            </w:r>
            <w:r>
              <w:rPr>
                <w:noProof/>
                <w:webHidden/>
              </w:rPr>
            </w:r>
            <w:r>
              <w:rPr>
                <w:noProof/>
                <w:webHidden/>
              </w:rPr>
              <w:fldChar w:fldCharType="separate"/>
            </w:r>
            <w:r>
              <w:rPr>
                <w:noProof/>
                <w:webHidden/>
              </w:rPr>
              <w:t>49</w:t>
            </w:r>
            <w:r>
              <w:rPr>
                <w:noProof/>
                <w:webHidden/>
              </w:rPr>
              <w:fldChar w:fldCharType="end"/>
            </w:r>
          </w:hyperlink>
        </w:p>
        <w:p w14:paraId="35AE5353" w14:textId="2FBAC6DF" w:rsidR="0018686D" w:rsidRDefault="0018686D">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182111037" w:history="1">
            <w:r w:rsidRPr="00ED0FFA">
              <w:rPr>
                <w:rStyle w:val="Hyperlink"/>
                <w:noProof/>
              </w:rPr>
              <w:t>Case Summary</w:t>
            </w:r>
            <w:r>
              <w:rPr>
                <w:noProof/>
                <w:webHidden/>
              </w:rPr>
              <w:tab/>
            </w:r>
            <w:r>
              <w:rPr>
                <w:noProof/>
                <w:webHidden/>
              </w:rPr>
              <w:fldChar w:fldCharType="begin"/>
            </w:r>
            <w:r>
              <w:rPr>
                <w:noProof/>
                <w:webHidden/>
              </w:rPr>
              <w:instrText xml:space="preserve"> PAGEREF _Toc182111037 \h </w:instrText>
            </w:r>
            <w:r>
              <w:rPr>
                <w:noProof/>
                <w:webHidden/>
              </w:rPr>
            </w:r>
            <w:r>
              <w:rPr>
                <w:noProof/>
                <w:webHidden/>
              </w:rPr>
              <w:fldChar w:fldCharType="separate"/>
            </w:r>
            <w:r>
              <w:rPr>
                <w:noProof/>
                <w:webHidden/>
              </w:rPr>
              <w:t>50</w:t>
            </w:r>
            <w:r>
              <w:rPr>
                <w:noProof/>
                <w:webHidden/>
              </w:rPr>
              <w:fldChar w:fldCharType="end"/>
            </w:r>
          </w:hyperlink>
        </w:p>
        <w:p w14:paraId="7BBF642D" w14:textId="4B90E5BC" w:rsidR="0018686D" w:rsidRDefault="0018686D">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82111038" w:history="1">
            <w:r w:rsidRPr="00ED0FFA">
              <w:rPr>
                <w:rStyle w:val="Hyperlink"/>
                <w:noProof/>
              </w:rPr>
              <w:t>3.3 Social Classes and Labour Practices</w:t>
            </w:r>
            <w:r>
              <w:rPr>
                <w:noProof/>
                <w:webHidden/>
              </w:rPr>
              <w:tab/>
            </w:r>
            <w:r>
              <w:rPr>
                <w:noProof/>
                <w:webHidden/>
              </w:rPr>
              <w:fldChar w:fldCharType="begin"/>
            </w:r>
            <w:r>
              <w:rPr>
                <w:noProof/>
                <w:webHidden/>
              </w:rPr>
              <w:instrText xml:space="preserve"> PAGEREF _Toc182111038 \h </w:instrText>
            </w:r>
            <w:r>
              <w:rPr>
                <w:noProof/>
                <w:webHidden/>
              </w:rPr>
            </w:r>
            <w:r>
              <w:rPr>
                <w:noProof/>
                <w:webHidden/>
              </w:rPr>
              <w:fldChar w:fldCharType="separate"/>
            </w:r>
            <w:r>
              <w:rPr>
                <w:noProof/>
                <w:webHidden/>
              </w:rPr>
              <w:t>50</w:t>
            </w:r>
            <w:r>
              <w:rPr>
                <w:noProof/>
                <w:webHidden/>
              </w:rPr>
              <w:fldChar w:fldCharType="end"/>
            </w:r>
          </w:hyperlink>
        </w:p>
        <w:p w14:paraId="7873080F" w14:textId="2577B0B3" w:rsidR="0018686D" w:rsidRDefault="0018686D">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182111039" w:history="1">
            <w:r w:rsidRPr="00ED0FFA">
              <w:rPr>
                <w:rStyle w:val="Hyperlink"/>
                <w:noProof/>
              </w:rPr>
              <w:t>The Senatorial and Equestrian Classes</w:t>
            </w:r>
            <w:r>
              <w:rPr>
                <w:noProof/>
                <w:webHidden/>
              </w:rPr>
              <w:tab/>
            </w:r>
            <w:r>
              <w:rPr>
                <w:noProof/>
                <w:webHidden/>
              </w:rPr>
              <w:fldChar w:fldCharType="begin"/>
            </w:r>
            <w:r>
              <w:rPr>
                <w:noProof/>
                <w:webHidden/>
              </w:rPr>
              <w:instrText xml:space="preserve"> PAGEREF _Toc182111039 \h </w:instrText>
            </w:r>
            <w:r>
              <w:rPr>
                <w:noProof/>
                <w:webHidden/>
              </w:rPr>
            </w:r>
            <w:r>
              <w:rPr>
                <w:noProof/>
                <w:webHidden/>
              </w:rPr>
              <w:fldChar w:fldCharType="separate"/>
            </w:r>
            <w:r>
              <w:rPr>
                <w:noProof/>
                <w:webHidden/>
              </w:rPr>
              <w:t>50</w:t>
            </w:r>
            <w:r>
              <w:rPr>
                <w:noProof/>
                <w:webHidden/>
              </w:rPr>
              <w:fldChar w:fldCharType="end"/>
            </w:r>
          </w:hyperlink>
        </w:p>
        <w:p w14:paraId="70090F13" w14:textId="5EAD8BE8" w:rsidR="0018686D" w:rsidRDefault="0018686D">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182111040" w:history="1">
            <w:r w:rsidRPr="00ED0FFA">
              <w:rPr>
                <w:rStyle w:val="Hyperlink"/>
                <w:noProof/>
              </w:rPr>
              <w:t>The Plebeians: Urban and Rural Labourers</w:t>
            </w:r>
            <w:r>
              <w:rPr>
                <w:noProof/>
                <w:webHidden/>
              </w:rPr>
              <w:tab/>
            </w:r>
            <w:r>
              <w:rPr>
                <w:noProof/>
                <w:webHidden/>
              </w:rPr>
              <w:fldChar w:fldCharType="begin"/>
            </w:r>
            <w:r>
              <w:rPr>
                <w:noProof/>
                <w:webHidden/>
              </w:rPr>
              <w:instrText xml:space="preserve"> PAGEREF _Toc182111040 \h </w:instrText>
            </w:r>
            <w:r>
              <w:rPr>
                <w:noProof/>
                <w:webHidden/>
              </w:rPr>
            </w:r>
            <w:r>
              <w:rPr>
                <w:noProof/>
                <w:webHidden/>
              </w:rPr>
              <w:fldChar w:fldCharType="separate"/>
            </w:r>
            <w:r>
              <w:rPr>
                <w:noProof/>
                <w:webHidden/>
              </w:rPr>
              <w:t>51</w:t>
            </w:r>
            <w:r>
              <w:rPr>
                <w:noProof/>
                <w:webHidden/>
              </w:rPr>
              <w:fldChar w:fldCharType="end"/>
            </w:r>
          </w:hyperlink>
        </w:p>
        <w:p w14:paraId="26942DD6" w14:textId="706EA341" w:rsidR="0018686D" w:rsidRDefault="0018686D">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182111041" w:history="1">
            <w:r w:rsidRPr="00ED0FFA">
              <w:rPr>
                <w:rStyle w:val="Hyperlink"/>
                <w:noProof/>
              </w:rPr>
              <w:t>Slaves and Freedmen: Foundations of the Economy</w:t>
            </w:r>
            <w:r>
              <w:rPr>
                <w:noProof/>
                <w:webHidden/>
              </w:rPr>
              <w:tab/>
            </w:r>
            <w:r>
              <w:rPr>
                <w:noProof/>
                <w:webHidden/>
              </w:rPr>
              <w:fldChar w:fldCharType="begin"/>
            </w:r>
            <w:r>
              <w:rPr>
                <w:noProof/>
                <w:webHidden/>
              </w:rPr>
              <w:instrText xml:space="preserve"> PAGEREF _Toc182111041 \h </w:instrText>
            </w:r>
            <w:r>
              <w:rPr>
                <w:noProof/>
                <w:webHidden/>
              </w:rPr>
            </w:r>
            <w:r>
              <w:rPr>
                <w:noProof/>
                <w:webHidden/>
              </w:rPr>
              <w:fldChar w:fldCharType="separate"/>
            </w:r>
            <w:r>
              <w:rPr>
                <w:noProof/>
                <w:webHidden/>
              </w:rPr>
              <w:t>51</w:t>
            </w:r>
            <w:r>
              <w:rPr>
                <w:noProof/>
                <w:webHidden/>
              </w:rPr>
              <w:fldChar w:fldCharType="end"/>
            </w:r>
          </w:hyperlink>
        </w:p>
        <w:p w14:paraId="1DAF2DCE" w14:textId="4CFE0ACF" w:rsidR="0018686D" w:rsidRDefault="0018686D">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182111042" w:history="1">
            <w:r w:rsidRPr="00ED0FFA">
              <w:rPr>
                <w:rStyle w:val="Hyperlink"/>
                <w:noProof/>
              </w:rPr>
              <w:t>The Marginalised: Non-Citizens and Barbarian Groups</w:t>
            </w:r>
            <w:r>
              <w:rPr>
                <w:noProof/>
                <w:webHidden/>
              </w:rPr>
              <w:tab/>
            </w:r>
            <w:r>
              <w:rPr>
                <w:noProof/>
                <w:webHidden/>
              </w:rPr>
              <w:fldChar w:fldCharType="begin"/>
            </w:r>
            <w:r>
              <w:rPr>
                <w:noProof/>
                <w:webHidden/>
              </w:rPr>
              <w:instrText xml:space="preserve"> PAGEREF _Toc182111042 \h </w:instrText>
            </w:r>
            <w:r>
              <w:rPr>
                <w:noProof/>
                <w:webHidden/>
              </w:rPr>
            </w:r>
            <w:r>
              <w:rPr>
                <w:noProof/>
                <w:webHidden/>
              </w:rPr>
              <w:fldChar w:fldCharType="separate"/>
            </w:r>
            <w:r>
              <w:rPr>
                <w:noProof/>
                <w:webHidden/>
              </w:rPr>
              <w:t>52</w:t>
            </w:r>
            <w:r>
              <w:rPr>
                <w:noProof/>
                <w:webHidden/>
              </w:rPr>
              <w:fldChar w:fldCharType="end"/>
            </w:r>
          </w:hyperlink>
        </w:p>
        <w:p w14:paraId="647D011D" w14:textId="0D22E044" w:rsidR="0018686D" w:rsidRDefault="0018686D">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182111043" w:history="1">
            <w:r w:rsidRPr="00ED0FFA">
              <w:rPr>
                <w:rStyle w:val="Hyperlink"/>
                <w:noProof/>
              </w:rPr>
              <w:t>Socioeconomic Forces Shaping Demographic Change</w:t>
            </w:r>
            <w:r>
              <w:rPr>
                <w:noProof/>
                <w:webHidden/>
              </w:rPr>
              <w:tab/>
            </w:r>
            <w:r>
              <w:rPr>
                <w:noProof/>
                <w:webHidden/>
              </w:rPr>
              <w:fldChar w:fldCharType="begin"/>
            </w:r>
            <w:r>
              <w:rPr>
                <w:noProof/>
                <w:webHidden/>
              </w:rPr>
              <w:instrText xml:space="preserve"> PAGEREF _Toc182111043 \h </w:instrText>
            </w:r>
            <w:r>
              <w:rPr>
                <w:noProof/>
                <w:webHidden/>
              </w:rPr>
            </w:r>
            <w:r>
              <w:rPr>
                <w:noProof/>
                <w:webHidden/>
              </w:rPr>
              <w:fldChar w:fldCharType="separate"/>
            </w:r>
            <w:r>
              <w:rPr>
                <w:noProof/>
                <w:webHidden/>
              </w:rPr>
              <w:t>52</w:t>
            </w:r>
            <w:r>
              <w:rPr>
                <w:noProof/>
                <w:webHidden/>
              </w:rPr>
              <w:fldChar w:fldCharType="end"/>
            </w:r>
          </w:hyperlink>
        </w:p>
        <w:p w14:paraId="2AA0A81A" w14:textId="43E0B280" w:rsidR="0018686D" w:rsidRDefault="0018686D">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182111044" w:history="1">
            <w:r w:rsidRPr="00ED0FFA">
              <w:rPr>
                <w:rStyle w:val="Hyperlink"/>
                <w:noProof/>
              </w:rPr>
              <w:t>Skeletal Analysis and Socioeconomic Status</w:t>
            </w:r>
            <w:r>
              <w:rPr>
                <w:noProof/>
                <w:webHidden/>
              </w:rPr>
              <w:tab/>
            </w:r>
            <w:r>
              <w:rPr>
                <w:noProof/>
                <w:webHidden/>
              </w:rPr>
              <w:fldChar w:fldCharType="begin"/>
            </w:r>
            <w:r>
              <w:rPr>
                <w:noProof/>
                <w:webHidden/>
              </w:rPr>
              <w:instrText xml:space="preserve"> PAGEREF _Toc182111044 \h </w:instrText>
            </w:r>
            <w:r>
              <w:rPr>
                <w:noProof/>
                <w:webHidden/>
              </w:rPr>
            </w:r>
            <w:r>
              <w:rPr>
                <w:noProof/>
                <w:webHidden/>
              </w:rPr>
              <w:fldChar w:fldCharType="separate"/>
            </w:r>
            <w:r>
              <w:rPr>
                <w:noProof/>
                <w:webHidden/>
              </w:rPr>
              <w:t>53</w:t>
            </w:r>
            <w:r>
              <w:rPr>
                <w:noProof/>
                <w:webHidden/>
              </w:rPr>
              <w:fldChar w:fldCharType="end"/>
            </w:r>
          </w:hyperlink>
        </w:p>
        <w:p w14:paraId="705DBCDE" w14:textId="5E4566A2" w:rsidR="0018686D" w:rsidRDefault="0018686D">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182111045" w:history="1">
            <w:r w:rsidRPr="00ED0FFA">
              <w:rPr>
                <w:rStyle w:val="Hyperlink"/>
                <w:noProof/>
              </w:rPr>
              <w:t>Conclusion</w:t>
            </w:r>
            <w:r>
              <w:rPr>
                <w:noProof/>
                <w:webHidden/>
              </w:rPr>
              <w:tab/>
            </w:r>
            <w:r>
              <w:rPr>
                <w:noProof/>
                <w:webHidden/>
              </w:rPr>
              <w:fldChar w:fldCharType="begin"/>
            </w:r>
            <w:r>
              <w:rPr>
                <w:noProof/>
                <w:webHidden/>
              </w:rPr>
              <w:instrText xml:space="preserve"> PAGEREF _Toc182111045 \h </w:instrText>
            </w:r>
            <w:r>
              <w:rPr>
                <w:noProof/>
                <w:webHidden/>
              </w:rPr>
            </w:r>
            <w:r>
              <w:rPr>
                <w:noProof/>
                <w:webHidden/>
              </w:rPr>
              <w:fldChar w:fldCharType="separate"/>
            </w:r>
            <w:r>
              <w:rPr>
                <w:noProof/>
                <w:webHidden/>
              </w:rPr>
              <w:t>54</w:t>
            </w:r>
            <w:r>
              <w:rPr>
                <w:noProof/>
                <w:webHidden/>
              </w:rPr>
              <w:fldChar w:fldCharType="end"/>
            </w:r>
          </w:hyperlink>
        </w:p>
        <w:p w14:paraId="57237F2B" w14:textId="3E458811" w:rsidR="0018686D" w:rsidRDefault="0018686D">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82111046" w:history="1">
            <w:r w:rsidRPr="00ED0FFA">
              <w:rPr>
                <w:rStyle w:val="Hyperlink"/>
                <w:noProof/>
              </w:rPr>
              <w:t>3.4 Impact of Socioeconomic Conditions on Birth Rates and Immigration</w:t>
            </w:r>
            <w:r>
              <w:rPr>
                <w:noProof/>
                <w:webHidden/>
              </w:rPr>
              <w:tab/>
            </w:r>
            <w:r>
              <w:rPr>
                <w:noProof/>
                <w:webHidden/>
              </w:rPr>
              <w:fldChar w:fldCharType="begin"/>
            </w:r>
            <w:r>
              <w:rPr>
                <w:noProof/>
                <w:webHidden/>
              </w:rPr>
              <w:instrText xml:space="preserve"> PAGEREF _Toc182111046 \h </w:instrText>
            </w:r>
            <w:r>
              <w:rPr>
                <w:noProof/>
                <w:webHidden/>
              </w:rPr>
            </w:r>
            <w:r>
              <w:rPr>
                <w:noProof/>
                <w:webHidden/>
              </w:rPr>
              <w:fldChar w:fldCharType="separate"/>
            </w:r>
            <w:r>
              <w:rPr>
                <w:noProof/>
                <w:webHidden/>
              </w:rPr>
              <w:t>54</w:t>
            </w:r>
            <w:r>
              <w:rPr>
                <w:noProof/>
                <w:webHidden/>
              </w:rPr>
              <w:fldChar w:fldCharType="end"/>
            </w:r>
          </w:hyperlink>
        </w:p>
        <w:p w14:paraId="07D26B77" w14:textId="0A765F12" w:rsidR="0018686D" w:rsidRDefault="0018686D">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182111047" w:history="1">
            <w:r w:rsidRPr="00ED0FFA">
              <w:rPr>
                <w:rStyle w:val="Hyperlink"/>
                <w:noProof/>
              </w:rPr>
              <w:t>Socioeconomic Influences on Birth Rates</w:t>
            </w:r>
            <w:r>
              <w:rPr>
                <w:noProof/>
                <w:webHidden/>
              </w:rPr>
              <w:tab/>
            </w:r>
            <w:r>
              <w:rPr>
                <w:noProof/>
                <w:webHidden/>
              </w:rPr>
              <w:fldChar w:fldCharType="begin"/>
            </w:r>
            <w:r>
              <w:rPr>
                <w:noProof/>
                <w:webHidden/>
              </w:rPr>
              <w:instrText xml:space="preserve"> PAGEREF _Toc182111047 \h </w:instrText>
            </w:r>
            <w:r>
              <w:rPr>
                <w:noProof/>
                <w:webHidden/>
              </w:rPr>
            </w:r>
            <w:r>
              <w:rPr>
                <w:noProof/>
                <w:webHidden/>
              </w:rPr>
              <w:fldChar w:fldCharType="separate"/>
            </w:r>
            <w:r>
              <w:rPr>
                <w:noProof/>
                <w:webHidden/>
              </w:rPr>
              <w:t>54</w:t>
            </w:r>
            <w:r>
              <w:rPr>
                <w:noProof/>
                <w:webHidden/>
              </w:rPr>
              <w:fldChar w:fldCharType="end"/>
            </w:r>
          </w:hyperlink>
        </w:p>
        <w:p w14:paraId="2E717BB7" w14:textId="2575215C" w:rsidR="0018686D" w:rsidRDefault="0018686D">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182111048" w:history="1">
            <w:r w:rsidRPr="00ED0FFA">
              <w:rPr>
                <w:rStyle w:val="Hyperlink"/>
                <w:noProof/>
              </w:rPr>
              <w:t>Demographic Redistribution: A New Perspective</w:t>
            </w:r>
            <w:r>
              <w:rPr>
                <w:noProof/>
                <w:webHidden/>
              </w:rPr>
              <w:tab/>
            </w:r>
            <w:r>
              <w:rPr>
                <w:noProof/>
                <w:webHidden/>
              </w:rPr>
              <w:fldChar w:fldCharType="begin"/>
            </w:r>
            <w:r>
              <w:rPr>
                <w:noProof/>
                <w:webHidden/>
              </w:rPr>
              <w:instrText xml:space="preserve"> PAGEREF _Toc182111048 \h </w:instrText>
            </w:r>
            <w:r>
              <w:rPr>
                <w:noProof/>
                <w:webHidden/>
              </w:rPr>
            </w:r>
            <w:r>
              <w:rPr>
                <w:noProof/>
                <w:webHidden/>
              </w:rPr>
              <w:fldChar w:fldCharType="separate"/>
            </w:r>
            <w:r>
              <w:rPr>
                <w:noProof/>
                <w:webHidden/>
              </w:rPr>
              <w:t>55</w:t>
            </w:r>
            <w:r>
              <w:rPr>
                <w:noProof/>
                <w:webHidden/>
              </w:rPr>
              <w:fldChar w:fldCharType="end"/>
            </w:r>
          </w:hyperlink>
        </w:p>
        <w:p w14:paraId="52A3D9E5" w14:textId="33BC7803" w:rsidR="0018686D" w:rsidRDefault="0018686D">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182111049" w:history="1">
            <w:r w:rsidRPr="00ED0FFA">
              <w:rPr>
                <w:rStyle w:val="Hyperlink"/>
                <w:noProof/>
              </w:rPr>
              <w:t>Migration and Germanic Influx</w:t>
            </w:r>
            <w:r>
              <w:rPr>
                <w:noProof/>
                <w:webHidden/>
              </w:rPr>
              <w:tab/>
            </w:r>
            <w:r>
              <w:rPr>
                <w:noProof/>
                <w:webHidden/>
              </w:rPr>
              <w:fldChar w:fldCharType="begin"/>
            </w:r>
            <w:r>
              <w:rPr>
                <w:noProof/>
                <w:webHidden/>
              </w:rPr>
              <w:instrText xml:space="preserve"> PAGEREF _Toc182111049 \h </w:instrText>
            </w:r>
            <w:r>
              <w:rPr>
                <w:noProof/>
                <w:webHidden/>
              </w:rPr>
            </w:r>
            <w:r>
              <w:rPr>
                <w:noProof/>
                <w:webHidden/>
              </w:rPr>
              <w:fldChar w:fldCharType="separate"/>
            </w:r>
            <w:r>
              <w:rPr>
                <w:noProof/>
                <w:webHidden/>
              </w:rPr>
              <w:t>55</w:t>
            </w:r>
            <w:r>
              <w:rPr>
                <w:noProof/>
                <w:webHidden/>
              </w:rPr>
              <w:fldChar w:fldCharType="end"/>
            </w:r>
          </w:hyperlink>
        </w:p>
        <w:p w14:paraId="72EB0BCB" w14:textId="5AC0226A" w:rsidR="0018686D" w:rsidRDefault="0018686D">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182111050" w:history="1">
            <w:r w:rsidRPr="00ED0FFA">
              <w:rPr>
                <w:rStyle w:val="Hyperlink"/>
                <w:noProof/>
              </w:rPr>
              <w:t>The Role of the Elite in Socioeconomic Dynamics</w:t>
            </w:r>
            <w:r>
              <w:rPr>
                <w:noProof/>
                <w:webHidden/>
              </w:rPr>
              <w:tab/>
            </w:r>
            <w:r>
              <w:rPr>
                <w:noProof/>
                <w:webHidden/>
              </w:rPr>
              <w:fldChar w:fldCharType="begin"/>
            </w:r>
            <w:r>
              <w:rPr>
                <w:noProof/>
                <w:webHidden/>
              </w:rPr>
              <w:instrText xml:space="preserve"> PAGEREF _Toc182111050 \h </w:instrText>
            </w:r>
            <w:r>
              <w:rPr>
                <w:noProof/>
                <w:webHidden/>
              </w:rPr>
            </w:r>
            <w:r>
              <w:rPr>
                <w:noProof/>
                <w:webHidden/>
              </w:rPr>
              <w:fldChar w:fldCharType="separate"/>
            </w:r>
            <w:r>
              <w:rPr>
                <w:noProof/>
                <w:webHidden/>
              </w:rPr>
              <w:t>56</w:t>
            </w:r>
            <w:r>
              <w:rPr>
                <w:noProof/>
                <w:webHidden/>
              </w:rPr>
              <w:fldChar w:fldCharType="end"/>
            </w:r>
          </w:hyperlink>
        </w:p>
        <w:p w14:paraId="3E305046" w14:textId="373D7425" w:rsidR="0018686D" w:rsidRDefault="0018686D">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182111051" w:history="1">
            <w:r w:rsidRPr="00ED0FFA">
              <w:rPr>
                <w:rStyle w:val="Hyperlink"/>
                <w:noProof/>
              </w:rPr>
              <w:t>Archaeological Evidence of Migration</w:t>
            </w:r>
            <w:r>
              <w:rPr>
                <w:noProof/>
                <w:webHidden/>
              </w:rPr>
              <w:tab/>
            </w:r>
            <w:r>
              <w:rPr>
                <w:noProof/>
                <w:webHidden/>
              </w:rPr>
              <w:fldChar w:fldCharType="begin"/>
            </w:r>
            <w:r>
              <w:rPr>
                <w:noProof/>
                <w:webHidden/>
              </w:rPr>
              <w:instrText xml:space="preserve"> PAGEREF _Toc182111051 \h </w:instrText>
            </w:r>
            <w:r>
              <w:rPr>
                <w:noProof/>
                <w:webHidden/>
              </w:rPr>
            </w:r>
            <w:r>
              <w:rPr>
                <w:noProof/>
                <w:webHidden/>
              </w:rPr>
              <w:fldChar w:fldCharType="separate"/>
            </w:r>
            <w:r>
              <w:rPr>
                <w:noProof/>
                <w:webHidden/>
              </w:rPr>
              <w:t>56</w:t>
            </w:r>
            <w:r>
              <w:rPr>
                <w:noProof/>
                <w:webHidden/>
              </w:rPr>
              <w:fldChar w:fldCharType="end"/>
            </w:r>
          </w:hyperlink>
        </w:p>
        <w:p w14:paraId="5E846C10" w14:textId="2657A150" w:rsidR="0018686D" w:rsidRDefault="0018686D">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182111052" w:history="1">
            <w:r w:rsidRPr="00ED0FFA">
              <w:rPr>
                <w:rStyle w:val="Hyperlink"/>
                <w:noProof/>
              </w:rPr>
              <w:t>Socioeconomic Reorganisation and Demographic Stability</w:t>
            </w:r>
            <w:r>
              <w:rPr>
                <w:noProof/>
                <w:webHidden/>
              </w:rPr>
              <w:tab/>
            </w:r>
            <w:r>
              <w:rPr>
                <w:noProof/>
                <w:webHidden/>
              </w:rPr>
              <w:fldChar w:fldCharType="begin"/>
            </w:r>
            <w:r>
              <w:rPr>
                <w:noProof/>
                <w:webHidden/>
              </w:rPr>
              <w:instrText xml:space="preserve"> PAGEREF _Toc182111052 \h </w:instrText>
            </w:r>
            <w:r>
              <w:rPr>
                <w:noProof/>
                <w:webHidden/>
              </w:rPr>
            </w:r>
            <w:r>
              <w:rPr>
                <w:noProof/>
                <w:webHidden/>
              </w:rPr>
              <w:fldChar w:fldCharType="separate"/>
            </w:r>
            <w:r>
              <w:rPr>
                <w:noProof/>
                <w:webHidden/>
              </w:rPr>
              <w:t>57</w:t>
            </w:r>
            <w:r>
              <w:rPr>
                <w:noProof/>
                <w:webHidden/>
              </w:rPr>
              <w:fldChar w:fldCharType="end"/>
            </w:r>
          </w:hyperlink>
        </w:p>
        <w:p w14:paraId="19328B77" w14:textId="6839F39D" w:rsidR="0018686D" w:rsidRDefault="0018686D">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182111053" w:history="1">
            <w:r w:rsidRPr="00ED0FFA">
              <w:rPr>
                <w:rStyle w:val="Hyperlink"/>
                <w:noProof/>
              </w:rPr>
              <w:t>Conclusion</w:t>
            </w:r>
            <w:r>
              <w:rPr>
                <w:noProof/>
                <w:webHidden/>
              </w:rPr>
              <w:tab/>
            </w:r>
            <w:r>
              <w:rPr>
                <w:noProof/>
                <w:webHidden/>
              </w:rPr>
              <w:fldChar w:fldCharType="begin"/>
            </w:r>
            <w:r>
              <w:rPr>
                <w:noProof/>
                <w:webHidden/>
              </w:rPr>
              <w:instrText xml:space="preserve"> PAGEREF _Toc182111053 \h </w:instrText>
            </w:r>
            <w:r>
              <w:rPr>
                <w:noProof/>
                <w:webHidden/>
              </w:rPr>
            </w:r>
            <w:r>
              <w:rPr>
                <w:noProof/>
                <w:webHidden/>
              </w:rPr>
              <w:fldChar w:fldCharType="separate"/>
            </w:r>
            <w:r>
              <w:rPr>
                <w:noProof/>
                <w:webHidden/>
              </w:rPr>
              <w:t>57</w:t>
            </w:r>
            <w:r>
              <w:rPr>
                <w:noProof/>
                <w:webHidden/>
              </w:rPr>
              <w:fldChar w:fldCharType="end"/>
            </w:r>
          </w:hyperlink>
        </w:p>
        <w:p w14:paraId="431D0C0D" w14:textId="16021798" w:rsidR="0018686D" w:rsidRDefault="0018686D">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82111054" w:history="1">
            <w:r w:rsidRPr="00ED0FFA">
              <w:rPr>
                <w:rStyle w:val="Hyperlink"/>
                <w:noProof/>
              </w:rPr>
              <w:t>3.5 Analytical Techniques for Assessing Socioeconomic Factors</w:t>
            </w:r>
            <w:r>
              <w:rPr>
                <w:noProof/>
                <w:webHidden/>
              </w:rPr>
              <w:tab/>
            </w:r>
            <w:r>
              <w:rPr>
                <w:noProof/>
                <w:webHidden/>
              </w:rPr>
              <w:fldChar w:fldCharType="begin"/>
            </w:r>
            <w:r>
              <w:rPr>
                <w:noProof/>
                <w:webHidden/>
              </w:rPr>
              <w:instrText xml:space="preserve"> PAGEREF _Toc182111054 \h </w:instrText>
            </w:r>
            <w:r>
              <w:rPr>
                <w:noProof/>
                <w:webHidden/>
              </w:rPr>
            </w:r>
            <w:r>
              <w:rPr>
                <w:noProof/>
                <w:webHidden/>
              </w:rPr>
              <w:fldChar w:fldCharType="separate"/>
            </w:r>
            <w:r>
              <w:rPr>
                <w:noProof/>
                <w:webHidden/>
              </w:rPr>
              <w:t>57</w:t>
            </w:r>
            <w:r>
              <w:rPr>
                <w:noProof/>
                <w:webHidden/>
              </w:rPr>
              <w:fldChar w:fldCharType="end"/>
            </w:r>
          </w:hyperlink>
        </w:p>
        <w:p w14:paraId="4C6434ED" w14:textId="22F015BB" w:rsidR="0018686D" w:rsidRDefault="0018686D">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182111055" w:history="1">
            <w:r w:rsidRPr="00ED0FFA">
              <w:rPr>
                <w:rStyle w:val="Hyperlink"/>
                <w:noProof/>
              </w:rPr>
              <w:t>Quantitative Approaches: Statistical Analysis and Demographic Modelling</w:t>
            </w:r>
            <w:r>
              <w:rPr>
                <w:noProof/>
                <w:webHidden/>
              </w:rPr>
              <w:tab/>
            </w:r>
            <w:r>
              <w:rPr>
                <w:noProof/>
                <w:webHidden/>
              </w:rPr>
              <w:fldChar w:fldCharType="begin"/>
            </w:r>
            <w:r>
              <w:rPr>
                <w:noProof/>
                <w:webHidden/>
              </w:rPr>
              <w:instrText xml:space="preserve"> PAGEREF _Toc182111055 \h </w:instrText>
            </w:r>
            <w:r>
              <w:rPr>
                <w:noProof/>
                <w:webHidden/>
              </w:rPr>
            </w:r>
            <w:r>
              <w:rPr>
                <w:noProof/>
                <w:webHidden/>
              </w:rPr>
              <w:fldChar w:fldCharType="separate"/>
            </w:r>
            <w:r>
              <w:rPr>
                <w:noProof/>
                <w:webHidden/>
              </w:rPr>
              <w:t>57</w:t>
            </w:r>
            <w:r>
              <w:rPr>
                <w:noProof/>
                <w:webHidden/>
              </w:rPr>
              <w:fldChar w:fldCharType="end"/>
            </w:r>
          </w:hyperlink>
        </w:p>
        <w:p w14:paraId="3B4F38A5" w14:textId="33C19FD1" w:rsidR="0018686D" w:rsidRDefault="0018686D">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182111056" w:history="1">
            <w:r w:rsidRPr="00ED0FFA">
              <w:rPr>
                <w:rStyle w:val="Hyperlink"/>
                <w:noProof/>
              </w:rPr>
              <w:t>Qualitative Approaches: Historical Analysis</w:t>
            </w:r>
            <w:r>
              <w:rPr>
                <w:noProof/>
                <w:webHidden/>
              </w:rPr>
              <w:tab/>
            </w:r>
            <w:r>
              <w:rPr>
                <w:noProof/>
                <w:webHidden/>
              </w:rPr>
              <w:fldChar w:fldCharType="begin"/>
            </w:r>
            <w:r>
              <w:rPr>
                <w:noProof/>
                <w:webHidden/>
              </w:rPr>
              <w:instrText xml:space="preserve"> PAGEREF _Toc182111056 \h </w:instrText>
            </w:r>
            <w:r>
              <w:rPr>
                <w:noProof/>
                <w:webHidden/>
              </w:rPr>
            </w:r>
            <w:r>
              <w:rPr>
                <w:noProof/>
                <w:webHidden/>
              </w:rPr>
              <w:fldChar w:fldCharType="separate"/>
            </w:r>
            <w:r>
              <w:rPr>
                <w:noProof/>
                <w:webHidden/>
              </w:rPr>
              <w:t>58</w:t>
            </w:r>
            <w:r>
              <w:rPr>
                <w:noProof/>
                <w:webHidden/>
              </w:rPr>
              <w:fldChar w:fldCharType="end"/>
            </w:r>
          </w:hyperlink>
        </w:p>
        <w:p w14:paraId="693CF5E5" w14:textId="055522A9" w:rsidR="0018686D" w:rsidRDefault="0018686D">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182111057" w:history="1">
            <w:r w:rsidRPr="00ED0FFA">
              <w:rPr>
                <w:rStyle w:val="Hyperlink"/>
                <w:noProof/>
              </w:rPr>
              <w:t>Case Studies and Comparative Analysis</w:t>
            </w:r>
            <w:r>
              <w:rPr>
                <w:noProof/>
                <w:webHidden/>
              </w:rPr>
              <w:tab/>
            </w:r>
            <w:r>
              <w:rPr>
                <w:noProof/>
                <w:webHidden/>
              </w:rPr>
              <w:fldChar w:fldCharType="begin"/>
            </w:r>
            <w:r>
              <w:rPr>
                <w:noProof/>
                <w:webHidden/>
              </w:rPr>
              <w:instrText xml:space="preserve"> PAGEREF _Toc182111057 \h </w:instrText>
            </w:r>
            <w:r>
              <w:rPr>
                <w:noProof/>
                <w:webHidden/>
              </w:rPr>
            </w:r>
            <w:r>
              <w:rPr>
                <w:noProof/>
                <w:webHidden/>
              </w:rPr>
              <w:fldChar w:fldCharType="separate"/>
            </w:r>
            <w:r>
              <w:rPr>
                <w:noProof/>
                <w:webHidden/>
              </w:rPr>
              <w:t>59</w:t>
            </w:r>
            <w:r>
              <w:rPr>
                <w:noProof/>
                <w:webHidden/>
              </w:rPr>
              <w:fldChar w:fldCharType="end"/>
            </w:r>
          </w:hyperlink>
        </w:p>
        <w:p w14:paraId="62B237DE" w14:textId="3B1B335D" w:rsidR="0018686D" w:rsidRDefault="0018686D">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182111058" w:history="1">
            <w:r w:rsidRPr="00ED0FFA">
              <w:rPr>
                <w:rStyle w:val="Hyperlink"/>
                <w:noProof/>
              </w:rPr>
              <w:t>Integration and Critical Engagement</w:t>
            </w:r>
            <w:r>
              <w:rPr>
                <w:noProof/>
                <w:webHidden/>
              </w:rPr>
              <w:tab/>
            </w:r>
            <w:r>
              <w:rPr>
                <w:noProof/>
                <w:webHidden/>
              </w:rPr>
              <w:fldChar w:fldCharType="begin"/>
            </w:r>
            <w:r>
              <w:rPr>
                <w:noProof/>
                <w:webHidden/>
              </w:rPr>
              <w:instrText xml:space="preserve"> PAGEREF _Toc182111058 \h </w:instrText>
            </w:r>
            <w:r>
              <w:rPr>
                <w:noProof/>
                <w:webHidden/>
              </w:rPr>
            </w:r>
            <w:r>
              <w:rPr>
                <w:noProof/>
                <w:webHidden/>
              </w:rPr>
              <w:fldChar w:fldCharType="separate"/>
            </w:r>
            <w:r>
              <w:rPr>
                <w:noProof/>
                <w:webHidden/>
              </w:rPr>
              <w:t>59</w:t>
            </w:r>
            <w:r>
              <w:rPr>
                <w:noProof/>
                <w:webHidden/>
              </w:rPr>
              <w:fldChar w:fldCharType="end"/>
            </w:r>
          </w:hyperlink>
        </w:p>
        <w:p w14:paraId="6A162C24" w14:textId="29A5ABC9" w:rsidR="0018686D" w:rsidRDefault="0018686D">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182111059" w:history="1">
            <w:r w:rsidRPr="00ED0FFA">
              <w:rPr>
                <w:rStyle w:val="Hyperlink"/>
                <w:noProof/>
              </w:rPr>
              <w:t>Conclusion</w:t>
            </w:r>
            <w:r>
              <w:rPr>
                <w:noProof/>
                <w:webHidden/>
              </w:rPr>
              <w:tab/>
            </w:r>
            <w:r>
              <w:rPr>
                <w:noProof/>
                <w:webHidden/>
              </w:rPr>
              <w:fldChar w:fldCharType="begin"/>
            </w:r>
            <w:r>
              <w:rPr>
                <w:noProof/>
                <w:webHidden/>
              </w:rPr>
              <w:instrText xml:space="preserve"> PAGEREF _Toc182111059 \h </w:instrText>
            </w:r>
            <w:r>
              <w:rPr>
                <w:noProof/>
                <w:webHidden/>
              </w:rPr>
            </w:r>
            <w:r>
              <w:rPr>
                <w:noProof/>
                <w:webHidden/>
              </w:rPr>
              <w:fldChar w:fldCharType="separate"/>
            </w:r>
            <w:r>
              <w:rPr>
                <w:noProof/>
                <w:webHidden/>
              </w:rPr>
              <w:t>60</w:t>
            </w:r>
            <w:r>
              <w:rPr>
                <w:noProof/>
                <w:webHidden/>
              </w:rPr>
              <w:fldChar w:fldCharType="end"/>
            </w:r>
          </w:hyperlink>
        </w:p>
        <w:p w14:paraId="6FA861E1" w14:textId="32C3E32B" w:rsidR="0018686D" w:rsidRDefault="0018686D">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182111060" w:history="1">
            <w:r w:rsidRPr="00ED0FFA">
              <w:rPr>
                <w:rStyle w:val="Hyperlink"/>
                <w:noProof/>
              </w:rPr>
              <w:t>Chapter 4 – Political Instability, Environmental Changes, and Demographic Shifts</w:t>
            </w:r>
            <w:r>
              <w:rPr>
                <w:noProof/>
                <w:webHidden/>
              </w:rPr>
              <w:tab/>
            </w:r>
            <w:r>
              <w:rPr>
                <w:noProof/>
                <w:webHidden/>
              </w:rPr>
              <w:fldChar w:fldCharType="begin"/>
            </w:r>
            <w:r>
              <w:rPr>
                <w:noProof/>
                <w:webHidden/>
              </w:rPr>
              <w:instrText xml:space="preserve"> PAGEREF _Toc182111060 \h </w:instrText>
            </w:r>
            <w:r>
              <w:rPr>
                <w:noProof/>
                <w:webHidden/>
              </w:rPr>
            </w:r>
            <w:r>
              <w:rPr>
                <w:noProof/>
                <w:webHidden/>
              </w:rPr>
              <w:fldChar w:fldCharType="separate"/>
            </w:r>
            <w:r>
              <w:rPr>
                <w:noProof/>
                <w:webHidden/>
              </w:rPr>
              <w:t>61</w:t>
            </w:r>
            <w:r>
              <w:rPr>
                <w:noProof/>
                <w:webHidden/>
              </w:rPr>
              <w:fldChar w:fldCharType="end"/>
            </w:r>
          </w:hyperlink>
        </w:p>
        <w:p w14:paraId="29BFD7CC" w14:textId="0DDA572F" w:rsidR="0018686D" w:rsidRDefault="0018686D">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82111061" w:history="1">
            <w:r w:rsidRPr="00ED0FFA">
              <w:rPr>
                <w:rStyle w:val="Hyperlink"/>
                <w:noProof/>
              </w:rPr>
              <w:t>4.1 Political Conflicts and Power Struggles</w:t>
            </w:r>
            <w:r>
              <w:rPr>
                <w:noProof/>
                <w:webHidden/>
              </w:rPr>
              <w:tab/>
            </w:r>
            <w:r>
              <w:rPr>
                <w:noProof/>
                <w:webHidden/>
              </w:rPr>
              <w:fldChar w:fldCharType="begin"/>
            </w:r>
            <w:r>
              <w:rPr>
                <w:noProof/>
                <w:webHidden/>
              </w:rPr>
              <w:instrText xml:space="preserve"> PAGEREF _Toc182111061 \h </w:instrText>
            </w:r>
            <w:r>
              <w:rPr>
                <w:noProof/>
                <w:webHidden/>
              </w:rPr>
            </w:r>
            <w:r>
              <w:rPr>
                <w:noProof/>
                <w:webHidden/>
              </w:rPr>
              <w:fldChar w:fldCharType="separate"/>
            </w:r>
            <w:r>
              <w:rPr>
                <w:noProof/>
                <w:webHidden/>
              </w:rPr>
              <w:t>62</w:t>
            </w:r>
            <w:r>
              <w:rPr>
                <w:noProof/>
                <w:webHidden/>
              </w:rPr>
              <w:fldChar w:fldCharType="end"/>
            </w:r>
          </w:hyperlink>
        </w:p>
        <w:p w14:paraId="3FC665AE" w14:textId="4D93CCD2" w:rsidR="0018686D" w:rsidRDefault="0018686D">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182111062" w:history="1">
            <w:r w:rsidRPr="00ED0FFA">
              <w:rPr>
                <w:rStyle w:val="Hyperlink"/>
                <w:noProof/>
              </w:rPr>
              <w:t>Succession Crises and Fragmentation</w:t>
            </w:r>
            <w:r>
              <w:rPr>
                <w:noProof/>
                <w:webHidden/>
              </w:rPr>
              <w:tab/>
            </w:r>
            <w:r>
              <w:rPr>
                <w:noProof/>
                <w:webHidden/>
              </w:rPr>
              <w:fldChar w:fldCharType="begin"/>
            </w:r>
            <w:r>
              <w:rPr>
                <w:noProof/>
                <w:webHidden/>
              </w:rPr>
              <w:instrText xml:space="preserve"> PAGEREF _Toc182111062 \h </w:instrText>
            </w:r>
            <w:r>
              <w:rPr>
                <w:noProof/>
                <w:webHidden/>
              </w:rPr>
            </w:r>
            <w:r>
              <w:rPr>
                <w:noProof/>
                <w:webHidden/>
              </w:rPr>
              <w:fldChar w:fldCharType="separate"/>
            </w:r>
            <w:r>
              <w:rPr>
                <w:noProof/>
                <w:webHidden/>
              </w:rPr>
              <w:t>62</w:t>
            </w:r>
            <w:r>
              <w:rPr>
                <w:noProof/>
                <w:webHidden/>
              </w:rPr>
              <w:fldChar w:fldCharType="end"/>
            </w:r>
          </w:hyperlink>
        </w:p>
        <w:p w14:paraId="3937A35F" w14:textId="6158B0E8" w:rsidR="0018686D" w:rsidRDefault="0018686D">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182111063" w:history="1">
            <w:r w:rsidRPr="00ED0FFA">
              <w:rPr>
                <w:rStyle w:val="Hyperlink"/>
                <w:noProof/>
              </w:rPr>
              <w:t>Military Mobilisation and Civilian Relocation</w:t>
            </w:r>
            <w:r>
              <w:rPr>
                <w:noProof/>
                <w:webHidden/>
              </w:rPr>
              <w:tab/>
            </w:r>
            <w:r>
              <w:rPr>
                <w:noProof/>
                <w:webHidden/>
              </w:rPr>
              <w:fldChar w:fldCharType="begin"/>
            </w:r>
            <w:r>
              <w:rPr>
                <w:noProof/>
                <w:webHidden/>
              </w:rPr>
              <w:instrText xml:space="preserve"> PAGEREF _Toc182111063 \h </w:instrText>
            </w:r>
            <w:r>
              <w:rPr>
                <w:noProof/>
                <w:webHidden/>
              </w:rPr>
            </w:r>
            <w:r>
              <w:rPr>
                <w:noProof/>
                <w:webHidden/>
              </w:rPr>
              <w:fldChar w:fldCharType="separate"/>
            </w:r>
            <w:r>
              <w:rPr>
                <w:noProof/>
                <w:webHidden/>
              </w:rPr>
              <w:t>62</w:t>
            </w:r>
            <w:r>
              <w:rPr>
                <w:noProof/>
                <w:webHidden/>
              </w:rPr>
              <w:fldChar w:fldCharType="end"/>
            </w:r>
          </w:hyperlink>
        </w:p>
        <w:p w14:paraId="26834137" w14:textId="2D833CCF" w:rsidR="0018686D" w:rsidRDefault="0018686D">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182111064" w:history="1">
            <w:r w:rsidRPr="00ED0FFA">
              <w:rPr>
                <w:rStyle w:val="Hyperlink"/>
                <w:noProof/>
              </w:rPr>
              <w:t>Integration and Displacement of Foreign Populations</w:t>
            </w:r>
            <w:r>
              <w:rPr>
                <w:noProof/>
                <w:webHidden/>
              </w:rPr>
              <w:tab/>
            </w:r>
            <w:r>
              <w:rPr>
                <w:noProof/>
                <w:webHidden/>
              </w:rPr>
              <w:fldChar w:fldCharType="begin"/>
            </w:r>
            <w:r>
              <w:rPr>
                <w:noProof/>
                <w:webHidden/>
              </w:rPr>
              <w:instrText xml:space="preserve"> PAGEREF _Toc182111064 \h </w:instrText>
            </w:r>
            <w:r>
              <w:rPr>
                <w:noProof/>
                <w:webHidden/>
              </w:rPr>
            </w:r>
            <w:r>
              <w:rPr>
                <w:noProof/>
                <w:webHidden/>
              </w:rPr>
              <w:fldChar w:fldCharType="separate"/>
            </w:r>
            <w:r>
              <w:rPr>
                <w:noProof/>
                <w:webHidden/>
              </w:rPr>
              <w:t>63</w:t>
            </w:r>
            <w:r>
              <w:rPr>
                <w:noProof/>
                <w:webHidden/>
              </w:rPr>
              <w:fldChar w:fldCharType="end"/>
            </w:r>
          </w:hyperlink>
        </w:p>
        <w:p w14:paraId="14699C52" w14:textId="1FE10D90" w:rsidR="0018686D" w:rsidRDefault="0018686D">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182111065" w:history="1">
            <w:r w:rsidRPr="00ED0FFA">
              <w:rPr>
                <w:rStyle w:val="Hyperlink"/>
                <w:noProof/>
              </w:rPr>
              <w:t>Socioeconomic Repercussions of Political Upheaval</w:t>
            </w:r>
            <w:r>
              <w:rPr>
                <w:noProof/>
                <w:webHidden/>
              </w:rPr>
              <w:tab/>
            </w:r>
            <w:r>
              <w:rPr>
                <w:noProof/>
                <w:webHidden/>
              </w:rPr>
              <w:fldChar w:fldCharType="begin"/>
            </w:r>
            <w:r>
              <w:rPr>
                <w:noProof/>
                <w:webHidden/>
              </w:rPr>
              <w:instrText xml:space="preserve"> PAGEREF _Toc182111065 \h </w:instrText>
            </w:r>
            <w:r>
              <w:rPr>
                <w:noProof/>
                <w:webHidden/>
              </w:rPr>
            </w:r>
            <w:r>
              <w:rPr>
                <w:noProof/>
                <w:webHidden/>
              </w:rPr>
              <w:fldChar w:fldCharType="separate"/>
            </w:r>
            <w:r>
              <w:rPr>
                <w:noProof/>
                <w:webHidden/>
              </w:rPr>
              <w:t>63</w:t>
            </w:r>
            <w:r>
              <w:rPr>
                <w:noProof/>
                <w:webHidden/>
              </w:rPr>
              <w:fldChar w:fldCharType="end"/>
            </w:r>
          </w:hyperlink>
        </w:p>
        <w:p w14:paraId="329EB840" w14:textId="770CABA8" w:rsidR="0018686D" w:rsidRDefault="0018686D">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182111066" w:history="1">
            <w:r w:rsidRPr="00ED0FFA">
              <w:rPr>
                <w:rStyle w:val="Hyperlink"/>
                <w:noProof/>
              </w:rPr>
              <w:t>Regional Variations in Demographic Responses</w:t>
            </w:r>
            <w:r>
              <w:rPr>
                <w:noProof/>
                <w:webHidden/>
              </w:rPr>
              <w:tab/>
            </w:r>
            <w:r>
              <w:rPr>
                <w:noProof/>
                <w:webHidden/>
              </w:rPr>
              <w:fldChar w:fldCharType="begin"/>
            </w:r>
            <w:r>
              <w:rPr>
                <w:noProof/>
                <w:webHidden/>
              </w:rPr>
              <w:instrText xml:space="preserve"> PAGEREF _Toc182111066 \h </w:instrText>
            </w:r>
            <w:r>
              <w:rPr>
                <w:noProof/>
                <w:webHidden/>
              </w:rPr>
            </w:r>
            <w:r>
              <w:rPr>
                <w:noProof/>
                <w:webHidden/>
              </w:rPr>
              <w:fldChar w:fldCharType="separate"/>
            </w:r>
            <w:r>
              <w:rPr>
                <w:noProof/>
                <w:webHidden/>
              </w:rPr>
              <w:t>63</w:t>
            </w:r>
            <w:r>
              <w:rPr>
                <w:noProof/>
                <w:webHidden/>
              </w:rPr>
              <w:fldChar w:fldCharType="end"/>
            </w:r>
          </w:hyperlink>
        </w:p>
        <w:p w14:paraId="0E0F4D83" w14:textId="42E7F5A8" w:rsidR="0018686D" w:rsidRDefault="0018686D">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182111067" w:history="1">
            <w:r w:rsidRPr="00ED0FFA">
              <w:rPr>
                <w:rStyle w:val="Hyperlink"/>
                <w:noProof/>
              </w:rPr>
              <w:t>Methodological Insights</w:t>
            </w:r>
            <w:r>
              <w:rPr>
                <w:noProof/>
                <w:webHidden/>
              </w:rPr>
              <w:tab/>
            </w:r>
            <w:r>
              <w:rPr>
                <w:noProof/>
                <w:webHidden/>
              </w:rPr>
              <w:fldChar w:fldCharType="begin"/>
            </w:r>
            <w:r>
              <w:rPr>
                <w:noProof/>
                <w:webHidden/>
              </w:rPr>
              <w:instrText xml:space="preserve"> PAGEREF _Toc182111067 \h </w:instrText>
            </w:r>
            <w:r>
              <w:rPr>
                <w:noProof/>
                <w:webHidden/>
              </w:rPr>
            </w:r>
            <w:r>
              <w:rPr>
                <w:noProof/>
                <w:webHidden/>
              </w:rPr>
              <w:fldChar w:fldCharType="separate"/>
            </w:r>
            <w:r>
              <w:rPr>
                <w:noProof/>
                <w:webHidden/>
              </w:rPr>
              <w:t>64</w:t>
            </w:r>
            <w:r>
              <w:rPr>
                <w:noProof/>
                <w:webHidden/>
              </w:rPr>
              <w:fldChar w:fldCharType="end"/>
            </w:r>
          </w:hyperlink>
        </w:p>
        <w:p w14:paraId="7C1D6165" w14:textId="0E3BC201" w:rsidR="0018686D" w:rsidRDefault="0018686D">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182111068" w:history="1">
            <w:r w:rsidRPr="00ED0FFA">
              <w:rPr>
                <w:rStyle w:val="Hyperlink"/>
                <w:noProof/>
              </w:rPr>
              <w:t>Conclusion</w:t>
            </w:r>
            <w:r>
              <w:rPr>
                <w:noProof/>
                <w:webHidden/>
              </w:rPr>
              <w:tab/>
            </w:r>
            <w:r>
              <w:rPr>
                <w:noProof/>
                <w:webHidden/>
              </w:rPr>
              <w:fldChar w:fldCharType="begin"/>
            </w:r>
            <w:r>
              <w:rPr>
                <w:noProof/>
                <w:webHidden/>
              </w:rPr>
              <w:instrText xml:space="preserve"> PAGEREF _Toc182111068 \h </w:instrText>
            </w:r>
            <w:r>
              <w:rPr>
                <w:noProof/>
                <w:webHidden/>
              </w:rPr>
            </w:r>
            <w:r>
              <w:rPr>
                <w:noProof/>
                <w:webHidden/>
              </w:rPr>
              <w:fldChar w:fldCharType="separate"/>
            </w:r>
            <w:r>
              <w:rPr>
                <w:noProof/>
                <w:webHidden/>
              </w:rPr>
              <w:t>64</w:t>
            </w:r>
            <w:r>
              <w:rPr>
                <w:noProof/>
                <w:webHidden/>
              </w:rPr>
              <w:fldChar w:fldCharType="end"/>
            </w:r>
          </w:hyperlink>
        </w:p>
        <w:p w14:paraId="0E2E527C" w14:textId="4A372ACB" w:rsidR="0018686D" w:rsidRDefault="0018686D">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82111069" w:history="1">
            <w:r w:rsidRPr="00ED0FFA">
              <w:rPr>
                <w:rStyle w:val="Hyperlink"/>
                <w:noProof/>
              </w:rPr>
              <w:t>4.2 Governance Issues and Corruption</w:t>
            </w:r>
            <w:r>
              <w:rPr>
                <w:noProof/>
                <w:webHidden/>
              </w:rPr>
              <w:tab/>
            </w:r>
            <w:r>
              <w:rPr>
                <w:noProof/>
                <w:webHidden/>
              </w:rPr>
              <w:fldChar w:fldCharType="begin"/>
            </w:r>
            <w:r>
              <w:rPr>
                <w:noProof/>
                <w:webHidden/>
              </w:rPr>
              <w:instrText xml:space="preserve"> PAGEREF _Toc182111069 \h </w:instrText>
            </w:r>
            <w:r>
              <w:rPr>
                <w:noProof/>
                <w:webHidden/>
              </w:rPr>
            </w:r>
            <w:r>
              <w:rPr>
                <w:noProof/>
                <w:webHidden/>
              </w:rPr>
              <w:fldChar w:fldCharType="separate"/>
            </w:r>
            <w:r>
              <w:rPr>
                <w:noProof/>
                <w:webHidden/>
              </w:rPr>
              <w:t>65</w:t>
            </w:r>
            <w:r>
              <w:rPr>
                <w:noProof/>
                <w:webHidden/>
              </w:rPr>
              <w:fldChar w:fldCharType="end"/>
            </w:r>
          </w:hyperlink>
        </w:p>
        <w:p w14:paraId="221F1D04" w14:textId="0BFDEE28" w:rsidR="0018686D" w:rsidRDefault="0018686D">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182111070" w:history="1">
            <w:r w:rsidRPr="00ED0FFA">
              <w:rPr>
                <w:rStyle w:val="Hyperlink"/>
                <w:noProof/>
              </w:rPr>
              <w:t>Disintegration of Centralised Power</w:t>
            </w:r>
            <w:r>
              <w:rPr>
                <w:noProof/>
                <w:webHidden/>
              </w:rPr>
              <w:tab/>
            </w:r>
            <w:r>
              <w:rPr>
                <w:noProof/>
                <w:webHidden/>
              </w:rPr>
              <w:fldChar w:fldCharType="begin"/>
            </w:r>
            <w:r>
              <w:rPr>
                <w:noProof/>
                <w:webHidden/>
              </w:rPr>
              <w:instrText xml:space="preserve"> PAGEREF _Toc182111070 \h </w:instrText>
            </w:r>
            <w:r>
              <w:rPr>
                <w:noProof/>
                <w:webHidden/>
              </w:rPr>
            </w:r>
            <w:r>
              <w:rPr>
                <w:noProof/>
                <w:webHidden/>
              </w:rPr>
              <w:fldChar w:fldCharType="separate"/>
            </w:r>
            <w:r>
              <w:rPr>
                <w:noProof/>
                <w:webHidden/>
              </w:rPr>
              <w:t>65</w:t>
            </w:r>
            <w:r>
              <w:rPr>
                <w:noProof/>
                <w:webHidden/>
              </w:rPr>
              <w:fldChar w:fldCharType="end"/>
            </w:r>
          </w:hyperlink>
        </w:p>
        <w:p w14:paraId="1EA8DE40" w14:textId="50E673E7" w:rsidR="0018686D" w:rsidRDefault="0018686D">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182111071" w:history="1">
            <w:r w:rsidRPr="00ED0FFA">
              <w:rPr>
                <w:rStyle w:val="Hyperlink"/>
                <w:noProof/>
              </w:rPr>
              <w:t>Political Stabilisation and the Role of Christianity</w:t>
            </w:r>
            <w:r>
              <w:rPr>
                <w:noProof/>
                <w:webHidden/>
              </w:rPr>
              <w:tab/>
            </w:r>
            <w:r>
              <w:rPr>
                <w:noProof/>
                <w:webHidden/>
              </w:rPr>
              <w:fldChar w:fldCharType="begin"/>
            </w:r>
            <w:r>
              <w:rPr>
                <w:noProof/>
                <w:webHidden/>
              </w:rPr>
              <w:instrText xml:space="preserve"> PAGEREF _Toc182111071 \h </w:instrText>
            </w:r>
            <w:r>
              <w:rPr>
                <w:noProof/>
                <w:webHidden/>
              </w:rPr>
            </w:r>
            <w:r>
              <w:rPr>
                <w:noProof/>
                <w:webHidden/>
              </w:rPr>
              <w:fldChar w:fldCharType="separate"/>
            </w:r>
            <w:r>
              <w:rPr>
                <w:noProof/>
                <w:webHidden/>
              </w:rPr>
              <w:t>66</w:t>
            </w:r>
            <w:r>
              <w:rPr>
                <w:noProof/>
                <w:webHidden/>
              </w:rPr>
              <w:fldChar w:fldCharType="end"/>
            </w:r>
          </w:hyperlink>
        </w:p>
        <w:p w14:paraId="4F62EEC7" w14:textId="680D3969" w:rsidR="0018686D" w:rsidRDefault="0018686D">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182111072" w:history="1">
            <w:r w:rsidRPr="00ED0FFA">
              <w:rPr>
                <w:rStyle w:val="Hyperlink"/>
                <w:noProof/>
              </w:rPr>
              <w:t>Corruption and its Socioeconomic Impacts</w:t>
            </w:r>
            <w:r>
              <w:rPr>
                <w:noProof/>
                <w:webHidden/>
              </w:rPr>
              <w:tab/>
            </w:r>
            <w:r>
              <w:rPr>
                <w:noProof/>
                <w:webHidden/>
              </w:rPr>
              <w:fldChar w:fldCharType="begin"/>
            </w:r>
            <w:r>
              <w:rPr>
                <w:noProof/>
                <w:webHidden/>
              </w:rPr>
              <w:instrText xml:space="preserve"> PAGEREF _Toc182111072 \h </w:instrText>
            </w:r>
            <w:r>
              <w:rPr>
                <w:noProof/>
                <w:webHidden/>
              </w:rPr>
            </w:r>
            <w:r>
              <w:rPr>
                <w:noProof/>
                <w:webHidden/>
              </w:rPr>
              <w:fldChar w:fldCharType="separate"/>
            </w:r>
            <w:r>
              <w:rPr>
                <w:noProof/>
                <w:webHidden/>
              </w:rPr>
              <w:t>66</w:t>
            </w:r>
            <w:r>
              <w:rPr>
                <w:noProof/>
                <w:webHidden/>
              </w:rPr>
              <w:fldChar w:fldCharType="end"/>
            </w:r>
          </w:hyperlink>
        </w:p>
        <w:p w14:paraId="216F249B" w14:textId="4C876AAF" w:rsidR="0018686D" w:rsidRDefault="0018686D">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182111073" w:history="1">
            <w:r w:rsidRPr="00ED0FFA">
              <w:rPr>
                <w:rStyle w:val="Hyperlink"/>
                <w:noProof/>
              </w:rPr>
              <w:t>Demographic Shifts and Migration Patterns</w:t>
            </w:r>
            <w:r>
              <w:rPr>
                <w:noProof/>
                <w:webHidden/>
              </w:rPr>
              <w:tab/>
            </w:r>
            <w:r>
              <w:rPr>
                <w:noProof/>
                <w:webHidden/>
              </w:rPr>
              <w:fldChar w:fldCharType="begin"/>
            </w:r>
            <w:r>
              <w:rPr>
                <w:noProof/>
                <w:webHidden/>
              </w:rPr>
              <w:instrText xml:space="preserve"> PAGEREF _Toc182111073 \h </w:instrText>
            </w:r>
            <w:r>
              <w:rPr>
                <w:noProof/>
                <w:webHidden/>
              </w:rPr>
            </w:r>
            <w:r>
              <w:rPr>
                <w:noProof/>
                <w:webHidden/>
              </w:rPr>
              <w:fldChar w:fldCharType="separate"/>
            </w:r>
            <w:r>
              <w:rPr>
                <w:noProof/>
                <w:webHidden/>
              </w:rPr>
              <w:t>67</w:t>
            </w:r>
            <w:r>
              <w:rPr>
                <w:noProof/>
                <w:webHidden/>
              </w:rPr>
              <w:fldChar w:fldCharType="end"/>
            </w:r>
          </w:hyperlink>
        </w:p>
        <w:p w14:paraId="3FDC1FC2" w14:textId="51DD63BF" w:rsidR="0018686D" w:rsidRDefault="0018686D">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182111074" w:history="1">
            <w:r w:rsidRPr="00ED0FFA">
              <w:rPr>
                <w:rStyle w:val="Hyperlink"/>
                <w:noProof/>
              </w:rPr>
              <w:t>Methodological Engagement</w:t>
            </w:r>
            <w:r>
              <w:rPr>
                <w:noProof/>
                <w:webHidden/>
              </w:rPr>
              <w:tab/>
            </w:r>
            <w:r>
              <w:rPr>
                <w:noProof/>
                <w:webHidden/>
              </w:rPr>
              <w:fldChar w:fldCharType="begin"/>
            </w:r>
            <w:r>
              <w:rPr>
                <w:noProof/>
                <w:webHidden/>
              </w:rPr>
              <w:instrText xml:space="preserve"> PAGEREF _Toc182111074 \h </w:instrText>
            </w:r>
            <w:r>
              <w:rPr>
                <w:noProof/>
                <w:webHidden/>
              </w:rPr>
            </w:r>
            <w:r>
              <w:rPr>
                <w:noProof/>
                <w:webHidden/>
              </w:rPr>
              <w:fldChar w:fldCharType="separate"/>
            </w:r>
            <w:r>
              <w:rPr>
                <w:noProof/>
                <w:webHidden/>
              </w:rPr>
              <w:t>67</w:t>
            </w:r>
            <w:r>
              <w:rPr>
                <w:noProof/>
                <w:webHidden/>
              </w:rPr>
              <w:fldChar w:fldCharType="end"/>
            </w:r>
          </w:hyperlink>
        </w:p>
        <w:p w14:paraId="7ABB19F5" w14:textId="687A54E0" w:rsidR="0018686D" w:rsidRDefault="0018686D">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182111075" w:history="1">
            <w:r w:rsidRPr="00ED0FFA">
              <w:rPr>
                <w:rStyle w:val="Hyperlink"/>
                <w:noProof/>
              </w:rPr>
              <w:t>Conclusion</w:t>
            </w:r>
            <w:r>
              <w:rPr>
                <w:noProof/>
                <w:webHidden/>
              </w:rPr>
              <w:tab/>
            </w:r>
            <w:r>
              <w:rPr>
                <w:noProof/>
                <w:webHidden/>
              </w:rPr>
              <w:fldChar w:fldCharType="begin"/>
            </w:r>
            <w:r>
              <w:rPr>
                <w:noProof/>
                <w:webHidden/>
              </w:rPr>
              <w:instrText xml:space="preserve"> PAGEREF _Toc182111075 \h </w:instrText>
            </w:r>
            <w:r>
              <w:rPr>
                <w:noProof/>
                <w:webHidden/>
              </w:rPr>
            </w:r>
            <w:r>
              <w:rPr>
                <w:noProof/>
                <w:webHidden/>
              </w:rPr>
              <w:fldChar w:fldCharType="separate"/>
            </w:r>
            <w:r>
              <w:rPr>
                <w:noProof/>
                <w:webHidden/>
              </w:rPr>
              <w:t>68</w:t>
            </w:r>
            <w:r>
              <w:rPr>
                <w:noProof/>
                <w:webHidden/>
              </w:rPr>
              <w:fldChar w:fldCharType="end"/>
            </w:r>
          </w:hyperlink>
        </w:p>
        <w:p w14:paraId="76DFCCF4" w14:textId="27B8A75E" w:rsidR="0018686D" w:rsidRDefault="0018686D">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82111076" w:history="1">
            <w:r w:rsidRPr="00ED0FFA">
              <w:rPr>
                <w:rStyle w:val="Hyperlink"/>
                <w:noProof/>
              </w:rPr>
              <w:t>4.3 Climate Change, Natural Disasters, and Epidemics</w:t>
            </w:r>
            <w:r>
              <w:rPr>
                <w:noProof/>
                <w:webHidden/>
              </w:rPr>
              <w:tab/>
            </w:r>
            <w:r>
              <w:rPr>
                <w:noProof/>
                <w:webHidden/>
              </w:rPr>
              <w:fldChar w:fldCharType="begin"/>
            </w:r>
            <w:r>
              <w:rPr>
                <w:noProof/>
                <w:webHidden/>
              </w:rPr>
              <w:instrText xml:space="preserve"> PAGEREF _Toc182111076 \h </w:instrText>
            </w:r>
            <w:r>
              <w:rPr>
                <w:noProof/>
                <w:webHidden/>
              </w:rPr>
            </w:r>
            <w:r>
              <w:rPr>
                <w:noProof/>
                <w:webHidden/>
              </w:rPr>
              <w:fldChar w:fldCharType="separate"/>
            </w:r>
            <w:r>
              <w:rPr>
                <w:noProof/>
                <w:webHidden/>
              </w:rPr>
              <w:t>68</w:t>
            </w:r>
            <w:r>
              <w:rPr>
                <w:noProof/>
                <w:webHidden/>
              </w:rPr>
              <w:fldChar w:fldCharType="end"/>
            </w:r>
          </w:hyperlink>
        </w:p>
        <w:p w14:paraId="02C69DB6" w14:textId="4015F419" w:rsidR="0018686D" w:rsidRDefault="0018686D">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182111077" w:history="1">
            <w:r w:rsidRPr="00ED0FFA">
              <w:rPr>
                <w:rStyle w:val="Hyperlink"/>
                <w:noProof/>
              </w:rPr>
              <w:t>Epidemics and Demographic Transformations</w:t>
            </w:r>
            <w:r>
              <w:rPr>
                <w:noProof/>
                <w:webHidden/>
              </w:rPr>
              <w:tab/>
            </w:r>
            <w:r>
              <w:rPr>
                <w:noProof/>
                <w:webHidden/>
              </w:rPr>
              <w:fldChar w:fldCharType="begin"/>
            </w:r>
            <w:r>
              <w:rPr>
                <w:noProof/>
                <w:webHidden/>
              </w:rPr>
              <w:instrText xml:space="preserve"> PAGEREF _Toc182111077 \h </w:instrText>
            </w:r>
            <w:r>
              <w:rPr>
                <w:noProof/>
                <w:webHidden/>
              </w:rPr>
            </w:r>
            <w:r>
              <w:rPr>
                <w:noProof/>
                <w:webHidden/>
              </w:rPr>
              <w:fldChar w:fldCharType="separate"/>
            </w:r>
            <w:r>
              <w:rPr>
                <w:noProof/>
                <w:webHidden/>
              </w:rPr>
              <w:t>68</w:t>
            </w:r>
            <w:r>
              <w:rPr>
                <w:noProof/>
                <w:webHidden/>
              </w:rPr>
              <w:fldChar w:fldCharType="end"/>
            </w:r>
          </w:hyperlink>
        </w:p>
        <w:p w14:paraId="189D0658" w14:textId="5C85A3F8" w:rsidR="0018686D" w:rsidRDefault="0018686D">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182111078" w:history="1">
            <w:r w:rsidRPr="00ED0FFA">
              <w:rPr>
                <w:rStyle w:val="Hyperlink"/>
                <w:noProof/>
              </w:rPr>
              <w:t>Relative Stability and Persistent Health Challenges in the Fourth Century</w:t>
            </w:r>
            <w:r>
              <w:rPr>
                <w:noProof/>
                <w:webHidden/>
              </w:rPr>
              <w:tab/>
            </w:r>
            <w:r>
              <w:rPr>
                <w:noProof/>
                <w:webHidden/>
              </w:rPr>
              <w:fldChar w:fldCharType="begin"/>
            </w:r>
            <w:r>
              <w:rPr>
                <w:noProof/>
                <w:webHidden/>
              </w:rPr>
              <w:instrText xml:space="preserve"> PAGEREF _Toc182111078 \h </w:instrText>
            </w:r>
            <w:r>
              <w:rPr>
                <w:noProof/>
                <w:webHidden/>
              </w:rPr>
            </w:r>
            <w:r>
              <w:rPr>
                <w:noProof/>
                <w:webHidden/>
              </w:rPr>
              <w:fldChar w:fldCharType="separate"/>
            </w:r>
            <w:r>
              <w:rPr>
                <w:noProof/>
                <w:webHidden/>
              </w:rPr>
              <w:t>69</w:t>
            </w:r>
            <w:r>
              <w:rPr>
                <w:noProof/>
                <w:webHidden/>
              </w:rPr>
              <w:fldChar w:fldCharType="end"/>
            </w:r>
          </w:hyperlink>
        </w:p>
        <w:p w14:paraId="5B090C6D" w14:textId="0AC9457A" w:rsidR="0018686D" w:rsidRDefault="0018686D">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182111079" w:history="1">
            <w:r w:rsidRPr="00ED0FFA">
              <w:rPr>
                <w:rStyle w:val="Hyperlink"/>
                <w:noProof/>
              </w:rPr>
              <w:t>Environmental Challenges and Settlement Patterns</w:t>
            </w:r>
            <w:r>
              <w:rPr>
                <w:noProof/>
                <w:webHidden/>
              </w:rPr>
              <w:tab/>
            </w:r>
            <w:r>
              <w:rPr>
                <w:noProof/>
                <w:webHidden/>
              </w:rPr>
              <w:fldChar w:fldCharType="begin"/>
            </w:r>
            <w:r>
              <w:rPr>
                <w:noProof/>
                <w:webHidden/>
              </w:rPr>
              <w:instrText xml:space="preserve"> PAGEREF _Toc182111079 \h </w:instrText>
            </w:r>
            <w:r>
              <w:rPr>
                <w:noProof/>
                <w:webHidden/>
              </w:rPr>
            </w:r>
            <w:r>
              <w:rPr>
                <w:noProof/>
                <w:webHidden/>
              </w:rPr>
              <w:fldChar w:fldCharType="separate"/>
            </w:r>
            <w:r>
              <w:rPr>
                <w:noProof/>
                <w:webHidden/>
              </w:rPr>
              <w:t>69</w:t>
            </w:r>
            <w:r>
              <w:rPr>
                <w:noProof/>
                <w:webHidden/>
              </w:rPr>
              <w:fldChar w:fldCharType="end"/>
            </w:r>
          </w:hyperlink>
        </w:p>
        <w:p w14:paraId="052E93C2" w14:textId="255D87AF" w:rsidR="0018686D" w:rsidRDefault="0018686D">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182111080" w:history="1">
            <w:r w:rsidRPr="00ED0FFA">
              <w:rPr>
                <w:rStyle w:val="Hyperlink"/>
                <w:noProof/>
              </w:rPr>
              <w:t>Political Instability and Epidemics</w:t>
            </w:r>
            <w:r>
              <w:rPr>
                <w:noProof/>
                <w:webHidden/>
              </w:rPr>
              <w:tab/>
            </w:r>
            <w:r>
              <w:rPr>
                <w:noProof/>
                <w:webHidden/>
              </w:rPr>
              <w:fldChar w:fldCharType="begin"/>
            </w:r>
            <w:r>
              <w:rPr>
                <w:noProof/>
                <w:webHidden/>
              </w:rPr>
              <w:instrText xml:space="preserve"> PAGEREF _Toc182111080 \h </w:instrText>
            </w:r>
            <w:r>
              <w:rPr>
                <w:noProof/>
                <w:webHidden/>
              </w:rPr>
            </w:r>
            <w:r>
              <w:rPr>
                <w:noProof/>
                <w:webHidden/>
              </w:rPr>
              <w:fldChar w:fldCharType="separate"/>
            </w:r>
            <w:r>
              <w:rPr>
                <w:noProof/>
                <w:webHidden/>
              </w:rPr>
              <w:t>70</w:t>
            </w:r>
            <w:r>
              <w:rPr>
                <w:noProof/>
                <w:webHidden/>
              </w:rPr>
              <w:fldChar w:fldCharType="end"/>
            </w:r>
          </w:hyperlink>
        </w:p>
        <w:p w14:paraId="66E72B01" w14:textId="41C5F841" w:rsidR="0018686D" w:rsidRDefault="0018686D">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182111081" w:history="1">
            <w:r w:rsidRPr="00ED0FFA">
              <w:rPr>
                <w:rStyle w:val="Hyperlink"/>
                <w:noProof/>
              </w:rPr>
              <w:t>Methodological Considerations</w:t>
            </w:r>
            <w:r>
              <w:rPr>
                <w:noProof/>
                <w:webHidden/>
              </w:rPr>
              <w:tab/>
            </w:r>
            <w:r>
              <w:rPr>
                <w:noProof/>
                <w:webHidden/>
              </w:rPr>
              <w:fldChar w:fldCharType="begin"/>
            </w:r>
            <w:r>
              <w:rPr>
                <w:noProof/>
                <w:webHidden/>
              </w:rPr>
              <w:instrText xml:space="preserve"> PAGEREF _Toc182111081 \h </w:instrText>
            </w:r>
            <w:r>
              <w:rPr>
                <w:noProof/>
                <w:webHidden/>
              </w:rPr>
            </w:r>
            <w:r>
              <w:rPr>
                <w:noProof/>
                <w:webHidden/>
              </w:rPr>
              <w:fldChar w:fldCharType="separate"/>
            </w:r>
            <w:r>
              <w:rPr>
                <w:noProof/>
                <w:webHidden/>
              </w:rPr>
              <w:t>70</w:t>
            </w:r>
            <w:r>
              <w:rPr>
                <w:noProof/>
                <w:webHidden/>
              </w:rPr>
              <w:fldChar w:fldCharType="end"/>
            </w:r>
          </w:hyperlink>
        </w:p>
        <w:p w14:paraId="4D69A1AD" w14:textId="567B06B1" w:rsidR="0018686D" w:rsidRDefault="0018686D">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182111082" w:history="1">
            <w:r w:rsidRPr="00ED0FFA">
              <w:rPr>
                <w:rStyle w:val="Hyperlink"/>
                <w:noProof/>
              </w:rPr>
              <w:t>Conclusion</w:t>
            </w:r>
            <w:r>
              <w:rPr>
                <w:noProof/>
                <w:webHidden/>
              </w:rPr>
              <w:tab/>
            </w:r>
            <w:r>
              <w:rPr>
                <w:noProof/>
                <w:webHidden/>
              </w:rPr>
              <w:fldChar w:fldCharType="begin"/>
            </w:r>
            <w:r>
              <w:rPr>
                <w:noProof/>
                <w:webHidden/>
              </w:rPr>
              <w:instrText xml:space="preserve"> PAGEREF _Toc182111082 \h </w:instrText>
            </w:r>
            <w:r>
              <w:rPr>
                <w:noProof/>
                <w:webHidden/>
              </w:rPr>
            </w:r>
            <w:r>
              <w:rPr>
                <w:noProof/>
                <w:webHidden/>
              </w:rPr>
              <w:fldChar w:fldCharType="separate"/>
            </w:r>
            <w:r>
              <w:rPr>
                <w:noProof/>
                <w:webHidden/>
              </w:rPr>
              <w:t>70</w:t>
            </w:r>
            <w:r>
              <w:rPr>
                <w:noProof/>
                <w:webHidden/>
              </w:rPr>
              <w:fldChar w:fldCharType="end"/>
            </w:r>
          </w:hyperlink>
        </w:p>
        <w:p w14:paraId="686C3B4B" w14:textId="45E238C5" w:rsidR="0018686D" w:rsidRDefault="0018686D">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82111083" w:history="1">
            <w:r w:rsidRPr="00ED0FFA">
              <w:rPr>
                <w:rStyle w:val="Hyperlink"/>
                <w:noProof/>
              </w:rPr>
              <w:t>4.4 Resource Depletion and Agricultural Productivity</w:t>
            </w:r>
            <w:r>
              <w:rPr>
                <w:noProof/>
                <w:webHidden/>
              </w:rPr>
              <w:tab/>
            </w:r>
            <w:r>
              <w:rPr>
                <w:noProof/>
                <w:webHidden/>
              </w:rPr>
              <w:fldChar w:fldCharType="begin"/>
            </w:r>
            <w:r>
              <w:rPr>
                <w:noProof/>
                <w:webHidden/>
              </w:rPr>
              <w:instrText xml:space="preserve"> PAGEREF _Toc182111083 \h </w:instrText>
            </w:r>
            <w:r>
              <w:rPr>
                <w:noProof/>
                <w:webHidden/>
              </w:rPr>
            </w:r>
            <w:r>
              <w:rPr>
                <w:noProof/>
                <w:webHidden/>
              </w:rPr>
              <w:fldChar w:fldCharType="separate"/>
            </w:r>
            <w:r>
              <w:rPr>
                <w:noProof/>
                <w:webHidden/>
              </w:rPr>
              <w:t>71</w:t>
            </w:r>
            <w:r>
              <w:rPr>
                <w:noProof/>
                <w:webHidden/>
              </w:rPr>
              <w:fldChar w:fldCharType="end"/>
            </w:r>
          </w:hyperlink>
        </w:p>
        <w:p w14:paraId="1B2B9719" w14:textId="6FE1E49D" w:rsidR="0018686D" w:rsidRDefault="0018686D">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182111084" w:history="1">
            <w:r w:rsidRPr="00ED0FFA">
              <w:rPr>
                <w:rStyle w:val="Hyperlink"/>
                <w:noProof/>
              </w:rPr>
              <w:t>Environmental Degradation and Resource Scarcity</w:t>
            </w:r>
            <w:r>
              <w:rPr>
                <w:noProof/>
                <w:webHidden/>
              </w:rPr>
              <w:tab/>
            </w:r>
            <w:r>
              <w:rPr>
                <w:noProof/>
                <w:webHidden/>
              </w:rPr>
              <w:fldChar w:fldCharType="begin"/>
            </w:r>
            <w:r>
              <w:rPr>
                <w:noProof/>
                <w:webHidden/>
              </w:rPr>
              <w:instrText xml:space="preserve"> PAGEREF _Toc182111084 \h </w:instrText>
            </w:r>
            <w:r>
              <w:rPr>
                <w:noProof/>
                <w:webHidden/>
              </w:rPr>
            </w:r>
            <w:r>
              <w:rPr>
                <w:noProof/>
                <w:webHidden/>
              </w:rPr>
              <w:fldChar w:fldCharType="separate"/>
            </w:r>
            <w:r>
              <w:rPr>
                <w:noProof/>
                <w:webHidden/>
              </w:rPr>
              <w:t>71</w:t>
            </w:r>
            <w:r>
              <w:rPr>
                <w:noProof/>
                <w:webHidden/>
              </w:rPr>
              <w:fldChar w:fldCharType="end"/>
            </w:r>
          </w:hyperlink>
        </w:p>
        <w:p w14:paraId="72504E4E" w14:textId="64990AC0" w:rsidR="0018686D" w:rsidRDefault="0018686D">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182111085" w:history="1">
            <w:r w:rsidRPr="00ED0FFA">
              <w:rPr>
                <w:rStyle w:val="Hyperlink"/>
                <w:noProof/>
              </w:rPr>
              <w:t>Declining Agricultural Productivity and Socio-Economic Transformation</w:t>
            </w:r>
            <w:r>
              <w:rPr>
                <w:noProof/>
                <w:webHidden/>
              </w:rPr>
              <w:tab/>
            </w:r>
            <w:r>
              <w:rPr>
                <w:noProof/>
                <w:webHidden/>
              </w:rPr>
              <w:fldChar w:fldCharType="begin"/>
            </w:r>
            <w:r>
              <w:rPr>
                <w:noProof/>
                <w:webHidden/>
              </w:rPr>
              <w:instrText xml:space="preserve"> PAGEREF _Toc182111085 \h </w:instrText>
            </w:r>
            <w:r>
              <w:rPr>
                <w:noProof/>
                <w:webHidden/>
              </w:rPr>
            </w:r>
            <w:r>
              <w:rPr>
                <w:noProof/>
                <w:webHidden/>
              </w:rPr>
              <w:fldChar w:fldCharType="separate"/>
            </w:r>
            <w:r>
              <w:rPr>
                <w:noProof/>
                <w:webHidden/>
              </w:rPr>
              <w:t>71</w:t>
            </w:r>
            <w:r>
              <w:rPr>
                <w:noProof/>
                <w:webHidden/>
              </w:rPr>
              <w:fldChar w:fldCharType="end"/>
            </w:r>
          </w:hyperlink>
        </w:p>
        <w:p w14:paraId="0DD8F755" w14:textId="6E428509" w:rsidR="0018686D" w:rsidRDefault="0018686D">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182111086" w:history="1">
            <w:r w:rsidRPr="00ED0FFA">
              <w:rPr>
                <w:rStyle w:val="Hyperlink"/>
                <w:noProof/>
              </w:rPr>
              <w:t>Regional Variability in Settlement Patterns</w:t>
            </w:r>
            <w:r>
              <w:rPr>
                <w:noProof/>
                <w:webHidden/>
              </w:rPr>
              <w:tab/>
            </w:r>
            <w:r>
              <w:rPr>
                <w:noProof/>
                <w:webHidden/>
              </w:rPr>
              <w:fldChar w:fldCharType="begin"/>
            </w:r>
            <w:r>
              <w:rPr>
                <w:noProof/>
                <w:webHidden/>
              </w:rPr>
              <w:instrText xml:space="preserve"> PAGEREF _Toc182111086 \h </w:instrText>
            </w:r>
            <w:r>
              <w:rPr>
                <w:noProof/>
                <w:webHidden/>
              </w:rPr>
            </w:r>
            <w:r>
              <w:rPr>
                <w:noProof/>
                <w:webHidden/>
              </w:rPr>
              <w:fldChar w:fldCharType="separate"/>
            </w:r>
            <w:r>
              <w:rPr>
                <w:noProof/>
                <w:webHidden/>
              </w:rPr>
              <w:t>72</w:t>
            </w:r>
            <w:r>
              <w:rPr>
                <w:noProof/>
                <w:webHidden/>
              </w:rPr>
              <w:fldChar w:fldCharType="end"/>
            </w:r>
          </w:hyperlink>
        </w:p>
        <w:p w14:paraId="5795280F" w14:textId="5FDDF987" w:rsidR="0018686D" w:rsidRDefault="0018686D">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182111087" w:history="1">
            <w:r w:rsidRPr="00ED0FFA">
              <w:rPr>
                <w:rStyle w:val="Hyperlink"/>
                <w:noProof/>
              </w:rPr>
              <w:t>Socio-Economic Inequalities and Elite Strategies</w:t>
            </w:r>
            <w:r>
              <w:rPr>
                <w:noProof/>
                <w:webHidden/>
              </w:rPr>
              <w:tab/>
            </w:r>
            <w:r>
              <w:rPr>
                <w:noProof/>
                <w:webHidden/>
              </w:rPr>
              <w:fldChar w:fldCharType="begin"/>
            </w:r>
            <w:r>
              <w:rPr>
                <w:noProof/>
                <w:webHidden/>
              </w:rPr>
              <w:instrText xml:space="preserve"> PAGEREF _Toc182111087 \h </w:instrText>
            </w:r>
            <w:r>
              <w:rPr>
                <w:noProof/>
                <w:webHidden/>
              </w:rPr>
            </w:r>
            <w:r>
              <w:rPr>
                <w:noProof/>
                <w:webHidden/>
              </w:rPr>
              <w:fldChar w:fldCharType="separate"/>
            </w:r>
            <w:r>
              <w:rPr>
                <w:noProof/>
                <w:webHidden/>
              </w:rPr>
              <w:t>73</w:t>
            </w:r>
            <w:r>
              <w:rPr>
                <w:noProof/>
                <w:webHidden/>
              </w:rPr>
              <w:fldChar w:fldCharType="end"/>
            </w:r>
          </w:hyperlink>
        </w:p>
        <w:p w14:paraId="102E996D" w14:textId="2FB87AB5" w:rsidR="0018686D" w:rsidRDefault="0018686D">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182111088" w:history="1">
            <w:r w:rsidRPr="00ED0FFA">
              <w:rPr>
                <w:rStyle w:val="Hyperlink"/>
                <w:noProof/>
              </w:rPr>
              <w:t>Lessons for Modern Climate and Resource Management</w:t>
            </w:r>
            <w:r>
              <w:rPr>
                <w:noProof/>
                <w:webHidden/>
              </w:rPr>
              <w:tab/>
            </w:r>
            <w:r>
              <w:rPr>
                <w:noProof/>
                <w:webHidden/>
              </w:rPr>
              <w:fldChar w:fldCharType="begin"/>
            </w:r>
            <w:r>
              <w:rPr>
                <w:noProof/>
                <w:webHidden/>
              </w:rPr>
              <w:instrText xml:space="preserve"> PAGEREF _Toc182111088 \h </w:instrText>
            </w:r>
            <w:r>
              <w:rPr>
                <w:noProof/>
                <w:webHidden/>
              </w:rPr>
            </w:r>
            <w:r>
              <w:rPr>
                <w:noProof/>
                <w:webHidden/>
              </w:rPr>
              <w:fldChar w:fldCharType="separate"/>
            </w:r>
            <w:r>
              <w:rPr>
                <w:noProof/>
                <w:webHidden/>
              </w:rPr>
              <w:t>73</w:t>
            </w:r>
            <w:r>
              <w:rPr>
                <w:noProof/>
                <w:webHidden/>
              </w:rPr>
              <w:fldChar w:fldCharType="end"/>
            </w:r>
          </w:hyperlink>
        </w:p>
        <w:p w14:paraId="66C09322" w14:textId="1DC4C109" w:rsidR="0018686D" w:rsidRDefault="0018686D">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182111089" w:history="1">
            <w:r w:rsidRPr="00ED0FFA">
              <w:rPr>
                <w:rStyle w:val="Hyperlink"/>
                <w:noProof/>
              </w:rPr>
              <w:t>Conclusion</w:t>
            </w:r>
            <w:r>
              <w:rPr>
                <w:noProof/>
                <w:webHidden/>
              </w:rPr>
              <w:tab/>
            </w:r>
            <w:r>
              <w:rPr>
                <w:noProof/>
                <w:webHidden/>
              </w:rPr>
              <w:fldChar w:fldCharType="begin"/>
            </w:r>
            <w:r>
              <w:rPr>
                <w:noProof/>
                <w:webHidden/>
              </w:rPr>
              <w:instrText xml:space="preserve"> PAGEREF _Toc182111089 \h </w:instrText>
            </w:r>
            <w:r>
              <w:rPr>
                <w:noProof/>
                <w:webHidden/>
              </w:rPr>
            </w:r>
            <w:r>
              <w:rPr>
                <w:noProof/>
                <w:webHidden/>
              </w:rPr>
              <w:fldChar w:fldCharType="separate"/>
            </w:r>
            <w:r>
              <w:rPr>
                <w:noProof/>
                <w:webHidden/>
              </w:rPr>
              <w:t>73</w:t>
            </w:r>
            <w:r>
              <w:rPr>
                <w:noProof/>
                <w:webHidden/>
              </w:rPr>
              <w:fldChar w:fldCharType="end"/>
            </w:r>
          </w:hyperlink>
        </w:p>
        <w:p w14:paraId="04D96376" w14:textId="3BDF82F3" w:rsidR="0018686D" w:rsidRDefault="0018686D">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82111090" w:history="1">
            <w:r w:rsidRPr="00ED0FFA">
              <w:rPr>
                <w:rStyle w:val="Hyperlink"/>
                <w:noProof/>
              </w:rPr>
              <w:t>4.5 Impact of Political Instability, Environmental Changes, and Demographic Shifts on Population Movements</w:t>
            </w:r>
            <w:r>
              <w:rPr>
                <w:noProof/>
                <w:webHidden/>
              </w:rPr>
              <w:tab/>
            </w:r>
            <w:r>
              <w:rPr>
                <w:noProof/>
                <w:webHidden/>
              </w:rPr>
              <w:fldChar w:fldCharType="begin"/>
            </w:r>
            <w:r>
              <w:rPr>
                <w:noProof/>
                <w:webHidden/>
              </w:rPr>
              <w:instrText xml:space="preserve"> PAGEREF _Toc182111090 \h </w:instrText>
            </w:r>
            <w:r>
              <w:rPr>
                <w:noProof/>
                <w:webHidden/>
              </w:rPr>
            </w:r>
            <w:r>
              <w:rPr>
                <w:noProof/>
                <w:webHidden/>
              </w:rPr>
              <w:fldChar w:fldCharType="separate"/>
            </w:r>
            <w:r>
              <w:rPr>
                <w:noProof/>
                <w:webHidden/>
              </w:rPr>
              <w:t>74</w:t>
            </w:r>
            <w:r>
              <w:rPr>
                <w:noProof/>
                <w:webHidden/>
              </w:rPr>
              <w:fldChar w:fldCharType="end"/>
            </w:r>
          </w:hyperlink>
        </w:p>
        <w:p w14:paraId="22C94CC2" w14:textId="4C8957D9" w:rsidR="0018686D" w:rsidRDefault="0018686D">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182111091" w:history="1">
            <w:r w:rsidRPr="00ED0FFA">
              <w:rPr>
                <w:rStyle w:val="Hyperlink"/>
                <w:noProof/>
              </w:rPr>
              <w:t>Political Instability and Migration</w:t>
            </w:r>
            <w:r>
              <w:rPr>
                <w:noProof/>
                <w:webHidden/>
              </w:rPr>
              <w:tab/>
            </w:r>
            <w:r>
              <w:rPr>
                <w:noProof/>
                <w:webHidden/>
              </w:rPr>
              <w:fldChar w:fldCharType="begin"/>
            </w:r>
            <w:r>
              <w:rPr>
                <w:noProof/>
                <w:webHidden/>
              </w:rPr>
              <w:instrText xml:space="preserve"> PAGEREF _Toc182111091 \h </w:instrText>
            </w:r>
            <w:r>
              <w:rPr>
                <w:noProof/>
                <w:webHidden/>
              </w:rPr>
            </w:r>
            <w:r>
              <w:rPr>
                <w:noProof/>
                <w:webHidden/>
              </w:rPr>
              <w:fldChar w:fldCharType="separate"/>
            </w:r>
            <w:r>
              <w:rPr>
                <w:noProof/>
                <w:webHidden/>
              </w:rPr>
              <w:t>74</w:t>
            </w:r>
            <w:r>
              <w:rPr>
                <w:noProof/>
                <w:webHidden/>
              </w:rPr>
              <w:fldChar w:fldCharType="end"/>
            </w:r>
          </w:hyperlink>
        </w:p>
        <w:p w14:paraId="1F926C5F" w14:textId="71A458FE" w:rsidR="0018686D" w:rsidRDefault="0018686D">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182111092" w:history="1">
            <w:r w:rsidRPr="00ED0FFA">
              <w:rPr>
                <w:rStyle w:val="Hyperlink"/>
                <w:noProof/>
              </w:rPr>
              <w:t>Environmental Changes and Agricultural Decline</w:t>
            </w:r>
            <w:r>
              <w:rPr>
                <w:noProof/>
                <w:webHidden/>
              </w:rPr>
              <w:tab/>
            </w:r>
            <w:r>
              <w:rPr>
                <w:noProof/>
                <w:webHidden/>
              </w:rPr>
              <w:fldChar w:fldCharType="begin"/>
            </w:r>
            <w:r>
              <w:rPr>
                <w:noProof/>
                <w:webHidden/>
              </w:rPr>
              <w:instrText xml:space="preserve"> PAGEREF _Toc182111092 \h </w:instrText>
            </w:r>
            <w:r>
              <w:rPr>
                <w:noProof/>
                <w:webHidden/>
              </w:rPr>
            </w:r>
            <w:r>
              <w:rPr>
                <w:noProof/>
                <w:webHidden/>
              </w:rPr>
              <w:fldChar w:fldCharType="separate"/>
            </w:r>
            <w:r>
              <w:rPr>
                <w:noProof/>
                <w:webHidden/>
              </w:rPr>
              <w:t>75</w:t>
            </w:r>
            <w:r>
              <w:rPr>
                <w:noProof/>
                <w:webHidden/>
              </w:rPr>
              <w:fldChar w:fldCharType="end"/>
            </w:r>
          </w:hyperlink>
        </w:p>
        <w:p w14:paraId="4F542D56" w14:textId="3488B9EC" w:rsidR="0018686D" w:rsidRDefault="0018686D">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182111093" w:history="1">
            <w:r w:rsidRPr="00ED0FFA">
              <w:rPr>
                <w:rStyle w:val="Hyperlink"/>
                <w:noProof/>
              </w:rPr>
              <w:t>Epidemics and Public Health</w:t>
            </w:r>
            <w:r>
              <w:rPr>
                <w:noProof/>
                <w:webHidden/>
              </w:rPr>
              <w:tab/>
            </w:r>
            <w:r>
              <w:rPr>
                <w:noProof/>
                <w:webHidden/>
              </w:rPr>
              <w:fldChar w:fldCharType="begin"/>
            </w:r>
            <w:r>
              <w:rPr>
                <w:noProof/>
                <w:webHidden/>
              </w:rPr>
              <w:instrText xml:space="preserve"> PAGEREF _Toc182111093 \h </w:instrText>
            </w:r>
            <w:r>
              <w:rPr>
                <w:noProof/>
                <w:webHidden/>
              </w:rPr>
            </w:r>
            <w:r>
              <w:rPr>
                <w:noProof/>
                <w:webHidden/>
              </w:rPr>
              <w:fldChar w:fldCharType="separate"/>
            </w:r>
            <w:r>
              <w:rPr>
                <w:noProof/>
                <w:webHidden/>
              </w:rPr>
              <w:t>75</w:t>
            </w:r>
            <w:r>
              <w:rPr>
                <w:noProof/>
                <w:webHidden/>
              </w:rPr>
              <w:fldChar w:fldCharType="end"/>
            </w:r>
          </w:hyperlink>
        </w:p>
        <w:p w14:paraId="6B5C1840" w14:textId="3CEE0690" w:rsidR="0018686D" w:rsidRDefault="0018686D">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182111094" w:history="1">
            <w:r w:rsidRPr="00ED0FFA">
              <w:rPr>
                <w:rStyle w:val="Hyperlink"/>
                <w:noProof/>
              </w:rPr>
              <w:t>Socio-Economic Adaptations</w:t>
            </w:r>
            <w:r>
              <w:rPr>
                <w:noProof/>
                <w:webHidden/>
              </w:rPr>
              <w:tab/>
            </w:r>
            <w:r>
              <w:rPr>
                <w:noProof/>
                <w:webHidden/>
              </w:rPr>
              <w:fldChar w:fldCharType="begin"/>
            </w:r>
            <w:r>
              <w:rPr>
                <w:noProof/>
                <w:webHidden/>
              </w:rPr>
              <w:instrText xml:space="preserve"> PAGEREF _Toc182111094 \h </w:instrText>
            </w:r>
            <w:r>
              <w:rPr>
                <w:noProof/>
                <w:webHidden/>
              </w:rPr>
            </w:r>
            <w:r>
              <w:rPr>
                <w:noProof/>
                <w:webHidden/>
              </w:rPr>
              <w:fldChar w:fldCharType="separate"/>
            </w:r>
            <w:r>
              <w:rPr>
                <w:noProof/>
                <w:webHidden/>
              </w:rPr>
              <w:t>76</w:t>
            </w:r>
            <w:r>
              <w:rPr>
                <w:noProof/>
                <w:webHidden/>
              </w:rPr>
              <w:fldChar w:fldCharType="end"/>
            </w:r>
          </w:hyperlink>
        </w:p>
        <w:p w14:paraId="471B518D" w14:textId="7D24ADD9" w:rsidR="0018686D" w:rsidRDefault="0018686D">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182111095" w:history="1">
            <w:r w:rsidRPr="00ED0FFA">
              <w:rPr>
                <w:rStyle w:val="Hyperlink"/>
                <w:noProof/>
              </w:rPr>
              <w:t>Regional Variability in Population Movements</w:t>
            </w:r>
            <w:r>
              <w:rPr>
                <w:noProof/>
                <w:webHidden/>
              </w:rPr>
              <w:tab/>
            </w:r>
            <w:r>
              <w:rPr>
                <w:noProof/>
                <w:webHidden/>
              </w:rPr>
              <w:fldChar w:fldCharType="begin"/>
            </w:r>
            <w:r>
              <w:rPr>
                <w:noProof/>
                <w:webHidden/>
              </w:rPr>
              <w:instrText xml:space="preserve"> PAGEREF _Toc182111095 \h </w:instrText>
            </w:r>
            <w:r>
              <w:rPr>
                <w:noProof/>
                <w:webHidden/>
              </w:rPr>
            </w:r>
            <w:r>
              <w:rPr>
                <w:noProof/>
                <w:webHidden/>
              </w:rPr>
              <w:fldChar w:fldCharType="separate"/>
            </w:r>
            <w:r>
              <w:rPr>
                <w:noProof/>
                <w:webHidden/>
              </w:rPr>
              <w:t>76</w:t>
            </w:r>
            <w:r>
              <w:rPr>
                <w:noProof/>
                <w:webHidden/>
              </w:rPr>
              <w:fldChar w:fldCharType="end"/>
            </w:r>
          </w:hyperlink>
        </w:p>
        <w:p w14:paraId="7E146343" w14:textId="25313A92" w:rsidR="0018686D" w:rsidRDefault="0018686D">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182111096" w:history="1">
            <w:r w:rsidRPr="00ED0FFA">
              <w:rPr>
                <w:rStyle w:val="Hyperlink"/>
                <w:noProof/>
              </w:rPr>
              <w:t>Conclusion</w:t>
            </w:r>
            <w:r>
              <w:rPr>
                <w:noProof/>
                <w:webHidden/>
              </w:rPr>
              <w:tab/>
            </w:r>
            <w:r>
              <w:rPr>
                <w:noProof/>
                <w:webHidden/>
              </w:rPr>
              <w:fldChar w:fldCharType="begin"/>
            </w:r>
            <w:r>
              <w:rPr>
                <w:noProof/>
                <w:webHidden/>
              </w:rPr>
              <w:instrText xml:space="preserve"> PAGEREF _Toc182111096 \h </w:instrText>
            </w:r>
            <w:r>
              <w:rPr>
                <w:noProof/>
                <w:webHidden/>
              </w:rPr>
            </w:r>
            <w:r>
              <w:rPr>
                <w:noProof/>
                <w:webHidden/>
              </w:rPr>
              <w:fldChar w:fldCharType="separate"/>
            </w:r>
            <w:r>
              <w:rPr>
                <w:noProof/>
                <w:webHidden/>
              </w:rPr>
              <w:t>77</w:t>
            </w:r>
            <w:r>
              <w:rPr>
                <w:noProof/>
                <w:webHidden/>
              </w:rPr>
              <w:fldChar w:fldCharType="end"/>
            </w:r>
          </w:hyperlink>
        </w:p>
        <w:p w14:paraId="6F3107C2" w14:textId="0144B8BD" w:rsidR="0018686D" w:rsidRDefault="0018686D">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182111097" w:history="1">
            <w:r w:rsidRPr="00ED0FFA">
              <w:rPr>
                <w:rStyle w:val="Hyperlink"/>
                <w:noProof/>
              </w:rPr>
              <w:t>Chapter 5 – Conclusion</w:t>
            </w:r>
            <w:r>
              <w:rPr>
                <w:noProof/>
                <w:webHidden/>
              </w:rPr>
              <w:tab/>
            </w:r>
            <w:r>
              <w:rPr>
                <w:noProof/>
                <w:webHidden/>
              </w:rPr>
              <w:fldChar w:fldCharType="begin"/>
            </w:r>
            <w:r>
              <w:rPr>
                <w:noProof/>
                <w:webHidden/>
              </w:rPr>
              <w:instrText xml:space="preserve"> PAGEREF _Toc182111097 \h </w:instrText>
            </w:r>
            <w:r>
              <w:rPr>
                <w:noProof/>
                <w:webHidden/>
              </w:rPr>
            </w:r>
            <w:r>
              <w:rPr>
                <w:noProof/>
                <w:webHidden/>
              </w:rPr>
              <w:fldChar w:fldCharType="separate"/>
            </w:r>
            <w:r>
              <w:rPr>
                <w:noProof/>
                <w:webHidden/>
              </w:rPr>
              <w:t>78</w:t>
            </w:r>
            <w:r>
              <w:rPr>
                <w:noProof/>
                <w:webHidden/>
              </w:rPr>
              <w:fldChar w:fldCharType="end"/>
            </w:r>
          </w:hyperlink>
        </w:p>
        <w:p w14:paraId="47039895" w14:textId="0D95B834" w:rsidR="0018686D" w:rsidRDefault="0018686D">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82111098" w:history="1">
            <w:r w:rsidRPr="00ED0FFA">
              <w:rPr>
                <w:rStyle w:val="Hyperlink"/>
                <w:noProof/>
              </w:rPr>
              <w:t>5.1 Overview of Key Discoveries</w:t>
            </w:r>
            <w:r>
              <w:rPr>
                <w:noProof/>
                <w:webHidden/>
              </w:rPr>
              <w:tab/>
            </w:r>
            <w:r>
              <w:rPr>
                <w:noProof/>
                <w:webHidden/>
              </w:rPr>
              <w:fldChar w:fldCharType="begin"/>
            </w:r>
            <w:r>
              <w:rPr>
                <w:noProof/>
                <w:webHidden/>
              </w:rPr>
              <w:instrText xml:space="preserve"> PAGEREF _Toc182111098 \h </w:instrText>
            </w:r>
            <w:r>
              <w:rPr>
                <w:noProof/>
                <w:webHidden/>
              </w:rPr>
            </w:r>
            <w:r>
              <w:rPr>
                <w:noProof/>
                <w:webHidden/>
              </w:rPr>
              <w:fldChar w:fldCharType="separate"/>
            </w:r>
            <w:r>
              <w:rPr>
                <w:noProof/>
                <w:webHidden/>
              </w:rPr>
              <w:t>79</w:t>
            </w:r>
            <w:r>
              <w:rPr>
                <w:noProof/>
                <w:webHidden/>
              </w:rPr>
              <w:fldChar w:fldCharType="end"/>
            </w:r>
          </w:hyperlink>
        </w:p>
        <w:p w14:paraId="700176C0" w14:textId="342BF836" w:rsidR="0018686D" w:rsidRDefault="0018686D">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182111099" w:history="1">
            <w:r w:rsidRPr="00ED0FFA">
              <w:rPr>
                <w:rStyle w:val="Hyperlink"/>
                <w:noProof/>
              </w:rPr>
              <w:t>Demographic Shifts</w:t>
            </w:r>
            <w:r>
              <w:rPr>
                <w:noProof/>
                <w:webHidden/>
              </w:rPr>
              <w:tab/>
            </w:r>
            <w:r>
              <w:rPr>
                <w:noProof/>
                <w:webHidden/>
              </w:rPr>
              <w:fldChar w:fldCharType="begin"/>
            </w:r>
            <w:r>
              <w:rPr>
                <w:noProof/>
                <w:webHidden/>
              </w:rPr>
              <w:instrText xml:space="preserve"> PAGEREF _Toc182111099 \h </w:instrText>
            </w:r>
            <w:r>
              <w:rPr>
                <w:noProof/>
                <w:webHidden/>
              </w:rPr>
            </w:r>
            <w:r>
              <w:rPr>
                <w:noProof/>
                <w:webHidden/>
              </w:rPr>
              <w:fldChar w:fldCharType="separate"/>
            </w:r>
            <w:r>
              <w:rPr>
                <w:noProof/>
                <w:webHidden/>
              </w:rPr>
              <w:t>79</w:t>
            </w:r>
            <w:r>
              <w:rPr>
                <w:noProof/>
                <w:webHidden/>
              </w:rPr>
              <w:fldChar w:fldCharType="end"/>
            </w:r>
          </w:hyperlink>
        </w:p>
        <w:p w14:paraId="03358FCD" w14:textId="47D3B33A" w:rsidR="0018686D" w:rsidRDefault="0018686D">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182111100" w:history="1">
            <w:r w:rsidRPr="00ED0FFA">
              <w:rPr>
                <w:rStyle w:val="Hyperlink"/>
                <w:noProof/>
              </w:rPr>
              <w:t>Socio-Economic Disparities</w:t>
            </w:r>
            <w:r>
              <w:rPr>
                <w:noProof/>
                <w:webHidden/>
              </w:rPr>
              <w:tab/>
            </w:r>
            <w:r>
              <w:rPr>
                <w:noProof/>
                <w:webHidden/>
              </w:rPr>
              <w:fldChar w:fldCharType="begin"/>
            </w:r>
            <w:r>
              <w:rPr>
                <w:noProof/>
                <w:webHidden/>
              </w:rPr>
              <w:instrText xml:space="preserve"> PAGEREF _Toc182111100 \h </w:instrText>
            </w:r>
            <w:r>
              <w:rPr>
                <w:noProof/>
                <w:webHidden/>
              </w:rPr>
            </w:r>
            <w:r>
              <w:rPr>
                <w:noProof/>
                <w:webHidden/>
              </w:rPr>
              <w:fldChar w:fldCharType="separate"/>
            </w:r>
            <w:r>
              <w:rPr>
                <w:noProof/>
                <w:webHidden/>
              </w:rPr>
              <w:t>79</w:t>
            </w:r>
            <w:r>
              <w:rPr>
                <w:noProof/>
                <w:webHidden/>
              </w:rPr>
              <w:fldChar w:fldCharType="end"/>
            </w:r>
          </w:hyperlink>
        </w:p>
        <w:p w14:paraId="38DA5C40" w14:textId="622E812B" w:rsidR="0018686D" w:rsidRDefault="0018686D">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182111101" w:history="1">
            <w:r w:rsidRPr="00ED0FFA">
              <w:rPr>
                <w:rStyle w:val="Hyperlink"/>
                <w:noProof/>
              </w:rPr>
              <w:t>Labour Practices and Social Class Dynamics</w:t>
            </w:r>
            <w:r>
              <w:rPr>
                <w:noProof/>
                <w:webHidden/>
              </w:rPr>
              <w:tab/>
            </w:r>
            <w:r>
              <w:rPr>
                <w:noProof/>
                <w:webHidden/>
              </w:rPr>
              <w:fldChar w:fldCharType="begin"/>
            </w:r>
            <w:r>
              <w:rPr>
                <w:noProof/>
                <w:webHidden/>
              </w:rPr>
              <w:instrText xml:space="preserve"> PAGEREF _Toc182111101 \h </w:instrText>
            </w:r>
            <w:r>
              <w:rPr>
                <w:noProof/>
                <w:webHidden/>
              </w:rPr>
            </w:r>
            <w:r>
              <w:rPr>
                <w:noProof/>
                <w:webHidden/>
              </w:rPr>
              <w:fldChar w:fldCharType="separate"/>
            </w:r>
            <w:r>
              <w:rPr>
                <w:noProof/>
                <w:webHidden/>
              </w:rPr>
              <w:t>80</w:t>
            </w:r>
            <w:r>
              <w:rPr>
                <w:noProof/>
                <w:webHidden/>
              </w:rPr>
              <w:fldChar w:fldCharType="end"/>
            </w:r>
          </w:hyperlink>
        </w:p>
        <w:p w14:paraId="2C11E69C" w14:textId="72739F32" w:rsidR="0018686D" w:rsidRDefault="0018686D">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182111102" w:history="1">
            <w:r w:rsidRPr="00ED0FFA">
              <w:rPr>
                <w:rStyle w:val="Hyperlink"/>
                <w:noProof/>
              </w:rPr>
              <w:t>Political Instability and Governance Challenges</w:t>
            </w:r>
            <w:r>
              <w:rPr>
                <w:noProof/>
                <w:webHidden/>
              </w:rPr>
              <w:tab/>
            </w:r>
            <w:r>
              <w:rPr>
                <w:noProof/>
                <w:webHidden/>
              </w:rPr>
              <w:fldChar w:fldCharType="begin"/>
            </w:r>
            <w:r>
              <w:rPr>
                <w:noProof/>
                <w:webHidden/>
              </w:rPr>
              <w:instrText xml:space="preserve"> PAGEREF _Toc182111102 \h </w:instrText>
            </w:r>
            <w:r>
              <w:rPr>
                <w:noProof/>
                <w:webHidden/>
              </w:rPr>
            </w:r>
            <w:r>
              <w:rPr>
                <w:noProof/>
                <w:webHidden/>
              </w:rPr>
              <w:fldChar w:fldCharType="separate"/>
            </w:r>
            <w:r>
              <w:rPr>
                <w:noProof/>
                <w:webHidden/>
              </w:rPr>
              <w:t>80</w:t>
            </w:r>
            <w:r>
              <w:rPr>
                <w:noProof/>
                <w:webHidden/>
              </w:rPr>
              <w:fldChar w:fldCharType="end"/>
            </w:r>
          </w:hyperlink>
        </w:p>
        <w:p w14:paraId="45C8B39B" w14:textId="4A892EDC" w:rsidR="0018686D" w:rsidRDefault="0018686D">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182111103" w:history="1">
            <w:r w:rsidRPr="00ED0FFA">
              <w:rPr>
                <w:rStyle w:val="Hyperlink"/>
                <w:noProof/>
              </w:rPr>
              <w:t>Environmental Challenges and Agricultural Decline</w:t>
            </w:r>
            <w:r>
              <w:rPr>
                <w:noProof/>
                <w:webHidden/>
              </w:rPr>
              <w:tab/>
            </w:r>
            <w:r>
              <w:rPr>
                <w:noProof/>
                <w:webHidden/>
              </w:rPr>
              <w:fldChar w:fldCharType="begin"/>
            </w:r>
            <w:r>
              <w:rPr>
                <w:noProof/>
                <w:webHidden/>
              </w:rPr>
              <w:instrText xml:space="preserve"> PAGEREF _Toc182111103 \h </w:instrText>
            </w:r>
            <w:r>
              <w:rPr>
                <w:noProof/>
                <w:webHidden/>
              </w:rPr>
            </w:r>
            <w:r>
              <w:rPr>
                <w:noProof/>
                <w:webHidden/>
              </w:rPr>
              <w:fldChar w:fldCharType="separate"/>
            </w:r>
            <w:r>
              <w:rPr>
                <w:noProof/>
                <w:webHidden/>
              </w:rPr>
              <w:t>81</w:t>
            </w:r>
            <w:r>
              <w:rPr>
                <w:noProof/>
                <w:webHidden/>
              </w:rPr>
              <w:fldChar w:fldCharType="end"/>
            </w:r>
          </w:hyperlink>
        </w:p>
        <w:p w14:paraId="3F9F1F58" w14:textId="19563586" w:rsidR="0018686D" w:rsidRDefault="0018686D">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182111104" w:history="1">
            <w:r w:rsidRPr="00ED0FFA">
              <w:rPr>
                <w:rStyle w:val="Hyperlink"/>
                <w:noProof/>
              </w:rPr>
              <w:t>Synthesis of Key Factors</w:t>
            </w:r>
            <w:r>
              <w:rPr>
                <w:noProof/>
                <w:webHidden/>
              </w:rPr>
              <w:tab/>
            </w:r>
            <w:r>
              <w:rPr>
                <w:noProof/>
                <w:webHidden/>
              </w:rPr>
              <w:fldChar w:fldCharType="begin"/>
            </w:r>
            <w:r>
              <w:rPr>
                <w:noProof/>
                <w:webHidden/>
              </w:rPr>
              <w:instrText xml:space="preserve"> PAGEREF _Toc182111104 \h </w:instrText>
            </w:r>
            <w:r>
              <w:rPr>
                <w:noProof/>
                <w:webHidden/>
              </w:rPr>
            </w:r>
            <w:r>
              <w:rPr>
                <w:noProof/>
                <w:webHidden/>
              </w:rPr>
              <w:fldChar w:fldCharType="separate"/>
            </w:r>
            <w:r>
              <w:rPr>
                <w:noProof/>
                <w:webHidden/>
              </w:rPr>
              <w:t>81</w:t>
            </w:r>
            <w:r>
              <w:rPr>
                <w:noProof/>
                <w:webHidden/>
              </w:rPr>
              <w:fldChar w:fldCharType="end"/>
            </w:r>
          </w:hyperlink>
        </w:p>
        <w:p w14:paraId="56824B3C" w14:textId="55CD17E4" w:rsidR="0018686D" w:rsidRDefault="0018686D">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82111105" w:history="1">
            <w:r w:rsidRPr="00ED0FFA">
              <w:rPr>
                <w:rStyle w:val="Hyperlink"/>
                <w:noProof/>
              </w:rPr>
              <w:t>5.2 Contributions to the Field</w:t>
            </w:r>
            <w:r>
              <w:rPr>
                <w:noProof/>
                <w:webHidden/>
              </w:rPr>
              <w:tab/>
            </w:r>
            <w:r>
              <w:rPr>
                <w:noProof/>
                <w:webHidden/>
              </w:rPr>
              <w:fldChar w:fldCharType="begin"/>
            </w:r>
            <w:r>
              <w:rPr>
                <w:noProof/>
                <w:webHidden/>
              </w:rPr>
              <w:instrText xml:space="preserve"> PAGEREF _Toc182111105 \h </w:instrText>
            </w:r>
            <w:r>
              <w:rPr>
                <w:noProof/>
                <w:webHidden/>
              </w:rPr>
            </w:r>
            <w:r>
              <w:rPr>
                <w:noProof/>
                <w:webHidden/>
              </w:rPr>
              <w:fldChar w:fldCharType="separate"/>
            </w:r>
            <w:r>
              <w:rPr>
                <w:noProof/>
                <w:webHidden/>
              </w:rPr>
              <w:t>81</w:t>
            </w:r>
            <w:r>
              <w:rPr>
                <w:noProof/>
                <w:webHidden/>
              </w:rPr>
              <w:fldChar w:fldCharType="end"/>
            </w:r>
          </w:hyperlink>
        </w:p>
        <w:p w14:paraId="5F8D1596" w14:textId="12BFE923" w:rsidR="0018686D" w:rsidRDefault="0018686D">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82111106" w:history="1">
            <w:r w:rsidRPr="00ED0FFA">
              <w:rPr>
                <w:rStyle w:val="Hyperlink"/>
                <w:noProof/>
              </w:rPr>
              <w:t>5.3 Insights into the Roman Empire’s Transformation</w:t>
            </w:r>
            <w:r>
              <w:rPr>
                <w:noProof/>
                <w:webHidden/>
              </w:rPr>
              <w:tab/>
            </w:r>
            <w:r>
              <w:rPr>
                <w:noProof/>
                <w:webHidden/>
              </w:rPr>
              <w:fldChar w:fldCharType="begin"/>
            </w:r>
            <w:r>
              <w:rPr>
                <w:noProof/>
                <w:webHidden/>
              </w:rPr>
              <w:instrText xml:space="preserve"> PAGEREF _Toc182111106 \h </w:instrText>
            </w:r>
            <w:r>
              <w:rPr>
                <w:noProof/>
                <w:webHidden/>
              </w:rPr>
            </w:r>
            <w:r>
              <w:rPr>
                <w:noProof/>
                <w:webHidden/>
              </w:rPr>
              <w:fldChar w:fldCharType="separate"/>
            </w:r>
            <w:r>
              <w:rPr>
                <w:noProof/>
                <w:webHidden/>
              </w:rPr>
              <w:t>84</w:t>
            </w:r>
            <w:r>
              <w:rPr>
                <w:noProof/>
                <w:webHidden/>
              </w:rPr>
              <w:fldChar w:fldCharType="end"/>
            </w:r>
          </w:hyperlink>
        </w:p>
        <w:p w14:paraId="4281FEB3" w14:textId="1D421A51" w:rsidR="0018686D" w:rsidRDefault="0018686D">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182111107" w:history="1">
            <w:r w:rsidRPr="00ED0FFA">
              <w:rPr>
                <w:rStyle w:val="Hyperlink"/>
                <w:noProof/>
              </w:rPr>
              <w:t>Demographic Shifts and Cultural Evolution</w:t>
            </w:r>
            <w:r>
              <w:rPr>
                <w:noProof/>
                <w:webHidden/>
              </w:rPr>
              <w:tab/>
            </w:r>
            <w:r>
              <w:rPr>
                <w:noProof/>
                <w:webHidden/>
              </w:rPr>
              <w:fldChar w:fldCharType="begin"/>
            </w:r>
            <w:r>
              <w:rPr>
                <w:noProof/>
                <w:webHidden/>
              </w:rPr>
              <w:instrText xml:space="preserve"> PAGEREF _Toc182111107 \h </w:instrText>
            </w:r>
            <w:r>
              <w:rPr>
                <w:noProof/>
                <w:webHidden/>
              </w:rPr>
            </w:r>
            <w:r>
              <w:rPr>
                <w:noProof/>
                <w:webHidden/>
              </w:rPr>
              <w:fldChar w:fldCharType="separate"/>
            </w:r>
            <w:r>
              <w:rPr>
                <w:noProof/>
                <w:webHidden/>
              </w:rPr>
              <w:t>86</w:t>
            </w:r>
            <w:r>
              <w:rPr>
                <w:noProof/>
                <w:webHidden/>
              </w:rPr>
              <w:fldChar w:fldCharType="end"/>
            </w:r>
          </w:hyperlink>
        </w:p>
        <w:p w14:paraId="1014DF63" w14:textId="6ECC36F7" w:rsidR="0018686D" w:rsidRDefault="0018686D">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182111108" w:history="1">
            <w:r w:rsidRPr="00ED0FFA">
              <w:rPr>
                <w:rStyle w:val="Hyperlink"/>
                <w:noProof/>
              </w:rPr>
              <w:t>A Reassessment of Decline</w:t>
            </w:r>
            <w:r>
              <w:rPr>
                <w:noProof/>
                <w:webHidden/>
              </w:rPr>
              <w:tab/>
            </w:r>
            <w:r>
              <w:rPr>
                <w:noProof/>
                <w:webHidden/>
              </w:rPr>
              <w:fldChar w:fldCharType="begin"/>
            </w:r>
            <w:r>
              <w:rPr>
                <w:noProof/>
                <w:webHidden/>
              </w:rPr>
              <w:instrText xml:space="preserve"> PAGEREF _Toc182111108 \h </w:instrText>
            </w:r>
            <w:r>
              <w:rPr>
                <w:noProof/>
                <w:webHidden/>
              </w:rPr>
            </w:r>
            <w:r>
              <w:rPr>
                <w:noProof/>
                <w:webHidden/>
              </w:rPr>
              <w:fldChar w:fldCharType="separate"/>
            </w:r>
            <w:r>
              <w:rPr>
                <w:noProof/>
                <w:webHidden/>
              </w:rPr>
              <w:t>87</w:t>
            </w:r>
            <w:r>
              <w:rPr>
                <w:noProof/>
                <w:webHidden/>
              </w:rPr>
              <w:fldChar w:fldCharType="end"/>
            </w:r>
          </w:hyperlink>
        </w:p>
        <w:p w14:paraId="0BCAA1F3" w14:textId="115567CF" w:rsidR="0018686D" w:rsidRDefault="0018686D">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82111109" w:history="1">
            <w:r w:rsidRPr="00ED0FFA">
              <w:rPr>
                <w:rStyle w:val="Hyperlink"/>
                <w:noProof/>
              </w:rPr>
              <w:t>5.4 Limitations and Recommendations for Future Research</w:t>
            </w:r>
            <w:r>
              <w:rPr>
                <w:noProof/>
                <w:webHidden/>
              </w:rPr>
              <w:tab/>
            </w:r>
            <w:r>
              <w:rPr>
                <w:noProof/>
                <w:webHidden/>
              </w:rPr>
              <w:fldChar w:fldCharType="begin"/>
            </w:r>
            <w:r>
              <w:rPr>
                <w:noProof/>
                <w:webHidden/>
              </w:rPr>
              <w:instrText xml:space="preserve"> PAGEREF _Toc182111109 \h </w:instrText>
            </w:r>
            <w:r>
              <w:rPr>
                <w:noProof/>
                <w:webHidden/>
              </w:rPr>
            </w:r>
            <w:r>
              <w:rPr>
                <w:noProof/>
                <w:webHidden/>
              </w:rPr>
              <w:fldChar w:fldCharType="separate"/>
            </w:r>
            <w:r>
              <w:rPr>
                <w:noProof/>
                <w:webHidden/>
              </w:rPr>
              <w:t>87</w:t>
            </w:r>
            <w:r>
              <w:rPr>
                <w:noProof/>
                <w:webHidden/>
              </w:rPr>
              <w:fldChar w:fldCharType="end"/>
            </w:r>
          </w:hyperlink>
        </w:p>
        <w:p w14:paraId="77B3979A" w14:textId="1FED6938" w:rsidR="0018686D" w:rsidRDefault="0018686D">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182111110" w:history="1">
            <w:r w:rsidRPr="00ED0FFA">
              <w:rPr>
                <w:rStyle w:val="Hyperlink"/>
                <w:noProof/>
              </w:rPr>
              <w:t>Challenges of Historical Reconstruction</w:t>
            </w:r>
            <w:r>
              <w:rPr>
                <w:noProof/>
                <w:webHidden/>
              </w:rPr>
              <w:tab/>
            </w:r>
            <w:r>
              <w:rPr>
                <w:noProof/>
                <w:webHidden/>
              </w:rPr>
              <w:fldChar w:fldCharType="begin"/>
            </w:r>
            <w:r>
              <w:rPr>
                <w:noProof/>
                <w:webHidden/>
              </w:rPr>
              <w:instrText xml:space="preserve"> PAGEREF _Toc182111110 \h </w:instrText>
            </w:r>
            <w:r>
              <w:rPr>
                <w:noProof/>
                <w:webHidden/>
              </w:rPr>
            </w:r>
            <w:r>
              <w:rPr>
                <w:noProof/>
                <w:webHidden/>
              </w:rPr>
              <w:fldChar w:fldCharType="separate"/>
            </w:r>
            <w:r>
              <w:rPr>
                <w:noProof/>
                <w:webHidden/>
              </w:rPr>
              <w:t>87</w:t>
            </w:r>
            <w:r>
              <w:rPr>
                <w:noProof/>
                <w:webHidden/>
              </w:rPr>
              <w:fldChar w:fldCharType="end"/>
            </w:r>
          </w:hyperlink>
        </w:p>
        <w:p w14:paraId="3FCBF538" w14:textId="0C63B71D" w:rsidR="0018686D" w:rsidRDefault="0018686D">
          <w:pPr>
            <w:pStyle w:val="TOC3"/>
            <w:tabs>
              <w:tab w:val="right" w:leader="dot" w:pos="9016"/>
            </w:tabs>
            <w:rPr>
              <w:rFonts w:asciiTheme="minorHAnsi" w:eastAsiaTheme="minorEastAsia" w:hAnsiTheme="minorHAnsi" w:cstheme="minorBidi"/>
              <w:noProof/>
              <w:kern w:val="2"/>
              <w:lang w:eastAsia="en-GB"/>
              <w14:ligatures w14:val="standardContextual"/>
            </w:rPr>
          </w:pPr>
          <w:hyperlink w:anchor="_Toc182111111" w:history="1">
            <w:r w:rsidRPr="00ED0FFA">
              <w:rPr>
                <w:rStyle w:val="Hyperlink"/>
                <w:noProof/>
              </w:rPr>
              <w:t>Future Research Directions</w:t>
            </w:r>
            <w:r>
              <w:rPr>
                <w:noProof/>
                <w:webHidden/>
              </w:rPr>
              <w:tab/>
            </w:r>
            <w:r>
              <w:rPr>
                <w:noProof/>
                <w:webHidden/>
              </w:rPr>
              <w:fldChar w:fldCharType="begin"/>
            </w:r>
            <w:r>
              <w:rPr>
                <w:noProof/>
                <w:webHidden/>
              </w:rPr>
              <w:instrText xml:space="preserve"> PAGEREF _Toc182111111 \h </w:instrText>
            </w:r>
            <w:r>
              <w:rPr>
                <w:noProof/>
                <w:webHidden/>
              </w:rPr>
            </w:r>
            <w:r>
              <w:rPr>
                <w:noProof/>
                <w:webHidden/>
              </w:rPr>
              <w:fldChar w:fldCharType="separate"/>
            </w:r>
            <w:r>
              <w:rPr>
                <w:noProof/>
                <w:webHidden/>
              </w:rPr>
              <w:t>88</w:t>
            </w:r>
            <w:r>
              <w:rPr>
                <w:noProof/>
                <w:webHidden/>
              </w:rPr>
              <w:fldChar w:fldCharType="end"/>
            </w:r>
          </w:hyperlink>
        </w:p>
        <w:p w14:paraId="0E8B2C01" w14:textId="1944F4E9" w:rsidR="0018686D" w:rsidRDefault="0018686D">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82111112" w:history="1">
            <w:r w:rsidRPr="00ED0FFA">
              <w:rPr>
                <w:rStyle w:val="Hyperlink"/>
                <w:noProof/>
              </w:rPr>
              <w:t>5.5 Final Remarks</w:t>
            </w:r>
            <w:r>
              <w:rPr>
                <w:noProof/>
                <w:webHidden/>
              </w:rPr>
              <w:tab/>
            </w:r>
            <w:r>
              <w:rPr>
                <w:noProof/>
                <w:webHidden/>
              </w:rPr>
              <w:fldChar w:fldCharType="begin"/>
            </w:r>
            <w:r>
              <w:rPr>
                <w:noProof/>
                <w:webHidden/>
              </w:rPr>
              <w:instrText xml:space="preserve"> PAGEREF _Toc182111112 \h </w:instrText>
            </w:r>
            <w:r>
              <w:rPr>
                <w:noProof/>
                <w:webHidden/>
              </w:rPr>
            </w:r>
            <w:r>
              <w:rPr>
                <w:noProof/>
                <w:webHidden/>
              </w:rPr>
              <w:fldChar w:fldCharType="separate"/>
            </w:r>
            <w:r>
              <w:rPr>
                <w:noProof/>
                <w:webHidden/>
              </w:rPr>
              <w:t>89</w:t>
            </w:r>
            <w:r>
              <w:rPr>
                <w:noProof/>
                <w:webHidden/>
              </w:rPr>
              <w:fldChar w:fldCharType="end"/>
            </w:r>
          </w:hyperlink>
        </w:p>
        <w:p w14:paraId="0C23E0DB" w14:textId="37C16387" w:rsidR="0018686D" w:rsidRDefault="0018686D">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182111113" w:history="1">
            <w:r w:rsidRPr="00ED0FFA">
              <w:rPr>
                <w:rStyle w:val="Hyperlink"/>
                <w:noProof/>
              </w:rPr>
              <w:t>Bibliography</w:t>
            </w:r>
            <w:r>
              <w:rPr>
                <w:noProof/>
                <w:webHidden/>
              </w:rPr>
              <w:tab/>
            </w:r>
            <w:r>
              <w:rPr>
                <w:noProof/>
                <w:webHidden/>
              </w:rPr>
              <w:fldChar w:fldCharType="begin"/>
            </w:r>
            <w:r>
              <w:rPr>
                <w:noProof/>
                <w:webHidden/>
              </w:rPr>
              <w:instrText xml:space="preserve"> PAGEREF _Toc182111113 \h </w:instrText>
            </w:r>
            <w:r>
              <w:rPr>
                <w:noProof/>
                <w:webHidden/>
              </w:rPr>
            </w:r>
            <w:r>
              <w:rPr>
                <w:noProof/>
                <w:webHidden/>
              </w:rPr>
              <w:fldChar w:fldCharType="separate"/>
            </w:r>
            <w:r>
              <w:rPr>
                <w:noProof/>
                <w:webHidden/>
              </w:rPr>
              <w:t>91</w:t>
            </w:r>
            <w:r>
              <w:rPr>
                <w:noProof/>
                <w:webHidden/>
              </w:rPr>
              <w:fldChar w:fldCharType="end"/>
            </w:r>
          </w:hyperlink>
        </w:p>
        <w:p w14:paraId="5775F7C4" w14:textId="35D2CCD4" w:rsidR="0018686D" w:rsidRDefault="0018686D">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82111114" w:history="1">
            <w:r w:rsidRPr="00ED0FFA">
              <w:rPr>
                <w:rStyle w:val="Hyperlink"/>
                <w:noProof/>
              </w:rPr>
              <w:t>Primary Sources</w:t>
            </w:r>
            <w:r>
              <w:rPr>
                <w:noProof/>
                <w:webHidden/>
              </w:rPr>
              <w:tab/>
            </w:r>
            <w:r>
              <w:rPr>
                <w:noProof/>
                <w:webHidden/>
              </w:rPr>
              <w:fldChar w:fldCharType="begin"/>
            </w:r>
            <w:r>
              <w:rPr>
                <w:noProof/>
                <w:webHidden/>
              </w:rPr>
              <w:instrText xml:space="preserve"> PAGEREF _Toc182111114 \h </w:instrText>
            </w:r>
            <w:r>
              <w:rPr>
                <w:noProof/>
                <w:webHidden/>
              </w:rPr>
            </w:r>
            <w:r>
              <w:rPr>
                <w:noProof/>
                <w:webHidden/>
              </w:rPr>
              <w:fldChar w:fldCharType="separate"/>
            </w:r>
            <w:r>
              <w:rPr>
                <w:noProof/>
                <w:webHidden/>
              </w:rPr>
              <w:t>94</w:t>
            </w:r>
            <w:r>
              <w:rPr>
                <w:noProof/>
                <w:webHidden/>
              </w:rPr>
              <w:fldChar w:fldCharType="end"/>
            </w:r>
          </w:hyperlink>
        </w:p>
        <w:p w14:paraId="63AEFB9C" w14:textId="0D5EBC5A" w:rsidR="0018686D" w:rsidRDefault="0018686D">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182111115" w:history="1">
            <w:r w:rsidRPr="00ED0FFA">
              <w:rPr>
                <w:rStyle w:val="Hyperlink"/>
                <w:noProof/>
              </w:rPr>
              <w:t>Appendix A</w:t>
            </w:r>
            <w:r>
              <w:rPr>
                <w:noProof/>
                <w:webHidden/>
              </w:rPr>
              <w:tab/>
            </w:r>
            <w:r>
              <w:rPr>
                <w:noProof/>
                <w:webHidden/>
              </w:rPr>
              <w:fldChar w:fldCharType="begin"/>
            </w:r>
            <w:r>
              <w:rPr>
                <w:noProof/>
                <w:webHidden/>
              </w:rPr>
              <w:instrText xml:space="preserve"> PAGEREF _Toc182111115 \h </w:instrText>
            </w:r>
            <w:r>
              <w:rPr>
                <w:noProof/>
                <w:webHidden/>
              </w:rPr>
            </w:r>
            <w:r>
              <w:rPr>
                <w:noProof/>
                <w:webHidden/>
              </w:rPr>
              <w:fldChar w:fldCharType="separate"/>
            </w:r>
            <w:r>
              <w:rPr>
                <w:noProof/>
                <w:webHidden/>
              </w:rPr>
              <w:t>95</w:t>
            </w:r>
            <w:r>
              <w:rPr>
                <w:noProof/>
                <w:webHidden/>
              </w:rPr>
              <w:fldChar w:fldCharType="end"/>
            </w:r>
          </w:hyperlink>
        </w:p>
        <w:p w14:paraId="4AF76E9B" w14:textId="1F39EF07" w:rsidR="0018686D" w:rsidRDefault="0018686D">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82111116" w:history="1">
            <w:r w:rsidRPr="00ED0FFA">
              <w:rPr>
                <w:rStyle w:val="Hyperlink"/>
                <w:noProof/>
              </w:rPr>
              <w:t>1. Political Centrality</w:t>
            </w:r>
            <w:r>
              <w:rPr>
                <w:noProof/>
                <w:webHidden/>
              </w:rPr>
              <w:tab/>
            </w:r>
            <w:r>
              <w:rPr>
                <w:noProof/>
                <w:webHidden/>
              </w:rPr>
              <w:fldChar w:fldCharType="begin"/>
            </w:r>
            <w:r>
              <w:rPr>
                <w:noProof/>
                <w:webHidden/>
              </w:rPr>
              <w:instrText xml:space="preserve"> PAGEREF _Toc182111116 \h </w:instrText>
            </w:r>
            <w:r>
              <w:rPr>
                <w:noProof/>
                <w:webHidden/>
              </w:rPr>
            </w:r>
            <w:r>
              <w:rPr>
                <w:noProof/>
                <w:webHidden/>
              </w:rPr>
              <w:fldChar w:fldCharType="separate"/>
            </w:r>
            <w:r>
              <w:rPr>
                <w:noProof/>
                <w:webHidden/>
              </w:rPr>
              <w:t>95</w:t>
            </w:r>
            <w:r>
              <w:rPr>
                <w:noProof/>
                <w:webHidden/>
              </w:rPr>
              <w:fldChar w:fldCharType="end"/>
            </w:r>
          </w:hyperlink>
        </w:p>
        <w:p w14:paraId="115B0F78" w14:textId="049325CE" w:rsidR="0018686D" w:rsidRDefault="0018686D">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82111117" w:history="1">
            <w:r w:rsidRPr="00ED0FFA">
              <w:rPr>
                <w:rStyle w:val="Hyperlink"/>
                <w:noProof/>
              </w:rPr>
              <w:t>2. Economic Opportunities</w:t>
            </w:r>
            <w:r>
              <w:rPr>
                <w:noProof/>
                <w:webHidden/>
              </w:rPr>
              <w:tab/>
            </w:r>
            <w:r>
              <w:rPr>
                <w:noProof/>
                <w:webHidden/>
              </w:rPr>
              <w:fldChar w:fldCharType="begin"/>
            </w:r>
            <w:r>
              <w:rPr>
                <w:noProof/>
                <w:webHidden/>
              </w:rPr>
              <w:instrText xml:space="preserve"> PAGEREF _Toc182111117 \h </w:instrText>
            </w:r>
            <w:r>
              <w:rPr>
                <w:noProof/>
                <w:webHidden/>
              </w:rPr>
            </w:r>
            <w:r>
              <w:rPr>
                <w:noProof/>
                <w:webHidden/>
              </w:rPr>
              <w:fldChar w:fldCharType="separate"/>
            </w:r>
            <w:r>
              <w:rPr>
                <w:noProof/>
                <w:webHidden/>
              </w:rPr>
              <w:t>95</w:t>
            </w:r>
            <w:r>
              <w:rPr>
                <w:noProof/>
                <w:webHidden/>
              </w:rPr>
              <w:fldChar w:fldCharType="end"/>
            </w:r>
          </w:hyperlink>
        </w:p>
        <w:p w14:paraId="6D6D3C4B" w14:textId="2DE976A6" w:rsidR="0018686D" w:rsidRDefault="0018686D">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82111118" w:history="1">
            <w:r w:rsidRPr="00ED0FFA">
              <w:rPr>
                <w:rStyle w:val="Hyperlink"/>
                <w:noProof/>
              </w:rPr>
              <w:t>3. Religious Significance</w:t>
            </w:r>
            <w:r>
              <w:rPr>
                <w:noProof/>
                <w:webHidden/>
              </w:rPr>
              <w:tab/>
            </w:r>
            <w:r>
              <w:rPr>
                <w:noProof/>
                <w:webHidden/>
              </w:rPr>
              <w:fldChar w:fldCharType="begin"/>
            </w:r>
            <w:r>
              <w:rPr>
                <w:noProof/>
                <w:webHidden/>
              </w:rPr>
              <w:instrText xml:space="preserve"> PAGEREF _Toc182111118 \h </w:instrText>
            </w:r>
            <w:r>
              <w:rPr>
                <w:noProof/>
                <w:webHidden/>
              </w:rPr>
            </w:r>
            <w:r>
              <w:rPr>
                <w:noProof/>
                <w:webHidden/>
              </w:rPr>
              <w:fldChar w:fldCharType="separate"/>
            </w:r>
            <w:r>
              <w:rPr>
                <w:noProof/>
                <w:webHidden/>
              </w:rPr>
              <w:t>96</w:t>
            </w:r>
            <w:r>
              <w:rPr>
                <w:noProof/>
                <w:webHidden/>
              </w:rPr>
              <w:fldChar w:fldCharType="end"/>
            </w:r>
          </w:hyperlink>
        </w:p>
        <w:p w14:paraId="12AEF0F3" w14:textId="29DCE5A2" w:rsidR="0018686D" w:rsidRDefault="0018686D">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82111119" w:history="1">
            <w:r w:rsidRPr="00ED0FFA">
              <w:rPr>
                <w:rStyle w:val="Hyperlink"/>
                <w:noProof/>
              </w:rPr>
              <w:t>4. Refuge from the Western Roman Empire</w:t>
            </w:r>
            <w:r>
              <w:rPr>
                <w:noProof/>
                <w:webHidden/>
              </w:rPr>
              <w:tab/>
            </w:r>
            <w:r>
              <w:rPr>
                <w:noProof/>
                <w:webHidden/>
              </w:rPr>
              <w:fldChar w:fldCharType="begin"/>
            </w:r>
            <w:r>
              <w:rPr>
                <w:noProof/>
                <w:webHidden/>
              </w:rPr>
              <w:instrText xml:space="preserve"> PAGEREF _Toc182111119 \h </w:instrText>
            </w:r>
            <w:r>
              <w:rPr>
                <w:noProof/>
                <w:webHidden/>
              </w:rPr>
            </w:r>
            <w:r>
              <w:rPr>
                <w:noProof/>
                <w:webHidden/>
              </w:rPr>
              <w:fldChar w:fldCharType="separate"/>
            </w:r>
            <w:r>
              <w:rPr>
                <w:noProof/>
                <w:webHidden/>
              </w:rPr>
              <w:t>96</w:t>
            </w:r>
            <w:r>
              <w:rPr>
                <w:noProof/>
                <w:webHidden/>
              </w:rPr>
              <w:fldChar w:fldCharType="end"/>
            </w:r>
          </w:hyperlink>
        </w:p>
        <w:p w14:paraId="5C5E5CBD" w14:textId="68ACE044" w:rsidR="0018686D" w:rsidRDefault="0018686D">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82111120" w:history="1">
            <w:r w:rsidRPr="00ED0FFA">
              <w:rPr>
                <w:rStyle w:val="Hyperlink"/>
                <w:noProof/>
              </w:rPr>
              <w:t>5. Plague and Recovery</w:t>
            </w:r>
            <w:r>
              <w:rPr>
                <w:noProof/>
                <w:webHidden/>
              </w:rPr>
              <w:tab/>
            </w:r>
            <w:r>
              <w:rPr>
                <w:noProof/>
                <w:webHidden/>
              </w:rPr>
              <w:fldChar w:fldCharType="begin"/>
            </w:r>
            <w:r>
              <w:rPr>
                <w:noProof/>
                <w:webHidden/>
              </w:rPr>
              <w:instrText xml:space="preserve"> PAGEREF _Toc182111120 \h </w:instrText>
            </w:r>
            <w:r>
              <w:rPr>
                <w:noProof/>
                <w:webHidden/>
              </w:rPr>
            </w:r>
            <w:r>
              <w:rPr>
                <w:noProof/>
                <w:webHidden/>
              </w:rPr>
              <w:fldChar w:fldCharType="separate"/>
            </w:r>
            <w:r>
              <w:rPr>
                <w:noProof/>
                <w:webHidden/>
              </w:rPr>
              <w:t>96</w:t>
            </w:r>
            <w:r>
              <w:rPr>
                <w:noProof/>
                <w:webHidden/>
              </w:rPr>
              <w:fldChar w:fldCharType="end"/>
            </w:r>
          </w:hyperlink>
        </w:p>
        <w:p w14:paraId="2B189CEC" w14:textId="3AB02A2B" w:rsidR="0018686D" w:rsidRDefault="0018686D">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82111121" w:history="1">
            <w:r w:rsidRPr="00ED0FFA">
              <w:rPr>
                <w:rStyle w:val="Hyperlink"/>
                <w:noProof/>
              </w:rPr>
              <w:t>6. Strategic Geographic Location</w:t>
            </w:r>
            <w:r>
              <w:rPr>
                <w:noProof/>
                <w:webHidden/>
              </w:rPr>
              <w:tab/>
            </w:r>
            <w:r>
              <w:rPr>
                <w:noProof/>
                <w:webHidden/>
              </w:rPr>
              <w:fldChar w:fldCharType="begin"/>
            </w:r>
            <w:r>
              <w:rPr>
                <w:noProof/>
                <w:webHidden/>
              </w:rPr>
              <w:instrText xml:space="preserve"> PAGEREF _Toc182111121 \h </w:instrText>
            </w:r>
            <w:r>
              <w:rPr>
                <w:noProof/>
                <w:webHidden/>
              </w:rPr>
            </w:r>
            <w:r>
              <w:rPr>
                <w:noProof/>
                <w:webHidden/>
              </w:rPr>
              <w:fldChar w:fldCharType="separate"/>
            </w:r>
            <w:r>
              <w:rPr>
                <w:noProof/>
                <w:webHidden/>
              </w:rPr>
              <w:t>97</w:t>
            </w:r>
            <w:r>
              <w:rPr>
                <w:noProof/>
                <w:webHidden/>
              </w:rPr>
              <w:fldChar w:fldCharType="end"/>
            </w:r>
          </w:hyperlink>
        </w:p>
        <w:p w14:paraId="6A48D08A" w14:textId="638A332E" w:rsidR="0018686D" w:rsidRDefault="0018686D">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82111122" w:history="1">
            <w:r w:rsidRPr="00ED0FFA">
              <w:rPr>
                <w:rStyle w:val="Hyperlink"/>
                <w:noProof/>
              </w:rPr>
              <w:t>7. Imperial Incentives</w:t>
            </w:r>
            <w:r>
              <w:rPr>
                <w:noProof/>
                <w:webHidden/>
              </w:rPr>
              <w:tab/>
            </w:r>
            <w:r>
              <w:rPr>
                <w:noProof/>
                <w:webHidden/>
              </w:rPr>
              <w:fldChar w:fldCharType="begin"/>
            </w:r>
            <w:r>
              <w:rPr>
                <w:noProof/>
                <w:webHidden/>
              </w:rPr>
              <w:instrText xml:space="preserve"> PAGEREF _Toc182111122 \h </w:instrText>
            </w:r>
            <w:r>
              <w:rPr>
                <w:noProof/>
                <w:webHidden/>
              </w:rPr>
            </w:r>
            <w:r>
              <w:rPr>
                <w:noProof/>
                <w:webHidden/>
              </w:rPr>
              <w:fldChar w:fldCharType="separate"/>
            </w:r>
            <w:r>
              <w:rPr>
                <w:noProof/>
                <w:webHidden/>
              </w:rPr>
              <w:t>97</w:t>
            </w:r>
            <w:r>
              <w:rPr>
                <w:noProof/>
                <w:webHidden/>
              </w:rPr>
              <w:fldChar w:fldCharType="end"/>
            </w:r>
          </w:hyperlink>
        </w:p>
        <w:p w14:paraId="067530ED" w14:textId="09E775D6" w:rsidR="0018686D" w:rsidRDefault="0018686D">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82111123" w:history="1">
            <w:r w:rsidRPr="00ED0FFA">
              <w:rPr>
                <w:rStyle w:val="Hyperlink"/>
                <w:noProof/>
              </w:rPr>
              <w:t>8. Cultural and Educational Opportunities</w:t>
            </w:r>
            <w:r>
              <w:rPr>
                <w:noProof/>
                <w:webHidden/>
              </w:rPr>
              <w:tab/>
            </w:r>
            <w:r>
              <w:rPr>
                <w:noProof/>
                <w:webHidden/>
              </w:rPr>
              <w:fldChar w:fldCharType="begin"/>
            </w:r>
            <w:r>
              <w:rPr>
                <w:noProof/>
                <w:webHidden/>
              </w:rPr>
              <w:instrText xml:space="preserve"> PAGEREF _Toc182111123 \h </w:instrText>
            </w:r>
            <w:r>
              <w:rPr>
                <w:noProof/>
                <w:webHidden/>
              </w:rPr>
            </w:r>
            <w:r>
              <w:rPr>
                <w:noProof/>
                <w:webHidden/>
              </w:rPr>
              <w:fldChar w:fldCharType="separate"/>
            </w:r>
            <w:r>
              <w:rPr>
                <w:noProof/>
                <w:webHidden/>
              </w:rPr>
              <w:t>97</w:t>
            </w:r>
            <w:r>
              <w:rPr>
                <w:noProof/>
                <w:webHidden/>
              </w:rPr>
              <w:fldChar w:fldCharType="end"/>
            </w:r>
          </w:hyperlink>
        </w:p>
        <w:p w14:paraId="58E2B210" w14:textId="6E18CEF8" w:rsidR="0018686D" w:rsidRDefault="0018686D">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82111124" w:history="1">
            <w:r w:rsidRPr="00ED0FFA">
              <w:rPr>
                <w:rStyle w:val="Hyperlink"/>
                <w:noProof/>
              </w:rPr>
              <w:t>Summary</w:t>
            </w:r>
            <w:r>
              <w:rPr>
                <w:noProof/>
                <w:webHidden/>
              </w:rPr>
              <w:tab/>
            </w:r>
            <w:r>
              <w:rPr>
                <w:noProof/>
                <w:webHidden/>
              </w:rPr>
              <w:fldChar w:fldCharType="begin"/>
            </w:r>
            <w:r>
              <w:rPr>
                <w:noProof/>
                <w:webHidden/>
              </w:rPr>
              <w:instrText xml:space="preserve"> PAGEREF _Toc182111124 \h </w:instrText>
            </w:r>
            <w:r>
              <w:rPr>
                <w:noProof/>
                <w:webHidden/>
              </w:rPr>
            </w:r>
            <w:r>
              <w:rPr>
                <w:noProof/>
                <w:webHidden/>
              </w:rPr>
              <w:fldChar w:fldCharType="separate"/>
            </w:r>
            <w:r>
              <w:rPr>
                <w:noProof/>
                <w:webHidden/>
              </w:rPr>
              <w:t>98</w:t>
            </w:r>
            <w:r>
              <w:rPr>
                <w:noProof/>
                <w:webHidden/>
              </w:rPr>
              <w:fldChar w:fldCharType="end"/>
            </w:r>
          </w:hyperlink>
        </w:p>
        <w:p w14:paraId="0BD5F1F9" w14:textId="5720E81C" w:rsidR="0018686D" w:rsidRDefault="0018686D">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182111125" w:history="1">
            <w:r w:rsidRPr="00ED0FFA">
              <w:rPr>
                <w:rStyle w:val="Hyperlink"/>
                <w:noProof/>
              </w:rPr>
              <w:t>Appendix B: Evidence for Birth Rates in the Roman Empire</w:t>
            </w:r>
            <w:r>
              <w:rPr>
                <w:noProof/>
                <w:webHidden/>
              </w:rPr>
              <w:tab/>
            </w:r>
            <w:r>
              <w:rPr>
                <w:noProof/>
                <w:webHidden/>
              </w:rPr>
              <w:fldChar w:fldCharType="begin"/>
            </w:r>
            <w:r>
              <w:rPr>
                <w:noProof/>
                <w:webHidden/>
              </w:rPr>
              <w:instrText xml:space="preserve"> PAGEREF _Toc182111125 \h </w:instrText>
            </w:r>
            <w:r>
              <w:rPr>
                <w:noProof/>
                <w:webHidden/>
              </w:rPr>
            </w:r>
            <w:r>
              <w:rPr>
                <w:noProof/>
                <w:webHidden/>
              </w:rPr>
              <w:fldChar w:fldCharType="separate"/>
            </w:r>
            <w:r>
              <w:rPr>
                <w:noProof/>
                <w:webHidden/>
              </w:rPr>
              <w:t>99</w:t>
            </w:r>
            <w:r>
              <w:rPr>
                <w:noProof/>
                <w:webHidden/>
              </w:rPr>
              <w:fldChar w:fldCharType="end"/>
            </w:r>
          </w:hyperlink>
        </w:p>
        <w:p w14:paraId="29B08EFC" w14:textId="08AECF17" w:rsidR="0018686D" w:rsidRDefault="0018686D">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82111126" w:history="1">
            <w:r w:rsidRPr="00ED0FFA">
              <w:rPr>
                <w:rStyle w:val="Hyperlink"/>
                <w:noProof/>
              </w:rPr>
              <w:t>Defining The Native</w:t>
            </w:r>
            <w:r>
              <w:rPr>
                <w:noProof/>
                <w:webHidden/>
              </w:rPr>
              <w:tab/>
            </w:r>
            <w:r>
              <w:rPr>
                <w:noProof/>
                <w:webHidden/>
              </w:rPr>
              <w:fldChar w:fldCharType="begin"/>
            </w:r>
            <w:r>
              <w:rPr>
                <w:noProof/>
                <w:webHidden/>
              </w:rPr>
              <w:instrText xml:space="preserve"> PAGEREF _Toc182111126 \h </w:instrText>
            </w:r>
            <w:r>
              <w:rPr>
                <w:noProof/>
                <w:webHidden/>
              </w:rPr>
            </w:r>
            <w:r>
              <w:rPr>
                <w:noProof/>
                <w:webHidden/>
              </w:rPr>
              <w:fldChar w:fldCharType="separate"/>
            </w:r>
            <w:r>
              <w:rPr>
                <w:noProof/>
                <w:webHidden/>
              </w:rPr>
              <w:t>100</w:t>
            </w:r>
            <w:r>
              <w:rPr>
                <w:noProof/>
                <w:webHidden/>
              </w:rPr>
              <w:fldChar w:fldCharType="end"/>
            </w:r>
          </w:hyperlink>
        </w:p>
        <w:p w14:paraId="756A35DB" w14:textId="63B88049" w:rsidR="0018686D" w:rsidRDefault="0018686D">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182111127" w:history="1">
            <w:r w:rsidRPr="00ED0FFA">
              <w:rPr>
                <w:rStyle w:val="Hyperlink"/>
                <w:noProof/>
              </w:rPr>
              <w:t>Appendix C: Statistical Analysis and Insights into Socioeconomic Variables Influencing Population Dynamics in Rome (3rd–4th Centuries)</w:t>
            </w:r>
            <w:r>
              <w:rPr>
                <w:noProof/>
                <w:webHidden/>
              </w:rPr>
              <w:tab/>
            </w:r>
            <w:r>
              <w:rPr>
                <w:noProof/>
                <w:webHidden/>
              </w:rPr>
              <w:fldChar w:fldCharType="begin"/>
            </w:r>
            <w:r>
              <w:rPr>
                <w:noProof/>
                <w:webHidden/>
              </w:rPr>
              <w:instrText xml:space="preserve"> PAGEREF _Toc182111127 \h </w:instrText>
            </w:r>
            <w:r>
              <w:rPr>
                <w:noProof/>
                <w:webHidden/>
              </w:rPr>
            </w:r>
            <w:r>
              <w:rPr>
                <w:noProof/>
                <w:webHidden/>
              </w:rPr>
              <w:fldChar w:fldCharType="separate"/>
            </w:r>
            <w:r>
              <w:rPr>
                <w:noProof/>
                <w:webHidden/>
              </w:rPr>
              <w:t>102</w:t>
            </w:r>
            <w:r>
              <w:rPr>
                <w:noProof/>
                <w:webHidden/>
              </w:rPr>
              <w:fldChar w:fldCharType="end"/>
            </w:r>
          </w:hyperlink>
        </w:p>
        <w:p w14:paraId="06A10A5F" w14:textId="7EAB7DEE" w:rsidR="0018686D" w:rsidRDefault="0018686D">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82111128" w:history="1">
            <w:r w:rsidRPr="00ED0FFA">
              <w:rPr>
                <w:rStyle w:val="Hyperlink"/>
                <w:noProof/>
              </w:rPr>
              <w:t>1. Methodology: Statistical Approaches</w:t>
            </w:r>
            <w:r>
              <w:rPr>
                <w:noProof/>
                <w:webHidden/>
              </w:rPr>
              <w:tab/>
            </w:r>
            <w:r>
              <w:rPr>
                <w:noProof/>
                <w:webHidden/>
              </w:rPr>
              <w:fldChar w:fldCharType="begin"/>
            </w:r>
            <w:r>
              <w:rPr>
                <w:noProof/>
                <w:webHidden/>
              </w:rPr>
              <w:instrText xml:space="preserve"> PAGEREF _Toc182111128 \h </w:instrText>
            </w:r>
            <w:r>
              <w:rPr>
                <w:noProof/>
                <w:webHidden/>
              </w:rPr>
            </w:r>
            <w:r>
              <w:rPr>
                <w:noProof/>
                <w:webHidden/>
              </w:rPr>
              <w:fldChar w:fldCharType="separate"/>
            </w:r>
            <w:r>
              <w:rPr>
                <w:noProof/>
                <w:webHidden/>
              </w:rPr>
              <w:t>102</w:t>
            </w:r>
            <w:r>
              <w:rPr>
                <w:noProof/>
                <w:webHidden/>
              </w:rPr>
              <w:fldChar w:fldCharType="end"/>
            </w:r>
          </w:hyperlink>
        </w:p>
        <w:p w14:paraId="6B17A312" w14:textId="2015E474" w:rsidR="0018686D" w:rsidRDefault="0018686D">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82111129" w:history="1">
            <w:r w:rsidRPr="00ED0FFA">
              <w:rPr>
                <w:rStyle w:val="Hyperlink"/>
                <w:noProof/>
              </w:rPr>
              <w:t>2. Key Findings from Statistical Research</w:t>
            </w:r>
            <w:r>
              <w:rPr>
                <w:noProof/>
                <w:webHidden/>
              </w:rPr>
              <w:tab/>
            </w:r>
            <w:r>
              <w:rPr>
                <w:noProof/>
                <w:webHidden/>
              </w:rPr>
              <w:fldChar w:fldCharType="begin"/>
            </w:r>
            <w:r>
              <w:rPr>
                <w:noProof/>
                <w:webHidden/>
              </w:rPr>
              <w:instrText xml:space="preserve"> PAGEREF _Toc182111129 \h </w:instrText>
            </w:r>
            <w:r>
              <w:rPr>
                <w:noProof/>
                <w:webHidden/>
              </w:rPr>
            </w:r>
            <w:r>
              <w:rPr>
                <w:noProof/>
                <w:webHidden/>
              </w:rPr>
              <w:fldChar w:fldCharType="separate"/>
            </w:r>
            <w:r>
              <w:rPr>
                <w:noProof/>
                <w:webHidden/>
              </w:rPr>
              <w:t>103</w:t>
            </w:r>
            <w:r>
              <w:rPr>
                <w:noProof/>
                <w:webHidden/>
              </w:rPr>
              <w:fldChar w:fldCharType="end"/>
            </w:r>
          </w:hyperlink>
        </w:p>
        <w:p w14:paraId="04D7CB1A" w14:textId="1DF3EA60" w:rsidR="0018686D" w:rsidRDefault="0018686D">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82111130" w:history="1">
            <w:r w:rsidRPr="00ED0FFA">
              <w:rPr>
                <w:rStyle w:val="Hyperlink"/>
                <w:noProof/>
              </w:rPr>
              <w:t>3. New Insights from Statistical Research</w:t>
            </w:r>
            <w:r>
              <w:rPr>
                <w:noProof/>
                <w:webHidden/>
              </w:rPr>
              <w:tab/>
            </w:r>
            <w:r>
              <w:rPr>
                <w:noProof/>
                <w:webHidden/>
              </w:rPr>
              <w:fldChar w:fldCharType="begin"/>
            </w:r>
            <w:r>
              <w:rPr>
                <w:noProof/>
                <w:webHidden/>
              </w:rPr>
              <w:instrText xml:space="preserve"> PAGEREF _Toc182111130 \h </w:instrText>
            </w:r>
            <w:r>
              <w:rPr>
                <w:noProof/>
                <w:webHidden/>
              </w:rPr>
            </w:r>
            <w:r>
              <w:rPr>
                <w:noProof/>
                <w:webHidden/>
              </w:rPr>
              <w:fldChar w:fldCharType="separate"/>
            </w:r>
            <w:r>
              <w:rPr>
                <w:noProof/>
                <w:webHidden/>
              </w:rPr>
              <w:t>104</w:t>
            </w:r>
            <w:r>
              <w:rPr>
                <w:noProof/>
                <w:webHidden/>
              </w:rPr>
              <w:fldChar w:fldCharType="end"/>
            </w:r>
          </w:hyperlink>
        </w:p>
        <w:p w14:paraId="659744BD" w14:textId="0ED6A91D" w:rsidR="0018686D" w:rsidRDefault="0018686D">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82111131" w:history="1">
            <w:r w:rsidRPr="00ED0FFA">
              <w:rPr>
                <w:rStyle w:val="Hyperlink"/>
                <w:noProof/>
              </w:rPr>
              <w:t>4. Limitations and Future Directions</w:t>
            </w:r>
            <w:r>
              <w:rPr>
                <w:noProof/>
                <w:webHidden/>
              </w:rPr>
              <w:tab/>
            </w:r>
            <w:r>
              <w:rPr>
                <w:noProof/>
                <w:webHidden/>
              </w:rPr>
              <w:fldChar w:fldCharType="begin"/>
            </w:r>
            <w:r>
              <w:rPr>
                <w:noProof/>
                <w:webHidden/>
              </w:rPr>
              <w:instrText xml:space="preserve"> PAGEREF _Toc182111131 \h </w:instrText>
            </w:r>
            <w:r>
              <w:rPr>
                <w:noProof/>
                <w:webHidden/>
              </w:rPr>
            </w:r>
            <w:r>
              <w:rPr>
                <w:noProof/>
                <w:webHidden/>
              </w:rPr>
              <w:fldChar w:fldCharType="separate"/>
            </w:r>
            <w:r>
              <w:rPr>
                <w:noProof/>
                <w:webHidden/>
              </w:rPr>
              <w:t>104</w:t>
            </w:r>
            <w:r>
              <w:rPr>
                <w:noProof/>
                <w:webHidden/>
              </w:rPr>
              <w:fldChar w:fldCharType="end"/>
            </w:r>
          </w:hyperlink>
        </w:p>
        <w:p w14:paraId="7734EB83" w14:textId="19D38C01" w:rsidR="0018686D" w:rsidRDefault="0018686D">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82111132" w:history="1">
            <w:r w:rsidRPr="00ED0FFA">
              <w:rPr>
                <w:rStyle w:val="Hyperlink"/>
                <w:noProof/>
              </w:rPr>
              <w:t>Conclusion</w:t>
            </w:r>
            <w:r>
              <w:rPr>
                <w:noProof/>
                <w:webHidden/>
              </w:rPr>
              <w:tab/>
            </w:r>
            <w:r>
              <w:rPr>
                <w:noProof/>
                <w:webHidden/>
              </w:rPr>
              <w:fldChar w:fldCharType="begin"/>
            </w:r>
            <w:r>
              <w:rPr>
                <w:noProof/>
                <w:webHidden/>
              </w:rPr>
              <w:instrText xml:space="preserve"> PAGEREF _Toc182111132 \h </w:instrText>
            </w:r>
            <w:r>
              <w:rPr>
                <w:noProof/>
                <w:webHidden/>
              </w:rPr>
            </w:r>
            <w:r>
              <w:rPr>
                <w:noProof/>
                <w:webHidden/>
              </w:rPr>
              <w:fldChar w:fldCharType="separate"/>
            </w:r>
            <w:r>
              <w:rPr>
                <w:noProof/>
                <w:webHidden/>
              </w:rPr>
              <w:t>105</w:t>
            </w:r>
            <w:r>
              <w:rPr>
                <w:noProof/>
                <w:webHidden/>
              </w:rPr>
              <w:fldChar w:fldCharType="end"/>
            </w:r>
          </w:hyperlink>
        </w:p>
        <w:p w14:paraId="443BED29" w14:textId="3F9C6876" w:rsidR="0018686D" w:rsidRDefault="0018686D">
          <w:pPr>
            <w:pStyle w:val="TOC1"/>
            <w:tabs>
              <w:tab w:val="right" w:leader="dot" w:pos="9016"/>
            </w:tabs>
            <w:rPr>
              <w:rFonts w:asciiTheme="minorHAnsi" w:eastAsiaTheme="minorEastAsia" w:hAnsiTheme="minorHAnsi" w:cstheme="minorBidi"/>
              <w:noProof/>
              <w:kern w:val="2"/>
              <w:lang w:eastAsia="en-GB"/>
              <w14:ligatures w14:val="standardContextual"/>
            </w:rPr>
          </w:pPr>
          <w:hyperlink w:anchor="_Toc182111133" w:history="1">
            <w:r w:rsidRPr="00ED0FFA">
              <w:rPr>
                <w:rStyle w:val="Hyperlink"/>
                <w:noProof/>
              </w:rPr>
              <w:t>Appendix D: Detailed Case Study of Sardis in Lydia</w:t>
            </w:r>
            <w:r>
              <w:rPr>
                <w:noProof/>
                <w:webHidden/>
              </w:rPr>
              <w:tab/>
            </w:r>
            <w:r>
              <w:rPr>
                <w:noProof/>
                <w:webHidden/>
              </w:rPr>
              <w:fldChar w:fldCharType="begin"/>
            </w:r>
            <w:r>
              <w:rPr>
                <w:noProof/>
                <w:webHidden/>
              </w:rPr>
              <w:instrText xml:space="preserve"> PAGEREF _Toc182111133 \h </w:instrText>
            </w:r>
            <w:r>
              <w:rPr>
                <w:noProof/>
                <w:webHidden/>
              </w:rPr>
            </w:r>
            <w:r>
              <w:rPr>
                <w:noProof/>
                <w:webHidden/>
              </w:rPr>
              <w:fldChar w:fldCharType="separate"/>
            </w:r>
            <w:r>
              <w:rPr>
                <w:noProof/>
                <w:webHidden/>
              </w:rPr>
              <w:t>106</w:t>
            </w:r>
            <w:r>
              <w:rPr>
                <w:noProof/>
                <w:webHidden/>
              </w:rPr>
              <w:fldChar w:fldCharType="end"/>
            </w:r>
          </w:hyperlink>
        </w:p>
        <w:p w14:paraId="4A061F60" w14:textId="1A01FCED" w:rsidR="0018686D" w:rsidRDefault="0018686D">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82111134" w:history="1">
            <w:r w:rsidRPr="00ED0FFA">
              <w:rPr>
                <w:rStyle w:val="Hyperlink"/>
                <w:noProof/>
              </w:rPr>
              <w:t>Sardis: Economic Hub and Demographic Growth</w:t>
            </w:r>
            <w:r>
              <w:rPr>
                <w:noProof/>
                <w:webHidden/>
              </w:rPr>
              <w:tab/>
            </w:r>
            <w:r>
              <w:rPr>
                <w:noProof/>
                <w:webHidden/>
              </w:rPr>
              <w:fldChar w:fldCharType="begin"/>
            </w:r>
            <w:r>
              <w:rPr>
                <w:noProof/>
                <w:webHidden/>
              </w:rPr>
              <w:instrText xml:space="preserve"> PAGEREF _Toc182111134 \h </w:instrText>
            </w:r>
            <w:r>
              <w:rPr>
                <w:noProof/>
                <w:webHidden/>
              </w:rPr>
            </w:r>
            <w:r>
              <w:rPr>
                <w:noProof/>
                <w:webHidden/>
              </w:rPr>
              <w:fldChar w:fldCharType="separate"/>
            </w:r>
            <w:r>
              <w:rPr>
                <w:noProof/>
                <w:webHidden/>
              </w:rPr>
              <w:t>106</w:t>
            </w:r>
            <w:r>
              <w:rPr>
                <w:noProof/>
                <w:webHidden/>
              </w:rPr>
              <w:fldChar w:fldCharType="end"/>
            </w:r>
          </w:hyperlink>
        </w:p>
        <w:p w14:paraId="67EE8BC6" w14:textId="679D6D8F" w:rsidR="0018686D" w:rsidRDefault="0018686D">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82111135" w:history="1">
            <w:r w:rsidRPr="00ED0FFA">
              <w:rPr>
                <w:rStyle w:val="Hyperlink"/>
                <w:noProof/>
              </w:rPr>
              <w:t>Patterns of Migration and Settlement</w:t>
            </w:r>
            <w:r>
              <w:rPr>
                <w:noProof/>
                <w:webHidden/>
              </w:rPr>
              <w:tab/>
            </w:r>
            <w:r>
              <w:rPr>
                <w:noProof/>
                <w:webHidden/>
              </w:rPr>
              <w:fldChar w:fldCharType="begin"/>
            </w:r>
            <w:r>
              <w:rPr>
                <w:noProof/>
                <w:webHidden/>
              </w:rPr>
              <w:instrText xml:space="preserve"> PAGEREF _Toc182111135 \h </w:instrText>
            </w:r>
            <w:r>
              <w:rPr>
                <w:noProof/>
                <w:webHidden/>
              </w:rPr>
            </w:r>
            <w:r>
              <w:rPr>
                <w:noProof/>
                <w:webHidden/>
              </w:rPr>
              <w:fldChar w:fldCharType="separate"/>
            </w:r>
            <w:r>
              <w:rPr>
                <w:noProof/>
                <w:webHidden/>
              </w:rPr>
              <w:t>107</w:t>
            </w:r>
            <w:r>
              <w:rPr>
                <w:noProof/>
                <w:webHidden/>
              </w:rPr>
              <w:fldChar w:fldCharType="end"/>
            </w:r>
          </w:hyperlink>
        </w:p>
        <w:p w14:paraId="45752C55" w14:textId="45DD7A27" w:rsidR="0018686D" w:rsidRDefault="0018686D">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82111136" w:history="1">
            <w:r w:rsidRPr="00ED0FFA">
              <w:rPr>
                <w:rStyle w:val="Hyperlink"/>
                <w:noProof/>
              </w:rPr>
              <w:t>Demographic Evidence</w:t>
            </w:r>
            <w:r>
              <w:rPr>
                <w:noProof/>
                <w:webHidden/>
              </w:rPr>
              <w:tab/>
            </w:r>
            <w:r>
              <w:rPr>
                <w:noProof/>
                <w:webHidden/>
              </w:rPr>
              <w:fldChar w:fldCharType="begin"/>
            </w:r>
            <w:r>
              <w:rPr>
                <w:noProof/>
                <w:webHidden/>
              </w:rPr>
              <w:instrText xml:space="preserve"> PAGEREF _Toc182111136 \h </w:instrText>
            </w:r>
            <w:r>
              <w:rPr>
                <w:noProof/>
                <w:webHidden/>
              </w:rPr>
            </w:r>
            <w:r>
              <w:rPr>
                <w:noProof/>
                <w:webHidden/>
              </w:rPr>
              <w:fldChar w:fldCharType="separate"/>
            </w:r>
            <w:r>
              <w:rPr>
                <w:noProof/>
                <w:webHidden/>
              </w:rPr>
              <w:t>107</w:t>
            </w:r>
            <w:r>
              <w:rPr>
                <w:noProof/>
                <w:webHidden/>
              </w:rPr>
              <w:fldChar w:fldCharType="end"/>
            </w:r>
          </w:hyperlink>
        </w:p>
        <w:p w14:paraId="3B3286F4" w14:textId="6E73108F" w:rsidR="0018686D" w:rsidRDefault="0018686D">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82111137" w:history="1">
            <w:r w:rsidRPr="00ED0FFA">
              <w:rPr>
                <w:rStyle w:val="Hyperlink"/>
                <w:noProof/>
              </w:rPr>
              <w:t>Key Insights from Sardis</w:t>
            </w:r>
            <w:r>
              <w:rPr>
                <w:noProof/>
                <w:webHidden/>
              </w:rPr>
              <w:tab/>
            </w:r>
            <w:r>
              <w:rPr>
                <w:noProof/>
                <w:webHidden/>
              </w:rPr>
              <w:fldChar w:fldCharType="begin"/>
            </w:r>
            <w:r>
              <w:rPr>
                <w:noProof/>
                <w:webHidden/>
              </w:rPr>
              <w:instrText xml:space="preserve"> PAGEREF _Toc182111137 \h </w:instrText>
            </w:r>
            <w:r>
              <w:rPr>
                <w:noProof/>
                <w:webHidden/>
              </w:rPr>
            </w:r>
            <w:r>
              <w:rPr>
                <w:noProof/>
                <w:webHidden/>
              </w:rPr>
              <w:fldChar w:fldCharType="separate"/>
            </w:r>
            <w:r>
              <w:rPr>
                <w:noProof/>
                <w:webHidden/>
              </w:rPr>
              <w:t>108</w:t>
            </w:r>
            <w:r>
              <w:rPr>
                <w:noProof/>
                <w:webHidden/>
              </w:rPr>
              <w:fldChar w:fldCharType="end"/>
            </w:r>
          </w:hyperlink>
        </w:p>
        <w:p w14:paraId="1C7022D2" w14:textId="46010C12" w:rsidR="0018686D" w:rsidRDefault="0018686D">
          <w:pPr>
            <w:pStyle w:val="TOC2"/>
            <w:tabs>
              <w:tab w:val="right" w:leader="dot" w:pos="9016"/>
            </w:tabs>
            <w:rPr>
              <w:rFonts w:asciiTheme="minorHAnsi" w:eastAsiaTheme="minorEastAsia" w:hAnsiTheme="minorHAnsi" w:cstheme="minorBidi"/>
              <w:noProof/>
              <w:kern w:val="2"/>
              <w:lang w:eastAsia="en-GB"/>
              <w14:ligatures w14:val="standardContextual"/>
            </w:rPr>
          </w:pPr>
          <w:hyperlink w:anchor="_Toc182111138" w:history="1">
            <w:r w:rsidRPr="00ED0FFA">
              <w:rPr>
                <w:rStyle w:val="Hyperlink"/>
                <w:noProof/>
              </w:rPr>
              <w:t>Conclusion</w:t>
            </w:r>
            <w:r>
              <w:rPr>
                <w:noProof/>
                <w:webHidden/>
              </w:rPr>
              <w:tab/>
            </w:r>
            <w:r>
              <w:rPr>
                <w:noProof/>
                <w:webHidden/>
              </w:rPr>
              <w:fldChar w:fldCharType="begin"/>
            </w:r>
            <w:r>
              <w:rPr>
                <w:noProof/>
                <w:webHidden/>
              </w:rPr>
              <w:instrText xml:space="preserve"> PAGEREF _Toc182111138 \h </w:instrText>
            </w:r>
            <w:r>
              <w:rPr>
                <w:noProof/>
                <w:webHidden/>
              </w:rPr>
            </w:r>
            <w:r>
              <w:rPr>
                <w:noProof/>
                <w:webHidden/>
              </w:rPr>
              <w:fldChar w:fldCharType="separate"/>
            </w:r>
            <w:r>
              <w:rPr>
                <w:noProof/>
                <w:webHidden/>
              </w:rPr>
              <w:t>108</w:t>
            </w:r>
            <w:r>
              <w:rPr>
                <w:noProof/>
                <w:webHidden/>
              </w:rPr>
              <w:fldChar w:fldCharType="end"/>
            </w:r>
          </w:hyperlink>
        </w:p>
        <w:p w14:paraId="36990EBA" w14:textId="14F4A683" w:rsidR="008850E6" w:rsidRDefault="008850E6">
          <w:r>
            <w:rPr>
              <w:b/>
              <w:bCs/>
              <w:noProof/>
            </w:rPr>
            <w:fldChar w:fldCharType="end"/>
          </w:r>
        </w:p>
      </w:sdtContent>
    </w:sdt>
    <w:p w14:paraId="49FADF03" w14:textId="384A4969" w:rsidR="002C2400" w:rsidRPr="00C214C5" w:rsidRDefault="002C2400" w:rsidP="00EB5271">
      <w:r w:rsidRPr="00C214C5">
        <w:br w:type="page"/>
      </w:r>
    </w:p>
    <w:p w14:paraId="7B33746A" w14:textId="4D1554B3" w:rsidR="00FE412D" w:rsidRPr="008D44CC" w:rsidRDefault="0096345A" w:rsidP="008D44CC">
      <w:pPr>
        <w:pStyle w:val="Heading1"/>
        <w:rPr>
          <w:lang w:val="en-GB"/>
        </w:rPr>
      </w:pPr>
      <w:bookmarkStart w:id="2" w:name="_Toc153780236"/>
      <w:bookmarkStart w:id="3" w:name="_Toc182111009"/>
      <w:r w:rsidRPr="00C214C5">
        <w:rPr>
          <w:lang w:val="en-GB"/>
        </w:rPr>
        <w:lastRenderedPageBreak/>
        <w:t xml:space="preserve">Chapter 1 </w:t>
      </w:r>
      <w:r w:rsidR="0092193E" w:rsidRPr="00C214C5">
        <w:rPr>
          <w:lang w:val="en-GB"/>
        </w:rPr>
        <w:t>–Setting the Stage: An Overview of Rome</w:t>
      </w:r>
      <w:r w:rsidR="00267EF7" w:rsidRPr="00C214C5">
        <w:rPr>
          <w:lang w:val="en-GB"/>
        </w:rPr>
        <w:t>’</w:t>
      </w:r>
      <w:r w:rsidR="0092193E" w:rsidRPr="00C214C5">
        <w:rPr>
          <w:lang w:val="en-GB"/>
        </w:rPr>
        <w:t>s Demographic Evolution</w:t>
      </w:r>
      <w:bookmarkStart w:id="4" w:name="_Toc153780237"/>
      <w:bookmarkEnd w:id="2"/>
      <w:bookmarkEnd w:id="3"/>
    </w:p>
    <w:p w14:paraId="13EB7434" w14:textId="77777777" w:rsidR="008D44CC" w:rsidRPr="008D44CC" w:rsidRDefault="008D44CC" w:rsidP="008D44CC">
      <w:r w:rsidRPr="008D44CC">
        <w:t>This chapter lays the foundation for an in-depth examination of Rome’s demographic evolution, a key element in understanding the Empire’s decline. Scholars have long debated the interplay of population patterns, declining birth rates, and the incorporation of foreign troops. Storey (1997) and Oates (1934) offer varying estimates of urban population sizes, while Kleijn (2021) explores the evolving infrastructure and water supply in Rome. Moving past Gibbon’s (1787) assertion that Christianity caused Rome’s fall, this study emphasizes demographic shifts, particularly those involving an ageing population and declining birth rates, as highlighted by Erdkamp, Verboven, and Zuiderhoek (2020).</w:t>
      </w:r>
    </w:p>
    <w:p w14:paraId="4AD5B0AD" w14:textId="77777777" w:rsidR="008D44CC" w:rsidRPr="008D44CC" w:rsidRDefault="008D44CC" w:rsidP="008D44CC">
      <w:r w:rsidRPr="008D44CC">
        <w:t>Declining birth rates and urban economic challenges, discussed by Marešová, Mohelská, and Kuča (2015), mirror modern European immigration issues. These demographic changes catalyzed cultural transformations and weakened traditional Roman values. Drawing on diverse research, such as Holleran and Claridge’s (2018) analysis of economic productivity and Erdkamp et al.’s (2020) work on trade and population, this dissertation examines these shifts comprehensively. Furthermore, Engels (1980) connects female infanticide with population imbalances, offering parallels to contemporary demographic trends in China.</w:t>
      </w:r>
    </w:p>
    <w:p w14:paraId="02E7C920" w14:textId="77777777" w:rsidR="008D44CC" w:rsidRPr="008D44CC" w:rsidRDefault="008D44CC" w:rsidP="008D44CC">
      <w:r w:rsidRPr="008D44CC">
        <w:t xml:space="preserve">The narrative of moral decline and the erosion of </w:t>
      </w:r>
      <w:r w:rsidRPr="008D44CC">
        <w:rPr>
          <w:i/>
          <w:iCs/>
        </w:rPr>
        <w:t>mos maiorum</w:t>
      </w:r>
      <w:r w:rsidRPr="008D44CC">
        <w:t xml:space="preserve"> is deeply embedded in Roman discourse, as Hay (2023), Miles (1987), and Dench (2013) note. Rosenblitt (2019, p. 99) argues that societal instability and new ideologies often arise when established governance loses its legitimacy.</w:t>
      </w:r>
    </w:p>
    <w:p w14:paraId="111B6FCC" w14:textId="77777777" w:rsidR="008D44CC" w:rsidRPr="008D44CC" w:rsidRDefault="008D44CC" w:rsidP="008D44CC">
      <w:r w:rsidRPr="008D44CC">
        <w:t xml:space="preserve">In the late first and second centuries, Western Roman cities thrived with public works like fora, theatres, and bathhouses. These projects, funded through public finances and elite benefactions, reinforced social hierarchies (Zuiderhoek, 2016; de Ligt, 2019). By the third </w:t>
      </w:r>
      <w:r w:rsidRPr="008D44CC">
        <w:lastRenderedPageBreak/>
        <w:t>century, however, the urban elite’s civic contributions diminished. Vanderspoel (1995) observes that in regions such as Gaul, Egypt, and Spain, elites abandoned public investment, a trend that Hemelrijk (2015) and Tacoma (2016) link to increased economic vulnerability. This shift, compounded by the faltering imperial supply network, exacerbated urban hardships before continuous warfare engulfed the Roman West (Zuiderhoek, 2009).</w:t>
      </w:r>
    </w:p>
    <w:p w14:paraId="649CAE2A" w14:textId="77777777" w:rsidR="008D44CC" w:rsidRPr="008D44CC" w:rsidRDefault="008D44CC" w:rsidP="008D44CC">
      <w:r w:rsidRPr="008D44CC">
        <w:t>Military reform, another significant theme, has prompted considerable scholarly discussion. Some argue that discipline issues and the influx of ‘barbarian’ recruits weakened the late Roman army (Burns and Burns, 1994). However, Brand (2013) and Drogula (2015) counter that military discipline during this period was comparable to earlier times. Diocletian and Constantine’s reforms, Stanković (2012) contends, addressed complex internal and external military pressures rather than a simple decline in discipline. Thus, Late Antiquity’s “traditional Roman values” reflected evolving civic responsibilities, military structures, and elite roles (Ramsey, 2022).</w:t>
      </w:r>
    </w:p>
    <w:p w14:paraId="7DA40796" w14:textId="34556904" w:rsidR="00F34A9F" w:rsidRPr="00C214C5" w:rsidRDefault="00F34A9F" w:rsidP="0092193E">
      <w:pPr>
        <w:pStyle w:val="Heading2"/>
      </w:pPr>
      <w:bookmarkStart w:id="5" w:name="_Toc182111010"/>
      <w:r w:rsidRPr="00C214C5">
        <w:t xml:space="preserve">1.1 </w:t>
      </w:r>
      <w:r w:rsidR="0092193E" w:rsidRPr="00C214C5">
        <w:t>Laying the Foundations: The Importance and Context of Roman Demographic Studies</w:t>
      </w:r>
      <w:bookmarkEnd w:id="4"/>
      <w:bookmarkEnd w:id="5"/>
    </w:p>
    <w:p w14:paraId="05D4043A" w14:textId="77777777" w:rsidR="00231AFF" w:rsidRPr="00231AFF" w:rsidRDefault="00231AFF" w:rsidP="00231AFF">
      <w:r w:rsidRPr="00231AFF">
        <w:t>Historians have long focused on the shifting population patterns that characterised the decline of the Roman Empire (Gibbon, 1787). Scholarly estimates of urban populations vary widely, sparking debate over the causes of Rome’s fall (Garnsey and Saller, 2015). Key factors include population decline, lower birth rates, and the assimilation of foreign troops. These demographic shifts demand deeper analysis to fully grasp the economic, social, and political transformations that marked the Empire’s end (Rimas and Fraser, 2010).</w:t>
      </w:r>
    </w:p>
    <w:p w14:paraId="31B2E0B7" w14:textId="77777777" w:rsidR="00231AFF" w:rsidRPr="00231AFF" w:rsidRDefault="00231AFF" w:rsidP="00231AFF">
      <w:r w:rsidRPr="00231AFF">
        <w:t xml:space="preserve">The fall of the Roman Empire was not driven by a single event but by a complex interplay of internal changes, external pressures, and natural forces. Warfare, epidemics, climate change, and socio-political upheaval all played pivotal roles. ‘Barbarisation,’ or the </w:t>
      </w:r>
      <w:r w:rsidRPr="00231AFF">
        <w:lastRenderedPageBreak/>
        <w:t>integration of ‘barbarian’ tribes into Roman society and its military, was a significant factor (Ramsey, 2022). Natural calamities, including pandemics and climate shifts, also contributed, as noted by Harper (2015, 2021, 2022). While the Western Empire fragmented, the Eastern Empire, later Byzantium, remained resilient and followed a distinct trajectory for centuries (Haldon et al., 2021). This divergence underscores the varied impacts of political, economic, and societal changes (Scheidel, 2019b).</w:t>
      </w:r>
    </w:p>
    <w:p w14:paraId="36639670" w14:textId="77777777" w:rsidR="00231AFF" w:rsidRPr="00231AFF" w:rsidRDefault="00231AFF" w:rsidP="00231AFF">
      <w:r w:rsidRPr="00231AFF">
        <w:t>Population estimates for Roman cities have evolved substantially. Early works, such as Oates (1934), have been refined through recent studies on urban infrastructure and water supply (Kleijn, 2021). Spengler (2018) discusses how these improvements informed multiple population theories. Hin (2013) outlines various methodologies, including spatial modelling of rural populations (Lobo et al., 2020). These models estimate that cities housed 2.8 million people within a larger rural populace of 12 million (lo Cascio, 1994; Ascione et al., 2009). The urbanisation rate rarely exceeded 20%, highlighting the predominantly rural character of Roman society (Launaro, 2011).</w:t>
      </w:r>
    </w:p>
    <w:p w14:paraId="258F04E1" w14:textId="77777777" w:rsidR="00231AFF" w:rsidRPr="00231AFF" w:rsidRDefault="00231AFF" w:rsidP="00231AFF">
      <w:r w:rsidRPr="00231AFF">
        <w:t>Urban lifestyle significantly shaped population dynamics. Rome’s population, exceeding one million, dwarfed other cities, which housed hundreds of thousands (Clark, 1977). However, dense urban living and poor sanitation worsened mortality rates, fostering the spread of disease (Harper, 2021). Hanson and Ortman (2017) developed systematic methods for estimating ancient city populations, furthering understanding of urbanisation and population variability (Hanson, Ortman and Lobo, 2017).</w:t>
      </w:r>
    </w:p>
    <w:p w14:paraId="7ABAFC6F" w14:textId="77777777" w:rsidR="00231AFF" w:rsidRPr="00231AFF" w:rsidRDefault="00231AFF" w:rsidP="00231AFF">
      <w:r w:rsidRPr="00231AFF">
        <w:t xml:space="preserve">While Gibbon (1787) attributed Rome’s decline to Christianity, recent studies argue that declining birth rates played a more critical role, undermining urban infrastructure and economic vitality (Erdkamp, Verboven, and Zuiderhoek, 2020). Moreover, an ageing </w:t>
      </w:r>
      <w:r w:rsidRPr="00231AFF">
        <w:lastRenderedPageBreak/>
        <w:t>population shifted the labour force and economic output (Marešová, Mohelská, and Kuča, 2015), presenting challenges similar to those faced by modern societies (Tinker, 2002).</w:t>
      </w:r>
    </w:p>
    <w:p w14:paraId="72732036" w14:textId="77777777" w:rsidR="00231AFF" w:rsidRPr="00231AFF" w:rsidRDefault="00231AFF" w:rsidP="00231AFF">
      <w:r w:rsidRPr="00231AFF">
        <w:t>The ageing population also impacted military recruitment. Fewer working-age citizens meant that military roles increasingly fell to “barbarian tribes” who lacked traditional Roman civic ties. This phenomenon echoes modern immigration challenges in Europe. Immigration altered Rome’s cultural foundations, as slowing birth rates necessitated greater reliance on foreign labour and military recruits. These changes, collectively, led to urban decay and declining education standards.</w:t>
      </w:r>
    </w:p>
    <w:p w14:paraId="45A7BB6B" w14:textId="77777777" w:rsidR="00231AFF" w:rsidRPr="00231AFF" w:rsidRDefault="00231AFF" w:rsidP="00231AFF">
      <w:r w:rsidRPr="00231AFF">
        <w:t>As Rome’s reliance on immigrants grew, its army increasingly comprised foreign recruits. Whitby (2007) argues that Diocletian’s recruitment reforms met military needs but struggled during crises, such as after Adrianople. Theodosius, Valens’ successor, faced immediate military and political challenges, including handling the Goths (Vanderspoel, 1995). Whately (2021) further highlights the complexity of Late Roman army composition, showing that Roman recruits still formed a majority despite rising numbers of non-citizen auxiliaries.</w:t>
      </w:r>
    </w:p>
    <w:p w14:paraId="4ECDBED4" w14:textId="77777777" w:rsidR="00231AFF" w:rsidRPr="00231AFF" w:rsidRDefault="00231AFF" w:rsidP="00231AFF">
      <w:r w:rsidRPr="00231AFF">
        <w:t>Recent scholarship disputes the notion of a wholesale shift to foreign soldiers. During the early Empire, non-citizen auxiliaries made up about half the army, a pattern that continued into late antiquity (Whitby, 2007; Whately, 2021; Ramsey, 2022). Recruitment challenges stemmed from imperial regionalisation, weak central authority, and less attractive military conditions (Whately, 2021). These factors compounded difficulties in sustaining a stable, effective military force.</w:t>
      </w:r>
    </w:p>
    <w:p w14:paraId="461EA561" w14:textId="77777777" w:rsidR="00231AFF" w:rsidRPr="00231AFF" w:rsidRDefault="00231AFF" w:rsidP="00231AFF">
      <w:r w:rsidRPr="00231AFF">
        <w:t xml:space="preserve">Whitby and Whately also challenge traditional views on the Roman military’s decline. They argue that demilitarisation, significant population loss, and extensive land destruction played less critical roles than previously thought. Instead, issues like weakened imperial authority in the West eroded loyalty among subjects (Ramsey, 2022). Despite these challenges, </w:t>
      </w:r>
      <w:r w:rsidRPr="00231AFF">
        <w:lastRenderedPageBreak/>
        <w:t>Roman recruits likely remained the majority, with Germanic soldiers comprising around 30% of the Eastern army by 395 (Whately, 2021, p. 203).</w:t>
      </w:r>
    </w:p>
    <w:p w14:paraId="20BB5654" w14:textId="77777777" w:rsidR="00231AFF" w:rsidRPr="00231AFF" w:rsidRDefault="00231AFF" w:rsidP="00231AFF">
      <w:r w:rsidRPr="00231AFF">
        <w:t>This research asserts that demographic and economic changes—particularly declining birth rates and the increasing integration of foreign forces—eroded Roman cultural and civic identity. Over time, this dependency on external forces, coupled with economic decline and environmental challenges, dismantled the societal bonds that had underpinned Roman civilisation.</w:t>
      </w:r>
    </w:p>
    <w:p w14:paraId="4DEB910F" w14:textId="77777777" w:rsidR="00231AFF" w:rsidRPr="00231AFF" w:rsidRDefault="00231AFF" w:rsidP="00231AFF">
      <w:r w:rsidRPr="00231AFF">
        <w:t>Additionally, Engels (1980) identifies female infanticide as another demographic factor, with parallels in modern population imbalances like China’s. Holleran and Clairage (2011) offer primary source insights for further investigation into Roman population dynamics. However, quantifying female infanticide across the Roman Empire remains challenging due to limited and region-specific evidence (C.A. de Haas and Tol, 2017). Studies on Roman Britain’s suspected infanticide victims, employing ancient DNA techniques, provide valuable yet geographically constrained insights (Mays and Faerman, 2001; Abu-Mandil Hassan et al., 2014).</w:t>
      </w:r>
    </w:p>
    <w:p w14:paraId="00EF814C" w14:textId="29C24F15" w:rsidR="0082210F" w:rsidRPr="00C214C5" w:rsidRDefault="0082210F" w:rsidP="0082210F">
      <w:pPr>
        <w:pStyle w:val="Heading2"/>
      </w:pPr>
      <w:bookmarkStart w:id="6" w:name="_Toc153780238"/>
      <w:bookmarkStart w:id="7" w:name="_Toc182111011"/>
      <w:r w:rsidRPr="00C214C5">
        <w:t>1.2 Research Objectives</w:t>
      </w:r>
      <w:bookmarkEnd w:id="6"/>
      <w:bookmarkEnd w:id="7"/>
    </w:p>
    <w:p w14:paraId="5FFAB2AC" w14:textId="0C31170A" w:rsidR="00247C1B" w:rsidRPr="00247C1B" w:rsidRDefault="00247C1B" w:rsidP="00247C1B">
      <w:r w:rsidRPr="00247C1B">
        <w:t>This</w:t>
      </w:r>
      <w:r w:rsidR="00F72E24">
        <w:t xml:space="preserve"> dissertation </w:t>
      </w:r>
      <w:r w:rsidRPr="00247C1B">
        <w:t>aims to investigate the role of population dynamics in the decline of the Western Roman Empire, focusing on modelling the complex interplay between demographic changes and broader socio-economic, political, and environmental factors. It will explore how falling birth rates, increasing immigration, and the integration of foreign troops affected the stability of the late Empire. Additionally, the study will examine how these demographic shifts intersected with other critical factors to contribute to the Empire’s eventual collapse.</w:t>
      </w:r>
    </w:p>
    <w:p w14:paraId="4DE20EC7" w14:textId="5FBC3496" w:rsidR="00240FFB" w:rsidRPr="00C214C5" w:rsidRDefault="00247C1B" w:rsidP="007C5691">
      <w:r w:rsidRPr="00247C1B">
        <w:lastRenderedPageBreak/>
        <w:t>By developing and applying advanced modelling techniques, this research seeks to provide a nuanced understanding of the interrelated drivers behind the decline of the Western Roman Empire. The ultimate objective is to offer a more comprehensive perspective on this pivotal historical transition, shedding light on the complex mechanisms that precipitated one of history’s most significant transformations.</w:t>
      </w:r>
    </w:p>
    <w:p w14:paraId="126311E0" w14:textId="77777777" w:rsidR="0082210F" w:rsidRDefault="0082210F" w:rsidP="0082210F">
      <w:pPr>
        <w:pStyle w:val="Heading2"/>
      </w:pPr>
      <w:bookmarkStart w:id="8" w:name="_Toc153780239"/>
      <w:bookmarkStart w:id="9" w:name="_Toc182111012"/>
      <w:r w:rsidRPr="00C214C5">
        <w:t>1.3 Research Questions</w:t>
      </w:r>
      <w:bookmarkEnd w:id="8"/>
      <w:bookmarkEnd w:id="9"/>
    </w:p>
    <w:p w14:paraId="58ADA858" w14:textId="77777777" w:rsidR="00461DE9" w:rsidRPr="00461DE9" w:rsidRDefault="00461DE9" w:rsidP="00461DE9">
      <w:r w:rsidRPr="00461DE9">
        <w:t>The decline of the Roman Empire has been the subject of extensive debate, with historians identifying over two hundred potential causes, spanning political, economic, military, societal, and environmental factors (Herman, 2010). This wide range of theories underscores the complexity of the Empire’s fall and the difficulty in pinpointing a singular cause (Ward-Perkins, 1997).</w:t>
      </w:r>
    </w:p>
    <w:p w14:paraId="19201256" w14:textId="77777777" w:rsidR="00461DE9" w:rsidRPr="00461DE9" w:rsidRDefault="00461DE9" w:rsidP="00461DE9">
      <w:r w:rsidRPr="00461DE9">
        <w:t>A key line of inquiry focuses on environmental factors, particularly pandemics and climate change. Scholars such as Harper (2021, 2022) argue that these natural forces significantly weakened the Empire’s resilience. Others emphasise societal and political factors, especially in the western Empire during the third and fourth centuries, suggesting that shifts in settlement patterns and land use were driven by failing political and social systems rather than purely environmental pressures (Diaz, 2017).</w:t>
      </w:r>
    </w:p>
    <w:p w14:paraId="7E6C22F6" w14:textId="77777777" w:rsidR="00461DE9" w:rsidRPr="00461DE9" w:rsidRDefault="00461DE9" w:rsidP="00461DE9">
      <w:r w:rsidRPr="00461DE9">
        <w:t xml:space="preserve">Interpretations of the Empire’s decline often fall into two categories: </w:t>
      </w:r>
      <w:r w:rsidRPr="00461DE9">
        <w:rPr>
          <w:b/>
          <w:bCs/>
        </w:rPr>
        <w:t>Catastrophist</w:t>
      </w:r>
      <w:r w:rsidRPr="00461DE9">
        <w:t xml:space="preserve"> models, which frame the fall as a rapid and decisive collapse due to specific events, and </w:t>
      </w:r>
      <w:r w:rsidRPr="00461DE9">
        <w:rPr>
          <w:b/>
          <w:bCs/>
        </w:rPr>
        <w:t>Continuist</w:t>
      </w:r>
      <w:r w:rsidRPr="00461DE9">
        <w:t xml:space="preserve"> models, which argue for a more gradual decline, with Roman culture and institutions persisting beyond the traditional end dates (Ward-Perkins, 1997). Additionally, contemporary ideologies have shaped historical interpretations. Gibbon (1787), writing during the Enlightenment, attributed the Empire’s decline to its Christianisation, while other theories </w:t>
      </w:r>
      <w:r w:rsidRPr="00461DE9">
        <w:lastRenderedPageBreak/>
        <w:t>highlight issues such as racial degeneration and the cultural impact of foreign populations (Burton, 2019).</w:t>
      </w:r>
    </w:p>
    <w:p w14:paraId="158640A4" w14:textId="77777777" w:rsidR="00461DE9" w:rsidRPr="00461DE9" w:rsidRDefault="00461DE9" w:rsidP="00461DE9">
      <w:r w:rsidRPr="00461DE9">
        <w:t>The divergent outcomes of the Empire’s eastern and western halves further complicate the narrative. While the Western Empire fragmented and ultimately collapsed, the Eastern Empire, or Byzantium, displayed remarkable resilience and endured for centuries (Martínez, 2017). This regional contrast highlights the varied impacts of broader decline across different parts of the Empire (Ward-Perkins, 1997).</w:t>
      </w:r>
    </w:p>
    <w:p w14:paraId="5A6A7E10" w14:textId="77777777" w:rsidR="00461DE9" w:rsidRPr="00461DE9" w:rsidRDefault="00461DE9" w:rsidP="00461DE9">
      <w:r w:rsidRPr="00461DE9">
        <w:t>To address these complexities, this thesis seeks to answer the following research questions:</w:t>
      </w:r>
    </w:p>
    <w:p w14:paraId="42730547" w14:textId="77777777" w:rsidR="00461DE9" w:rsidRPr="00461DE9" w:rsidRDefault="00461DE9" w:rsidP="00461DE9">
      <w:pPr>
        <w:numPr>
          <w:ilvl w:val="0"/>
          <w:numId w:val="34"/>
        </w:numPr>
      </w:pPr>
      <w:r w:rsidRPr="00461DE9">
        <w:t>What socio-economic conditions influenced population dynamics during the decline of the Roman Empire?</w:t>
      </w:r>
    </w:p>
    <w:p w14:paraId="519E49FC" w14:textId="77777777" w:rsidR="00461DE9" w:rsidRPr="00461DE9" w:rsidRDefault="00461DE9" w:rsidP="00461DE9">
      <w:pPr>
        <w:numPr>
          <w:ilvl w:val="0"/>
          <w:numId w:val="34"/>
        </w:numPr>
      </w:pPr>
      <w:r w:rsidRPr="00461DE9">
        <w:t>How did political instability and environmental changes drive demographic shifts?</w:t>
      </w:r>
    </w:p>
    <w:p w14:paraId="4089368B" w14:textId="77777777" w:rsidR="00461DE9" w:rsidRPr="00461DE9" w:rsidRDefault="00461DE9" w:rsidP="00461DE9">
      <w:pPr>
        <w:numPr>
          <w:ilvl w:val="0"/>
          <w:numId w:val="34"/>
        </w:numPr>
      </w:pPr>
      <w:r w:rsidRPr="00461DE9">
        <w:t>What were the cultural and social consequences of declining birth rates and increasing immigration?</w:t>
      </w:r>
    </w:p>
    <w:p w14:paraId="6AFE3ED9" w14:textId="77777777" w:rsidR="00461DE9" w:rsidRPr="00461DE9" w:rsidRDefault="00461DE9" w:rsidP="00461DE9">
      <w:pPr>
        <w:numPr>
          <w:ilvl w:val="0"/>
          <w:numId w:val="34"/>
        </w:numPr>
      </w:pPr>
      <w:r w:rsidRPr="00461DE9">
        <w:t>How did the integration of foreign forces reshape the military and citizenship structures of the Roman Empire?</w:t>
      </w:r>
    </w:p>
    <w:p w14:paraId="36BDE832" w14:textId="77777777" w:rsidR="00461DE9" w:rsidRPr="00461DE9" w:rsidRDefault="00461DE9" w:rsidP="00461DE9">
      <w:pPr>
        <w:numPr>
          <w:ilvl w:val="0"/>
          <w:numId w:val="34"/>
        </w:numPr>
      </w:pPr>
      <w:r w:rsidRPr="00461DE9">
        <w:t>To what extent did population dynamics contribute to the Empire’s economic deterioration?</w:t>
      </w:r>
    </w:p>
    <w:p w14:paraId="2E81863B" w14:textId="57BE248D" w:rsidR="00461DE9" w:rsidRPr="00461DE9" w:rsidRDefault="00461DE9" w:rsidP="00461DE9">
      <w:r w:rsidRPr="00461DE9">
        <w:t>These questions aim to explore the interconnected processes behind the</w:t>
      </w:r>
      <w:r>
        <w:t xml:space="preserve"> Western</w:t>
      </w:r>
      <w:r w:rsidRPr="00461DE9">
        <w:t xml:space="preserve"> Roman Empire’s decline, focusing on how demographic changes intersected with broader economic, political, and environmental factors. The goal is to provide a clearer and more comprehensive understanding of the forces that shaped one of history’s most significant transitions.</w:t>
      </w:r>
    </w:p>
    <w:p w14:paraId="7679A942" w14:textId="7C17EFE3" w:rsidR="0082210F" w:rsidRPr="00C214C5" w:rsidRDefault="0082210F" w:rsidP="0082210F">
      <w:pPr>
        <w:pStyle w:val="Heading2"/>
      </w:pPr>
      <w:bookmarkStart w:id="10" w:name="_Toc153780240"/>
      <w:bookmarkStart w:id="11" w:name="_Toc182111013"/>
      <w:r w:rsidRPr="00C214C5">
        <w:lastRenderedPageBreak/>
        <w:t>1.4 Research Methodology</w:t>
      </w:r>
      <w:bookmarkEnd w:id="10"/>
      <w:bookmarkEnd w:id="11"/>
    </w:p>
    <w:p w14:paraId="3B442CC7" w14:textId="7159DE2D" w:rsidR="00BA2278" w:rsidRPr="00BA2278" w:rsidRDefault="00BA2278" w:rsidP="00BA2278">
      <w:r w:rsidRPr="00BA2278">
        <w:t>This study integrates historical sources, archaeological evidence, and quantitative analysis to examine population dynamics during the decline of the Roman Empire. Key methods include data collection, statistical modelling, and comparative analysis, which together facilitate a thorough investigation of the interactions between demographic changes and socio-economic, political, and environmental factors (Parkinson et al., 2023).</w:t>
      </w:r>
    </w:p>
    <w:p w14:paraId="41769AF2" w14:textId="77777777" w:rsidR="00BA2278" w:rsidRPr="00BA2278" w:rsidRDefault="00BA2278" w:rsidP="00BA2278">
      <w:r w:rsidRPr="00BA2278">
        <w:t>The scarcity and limitations of direct statistical data for the Roman Empire present significant challenges (Turchin, 2009; Scheidel, 2019b). As such, the research relies on proxy data, including archaeological findings and historical records, to infer demographic patterns (Ligt and Northwood, 2008). These proxies provide valuable insights but require careful interpretation, as their accuracy depends on the quality and context of the available evidence (Hin, 2013).</w:t>
      </w:r>
    </w:p>
    <w:p w14:paraId="711E1D65" w14:textId="08A79B6A" w:rsidR="005A0B3B" w:rsidRPr="00C214C5" w:rsidRDefault="00BA2278" w:rsidP="005A0B3B">
      <w:r w:rsidRPr="00BA2278">
        <w:t>To address these challenges, the study employs rigorous analytical techniques. These include statistical modelling and comparative analysis to interpret proxy data and construct a comprehensive picture of demographic trends (Gower et al., 2022). While the interpretive nature of proxy data necessitates caution, this approach ensures a robust framework for understanding the complex population dynamics of the Roman Empire’s decline.</w:t>
      </w:r>
    </w:p>
    <w:p w14:paraId="03E3F996" w14:textId="77777777" w:rsidR="0082210F" w:rsidRPr="00C214C5" w:rsidRDefault="0082210F" w:rsidP="0082210F">
      <w:pPr>
        <w:pStyle w:val="Heading2"/>
      </w:pPr>
      <w:bookmarkStart w:id="12" w:name="_Toc153780241"/>
      <w:bookmarkStart w:id="13" w:name="_Toc182111014"/>
      <w:r w:rsidRPr="00C214C5">
        <w:t>1.5 Dissertation Structure</w:t>
      </w:r>
      <w:bookmarkEnd w:id="12"/>
      <w:bookmarkEnd w:id="13"/>
    </w:p>
    <w:p w14:paraId="1713ACB6" w14:textId="77777777" w:rsidR="003C74BF" w:rsidRPr="003C74BF" w:rsidRDefault="003C74BF" w:rsidP="003C74BF">
      <w:r w:rsidRPr="003C74BF">
        <w:t xml:space="preserve">This dissertation utilises a diverse array of literary, documentary, and archaeological sources to reconstruct the demographic landscape of ancient Rome. Classical literary works from Roman historians provide insights into population size, distribution, and composition. Documentary sources, including inscriptions, census records, and legal texts, offer both quantitative and qualitative data on the Roman populace. Archaeological evidence—such as </w:t>
      </w:r>
      <w:r w:rsidRPr="003C74BF">
        <w:lastRenderedPageBreak/>
        <w:t>settlement excavations, burial sites, and artefacts—sheds light on living conditions, health, and mortality rates.</w:t>
      </w:r>
    </w:p>
    <w:p w14:paraId="68D57178" w14:textId="77777777" w:rsidR="003C74BF" w:rsidRPr="003C74BF" w:rsidRDefault="003C74BF" w:rsidP="003C74BF">
      <w:r w:rsidRPr="003C74BF">
        <w:t>Each source type has limitations. Literary accounts often reflect biases and rhetorical styles of their time, while documentary sources, though factual, are incomplete. Archaeological findings offer tangible evidence but require careful dating and contextualisation. To address these challenges, this dissertation adopts a multidisciplinary approach, integrating these sources to present a comprehensive analysis of Roman population dynamics.</w:t>
      </w:r>
    </w:p>
    <w:p w14:paraId="5F6F0100" w14:textId="77777777" w:rsidR="003C74BF" w:rsidRPr="003C74BF" w:rsidRDefault="003C74BF" w:rsidP="003C74BF">
      <w:r w:rsidRPr="003C74BF">
        <w:t>The dissertation is organised as follows:</w:t>
      </w:r>
    </w:p>
    <w:p w14:paraId="4086593B" w14:textId="77777777" w:rsidR="003C74BF" w:rsidRPr="003C74BF" w:rsidRDefault="003C74BF" w:rsidP="003C74BF">
      <w:r w:rsidRPr="003C74BF">
        <w:rPr>
          <w:b/>
          <w:bCs/>
        </w:rPr>
        <w:t>Chapter 1: Introduction</w:t>
      </w:r>
      <w:r w:rsidRPr="003C74BF">
        <w:t xml:space="preserve"> outlines the research focus and provides an overview of Roman demographic trends, including population size and distribution. It also introduces key historical sources and methodologies, setting the stage for the analysis. A Python-based model will be developed to synthesise data from sources such as Ammianus Marcellinus’s </w:t>
      </w:r>
      <w:r w:rsidRPr="003C74BF">
        <w:rPr>
          <w:i/>
          <w:iCs/>
        </w:rPr>
        <w:t>Res Gestae</w:t>
      </w:r>
      <w:r w:rsidRPr="003C74BF">
        <w:t xml:space="preserve"> and other works to simulate population dynamics in Rome and its rural surroundings during the 4th century.</w:t>
      </w:r>
    </w:p>
    <w:p w14:paraId="7D1A0C6A" w14:textId="77777777" w:rsidR="003C74BF" w:rsidRPr="003C74BF" w:rsidRDefault="003C74BF" w:rsidP="003C74BF">
      <w:r w:rsidRPr="003C74BF">
        <w:rPr>
          <w:b/>
          <w:bCs/>
        </w:rPr>
        <w:t>Chapter 2: Literature Review</w:t>
      </w:r>
      <w:r w:rsidRPr="003C74BF">
        <w:t xml:space="preserve"> explores the relationship between the Roman Empire’s economy and its demographic trends. It examines how factors such as agricultural productivity, trade, and economic policies influenced population patterns. Documentary sources, including the </w:t>
      </w:r>
      <w:r w:rsidRPr="003C74BF">
        <w:rPr>
          <w:i/>
          <w:iCs/>
        </w:rPr>
        <w:t>Theodosian Code</w:t>
      </w:r>
      <w:r w:rsidRPr="003C74BF">
        <w:t>, and excavation data from sites like Rome and Pompeii, will inform the analysis.</w:t>
      </w:r>
    </w:p>
    <w:p w14:paraId="6B5B327F" w14:textId="77777777" w:rsidR="003C74BF" w:rsidRPr="003C74BF" w:rsidRDefault="003C74BF" w:rsidP="003C74BF">
      <w:r w:rsidRPr="003C74BF">
        <w:rPr>
          <w:b/>
          <w:bCs/>
        </w:rPr>
        <w:t>Chapter 3: Socioeconomic Conditions and Population Dynamics</w:t>
      </w:r>
      <w:r w:rsidRPr="003C74BF">
        <w:t xml:space="preserve"> analyses the influence of Rome’s social hierarchy, from elites to slaves, on demographic patterns. The chapter also explores how marriage customs, family size, and gender dynamics impacted birth rates and life expectancy. Recent studies, such as those by Gower et al. (2022), will be integrated to enhance the analysis through modern methodologies.</w:t>
      </w:r>
    </w:p>
    <w:p w14:paraId="24AD12DF" w14:textId="77777777" w:rsidR="003C74BF" w:rsidRPr="003C74BF" w:rsidRDefault="003C74BF" w:rsidP="003C74BF">
      <w:r w:rsidRPr="003C74BF">
        <w:rPr>
          <w:b/>
          <w:bCs/>
        </w:rPr>
        <w:lastRenderedPageBreak/>
        <w:t>Chapter 4: Political Instability, Environmental Changes, and Demographic Shifts</w:t>
      </w:r>
      <w:r w:rsidRPr="003C74BF">
        <w:t xml:space="preserve"> investigates how governance issues, climate change, and resource availability shaped demographic trends. Political instability and environmental shifts are examined using data from administrative records and climate studies. These findings will be incorporated into the Python model to simulate their effects on population dynamics.</w:t>
      </w:r>
    </w:p>
    <w:p w14:paraId="1EB9BBAC" w14:textId="77777777" w:rsidR="003C74BF" w:rsidRPr="003C74BF" w:rsidRDefault="003C74BF" w:rsidP="003C74BF">
      <w:r w:rsidRPr="003C74BF">
        <w:rPr>
          <w:b/>
          <w:bCs/>
        </w:rPr>
        <w:t>Chapter 5: Conclusion</w:t>
      </w:r>
      <w:r w:rsidRPr="003C74BF">
        <w:t xml:space="preserve"> synthesises the findings, discussing how demographic shifts influenced the Empire’s decline. It considers the impact of political upheavals, economic instability, and environmental changes on population structures, highlighting the legacy of these dynamics in the post-Roman world.</w:t>
      </w:r>
    </w:p>
    <w:p w14:paraId="566173F9" w14:textId="77777777" w:rsidR="003C74BF" w:rsidRPr="003C74BF" w:rsidRDefault="003C74BF" w:rsidP="003C74BF">
      <w:r w:rsidRPr="003C74BF">
        <w:t>Through a structured and integrated approach, this dissertation seeks to provide a nuanced understanding of Roman population dynamics and their role in the Empire’s decline. By combining literary, documentary, and archaeological evidence with advanced modelling techniques, it offers new insights into how historical societies responded to complex internal and external pressures.</w:t>
      </w:r>
    </w:p>
    <w:p w14:paraId="6C698FCC" w14:textId="01010B35" w:rsidR="005A0B3B" w:rsidRPr="00C214C5" w:rsidRDefault="005A0B3B" w:rsidP="009539F9"/>
    <w:p w14:paraId="69C3F0E0" w14:textId="77777777" w:rsidR="0092193E" w:rsidRPr="00C214C5" w:rsidRDefault="0092193E">
      <w:pPr>
        <w:spacing w:line="259" w:lineRule="auto"/>
        <w:ind w:firstLine="0"/>
        <w:jc w:val="left"/>
        <w:rPr>
          <w:rFonts w:eastAsiaTheme="majorEastAsia"/>
          <w:sz w:val="32"/>
          <w:szCs w:val="32"/>
        </w:rPr>
      </w:pPr>
      <w:r w:rsidRPr="00C214C5">
        <w:br w:type="page"/>
      </w:r>
    </w:p>
    <w:p w14:paraId="5BFAC3A2" w14:textId="4BAA9286" w:rsidR="002C2400" w:rsidRPr="00C214C5" w:rsidRDefault="0096345A" w:rsidP="00B47F16">
      <w:pPr>
        <w:pStyle w:val="Heading1"/>
        <w:rPr>
          <w:lang w:val="en-GB"/>
        </w:rPr>
      </w:pPr>
      <w:bookmarkStart w:id="14" w:name="_Toc153780242"/>
      <w:bookmarkStart w:id="15" w:name="_Toc182111015"/>
      <w:r w:rsidRPr="00C214C5">
        <w:rPr>
          <w:lang w:val="en-GB"/>
        </w:rPr>
        <w:lastRenderedPageBreak/>
        <w:t>Chapter 2 -</w:t>
      </w:r>
      <w:r w:rsidR="003F7167" w:rsidRPr="00C214C5">
        <w:rPr>
          <w:lang w:val="en-GB"/>
        </w:rPr>
        <w:t xml:space="preserve"> Literature Review</w:t>
      </w:r>
      <w:bookmarkEnd w:id="14"/>
      <w:bookmarkEnd w:id="15"/>
    </w:p>
    <w:p w14:paraId="2DB1B682" w14:textId="430C32B8" w:rsidR="007B073B" w:rsidRPr="00C214C5" w:rsidRDefault="008D3AC1" w:rsidP="008D3AC1">
      <w:r w:rsidRPr="00C214C5">
        <w:t xml:space="preserve">This chapter </w:t>
      </w:r>
      <w:r w:rsidR="00DC7D42" w:rsidRPr="00C214C5">
        <w:t>examines</w:t>
      </w:r>
      <w:r w:rsidRPr="00C214C5">
        <w:t xml:space="preserve"> the historical sources and data used to study Roman population dynamics during the decline of the Roman Empire. Scholars have employed various approaches to examine and interpret these sources, enabling a deeper understanding of demographic changes. Researchers have shed new light on the complexities of population trends by critically evaluating traditional population demographics and incorporating economic indicators. The works of Hin, Hopkins, Launaro, Verhagen, Brughmans, Wilson, and Taylor, among others, have contributed significantly to our understanding of Roman population dynamics. This chapter explores their contributions, highlighting the diverse range of historical sources and data utilised and the insights gained through their meticulous analyses.</w:t>
      </w:r>
    </w:p>
    <w:p w14:paraId="424874D5" w14:textId="2F06BE47" w:rsidR="007B073B" w:rsidRPr="00C214C5" w:rsidRDefault="007B073B" w:rsidP="007B073B">
      <w:pPr>
        <w:pStyle w:val="Heading2"/>
      </w:pPr>
      <w:bookmarkStart w:id="16" w:name="_Toc153780243"/>
      <w:bookmarkStart w:id="17" w:name="_Toc182111016"/>
      <w:r w:rsidRPr="00C214C5">
        <w:t xml:space="preserve">2.1 </w:t>
      </w:r>
      <w:r w:rsidR="00393975" w:rsidRPr="00C214C5">
        <w:t>Historical Sources and Data</w:t>
      </w:r>
      <w:bookmarkEnd w:id="16"/>
      <w:bookmarkEnd w:id="17"/>
    </w:p>
    <w:p w14:paraId="316EA518" w14:textId="0EC14762" w:rsidR="00344A56" w:rsidRPr="00C214C5" w:rsidRDefault="00344A56" w:rsidP="00344A56">
      <w:r w:rsidRPr="00C214C5">
        <w:t>The exploration of Roman population trends necessitates a detailed analysis of historical records and data. Researchers have adopted various methods to study and interpret these sources, revealing demographic shifts during the Roman Empire</w:t>
      </w:r>
      <w:r w:rsidR="00267EF7" w:rsidRPr="00C214C5">
        <w:t>’</w:t>
      </w:r>
      <w:r w:rsidRPr="00C214C5">
        <w:t>s fall.</w:t>
      </w:r>
    </w:p>
    <w:p w14:paraId="3C8BCB72" w14:textId="65023777" w:rsidR="004B58EF" w:rsidRPr="00C214C5" w:rsidRDefault="00344A56" w:rsidP="00344A56">
      <w:r w:rsidRPr="00C214C5">
        <w:t>In 2013, Hin conducted a multidisciplinary investigation that revise</w:t>
      </w:r>
      <w:r w:rsidR="009539F9" w:rsidRPr="00C214C5">
        <w:t>d</w:t>
      </w:r>
      <w:r w:rsidRPr="00C214C5">
        <w:t xml:space="preserve"> traditional views of Roman population figures, offering fresh perspectives on the decline of the free citizenry. Hin </w:t>
      </w:r>
      <w:r w:rsidR="00262E21" w:rsidRPr="00C214C5">
        <w:t>scrutinise</w:t>
      </w:r>
      <w:r w:rsidRPr="00C214C5">
        <w:t xml:space="preserve">d historiographical records related to Roman demographics, challenging established </w:t>
      </w:r>
      <w:r w:rsidR="00C96D41" w:rsidRPr="00C214C5">
        <w:t>notions,</w:t>
      </w:r>
      <w:r w:rsidRPr="00C214C5">
        <w:t xml:space="preserve"> and pointing out errors in estimating the decrease of free citizens. Notably, Hin</w:t>
      </w:r>
      <w:r w:rsidR="00267EF7" w:rsidRPr="00C214C5">
        <w:t>’</w:t>
      </w:r>
      <w:r w:rsidRPr="00C214C5">
        <w:t xml:space="preserve">s study disputes the widely held belief of a substantial reduction in the free citizen population before 28 BCE </w:t>
      </w:r>
      <w:r w:rsidR="000D687E" w:rsidRPr="00C214C5">
        <w:fldChar w:fldCharType="begin"/>
      </w:r>
      <w:r w:rsidR="000D687E" w:rsidRPr="00C214C5">
        <w:instrText xml:space="preserve"> ADDIN ZOTERO_ITEM CSL_CITATION {"citationID":"69Hj8dmt","properties":{"formattedCitation":"(Hin, 2013, pp. 19\\uc0\\u8211{}20)","plainCitation":"(Hin, 2013, pp. 19–20)","noteIndex":0},"citationItems":[{"id":6364,"uris":["http://zotero.org/users/9147288/items/S7R5MKKP"],"itemData":{"id":6364,"type":"book","abstract":"This book provides a fresh perspective on the population history of Italy during the late Republic. It employs a range of sources and a multidisciplinary approach to investigate demographic trends and the demographic behaviour of Roman citizens. Dr Hin shows how they adapted to changing economic, climatic and social conditions in a period of intense conquest. Her critical evaluation of the evidence on the demographic toll taken by warfare and rising societal complexity leads her to a revisionist 'middle count' scenario of population development in Italy. In tracing the population history of an ancient conquest society, she provides an accessible pathway into Roman demography which focuses on the three main demographic parameters - mortality, fertility and migration. She unites literary and epigraphic sources with demographic theory, archaeological surveys, climatic and skeletal evidence, models and comparative data. Tables, figures and maps enable readers to visualise the quantitative dynamics at work.","ISBN":"978-1-107-31071-1","language":"en","note":"Google-Books-ID: iswhAwAAQBAJ","number-of-pages":"421","publisher":"Cambridge University Press","source":"Google Books","title":"The Demography of Roman Italy: Population Dynamics in an Ancient Conquest Society 201 BCE–14 CE","title-short":"The Demography of Roman Italy","author":[{"family":"Hin","given":"Saskia"}],"issued":{"date-parts":[["2013",2,14]]}},"locator":"19-20"}],"schema":"https://github.com/citation-style-language/schema/raw/master/csl-citation.json"} </w:instrText>
      </w:r>
      <w:r w:rsidR="000D687E" w:rsidRPr="00C214C5">
        <w:fldChar w:fldCharType="separate"/>
      </w:r>
      <w:r w:rsidR="000D687E" w:rsidRPr="00C214C5">
        <w:t>(Hin, 2013, pp. 19–20)</w:t>
      </w:r>
      <w:r w:rsidR="000D687E" w:rsidRPr="00C214C5">
        <w:fldChar w:fldCharType="end"/>
      </w:r>
      <w:r w:rsidRPr="00C214C5">
        <w:t>. This research prompts a reconsideration of prevailing population theories and enriches our understanding of the late Republic</w:t>
      </w:r>
      <w:r w:rsidR="00267EF7" w:rsidRPr="00C214C5">
        <w:t>’</w:t>
      </w:r>
      <w:r w:rsidRPr="00C214C5">
        <w:t>s demographic changes.</w:t>
      </w:r>
    </w:p>
    <w:p w14:paraId="58DCB04B" w14:textId="77777777" w:rsidR="004B58EF" w:rsidRPr="00C214C5" w:rsidRDefault="004B58EF" w:rsidP="004B58EF"/>
    <w:p w14:paraId="2564036A" w14:textId="7E6A5BFE" w:rsidR="004B58EF" w:rsidRPr="00C214C5" w:rsidRDefault="004B58EF" w:rsidP="004B58EF">
      <w:r w:rsidRPr="00C214C5">
        <w:lastRenderedPageBreak/>
        <w:t>Hopkins</w:t>
      </w:r>
      <w:r w:rsidR="00267EF7" w:rsidRPr="00C214C5">
        <w:t>’</w:t>
      </w:r>
      <w:r w:rsidRPr="00C214C5">
        <w:t xml:space="preserve"> </w:t>
      </w:r>
      <w:r w:rsidR="00A22D38" w:rsidRPr="00C214C5">
        <w:t>2009 analysis focused</w:t>
      </w:r>
      <w:r w:rsidRPr="00C214C5">
        <w:t xml:space="preserve"> on the economic growth of the Roman Empire </w:t>
      </w:r>
      <w:r w:rsidR="00C96D41" w:rsidRPr="00C214C5">
        <w:t>to</w:t>
      </w:r>
      <w:r w:rsidRPr="00C214C5">
        <w:t xml:space="preserve"> explore population dynamics. By examining the distribution of food products, such as wine and pork, and the state supply of free wheat to adult male citizens, Hopkins uncovers valuable insights into the relationship between economic conditions and population trends. This research highlights the importance of considering economic factors when studying population dynamics in the Roman Empire </w:t>
      </w:r>
      <w:r w:rsidR="00FF1318" w:rsidRPr="00C214C5">
        <w:fldChar w:fldCharType="begin"/>
      </w:r>
      <w:r w:rsidR="00FF1318" w:rsidRPr="00C214C5">
        <w:instrText xml:space="preserve"> ADDIN ZOTERO_ITEM CSL_CITATION {"citationID":"TguM5zrp","properties":{"formattedCitation":"(Hopkins, 2009, pp. 209\\uc0\\u8211{}210)","plainCitation":"(Hopkins, 2009, pp. 209–210)","noteIndex":0},"citationItems":[{"id":6363,"uris":["http://zotero.org/users/9147288/items/L4PNGGJS"],"itemData":{"id":6363,"type":"article-journal","container-title":"The dynamics of ancient empires: State power from Assyria to Byzantium","note":"publisher: Oxford University Press Oxford","page":"178-204","title":"The political economy of the Roman empire","author":[{"family":"Hopkins","given":"Keith"}],"issued":{"date-parts":[["2009"]]}},"locator":"209-210"}],"schema":"https://github.com/citation-style-language/schema/raw/master/csl-citation.json"} </w:instrText>
      </w:r>
      <w:r w:rsidR="00FF1318" w:rsidRPr="00C214C5">
        <w:fldChar w:fldCharType="separate"/>
      </w:r>
      <w:r w:rsidR="00FF1318" w:rsidRPr="00C214C5">
        <w:t>(Hopkins, 2009, pp. 209–210)</w:t>
      </w:r>
      <w:r w:rsidR="00FF1318" w:rsidRPr="00C214C5">
        <w:fldChar w:fldCharType="end"/>
      </w:r>
      <w:r w:rsidRPr="00C214C5">
        <w:t>.</w:t>
      </w:r>
    </w:p>
    <w:p w14:paraId="4E0068F1" w14:textId="004BCD8D" w:rsidR="00A83D37" w:rsidRPr="00C214C5" w:rsidRDefault="00637DB3" w:rsidP="00637DB3">
      <w:pPr>
        <w:pStyle w:val="Caption"/>
        <w:keepNext/>
      </w:pPr>
      <w:bookmarkStart w:id="18" w:name="_Ref181855599"/>
      <w:r w:rsidRPr="00C214C5">
        <w:t xml:space="preserve">Table </w:t>
      </w:r>
      <w:r w:rsidRPr="00C214C5">
        <w:fldChar w:fldCharType="begin"/>
      </w:r>
      <w:r w:rsidRPr="00C214C5">
        <w:instrText xml:space="preserve"> SEQ Table \* ARABIC </w:instrText>
      </w:r>
      <w:r w:rsidRPr="00C214C5">
        <w:fldChar w:fldCharType="separate"/>
      </w:r>
      <w:r w:rsidR="0090751D" w:rsidRPr="00C214C5">
        <w:rPr>
          <w:noProof/>
        </w:rPr>
        <w:t>1</w:t>
      </w:r>
      <w:r w:rsidRPr="00C214C5">
        <w:fldChar w:fldCharType="end"/>
      </w:r>
      <w:bookmarkEnd w:id="18"/>
      <w:r w:rsidRPr="00C214C5">
        <w:t xml:space="preserve"> Population Comparison of Rome and Constantinople (300–600 AD)</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602"/>
        <w:gridCol w:w="1771"/>
        <w:gridCol w:w="2444"/>
        <w:gridCol w:w="4199"/>
      </w:tblGrid>
      <w:tr w:rsidR="00A83D37" w:rsidRPr="00C214C5" w14:paraId="7FC73DD0" w14:textId="77777777" w:rsidTr="00A83D37">
        <w:trPr>
          <w:tblHeader/>
          <w:tblCellSpacing w:w="15" w:type="dxa"/>
        </w:trPr>
        <w:tc>
          <w:tcPr>
            <w:tcW w:w="0" w:type="auto"/>
            <w:vAlign w:val="center"/>
            <w:hideMark/>
          </w:tcPr>
          <w:p w14:paraId="00C6B8F3" w14:textId="77777777" w:rsidR="00A83D37" w:rsidRPr="00C214C5" w:rsidRDefault="00A83D37" w:rsidP="00A83D37">
            <w:pPr>
              <w:spacing w:after="0" w:line="240" w:lineRule="auto"/>
              <w:ind w:firstLine="0"/>
              <w:jc w:val="center"/>
              <w:rPr>
                <w:b/>
                <w:bCs/>
              </w:rPr>
            </w:pPr>
            <w:r w:rsidRPr="00C214C5">
              <w:rPr>
                <w:b/>
                <w:bCs/>
              </w:rPr>
              <w:t>Year</w:t>
            </w:r>
          </w:p>
        </w:tc>
        <w:tc>
          <w:tcPr>
            <w:tcW w:w="0" w:type="auto"/>
            <w:vAlign w:val="center"/>
            <w:hideMark/>
          </w:tcPr>
          <w:p w14:paraId="62B1FC1F" w14:textId="77777777" w:rsidR="00A83D37" w:rsidRPr="00C214C5" w:rsidRDefault="00A83D37" w:rsidP="00A83D37">
            <w:pPr>
              <w:spacing w:after="0" w:line="240" w:lineRule="auto"/>
              <w:ind w:firstLine="0"/>
              <w:jc w:val="center"/>
              <w:rPr>
                <w:b/>
                <w:bCs/>
              </w:rPr>
            </w:pPr>
            <w:r w:rsidRPr="00C214C5">
              <w:rPr>
                <w:b/>
                <w:bCs/>
              </w:rPr>
              <w:t>Rome Population (Est.)</w:t>
            </w:r>
          </w:p>
        </w:tc>
        <w:tc>
          <w:tcPr>
            <w:tcW w:w="0" w:type="auto"/>
            <w:vAlign w:val="center"/>
            <w:hideMark/>
          </w:tcPr>
          <w:p w14:paraId="612213CB" w14:textId="77777777" w:rsidR="00A83D37" w:rsidRPr="00C214C5" w:rsidRDefault="00A83D37" w:rsidP="00A83D37">
            <w:pPr>
              <w:spacing w:after="0" w:line="240" w:lineRule="auto"/>
              <w:ind w:firstLine="0"/>
              <w:jc w:val="center"/>
              <w:rPr>
                <w:b/>
                <w:bCs/>
              </w:rPr>
            </w:pPr>
            <w:r w:rsidRPr="00C214C5">
              <w:rPr>
                <w:b/>
                <w:bCs/>
              </w:rPr>
              <w:t>Constantinople Population (Est.)</w:t>
            </w:r>
          </w:p>
        </w:tc>
        <w:tc>
          <w:tcPr>
            <w:tcW w:w="0" w:type="auto"/>
            <w:vAlign w:val="center"/>
            <w:hideMark/>
          </w:tcPr>
          <w:p w14:paraId="735E3294" w14:textId="77777777" w:rsidR="00A83D37" w:rsidRPr="00C214C5" w:rsidRDefault="00A83D37" w:rsidP="00A83D37">
            <w:pPr>
              <w:spacing w:after="0" w:line="240" w:lineRule="auto"/>
              <w:ind w:firstLine="0"/>
              <w:jc w:val="center"/>
              <w:rPr>
                <w:b/>
                <w:bCs/>
              </w:rPr>
            </w:pPr>
            <w:r w:rsidRPr="00C214C5">
              <w:rPr>
                <w:b/>
                <w:bCs/>
              </w:rPr>
              <w:t>Comparison</w:t>
            </w:r>
          </w:p>
        </w:tc>
      </w:tr>
      <w:tr w:rsidR="00A83D37" w:rsidRPr="00C214C5" w14:paraId="2D3D0DEF" w14:textId="77777777" w:rsidTr="00A83D37">
        <w:trPr>
          <w:tblCellSpacing w:w="15" w:type="dxa"/>
        </w:trPr>
        <w:tc>
          <w:tcPr>
            <w:tcW w:w="0" w:type="auto"/>
            <w:vAlign w:val="center"/>
            <w:hideMark/>
          </w:tcPr>
          <w:p w14:paraId="199B640E" w14:textId="77777777" w:rsidR="00A83D37" w:rsidRPr="00C214C5" w:rsidRDefault="00A83D37" w:rsidP="00A83D37">
            <w:pPr>
              <w:spacing w:after="0" w:line="240" w:lineRule="auto"/>
              <w:ind w:firstLine="0"/>
              <w:jc w:val="left"/>
            </w:pPr>
            <w:r w:rsidRPr="00C214C5">
              <w:t>300</w:t>
            </w:r>
          </w:p>
        </w:tc>
        <w:tc>
          <w:tcPr>
            <w:tcW w:w="0" w:type="auto"/>
            <w:vAlign w:val="center"/>
            <w:hideMark/>
          </w:tcPr>
          <w:p w14:paraId="795A1A90" w14:textId="77777777" w:rsidR="00A83D37" w:rsidRPr="00C214C5" w:rsidRDefault="00A83D37" w:rsidP="00A83D37">
            <w:pPr>
              <w:spacing w:after="0" w:line="240" w:lineRule="auto"/>
              <w:ind w:firstLine="0"/>
              <w:jc w:val="center"/>
            </w:pPr>
            <w:r w:rsidRPr="00C214C5">
              <w:t>500,000</w:t>
            </w:r>
          </w:p>
        </w:tc>
        <w:tc>
          <w:tcPr>
            <w:tcW w:w="0" w:type="auto"/>
            <w:vAlign w:val="center"/>
            <w:hideMark/>
          </w:tcPr>
          <w:p w14:paraId="10BA1055" w14:textId="77777777" w:rsidR="00A83D37" w:rsidRPr="00C214C5" w:rsidRDefault="00A83D37" w:rsidP="00A83D37">
            <w:pPr>
              <w:spacing w:after="0" w:line="240" w:lineRule="auto"/>
              <w:ind w:firstLine="0"/>
              <w:jc w:val="center"/>
            </w:pPr>
            <w:r w:rsidRPr="00C214C5">
              <w:t>40,000</w:t>
            </w:r>
          </w:p>
        </w:tc>
        <w:tc>
          <w:tcPr>
            <w:tcW w:w="0" w:type="auto"/>
            <w:vAlign w:val="center"/>
            <w:hideMark/>
          </w:tcPr>
          <w:p w14:paraId="4D1156D5" w14:textId="77777777" w:rsidR="00A83D37" w:rsidRPr="00C214C5" w:rsidRDefault="00A83D37" w:rsidP="00A83D37">
            <w:pPr>
              <w:spacing w:after="0" w:line="240" w:lineRule="auto"/>
              <w:ind w:firstLine="0"/>
            </w:pPr>
            <w:r w:rsidRPr="00C214C5">
              <w:t>Rome is significantly larger than Constantinople.</w:t>
            </w:r>
          </w:p>
        </w:tc>
      </w:tr>
      <w:tr w:rsidR="00A83D37" w:rsidRPr="00C214C5" w14:paraId="66674F57" w14:textId="77777777" w:rsidTr="00A83D37">
        <w:trPr>
          <w:tblCellSpacing w:w="15" w:type="dxa"/>
        </w:trPr>
        <w:tc>
          <w:tcPr>
            <w:tcW w:w="0" w:type="auto"/>
            <w:vAlign w:val="center"/>
            <w:hideMark/>
          </w:tcPr>
          <w:p w14:paraId="1A4C5A86" w14:textId="77777777" w:rsidR="00A83D37" w:rsidRPr="00C214C5" w:rsidRDefault="00A83D37" w:rsidP="00A83D37">
            <w:pPr>
              <w:spacing w:after="0" w:line="240" w:lineRule="auto"/>
              <w:ind w:firstLine="0"/>
            </w:pPr>
            <w:r w:rsidRPr="00C214C5">
              <w:t>330</w:t>
            </w:r>
          </w:p>
        </w:tc>
        <w:tc>
          <w:tcPr>
            <w:tcW w:w="0" w:type="auto"/>
            <w:vAlign w:val="center"/>
            <w:hideMark/>
          </w:tcPr>
          <w:p w14:paraId="7E399234" w14:textId="77777777" w:rsidR="00A83D37" w:rsidRPr="00C214C5" w:rsidRDefault="00A83D37" w:rsidP="00A83D37">
            <w:pPr>
              <w:spacing w:after="0" w:line="240" w:lineRule="auto"/>
              <w:ind w:firstLine="0"/>
              <w:jc w:val="center"/>
            </w:pPr>
            <w:r w:rsidRPr="00C214C5">
              <w:t>600,000</w:t>
            </w:r>
          </w:p>
        </w:tc>
        <w:tc>
          <w:tcPr>
            <w:tcW w:w="0" w:type="auto"/>
            <w:vAlign w:val="center"/>
            <w:hideMark/>
          </w:tcPr>
          <w:p w14:paraId="01AAD8B2" w14:textId="77777777" w:rsidR="00A83D37" w:rsidRPr="00C214C5" w:rsidRDefault="00A83D37" w:rsidP="00A83D37">
            <w:pPr>
              <w:spacing w:after="0" w:line="240" w:lineRule="auto"/>
              <w:ind w:firstLine="0"/>
              <w:jc w:val="center"/>
            </w:pPr>
            <w:r w:rsidRPr="00C214C5">
              <w:t>100,000</w:t>
            </w:r>
          </w:p>
        </w:tc>
        <w:tc>
          <w:tcPr>
            <w:tcW w:w="0" w:type="auto"/>
            <w:vAlign w:val="center"/>
            <w:hideMark/>
          </w:tcPr>
          <w:p w14:paraId="1247C543" w14:textId="77777777" w:rsidR="00A83D37" w:rsidRPr="00C214C5" w:rsidRDefault="00A83D37" w:rsidP="00A83D37">
            <w:pPr>
              <w:spacing w:after="0" w:line="240" w:lineRule="auto"/>
              <w:ind w:firstLine="0"/>
            </w:pPr>
            <w:r w:rsidRPr="00C214C5">
              <w:t>Rome remains much larger, but Constantinople is growing rapidly.</w:t>
            </w:r>
          </w:p>
        </w:tc>
      </w:tr>
      <w:tr w:rsidR="00A83D37" w:rsidRPr="00C214C5" w14:paraId="19A342DD" w14:textId="77777777" w:rsidTr="00A83D37">
        <w:trPr>
          <w:tblCellSpacing w:w="15" w:type="dxa"/>
        </w:trPr>
        <w:tc>
          <w:tcPr>
            <w:tcW w:w="0" w:type="auto"/>
            <w:vAlign w:val="center"/>
            <w:hideMark/>
          </w:tcPr>
          <w:p w14:paraId="245BAFB3" w14:textId="77777777" w:rsidR="00A83D37" w:rsidRPr="00C214C5" w:rsidRDefault="00A83D37" w:rsidP="00A83D37">
            <w:pPr>
              <w:spacing w:after="0" w:line="240" w:lineRule="auto"/>
              <w:ind w:firstLine="0"/>
            </w:pPr>
            <w:r w:rsidRPr="00C214C5">
              <w:t>350</w:t>
            </w:r>
          </w:p>
        </w:tc>
        <w:tc>
          <w:tcPr>
            <w:tcW w:w="0" w:type="auto"/>
            <w:vAlign w:val="center"/>
            <w:hideMark/>
          </w:tcPr>
          <w:p w14:paraId="6C701980" w14:textId="77777777" w:rsidR="00A83D37" w:rsidRPr="00C214C5" w:rsidRDefault="00A83D37" w:rsidP="00A83D37">
            <w:pPr>
              <w:spacing w:after="0" w:line="240" w:lineRule="auto"/>
              <w:ind w:firstLine="0"/>
              <w:jc w:val="center"/>
            </w:pPr>
            <w:r w:rsidRPr="00C214C5">
              <w:t>550,000</w:t>
            </w:r>
          </w:p>
        </w:tc>
        <w:tc>
          <w:tcPr>
            <w:tcW w:w="0" w:type="auto"/>
            <w:vAlign w:val="center"/>
            <w:hideMark/>
          </w:tcPr>
          <w:p w14:paraId="238F3B8A" w14:textId="77777777" w:rsidR="00A83D37" w:rsidRPr="00C214C5" w:rsidRDefault="00A83D37" w:rsidP="00A83D37">
            <w:pPr>
              <w:spacing w:after="0" w:line="240" w:lineRule="auto"/>
              <w:ind w:firstLine="0"/>
              <w:jc w:val="center"/>
            </w:pPr>
            <w:r w:rsidRPr="00C214C5">
              <w:t>150,000</w:t>
            </w:r>
          </w:p>
        </w:tc>
        <w:tc>
          <w:tcPr>
            <w:tcW w:w="0" w:type="auto"/>
            <w:vAlign w:val="center"/>
            <w:hideMark/>
          </w:tcPr>
          <w:p w14:paraId="48EBD04F" w14:textId="77777777" w:rsidR="00A83D37" w:rsidRPr="00C214C5" w:rsidRDefault="00A83D37" w:rsidP="00A83D37">
            <w:pPr>
              <w:spacing w:after="0" w:line="240" w:lineRule="auto"/>
              <w:ind w:firstLine="0"/>
            </w:pPr>
            <w:r w:rsidRPr="00C214C5">
              <w:t>Constantinople’s population continues to increase steadily.</w:t>
            </w:r>
          </w:p>
        </w:tc>
      </w:tr>
      <w:tr w:rsidR="00A83D37" w:rsidRPr="00C214C5" w14:paraId="29122704" w14:textId="77777777" w:rsidTr="00A83D37">
        <w:trPr>
          <w:tblCellSpacing w:w="15" w:type="dxa"/>
        </w:trPr>
        <w:tc>
          <w:tcPr>
            <w:tcW w:w="0" w:type="auto"/>
            <w:vAlign w:val="center"/>
            <w:hideMark/>
          </w:tcPr>
          <w:p w14:paraId="2748DBCC" w14:textId="77777777" w:rsidR="00A83D37" w:rsidRPr="00C214C5" w:rsidRDefault="00A83D37" w:rsidP="00A83D37">
            <w:pPr>
              <w:spacing w:after="0" w:line="240" w:lineRule="auto"/>
              <w:ind w:firstLine="0"/>
            </w:pPr>
            <w:r w:rsidRPr="00C214C5">
              <w:t>400</w:t>
            </w:r>
          </w:p>
        </w:tc>
        <w:tc>
          <w:tcPr>
            <w:tcW w:w="0" w:type="auto"/>
            <w:vAlign w:val="center"/>
            <w:hideMark/>
          </w:tcPr>
          <w:p w14:paraId="3124EDD6" w14:textId="77777777" w:rsidR="00A83D37" w:rsidRPr="00C214C5" w:rsidRDefault="00A83D37" w:rsidP="00A83D37">
            <w:pPr>
              <w:spacing w:after="0" w:line="240" w:lineRule="auto"/>
              <w:ind w:firstLine="0"/>
              <w:jc w:val="center"/>
            </w:pPr>
            <w:r w:rsidRPr="00C214C5">
              <w:t>400,000</w:t>
            </w:r>
          </w:p>
        </w:tc>
        <w:tc>
          <w:tcPr>
            <w:tcW w:w="0" w:type="auto"/>
            <w:vAlign w:val="center"/>
            <w:hideMark/>
          </w:tcPr>
          <w:p w14:paraId="70C50494" w14:textId="77777777" w:rsidR="00A83D37" w:rsidRPr="00C214C5" w:rsidRDefault="00A83D37" w:rsidP="00A83D37">
            <w:pPr>
              <w:spacing w:after="0" w:line="240" w:lineRule="auto"/>
              <w:ind w:firstLine="0"/>
              <w:jc w:val="center"/>
            </w:pPr>
            <w:r w:rsidRPr="00C214C5">
              <w:t>250,000</w:t>
            </w:r>
          </w:p>
        </w:tc>
        <w:tc>
          <w:tcPr>
            <w:tcW w:w="0" w:type="auto"/>
            <w:vAlign w:val="center"/>
            <w:hideMark/>
          </w:tcPr>
          <w:p w14:paraId="514D99CD" w14:textId="77777777" w:rsidR="00A83D37" w:rsidRPr="00C214C5" w:rsidRDefault="00A83D37" w:rsidP="00A83D37">
            <w:pPr>
              <w:spacing w:after="0" w:line="240" w:lineRule="auto"/>
              <w:ind w:firstLine="0"/>
            </w:pPr>
            <w:r w:rsidRPr="00C214C5">
              <w:t>Rome is still larger, but Constantinople is closing the gap.</w:t>
            </w:r>
          </w:p>
        </w:tc>
      </w:tr>
      <w:tr w:rsidR="00A83D37" w:rsidRPr="00C214C5" w14:paraId="1ED00E85" w14:textId="77777777" w:rsidTr="00A83D37">
        <w:trPr>
          <w:tblCellSpacing w:w="15" w:type="dxa"/>
        </w:trPr>
        <w:tc>
          <w:tcPr>
            <w:tcW w:w="0" w:type="auto"/>
            <w:vAlign w:val="center"/>
            <w:hideMark/>
          </w:tcPr>
          <w:p w14:paraId="386F7A41" w14:textId="77777777" w:rsidR="00A83D37" w:rsidRPr="00C214C5" w:rsidRDefault="00A83D37" w:rsidP="00A83D37">
            <w:pPr>
              <w:spacing w:after="0" w:line="240" w:lineRule="auto"/>
              <w:ind w:firstLine="0"/>
            </w:pPr>
            <w:r w:rsidRPr="00C214C5">
              <w:t>410</w:t>
            </w:r>
          </w:p>
        </w:tc>
        <w:tc>
          <w:tcPr>
            <w:tcW w:w="0" w:type="auto"/>
            <w:vAlign w:val="center"/>
            <w:hideMark/>
          </w:tcPr>
          <w:p w14:paraId="27B1D320" w14:textId="77777777" w:rsidR="00A83D37" w:rsidRPr="00C214C5" w:rsidRDefault="00A83D37" w:rsidP="00A83D37">
            <w:pPr>
              <w:spacing w:after="0" w:line="240" w:lineRule="auto"/>
              <w:ind w:firstLine="0"/>
              <w:jc w:val="center"/>
            </w:pPr>
            <w:r w:rsidRPr="00C214C5">
              <w:t>300,000</w:t>
            </w:r>
          </w:p>
        </w:tc>
        <w:tc>
          <w:tcPr>
            <w:tcW w:w="0" w:type="auto"/>
            <w:vAlign w:val="center"/>
            <w:hideMark/>
          </w:tcPr>
          <w:p w14:paraId="6BFD3F59" w14:textId="77777777" w:rsidR="00A83D37" w:rsidRPr="00C214C5" w:rsidRDefault="00A83D37" w:rsidP="00A83D37">
            <w:pPr>
              <w:spacing w:after="0" w:line="240" w:lineRule="auto"/>
              <w:ind w:firstLine="0"/>
              <w:jc w:val="center"/>
            </w:pPr>
            <w:r w:rsidRPr="00C214C5">
              <w:t>300,000</w:t>
            </w:r>
          </w:p>
        </w:tc>
        <w:tc>
          <w:tcPr>
            <w:tcW w:w="0" w:type="auto"/>
            <w:vAlign w:val="center"/>
            <w:hideMark/>
          </w:tcPr>
          <w:p w14:paraId="6D743988" w14:textId="77777777" w:rsidR="00A83D37" w:rsidRPr="00C214C5" w:rsidRDefault="00A83D37" w:rsidP="00A83D37">
            <w:pPr>
              <w:spacing w:after="0" w:line="240" w:lineRule="auto"/>
              <w:ind w:firstLine="0"/>
            </w:pPr>
            <w:r w:rsidRPr="00C214C5">
              <w:t>Constantinople approaches Rome’s size, as Rome declines after invasions.</w:t>
            </w:r>
          </w:p>
        </w:tc>
      </w:tr>
      <w:tr w:rsidR="00A83D37" w:rsidRPr="00C214C5" w14:paraId="2A2010E7" w14:textId="77777777" w:rsidTr="00A83D37">
        <w:trPr>
          <w:tblCellSpacing w:w="15" w:type="dxa"/>
        </w:trPr>
        <w:tc>
          <w:tcPr>
            <w:tcW w:w="0" w:type="auto"/>
            <w:vAlign w:val="center"/>
            <w:hideMark/>
          </w:tcPr>
          <w:p w14:paraId="2EC9BE63" w14:textId="77777777" w:rsidR="00A83D37" w:rsidRPr="00C214C5" w:rsidRDefault="00A83D37" w:rsidP="00A83D37">
            <w:pPr>
              <w:spacing w:after="0" w:line="240" w:lineRule="auto"/>
              <w:ind w:firstLine="0"/>
            </w:pPr>
            <w:r w:rsidRPr="00C214C5">
              <w:t>450</w:t>
            </w:r>
          </w:p>
        </w:tc>
        <w:tc>
          <w:tcPr>
            <w:tcW w:w="0" w:type="auto"/>
            <w:vAlign w:val="center"/>
            <w:hideMark/>
          </w:tcPr>
          <w:p w14:paraId="0C99AD0A" w14:textId="77777777" w:rsidR="00A83D37" w:rsidRPr="00C214C5" w:rsidRDefault="00A83D37" w:rsidP="00A83D37">
            <w:pPr>
              <w:spacing w:after="0" w:line="240" w:lineRule="auto"/>
              <w:ind w:firstLine="0"/>
              <w:jc w:val="center"/>
            </w:pPr>
            <w:r w:rsidRPr="00C214C5">
              <w:t>250,000</w:t>
            </w:r>
          </w:p>
        </w:tc>
        <w:tc>
          <w:tcPr>
            <w:tcW w:w="0" w:type="auto"/>
            <w:vAlign w:val="center"/>
            <w:hideMark/>
          </w:tcPr>
          <w:p w14:paraId="7E9020A3" w14:textId="77777777" w:rsidR="00A83D37" w:rsidRPr="00C214C5" w:rsidRDefault="00A83D37" w:rsidP="00A83D37">
            <w:pPr>
              <w:spacing w:after="0" w:line="240" w:lineRule="auto"/>
              <w:ind w:firstLine="0"/>
              <w:jc w:val="center"/>
            </w:pPr>
            <w:r w:rsidRPr="00C214C5">
              <w:t>350,000</w:t>
            </w:r>
          </w:p>
        </w:tc>
        <w:tc>
          <w:tcPr>
            <w:tcW w:w="0" w:type="auto"/>
            <w:vAlign w:val="center"/>
            <w:hideMark/>
          </w:tcPr>
          <w:p w14:paraId="7A40FC68" w14:textId="77777777" w:rsidR="00A83D37" w:rsidRPr="00C214C5" w:rsidRDefault="00A83D37" w:rsidP="00A83D37">
            <w:pPr>
              <w:spacing w:after="0" w:line="240" w:lineRule="auto"/>
              <w:ind w:firstLine="0"/>
            </w:pPr>
            <w:r w:rsidRPr="00C214C5">
              <w:t>Constantinople surpasses Rome in population and importance.</w:t>
            </w:r>
          </w:p>
        </w:tc>
      </w:tr>
      <w:tr w:rsidR="00A83D37" w:rsidRPr="00C214C5" w14:paraId="16E5BC01" w14:textId="77777777" w:rsidTr="00A83D37">
        <w:trPr>
          <w:tblCellSpacing w:w="15" w:type="dxa"/>
        </w:trPr>
        <w:tc>
          <w:tcPr>
            <w:tcW w:w="0" w:type="auto"/>
            <w:vAlign w:val="center"/>
            <w:hideMark/>
          </w:tcPr>
          <w:p w14:paraId="2B352FC8" w14:textId="77777777" w:rsidR="00A83D37" w:rsidRPr="00C214C5" w:rsidRDefault="00A83D37" w:rsidP="00A83D37">
            <w:pPr>
              <w:spacing w:after="0" w:line="240" w:lineRule="auto"/>
              <w:ind w:firstLine="0"/>
            </w:pPr>
            <w:r w:rsidRPr="00C214C5">
              <w:t>476</w:t>
            </w:r>
          </w:p>
        </w:tc>
        <w:tc>
          <w:tcPr>
            <w:tcW w:w="0" w:type="auto"/>
            <w:vAlign w:val="center"/>
            <w:hideMark/>
          </w:tcPr>
          <w:p w14:paraId="3276D889" w14:textId="77777777" w:rsidR="00A83D37" w:rsidRPr="00C214C5" w:rsidRDefault="00A83D37" w:rsidP="00A83D37">
            <w:pPr>
              <w:spacing w:after="0" w:line="240" w:lineRule="auto"/>
              <w:ind w:firstLine="0"/>
              <w:jc w:val="center"/>
            </w:pPr>
            <w:r w:rsidRPr="00C214C5">
              <w:t>200,000</w:t>
            </w:r>
          </w:p>
        </w:tc>
        <w:tc>
          <w:tcPr>
            <w:tcW w:w="0" w:type="auto"/>
            <w:vAlign w:val="center"/>
            <w:hideMark/>
          </w:tcPr>
          <w:p w14:paraId="145DC12F" w14:textId="77777777" w:rsidR="00A83D37" w:rsidRPr="00C214C5" w:rsidRDefault="00A83D37" w:rsidP="00A83D37">
            <w:pPr>
              <w:spacing w:after="0" w:line="240" w:lineRule="auto"/>
              <w:ind w:firstLine="0"/>
              <w:jc w:val="center"/>
            </w:pPr>
            <w:r w:rsidRPr="00C214C5">
              <w:t>400,000</w:t>
            </w:r>
          </w:p>
        </w:tc>
        <w:tc>
          <w:tcPr>
            <w:tcW w:w="0" w:type="auto"/>
            <w:vAlign w:val="center"/>
            <w:hideMark/>
          </w:tcPr>
          <w:p w14:paraId="6BC8F180" w14:textId="77777777" w:rsidR="00A83D37" w:rsidRPr="00C214C5" w:rsidRDefault="00A83D37" w:rsidP="00A83D37">
            <w:pPr>
              <w:spacing w:after="0" w:line="240" w:lineRule="auto"/>
              <w:ind w:firstLine="0"/>
            </w:pPr>
            <w:r w:rsidRPr="00C214C5">
              <w:t>Constantinople solidifies its dominance, Rome declines further.</w:t>
            </w:r>
          </w:p>
        </w:tc>
      </w:tr>
      <w:tr w:rsidR="00A83D37" w:rsidRPr="00C214C5" w14:paraId="3674CDA4" w14:textId="77777777" w:rsidTr="00A83D37">
        <w:trPr>
          <w:tblCellSpacing w:w="15" w:type="dxa"/>
        </w:trPr>
        <w:tc>
          <w:tcPr>
            <w:tcW w:w="0" w:type="auto"/>
            <w:vAlign w:val="center"/>
            <w:hideMark/>
          </w:tcPr>
          <w:p w14:paraId="066A39A0" w14:textId="77777777" w:rsidR="00A83D37" w:rsidRPr="00C214C5" w:rsidRDefault="00A83D37" w:rsidP="00A83D37">
            <w:pPr>
              <w:spacing w:after="0" w:line="240" w:lineRule="auto"/>
              <w:ind w:firstLine="0"/>
            </w:pPr>
            <w:r w:rsidRPr="00C214C5">
              <w:t>500</w:t>
            </w:r>
          </w:p>
        </w:tc>
        <w:tc>
          <w:tcPr>
            <w:tcW w:w="0" w:type="auto"/>
            <w:vAlign w:val="center"/>
            <w:hideMark/>
          </w:tcPr>
          <w:p w14:paraId="343158A3" w14:textId="77777777" w:rsidR="00A83D37" w:rsidRPr="00C214C5" w:rsidRDefault="00A83D37" w:rsidP="00A83D37">
            <w:pPr>
              <w:spacing w:after="0" w:line="240" w:lineRule="auto"/>
              <w:ind w:firstLine="0"/>
              <w:jc w:val="center"/>
            </w:pPr>
            <w:r w:rsidRPr="00C214C5">
              <w:t>100,000</w:t>
            </w:r>
          </w:p>
        </w:tc>
        <w:tc>
          <w:tcPr>
            <w:tcW w:w="0" w:type="auto"/>
            <w:vAlign w:val="center"/>
            <w:hideMark/>
          </w:tcPr>
          <w:p w14:paraId="642230D1" w14:textId="77777777" w:rsidR="00A83D37" w:rsidRPr="00C214C5" w:rsidRDefault="00A83D37" w:rsidP="00A83D37">
            <w:pPr>
              <w:spacing w:after="0" w:line="240" w:lineRule="auto"/>
              <w:ind w:firstLine="0"/>
              <w:jc w:val="center"/>
            </w:pPr>
            <w:r w:rsidRPr="00C214C5">
              <w:t>500,000</w:t>
            </w:r>
          </w:p>
        </w:tc>
        <w:tc>
          <w:tcPr>
            <w:tcW w:w="0" w:type="auto"/>
            <w:vAlign w:val="center"/>
            <w:hideMark/>
          </w:tcPr>
          <w:p w14:paraId="0EB7A655" w14:textId="77777777" w:rsidR="00A83D37" w:rsidRPr="00C214C5" w:rsidRDefault="00A83D37" w:rsidP="00A83D37">
            <w:pPr>
              <w:spacing w:after="0" w:line="240" w:lineRule="auto"/>
              <w:ind w:firstLine="0"/>
            </w:pPr>
            <w:r w:rsidRPr="00C214C5">
              <w:t>Constantinople is far larger than Rome, now a regional hub.</w:t>
            </w:r>
          </w:p>
        </w:tc>
      </w:tr>
      <w:tr w:rsidR="00A83D37" w:rsidRPr="00C214C5" w14:paraId="3192542A" w14:textId="77777777" w:rsidTr="00A83D37">
        <w:trPr>
          <w:tblCellSpacing w:w="15" w:type="dxa"/>
        </w:trPr>
        <w:tc>
          <w:tcPr>
            <w:tcW w:w="0" w:type="auto"/>
            <w:vAlign w:val="center"/>
            <w:hideMark/>
          </w:tcPr>
          <w:p w14:paraId="3A01E059" w14:textId="77777777" w:rsidR="00A83D37" w:rsidRPr="00C214C5" w:rsidRDefault="00A83D37" w:rsidP="00A83D37">
            <w:pPr>
              <w:spacing w:after="0" w:line="240" w:lineRule="auto"/>
              <w:ind w:firstLine="0"/>
            </w:pPr>
            <w:r w:rsidRPr="00C214C5">
              <w:t>541</w:t>
            </w:r>
          </w:p>
        </w:tc>
        <w:tc>
          <w:tcPr>
            <w:tcW w:w="0" w:type="auto"/>
            <w:vAlign w:val="center"/>
            <w:hideMark/>
          </w:tcPr>
          <w:p w14:paraId="75089304" w14:textId="77777777" w:rsidR="00A83D37" w:rsidRPr="00C214C5" w:rsidRDefault="00A83D37" w:rsidP="00A83D37">
            <w:pPr>
              <w:spacing w:after="0" w:line="240" w:lineRule="auto"/>
              <w:ind w:firstLine="0"/>
              <w:jc w:val="center"/>
            </w:pPr>
            <w:r w:rsidRPr="00C214C5">
              <w:t>75,000</w:t>
            </w:r>
          </w:p>
        </w:tc>
        <w:tc>
          <w:tcPr>
            <w:tcW w:w="0" w:type="auto"/>
            <w:vAlign w:val="center"/>
            <w:hideMark/>
          </w:tcPr>
          <w:p w14:paraId="64FCF4BD" w14:textId="77777777" w:rsidR="00A83D37" w:rsidRPr="00C214C5" w:rsidRDefault="00A83D37" w:rsidP="00A83D37">
            <w:pPr>
              <w:spacing w:after="0" w:line="240" w:lineRule="auto"/>
              <w:ind w:firstLine="0"/>
              <w:jc w:val="center"/>
            </w:pPr>
            <w:r w:rsidRPr="00C214C5">
              <w:t>250,000</w:t>
            </w:r>
          </w:p>
        </w:tc>
        <w:tc>
          <w:tcPr>
            <w:tcW w:w="0" w:type="auto"/>
            <w:vAlign w:val="center"/>
            <w:hideMark/>
          </w:tcPr>
          <w:p w14:paraId="5745F344" w14:textId="77777777" w:rsidR="00A83D37" w:rsidRPr="00C214C5" w:rsidRDefault="00A83D37" w:rsidP="00A83D37">
            <w:pPr>
              <w:spacing w:after="0" w:line="240" w:lineRule="auto"/>
              <w:ind w:firstLine="0"/>
            </w:pPr>
            <w:r w:rsidRPr="00C214C5">
              <w:t>Both cities are impacted by plague, but Constantinople recovers faster.</w:t>
            </w:r>
          </w:p>
        </w:tc>
      </w:tr>
      <w:tr w:rsidR="00A83D37" w:rsidRPr="00C214C5" w14:paraId="5328AC6A" w14:textId="77777777" w:rsidTr="00A83D37">
        <w:trPr>
          <w:tblCellSpacing w:w="15" w:type="dxa"/>
        </w:trPr>
        <w:tc>
          <w:tcPr>
            <w:tcW w:w="0" w:type="auto"/>
            <w:vAlign w:val="center"/>
            <w:hideMark/>
          </w:tcPr>
          <w:p w14:paraId="55B3AEA4" w14:textId="77777777" w:rsidR="00A83D37" w:rsidRPr="00C214C5" w:rsidRDefault="00A83D37" w:rsidP="00A83D37">
            <w:pPr>
              <w:spacing w:after="0" w:line="240" w:lineRule="auto"/>
              <w:ind w:firstLine="0"/>
            </w:pPr>
            <w:r w:rsidRPr="00C214C5">
              <w:t>600</w:t>
            </w:r>
          </w:p>
        </w:tc>
        <w:tc>
          <w:tcPr>
            <w:tcW w:w="0" w:type="auto"/>
            <w:vAlign w:val="center"/>
            <w:hideMark/>
          </w:tcPr>
          <w:p w14:paraId="693FAC2E" w14:textId="77777777" w:rsidR="00A83D37" w:rsidRPr="00C214C5" w:rsidRDefault="00A83D37" w:rsidP="00A83D37">
            <w:pPr>
              <w:spacing w:after="0" w:line="240" w:lineRule="auto"/>
              <w:ind w:firstLine="0"/>
              <w:jc w:val="center"/>
            </w:pPr>
            <w:r w:rsidRPr="00C214C5">
              <w:t>50,000</w:t>
            </w:r>
          </w:p>
        </w:tc>
        <w:tc>
          <w:tcPr>
            <w:tcW w:w="0" w:type="auto"/>
            <w:vAlign w:val="center"/>
            <w:hideMark/>
          </w:tcPr>
          <w:p w14:paraId="4ABD6269" w14:textId="77777777" w:rsidR="00A83D37" w:rsidRPr="00C214C5" w:rsidRDefault="00A83D37" w:rsidP="00A83D37">
            <w:pPr>
              <w:spacing w:after="0" w:line="240" w:lineRule="auto"/>
              <w:ind w:firstLine="0"/>
              <w:jc w:val="center"/>
            </w:pPr>
            <w:r w:rsidRPr="00C214C5">
              <w:t>300,000</w:t>
            </w:r>
          </w:p>
        </w:tc>
        <w:tc>
          <w:tcPr>
            <w:tcW w:w="0" w:type="auto"/>
            <w:vAlign w:val="center"/>
            <w:hideMark/>
          </w:tcPr>
          <w:p w14:paraId="5E754017" w14:textId="77777777" w:rsidR="00A83D37" w:rsidRPr="00C214C5" w:rsidRDefault="00A83D37" w:rsidP="00A83D37">
            <w:pPr>
              <w:spacing w:after="0" w:line="240" w:lineRule="auto"/>
              <w:ind w:firstLine="0"/>
            </w:pPr>
            <w:r w:rsidRPr="00C214C5">
              <w:t>Constantinople remains dominant, Rome is now a minor city.</w:t>
            </w:r>
          </w:p>
        </w:tc>
      </w:tr>
    </w:tbl>
    <w:p w14:paraId="5A6B3439" w14:textId="3A91F554" w:rsidR="00A83D37" w:rsidRPr="00C214C5" w:rsidRDefault="00A83D37" w:rsidP="00A83D37">
      <w:pPr>
        <w:pStyle w:val="NormalWeb"/>
      </w:pPr>
      <w:r w:rsidRPr="00C214C5">
        <w:t>This detailed comparison highlights the gradual but dramatic shift in urban prominence from Rome to Constantinople during the late antique period.</w:t>
      </w:r>
    </w:p>
    <w:p w14:paraId="6F0967C1" w14:textId="77777777" w:rsidR="00A216AE" w:rsidRPr="00C214C5" w:rsidRDefault="00A216AE" w:rsidP="00E3735B">
      <w:pPr>
        <w:pStyle w:val="Heading3"/>
        <w:rPr>
          <w:sz w:val="27"/>
          <w:szCs w:val="27"/>
        </w:rPr>
      </w:pPr>
      <w:bookmarkStart w:id="19" w:name="_Toc182111017"/>
      <w:r w:rsidRPr="00C214C5">
        <w:t>Population Comparison: Rome vs Constantinople (300–600 AD)</w:t>
      </w:r>
      <w:bookmarkEnd w:id="19"/>
    </w:p>
    <w:p w14:paraId="56DE44A8" w14:textId="77777777" w:rsidR="00A216AE" w:rsidRPr="00C214C5" w:rsidRDefault="00A216AE" w:rsidP="00A216AE">
      <w:pPr>
        <w:pStyle w:val="NormalWeb"/>
      </w:pPr>
      <w:r w:rsidRPr="00C214C5">
        <w:t xml:space="preserve">The population dynamics of Rome and Constantinople from 300 to 600 AD demonstrate a clear shift in urban prominence. Initially, Rome was far larger, serving as the symbolic and administrative heart of the Roman Empire. However, as political power moved </w:t>
      </w:r>
      <w:r w:rsidRPr="00C214C5">
        <w:lastRenderedPageBreak/>
        <w:t>eastward to Constantinople, and Rome faced economic decline, invasions, and plague, Constantinople gradually surpassed Rome in population and significance. By 600 AD, Constantinople was firmly established as the dominant city, with Rome reduced to a shadow of its former self.</w:t>
      </w:r>
    </w:p>
    <w:p w14:paraId="27FCD074" w14:textId="77777777" w:rsidR="00A216AE" w:rsidRPr="00C214C5" w:rsidRDefault="00A216AE" w:rsidP="00A216AE">
      <w:pPr>
        <w:pStyle w:val="Heading4"/>
      </w:pPr>
      <w:r w:rsidRPr="00C214C5">
        <w:t>Key Trends:</w:t>
      </w:r>
    </w:p>
    <w:p w14:paraId="28D5A970" w14:textId="77777777" w:rsidR="00A216AE" w:rsidRPr="00C214C5" w:rsidRDefault="00A216AE" w:rsidP="00A216AE">
      <w:pPr>
        <w:numPr>
          <w:ilvl w:val="0"/>
          <w:numId w:val="11"/>
        </w:numPr>
        <w:spacing w:before="100" w:beforeAutospacing="1" w:after="100" w:afterAutospacing="1" w:line="240" w:lineRule="auto"/>
        <w:jc w:val="left"/>
      </w:pPr>
      <w:r w:rsidRPr="00C214C5">
        <w:rPr>
          <w:rStyle w:val="Strong"/>
        </w:rPr>
        <w:t>300 AD</w:t>
      </w:r>
      <w:r w:rsidRPr="00C214C5">
        <w:t>: Rome, with a population of approximately 500,000, was significantly larger than Constantinople, a modest settlement of about 40,000.</w:t>
      </w:r>
    </w:p>
    <w:p w14:paraId="27D2097A" w14:textId="77777777" w:rsidR="00A216AE" w:rsidRPr="00C214C5" w:rsidRDefault="00A216AE" w:rsidP="00A216AE">
      <w:pPr>
        <w:numPr>
          <w:ilvl w:val="0"/>
          <w:numId w:val="11"/>
        </w:numPr>
        <w:spacing w:before="100" w:beforeAutospacing="1" w:after="100" w:afterAutospacing="1" w:line="240" w:lineRule="auto"/>
        <w:jc w:val="left"/>
      </w:pPr>
      <w:r w:rsidRPr="00C214C5">
        <w:rPr>
          <w:rStyle w:val="Strong"/>
        </w:rPr>
        <w:t>330 AD</w:t>
      </w:r>
      <w:r w:rsidRPr="00C214C5">
        <w:t>: Following Constantine’s establishment of Constantinople as the capital, its population began to grow, reaching an estimated 100,000.</w:t>
      </w:r>
    </w:p>
    <w:p w14:paraId="3FC2545A" w14:textId="77777777" w:rsidR="00A216AE" w:rsidRPr="00C214C5" w:rsidRDefault="00A216AE" w:rsidP="00A216AE">
      <w:pPr>
        <w:numPr>
          <w:ilvl w:val="0"/>
          <w:numId w:val="11"/>
        </w:numPr>
        <w:spacing w:before="100" w:beforeAutospacing="1" w:after="100" w:afterAutospacing="1" w:line="240" w:lineRule="auto"/>
        <w:jc w:val="left"/>
      </w:pPr>
      <w:r w:rsidRPr="00C214C5">
        <w:rPr>
          <w:rStyle w:val="Strong"/>
        </w:rPr>
        <w:t>400 AD</w:t>
      </w:r>
      <w:r w:rsidRPr="00C214C5">
        <w:t>: While Rome retained a population of around 400,000, Constantinople grew rapidly to approximately 250,000, closing the gap.</w:t>
      </w:r>
    </w:p>
    <w:p w14:paraId="1D2AE208" w14:textId="77777777" w:rsidR="00A216AE" w:rsidRPr="00C214C5" w:rsidRDefault="00A216AE" w:rsidP="00A216AE">
      <w:pPr>
        <w:numPr>
          <w:ilvl w:val="0"/>
          <w:numId w:val="11"/>
        </w:numPr>
        <w:spacing w:before="100" w:beforeAutospacing="1" w:after="100" w:afterAutospacing="1" w:line="240" w:lineRule="auto"/>
        <w:jc w:val="left"/>
      </w:pPr>
      <w:r w:rsidRPr="00C214C5">
        <w:rPr>
          <w:rStyle w:val="Strong"/>
        </w:rPr>
        <w:t>476 AD</w:t>
      </w:r>
      <w:r w:rsidRPr="00C214C5">
        <w:t>: By the fall of the Western Roman Empire, Rome’s population had declined to around 200,000, while Constantinople surpassed it at roughly 400,000.</w:t>
      </w:r>
    </w:p>
    <w:p w14:paraId="112DFE83" w14:textId="77777777" w:rsidR="00A216AE" w:rsidRDefault="00A216AE" w:rsidP="00A216AE">
      <w:pPr>
        <w:numPr>
          <w:ilvl w:val="0"/>
          <w:numId w:val="11"/>
        </w:numPr>
        <w:spacing w:before="100" w:beforeAutospacing="1" w:after="100" w:afterAutospacing="1" w:line="240" w:lineRule="auto"/>
        <w:jc w:val="left"/>
      </w:pPr>
      <w:r w:rsidRPr="00C214C5">
        <w:rPr>
          <w:rStyle w:val="Strong"/>
        </w:rPr>
        <w:t>600 AD</w:t>
      </w:r>
      <w:r w:rsidRPr="00C214C5">
        <w:t>: Rome’s population fell to a mere 50,000 due to continued decline and plague, whereas Constantinople, with around 300,000, remained a thriving metropolis.</w:t>
      </w:r>
    </w:p>
    <w:p w14:paraId="4ADB6D7B" w14:textId="2CD21D6A" w:rsidR="00CB7521" w:rsidRDefault="00CB7521" w:rsidP="00CB7521">
      <w:pPr>
        <w:spacing w:before="100" w:beforeAutospacing="1" w:after="100" w:afterAutospacing="1" w:line="240" w:lineRule="auto"/>
        <w:ind w:firstLine="0"/>
        <w:jc w:val="left"/>
      </w:pPr>
      <w:r w:rsidRPr="00C214C5">
        <w:rPr>
          <w:noProof/>
        </w:rPr>
        <w:drawing>
          <wp:inline distT="0" distB="0" distL="0" distR="0" wp14:anchorId="13BF3744" wp14:editId="2562E8D6">
            <wp:extent cx="5731510" cy="3416935"/>
            <wp:effectExtent l="0" t="0" r="2540" b="0"/>
            <wp:docPr id="912456758" name="Picture 1" descr="Output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descr="Output imag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3416935"/>
                    </a:xfrm>
                    <a:prstGeom prst="rect">
                      <a:avLst/>
                    </a:prstGeom>
                    <a:noFill/>
                    <a:ln>
                      <a:noFill/>
                    </a:ln>
                  </pic:spPr>
                </pic:pic>
              </a:graphicData>
            </a:graphic>
          </wp:inline>
        </w:drawing>
      </w:r>
    </w:p>
    <w:p w14:paraId="328B07E1" w14:textId="77777777" w:rsidR="00CB7521" w:rsidRPr="00C214C5" w:rsidRDefault="00CB7521" w:rsidP="00CB7521">
      <w:pPr>
        <w:spacing w:before="100" w:beforeAutospacing="1" w:after="100" w:afterAutospacing="1" w:line="240" w:lineRule="auto"/>
        <w:jc w:val="left"/>
      </w:pPr>
    </w:p>
    <w:p w14:paraId="01DA7700" w14:textId="79143421" w:rsidR="00CB7521" w:rsidRPr="00CB7521" w:rsidRDefault="00CB7521" w:rsidP="00CB7521">
      <w:pPr>
        <w:ind w:firstLine="0"/>
      </w:pPr>
      <w:r>
        <w:tab/>
      </w:r>
      <w:r w:rsidRPr="00CB7521">
        <w:t xml:space="preserve">Recent scholarship suggests that rather than a straightforward decline, the Roman Empire experienced significant demographic redistribution, with population centres shifting from Rome to other regions like Constantinople. Launaro (2017) challenges earlier narratives of population collapse, arguing that “the changes in agricultural production do not align with </w:t>
      </w:r>
      <w:r w:rsidRPr="00CB7521">
        <w:lastRenderedPageBreak/>
        <w:t>the presumed population trends.” Similarly, Verhagen (2022) highlights estimates of staple goods and population sizes, which suggest a robust and adaptable population structure rather than a dramatic decline.</w:t>
      </w:r>
    </w:p>
    <w:p w14:paraId="42BF8916" w14:textId="10EFF3D4" w:rsidR="00CB7521" w:rsidRPr="00CB7521" w:rsidRDefault="00CB7521" w:rsidP="00CB7521">
      <w:pPr>
        <w:ind w:firstLine="0"/>
      </w:pPr>
      <w:r>
        <w:tab/>
      </w:r>
      <w:r w:rsidRPr="00CB7521">
        <w:t>The population dynamics between Rome and Constantinople from 300 to 600 AD illustrate this redistribution. Initially, Rome was the symbolic and administrative heart of the Empire. However, as Constantinople grew in political and economic importance, Rome faced economic challenges, invasions, and plagues. By 600 AD, Constantinople had surpassed Rome, becoming the dominant urban centre. This shift, rather than reflecting collapse, demonstrates the strategic realignment of population and power.</w:t>
      </w:r>
    </w:p>
    <w:p w14:paraId="48FAD793" w14:textId="6069C20A" w:rsidR="00CB7521" w:rsidRPr="00CB7521" w:rsidRDefault="00CB7521" w:rsidP="00CB7521">
      <w:pPr>
        <w:ind w:firstLine="0"/>
      </w:pPr>
      <w:r>
        <w:tab/>
      </w:r>
      <w:r w:rsidRPr="00CB7521">
        <w:t>To explore these patterns, this dissertation employs a Python-based demographic model, integrating data from climate studies, archaeological findings, and historical records. Libraries such as Pandas and Scikit-learn will process and analyse these datasets. Climate studies, including McCormick et al. (2012), assess environmental factors’ impact on agricultural productivity and resource availability. Archaeological data, such as settlement patterns and artefacts, provide insights into urban and rural population shifts, while primary sources like tax records and inscriptions offer quantitative data on population distribution and economic activity.</w:t>
      </w:r>
    </w:p>
    <w:p w14:paraId="5A2D0049" w14:textId="5445D20C" w:rsidR="00CB7521" w:rsidRPr="00CB7521" w:rsidRDefault="00CB7521" w:rsidP="00CB7521">
      <w:pPr>
        <w:ind w:firstLine="0"/>
      </w:pPr>
      <w:r>
        <w:tab/>
      </w:r>
      <w:r w:rsidRPr="00CB7521">
        <w:t>The machine learning engine will simulate various scenarios, predicting demographic changes and the impact of governance, environmental factors, and socio-economic conditions (Wildman and Shults, 2024; Price et al., 2022). This comprehensive approach ensures a nuanced understanding of how these factors influenced population redistribution (Heumann, Graziano, and Fiaschetti, 2022).</w:t>
      </w:r>
    </w:p>
    <w:p w14:paraId="0B70E137" w14:textId="1597FD17" w:rsidR="00CB7521" w:rsidRPr="00CB7521" w:rsidRDefault="00CB7521" w:rsidP="00CB7521">
      <w:pPr>
        <w:ind w:firstLine="0"/>
      </w:pPr>
      <w:r>
        <w:tab/>
      </w:r>
      <w:r w:rsidRPr="00CB7521">
        <w:t xml:space="preserve">Launaro’s findings refine the model by challenging assumed rural population declines, showing that stable agricultural systems underpinned population shifts. Verhagen’s estimates </w:t>
      </w:r>
      <w:r w:rsidRPr="00CB7521">
        <w:lastRenderedPageBreak/>
        <w:t>calibrate urban populations, reinforcing the perspective of a strategic redistribution. Together, these studies contribute to a dynamic understanding of demographic trends.</w:t>
      </w:r>
    </w:p>
    <w:p w14:paraId="047CB5A7" w14:textId="02D50FF6" w:rsidR="00CB7521" w:rsidRPr="00CB7521" w:rsidRDefault="00CB7521" w:rsidP="00CB7521">
      <w:pPr>
        <w:ind w:firstLine="0"/>
      </w:pPr>
      <w:r>
        <w:tab/>
      </w:r>
      <w:r w:rsidRPr="00CB7521">
        <w:t>The model employs Python tools, including NumPy for numerical analysis, SciPy for statistical exploration, and GeoPandas alongside Matplotlib’s Basemap for spatial visualisation (Narayana, 2023). SimPy and Mesa frameworks facilitate dynamic simulations, modelling individual behaviours and broader population shifts over time (Wang, Hess, and Crooks, 2022).</w:t>
      </w:r>
    </w:p>
    <w:p w14:paraId="3F5183C3" w14:textId="3EF4B7CE" w:rsidR="00CB7521" w:rsidRPr="00CB7521" w:rsidRDefault="00CB7521" w:rsidP="00CB7521">
      <w:pPr>
        <w:ind w:firstLine="0"/>
      </w:pPr>
      <w:r>
        <w:tab/>
      </w:r>
      <w:r w:rsidRPr="00CB7521">
        <w:t>These computational approaches build on traditional historical methods. Brughmans and Wilson (2022) employ models that incorporate variables like trade, plagues, and transportation to simulate population dynamics, while Taylor (2020) uses economic and geopolitical data to examine demographic trends. Hin (2013) re-evaluates the decline in free citizens, arguing that “the widely held belief of a substantial reduction in the free citizen population before 28 BCE is flawed.” Hopkins (2009) highlights economic factors, analysing the distribution of essential goods like wine and pork and state provisions of free wheat (pp. 209–210).</w:t>
      </w:r>
    </w:p>
    <w:p w14:paraId="35389D3E" w14:textId="4D3C346C" w:rsidR="00CB7521" w:rsidRPr="00CB7521" w:rsidRDefault="00CB7521" w:rsidP="00CB7521">
      <w:pPr>
        <w:ind w:firstLine="0"/>
      </w:pPr>
      <w:r>
        <w:tab/>
      </w:r>
      <w:r w:rsidRPr="00CB7521">
        <w:t>This evidence collectively suggests that the late Roman Empire was marked not by outright population decline, but by significant redistribution driven by economic shifts, political strategies, and migration patterns.</w:t>
      </w:r>
    </w:p>
    <w:p w14:paraId="33F30DFC" w14:textId="77777777" w:rsidR="00845475" w:rsidRPr="00845475" w:rsidRDefault="00845475" w:rsidP="00845475">
      <w:r w:rsidRPr="00C214C5">
        <w:t>The graph (</w:t>
      </w:r>
      <w:r w:rsidRPr="00C214C5">
        <w:rPr>
          <w:highlight w:val="yellow"/>
        </w:rPr>
        <w:fldChar w:fldCharType="begin"/>
      </w:r>
      <w:r w:rsidRPr="00C214C5">
        <w:rPr>
          <w:highlight w:val="yellow"/>
        </w:rPr>
        <w:instrText xml:space="preserve"> REF _Ref181850189 \h </w:instrText>
      </w:r>
      <w:r w:rsidRPr="00C214C5">
        <w:rPr>
          <w:highlight w:val="yellow"/>
        </w:rPr>
      </w:r>
      <w:r w:rsidRPr="00C214C5">
        <w:rPr>
          <w:highlight w:val="yellow"/>
        </w:rPr>
        <w:fldChar w:fldCharType="separate"/>
      </w:r>
      <w:r w:rsidRPr="00C214C5">
        <w:t xml:space="preserve">Figure </w:t>
      </w:r>
      <w:r w:rsidRPr="00C214C5">
        <w:rPr>
          <w:noProof/>
        </w:rPr>
        <w:t>1</w:t>
      </w:r>
      <w:r w:rsidRPr="00C214C5">
        <w:rPr>
          <w:highlight w:val="yellow"/>
        </w:rPr>
        <w:fldChar w:fldCharType="end"/>
      </w:r>
      <w:r w:rsidRPr="00C214C5">
        <w:t>)</w:t>
      </w:r>
      <w:r>
        <w:t xml:space="preserve"> </w:t>
      </w:r>
      <w:r w:rsidRPr="00845475">
        <w:t>illustrates the population trends from 300 to 600 AD, highlighting significant demographic changes within the Roman Empire. Developed using data from multiple sources, the red points represent estimated population figures at various intervals, while the blue line reflects a fitted model incorporating higher estimates from other studies. This model offers a refined preliminary calculation, accounting for diverse historical factors and trends.</w:t>
      </w:r>
    </w:p>
    <w:p w14:paraId="68D47736" w14:textId="22E5F5F7" w:rsidR="006C05B8" w:rsidRPr="00C214C5" w:rsidRDefault="00C35A8D" w:rsidP="006C05B8">
      <w:pPr>
        <w:keepNext/>
        <w:ind w:firstLine="0"/>
        <w:jc w:val="center"/>
      </w:pPr>
      <w:r w:rsidRPr="00C214C5">
        <w:rPr>
          <w:noProof/>
        </w:rPr>
        <w:lastRenderedPageBreak/>
        <w:drawing>
          <wp:inline distT="0" distB="0" distL="0" distR="0" wp14:anchorId="4DECAEA5" wp14:editId="4CD4E3C1">
            <wp:extent cx="5731510" cy="3416935"/>
            <wp:effectExtent l="0" t="0" r="2540" b="0"/>
            <wp:docPr id="879111336" name="Picture 3" descr="Output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descr="Output imag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3416935"/>
                    </a:xfrm>
                    <a:prstGeom prst="rect">
                      <a:avLst/>
                    </a:prstGeom>
                    <a:noFill/>
                    <a:ln>
                      <a:noFill/>
                    </a:ln>
                  </pic:spPr>
                </pic:pic>
              </a:graphicData>
            </a:graphic>
          </wp:inline>
        </w:drawing>
      </w:r>
    </w:p>
    <w:p w14:paraId="39EE3CF1" w14:textId="089ED7E9" w:rsidR="006C05B8" w:rsidRPr="00C214C5" w:rsidRDefault="006C05B8" w:rsidP="006C05B8">
      <w:pPr>
        <w:pStyle w:val="Caption"/>
        <w:jc w:val="center"/>
      </w:pPr>
      <w:bookmarkStart w:id="20" w:name="_Ref181850189"/>
      <w:bookmarkStart w:id="21" w:name="_Ref181850179"/>
      <w:r w:rsidRPr="00C214C5">
        <w:t xml:space="preserve">Figure </w:t>
      </w:r>
      <w:r w:rsidRPr="00C214C5">
        <w:fldChar w:fldCharType="begin"/>
      </w:r>
      <w:r w:rsidRPr="00C214C5">
        <w:instrText xml:space="preserve"> SEQ Figure \* ARABIC </w:instrText>
      </w:r>
      <w:r w:rsidRPr="00C214C5">
        <w:fldChar w:fldCharType="separate"/>
      </w:r>
      <w:r w:rsidR="00B97879">
        <w:rPr>
          <w:noProof/>
        </w:rPr>
        <w:t>1</w:t>
      </w:r>
      <w:r w:rsidRPr="00C214C5">
        <w:fldChar w:fldCharType="end"/>
      </w:r>
      <w:bookmarkEnd w:id="20"/>
      <w:r w:rsidRPr="00C214C5">
        <w:t>: population trends</w:t>
      </w:r>
      <w:bookmarkEnd w:id="21"/>
    </w:p>
    <w:p w14:paraId="6C4EAE94" w14:textId="77777777" w:rsidR="00845475" w:rsidRPr="00845475" w:rsidRDefault="00845475" w:rsidP="00845475">
      <w:r w:rsidRPr="00845475">
        <w:t>Key methodologies underpinning these estimates include Launaro’s (2017) analysis of rural landscapes and agricultural productivity, which challenges assumptions of widespread population decline. Verhagen (2022) further supports this by demonstrating a resilient population structure through staple goods data. Fabiano (2020) argues that while total population levels remained high during the fourth century, fewer individuals received state-sponsored grain distributions, signalling a shift in resource allocation rather than a population decrease.</w:t>
      </w:r>
    </w:p>
    <w:p w14:paraId="218C4F37" w14:textId="77777777" w:rsidR="00845475" w:rsidRPr="00845475" w:rsidRDefault="00845475" w:rsidP="00845475">
      <w:r w:rsidRPr="00845475">
        <w:t>Brughmans and Wilson (2022) provide an alternative approach, employing computer models that simulate the effects of maritime trade, plagues, and resource flows on population dynamics. Taylor (2020) complements this by using dynamic models to examine the movement of economic resources and trade patterns, reflecting geopolitical shifts. Both methods offer valuable insights into the underlying factors driving demographic change.</w:t>
      </w:r>
    </w:p>
    <w:p w14:paraId="1EC7B6BE" w14:textId="77777777" w:rsidR="00845475" w:rsidRPr="00845475" w:rsidRDefault="00845475" w:rsidP="00845475">
      <w:r w:rsidRPr="00845475">
        <w:lastRenderedPageBreak/>
        <w:t>Willet’s (2019) research into settlement patterns in Rome and Asia Minor underscores the importance of incorporating interconnected regional data. Bayesian network models, as discussed by Weber and Simon (2016), enhance accuracy by integrating new datasets. Marcot (2012) highlights the value of additional metrics in evaluating model uncertainty, further refining demographic analyses.</w:t>
      </w:r>
    </w:p>
    <w:p w14:paraId="6EBA4E9E" w14:textId="77777777" w:rsidR="00845475" w:rsidRPr="00845475" w:rsidRDefault="00845475" w:rsidP="00845475">
      <w:r w:rsidRPr="00845475">
        <w:t>Lavan (2019a, p. 92) proposes a probabilistic framework, which “formalises the probable” and helps conceptualise uncertainty in historical population distributions. This methodology has been applied to areas like Roman citizenship (Lavan, 2019b) and historical climatology (Camenisch et al., 2022). Similarly, Benati (2022) advocates for interdisciplinary studies, noting that sparse data in ancient studies can benefit from cross-referencing political economies. Scheidel (2019a, p. 683) observes that despite recent advancements, “many of the [r]ecent advances in the study of ancient demography have failed to shed much new light on conditions in the city of Rome.”</w:t>
      </w:r>
    </w:p>
    <w:p w14:paraId="7C66FB0E" w14:textId="77777777" w:rsidR="00845475" w:rsidRPr="00845475" w:rsidRDefault="00845475" w:rsidP="00845475">
      <w:r w:rsidRPr="00845475">
        <w:t>Kelly (2020) explores Roman economic frameworks, including market returns and price inflation (Kelly, 2021), as well as capital returns (Kelly, 2022), to link population dynamics with economic growth models. Frier (2021) shows how legal documentation, even in the absence of disputes, provides evidence of trade and population activity.</w:t>
      </w:r>
    </w:p>
    <w:p w14:paraId="15BA4B70" w14:textId="77777777" w:rsidR="00845475" w:rsidRPr="00845475" w:rsidRDefault="00845475" w:rsidP="00845475">
      <w:r w:rsidRPr="00845475">
        <w:t>Finally, Evans (in Cascio, 2013) traces the evolution of demographic studies, noting that foundational works like Hopkins (1966) and Frier (1983) introduced significant methodological shifts. While Den Boer (1974) critiqued Hopkins for over-reliance on quantitative methods, these models remain vital for bridging gaps in the fragmented historical record. The inherent challenges of limited and incomplete data require cautious interpretation, but combining diverse methodologies enhances the robustness of demographic analysis in the ancient world.</w:t>
      </w:r>
    </w:p>
    <w:p w14:paraId="1444C55C" w14:textId="4D7B8BA4" w:rsidR="004D22FC" w:rsidRPr="00C214C5" w:rsidRDefault="004D22FC" w:rsidP="004D22FC">
      <w:pPr>
        <w:ind w:firstLine="0"/>
      </w:pPr>
      <w:r w:rsidRPr="00C214C5">
        <w:rPr>
          <w:noProof/>
        </w:rPr>
        <w:lastRenderedPageBreak/>
        <w:drawing>
          <wp:inline distT="0" distB="0" distL="0" distR="0" wp14:anchorId="3FF0C2AA" wp14:editId="722A8BFD">
            <wp:extent cx="5731510" cy="3806825"/>
            <wp:effectExtent l="0" t="0" r="2540" b="3175"/>
            <wp:docPr id="1512076909" name="Picture 4" descr="Output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descr="Output image"/>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3806825"/>
                    </a:xfrm>
                    <a:prstGeom prst="rect">
                      <a:avLst/>
                    </a:prstGeom>
                    <a:noFill/>
                    <a:ln>
                      <a:noFill/>
                    </a:ln>
                  </pic:spPr>
                </pic:pic>
              </a:graphicData>
            </a:graphic>
          </wp:inline>
        </w:drawing>
      </w:r>
    </w:p>
    <w:p w14:paraId="2D1A5E95" w14:textId="702CA64B" w:rsidR="004D22FC" w:rsidRPr="00C214C5" w:rsidRDefault="004D22FC" w:rsidP="004D22FC">
      <w:pPr>
        <w:pStyle w:val="Caption"/>
        <w:jc w:val="center"/>
      </w:pPr>
      <w:r w:rsidRPr="00C214C5">
        <w:t xml:space="preserve">Figure </w:t>
      </w:r>
      <w:r w:rsidRPr="00C214C5">
        <w:fldChar w:fldCharType="begin"/>
      </w:r>
      <w:r w:rsidRPr="00C214C5">
        <w:instrText xml:space="preserve"> SEQ Figure \* ARABIC </w:instrText>
      </w:r>
      <w:r w:rsidRPr="00C214C5">
        <w:fldChar w:fldCharType="separate"/>
      </w:r>
      <w:r w:rsidR="00B97879">
        <w:rPr>
          <w:noProof/>
        </w:rPr>
        <w:t>2</w:t>
      </w:r>
      <w:r w:rsidRPr="00C214C5">
        <w:fldChar w:fldCharType="end"/>
      </w:r>
      <w:r w:rsidRPr="00C214C5">
        <w:t>: population of the Empire</w:t>
      </w:r>
    </w:p>
    <w:p w14:paraId="3B03A817" w14:textId="77777777" w:rsidR="00226C8A" w:rsidRPr="00226C8A" w:rsidRDefault="00226C8A" w:rsidP="00226C8A">
      <w:r w:rsidRPr="00226C8A">
        <w:t>Modern statistical models often assume a uniformity and completeness in ancient population data that historical records simply do not provide (Palma, Reis, and Zhang, 2020). This can lead to oversimplified interpretations, reducing the rich social, economic, and cultural complexities of ancient societies to mere numbers. By smoothing over important details, such as regional differences, the impact of events like plagues or wars, and the nuances of social mobility, these models risk obscuring more than they reveal.</w:t>
      </w:r>
    </w:p>
    <w:p w14:paraId="16544955" w14:textId="77777777" w:rsidR="00226C8A" w:rsidRPr="00226C8A" w:rsidRDefault="00226C8A" w:rsidP="00226C8A">
      <w:r w:rsidRPr="00226C8A">
        <w:t>Quantitative studies, while invaluable, must be balanced with qualitative methods. Contemporary narratives, archaeological findings, and comparative analyses from similar periods provide essential context. Together, these sources create a more nuanced and accurate picture of ancient population dynamics (Amiri et al., 2023). Given the fragmented nature of historical evidence, this integrated approach is vital for constructing robust demographic models (Breyl, 2021).</w:t>
      </w:r>
    </w:p>
    <w:p w14:paraId="23430911" w14:textId="25056A8A" w:rsidR="00074946" w:rsidRPr="00C214C5" w:rsidRDefault="00226C8A" w:rsidP="000F3B6C">
      <w:r w:rsidRPr="00226C8A">
        <w:lastRenderedPageBreak/>
        <w:t>Building on this foundation, scholars like Hopkins have developed methodologies that examine population change through “death and renewal” mechanisms. His early work (1985) explored how Roman society maintained or adjusted its population size over time. Expanding on this, Hopkins (2009) introduced more comprehensive models. Similarly, Frier (1983) incorporated life expectancy into demographic studies, using probabilistic analysis to interpret birth and death statistics. Scheidel (2017) later argued for applying modern demographic insights, including noon population rates, to ancient cities to enrich our understanding of their dynamics.</w:t>
      </w:r>
      <w:r w:rsidRPr="00226C8A">
        <w:rPr>
          <w:vanish/>
        </w:rPr>
        <w:t>Top of FormBottom of Form</w:t>
      </w:r>
    </w:p>
    <w:p w14:paraId="32CFCDE1" w14:textId="0E442D05" w:rsidR="001A0D80" w:rsidRPr="00C214C5" w:rsidRDefault="001A6E68" w:rsidP="001A6E68">
      <w:pPr>
        <w:ind w:firstLine="0"/>
      </w:pPr>
      <w:r w:rsidRPr="00C214C5">
        <w:rPr>
          <w:noProof/>
        </w:rPr>
        <w:drawing>
          <wp:inline distT="0" distB="0" distL="0" distR="0" wp14:anchorId="5D2669DD" wp14:editId="3FCFC64E">
            <wp:extent cx="5731510" cy="3799840"/>
            <wp:effectExtent l="0" t="0" r="2540" b="0"/>
            <wp:docPr id="240966636" name="Picture 5" descr="A map of the wor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0966636" name="Picture 5" descr="A map of the world&#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799840"/>
                    </a:xfrm>
                    <a:prstGeom prst="rect">
                      <a:avLst/>
                    </a:prstGeom>
                    <a:noFill/>
                    <a:ln>
                      <a:noFill/>
                    </a:ln>
                  </pic:spPr>
                </pic:pic>
              </a:graphicData>
            </a:graphic>
          </wp:inline>
        </w:drawing>
      </w:r>
    </w:p>
    <w:p w14:paraId="46FE2799" w14:textId="5B197190" w:rsidR="001A6E68" w:rsidRPr="00C214C5" w:rsidRDefault="001A6E68" w:rsidP="00A912C4">
      <w:pPr>
        <w:pStyle w:val="Caption"/>
        <w:jc w:val="center"/>
      </w:pPr>
      <w:bookmarkStart w:id="22" w:name="_Ref181948211"/>
      <w:r w:rsidRPr="00C214C5">
        <w:t xml:space="preserve">Figure </w:t>
      </w:r>
      <w:r w:rsidRPr="00C214C5">
        <w:fldChar w:fldCharType="begin"/>
      </w:r>
      <w:r w:rsidRPr="00C214C5">
        <w:instrText xml:space="preserve"> SEQ Figure \* ARABIC </w:instrText>
      </w:r>
      <w:r w:rsidRPr="00C214C5">
        <w:fldChar w:fldCharType="separate"/>
      </w:r>
      <w:r w:rsidR="00B97879">
        <w:rPr>
          <w:noProof/>
        </w:rPr>
        <w:t>3</w:t>
      </w:r>
      <w:r w:rsidRPr="00C214C5">
        <w:fldChar w:fldCharType="end"/>
      </w:r>
      <w:bookmarkEnd w:id="22"/>
      <w:r w:rsidRPr="00C214C5">
        <w:t>:demographic migration</w:t>
      </w:r>
    </w:p>
    <w:p w14:paraId="71132F75" w14:textId="77777777" w:rsidR="00226C8A" w:rsidRPr="00226C8A" w:rsidRDefault="00226C8A" w:rsidP="00226C8A">
      <w:r w:rsidRPr="00226C8A">
        <w:t xml:space="preserve">Hopkins’ concept of “renewal processes” captures the full range of factors influencing population change, including birth rates, mortality, migration, and family structures (Nachmany and Hananel, 2023). This broader perspective allows for a dynamic view of demographic shifts, reflecting not just natural events but also societal transformations (Metz </w:t>
      </w:r>
      <w:r w:rsidRPr="00226C8A">
        <w:lastRenderedPageBreak/>
        <w:t>and Diekmann, 2014). As Krieger (2021) notes, the cyclical nature of these processes is crucial to understanding how populations adapt and evolve over time.</w:t>
      </w:r>
    </w:p>
    <w:p w14:paraId="08109F88" w14:textId="77777777" w:rsidR="00226C8A" w:rsidRPr="00226C8A" w:rsidRDefault="00226C8A" w:rsidP="00226C8A">
      <w:r w:rsidRPr="00226C8A">
        <w:t>By focusing on renewal rather than static measures of growth or decline, Hopkins provides a comprehensive framework for analysing Roman population dynamics. This approach illuminates the interplay between life cycles, social structures, and historical events, offering deeper insights into the demographic evolution of the Roman Empire (Hopkins, 1983).</w:t>
      </w:r>
    </w:p>
    <w:p w14:paraId="7079B646" w14:textId="3BDE9AF0" w:rsidR="00413858" w:rsidRPr="00413858" w:rsidRDefault="00DE3217" w:rsidP="00413858">
      <w:r>
        <w:fldChar w:fldCharType="begin"/>
      </w:r>
      <w:r>
        <w:instrText xml:space="preserve"> REF _Ref181948211 \h </w:instrText>
      </w:r>
      <w:r>
        <w:fldChar w:fldCharType="separate"/>
      </w:r>
      <w:r w:rsidRPr="00C214C5">
        <w:t xml:space="preserve">Figure </w:t>
      </w:r>
      <w:r>
        <w:rPr>
          <w:noProof/>
        </w:rPr>
        <w:t>3</w:t>
      </w:r>
      <w:r>
        <w:fldChar w:fldCharType="end"/>
      </w:r>
      <w:r>
        <w:t xml:space="preserve"> </w:t>
      </w:r>
      <w:r w:rsidR="00413858" w:rsidRPr="00413858">
        <w:t xml:space="preserve">illustrates the migration flows originating from Rome between 300 and 600 AD, with destinations including Constantinople, Carthage, and Athens. The directional arrows represent the population movement over time, with their thickness proportional to the number of migrants and distinct </w:t>
      </w:r>
      <w:r w:rsidR="00413858" w:rsidRPr="00C214C5">
        <w:t>colours</w:t>
      </w:r>
      <w:r w:rsidR="00413858" w:rsidRPr="00413858">
        <w:t xml:space="preserve"> denoting specific periods or destinations.</w:t>
      </w:r>
    </w:p>
    <w:p w14:paraId="08528ED3" w14:textId="77777777" w:rsidR="00413858" w:rsidRPr="00413858" w:rsidRDefault="00413858" w:rsidP="00413858">
      <w:r w:rsidRPr="00413858">
        <w:t xml:space="preserve">The most prominent migration path leads to </w:t>
      </w:r>
      <w:r w:rsidRPr="00413858">
        <w:rPr>
          <w:b/>
          <w:bCs/>
        </w:rPr>
        <w:t>Constantinople</w:t>
      </w:r>
      <w:r w:rsidRPr="00413858">
        <w:t>, reflecting its growing importance as the new political and economic centre of the Roman Empire. This route is characterized by a gradual increase in population flows, peaking around 500 AD with 150,000 migrants. Constantinople's strategic location and status as the Eastern Roman Empire's capital contributed to its ability to attract significant population movements.</w:t>
      </w:r>
    </w:p>
    <w:p w14:paraId="623DDDA3" w14:textId="77777777" w:rsidR="00413858" w:rsidRPr="00413858" w:rsidRDefault="00413858" w:rsidP="00413858">
      <w:r w:rsidRPr="00413858">
        <w:t xml:space="preserve">Smaller but noteworthy flows are observed towards </w:t>
      </w:r>
      <w:r w:rsidRPr="00413858">
        <w:rPr>
          <w:b/>
          <w:bCs/>
        </w:rPr>
        <w:t>Carthage</w:t>
      </w:r>
      <w:r w:rsidRPr="00413858">
        <w:t xml:space="preserve"> and </w:t>
      </w:r>
      <w:r w:rsidRPr="00413858">
        <w:rPr>
          <w:b/>
          <w:bCs/>
        </w:rPr>
        <w:t>Athens</w:t>
      </w:r>
      <w:r w:rsidRPr="00413858">
        <w:t>. Migration to Carthage, shown in dark orange, primarily occurred around 400 AD with 30,000 migrants. This reflects the enduring economic and cultural significance of Carthage within the Mediterranean, even as Rome’s influence waned. Migration to Athens, depicted in pink, took place around 500 AD, with 20,000 individuals relocating. Athens, known for its intellectual and cultural heritage, likely attracted people seeking stability or opportunities in the Eastern Mediterranean.</w:t>
      </w:r>
    </w:p>
    <w:p w14:paraId="7A6C9DC3" w14:textId="77777777" w:rsidR="00413858" w:rsidRPr="00413858" w:rsidRDefault="00413858" w:rsidP="00413858">
      <w:r w:rsidRPr="00413858">
        <w:t xml:space="preserve">The map effectively highlights the shifting centres of gravity in the Roman world during this period, with declining migration from Rome to other cities signifying the city's loss of </w:t>
      </w:r>
      <w:r w:rsidRPr="00413858">
        <w:lastRenderedPageBreak/>
        <w:t>prominence. By 600 AD, the migration flows significantly decreased, indicating the culmination of Rome's transition from a central hub to a more peripheral city within the broader Mediterranean region.</w:t>
      </w:r>
    </w:p>
    <w:p w14:paraId="267AD069" w14:textId="260A8116" w:rsidR="00AA7BA5" w:rsidRPr="00C214C5" w:rsidRDefault="00AA7BA5" w:rsidP="00AA7BA5">
      <w:pPr>
        <w:ind w:firstLine="0"/>
      </w:pPr>
      <w:r w:rsidRPr="00C214C5">
        <w:rPr>
          <w:noProof/>
        </w:rPr>
        <w:drawing>
          <wp:inline distT="0" distB="0" distL="0" distR="0" wp14:anchorId="35744D14" wp14:editId="46B39698">
            <wp:extent cx="5731510" cy="3806825"/>
            <wp:effectExtent l="0" t="0" r="2540" b="3175"/>
            <wp:docPr id="1221245439" name="Picture 6" descr="Output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descr="Output image"/>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3806825"/>
                    </a:xfrm>
                    <a:prstGeom prst="rect">
                      <a:avLst/>
                    </a:prstGeom>
                    <a:noFill/>
                    <a:ln>
                      <a:noFill/>
                    </a:ln>
                  </pic:spPr>
                </pic:pic>
              </a:graphicData>
            </a:graphic>
          </wp:inline>
        </w:drawing>
      </w:r>
    </w:p>
    <w:p w14:paraId="39BA3E99" w14:textId="27DA7A84" w:rsidR="005B3F97" w:rsidRPr="00C214C5" w:rsidRDefault="005B3F97" w:rsidP="005B3F97">
      <w:pPr>
        <w:pStyle w:val="Caption"/>
        <w:jc w:val="center"/>
      </w:pPr>
      <w:bookmarkStart w:id="23" w:name="_Ref181854545"/>
      <w:r w:rsidRPr="00C214C5">
        <w:t xml:space="preserve">Figure </w:t>
      </w:r>
      <w:r w:rsidRPr="00C214C5">
        <w:fldChar w:fldCharType="begin"/>
      </w:r>
      <w:r w:rsidRPr="00C214C5">
        <w:instrText xml:space="preserve"> SEQ Figure \* ARABIC </w:instrText>
      </w:r>
      <w:r w:rsidRPr="00C214C5">
        <w:fldChar w:fldCharType="separate"/>
      </w:r>
      <w:r w:rsidR="00B97879">
        <w:rPr>
          <w:noProof/>
        </w:rPr>
        <w:t>4</w:t>
      </w:r>
      <w:r w:rsidRPr="00C214C5">
        <w:fldChar w:fldCharType="end"/>
      </w:r>
      <w:bookmarkEnd w:id="23"/>
      <w:r w:rsidRPr="00C214C5">
        <w:t>: extended population</w:t>
      </w:r>
    </w:p>
    <w:p w14:paraId="09CE274C" w14:textId="77777777" w:rsidR="00DE3217" w:rsidRDefault="00DE3217" w:rsidP="00DE3217">
      <w:r w:rsidRPr="00C214C5">
        <w:t xml:space="preserve">Frier’s 1983 work, which integrates life expectancy and uses probabilistic methods to analyse statistical tables, complements this by providing a detailed view of the life span within a population and the likelihood of demographic events. Scheidel’s </w:t>
      </w:r>
      <w:r w:rsidRPr="00C214C5">
        <w:fldChar w:fldCharType="begin"/>
      </w:r>
      <w:r w:rsidRPr="00C214C5">
        <w:instrText xml:space="preserve"> ADDIN ZOTERO_ITEM CSL_CITATION {"citationID":"iOKQpsGt","properties":{"formattedCitation":"(2017)","plainCitation":"(2017)","noteIndex":0},"citationItems":[{"id":6239,"uris":["http://zotero.org/users/9147288/items/JKPE8WCE"],"itemData":{"id":6239,"type":"book","abstract":"This volume provides the first comprehensive survey of current methods, progress and debates in Roman demography, and offers new insights into key issues of population change and reproductive behaviour in the Roman world from Italy to Egypt.","ISBN":"978-90-04-35109-7","language":"en","note":"Google-Books-ID: EgD1DwAAQBAJ","number-of-pages":"254","publisher":"BRILL","source":"Google Books","title":"Debating Roman Demography","author":[{"family":"Scheidel","given":"Walter"}],"issued":{"date-parts":[["2017",9,18]]}},"label":"page","suppress-author":true}],"schema":"https://github.com/citation-style-language/schema/raw/master/csl-citation.json"} </w:instrText>
      </w:r>
      <w:r w:rsidRPr="00C214C5">
        <w:fldChar w:fldCharType="separate"/>
      </w:r>
      <w:r w:rsidRPr="00C214C5">
        <w:t>(2017)</w:t>
      </w:r>
      <w:r w:rsidRPr="00C214C5">
        <w:fldChar w:fldCharType="end"/>
      </w:r>
      <w:r w:rsidRPr="00C214C5">
        <w:t xml:space="preserve"> arguments for integrating demographics from modern regions aim to enrich this analysis further by suggesting that contemporary demographic patterns can offer insights into the population behaviours of ancient cities. Thus, “renewal processes” is used as it encompasses a term that broadens the scope of population dynamics, encompassing all the factors that contribute to the persistence and transformation of societies across generations.</w:t>
      </w:r>
    </w:p>
    <w:p w14:paraId="489C7674" w14:textId="77777777" w:rsidR="00CD4331" w:rsidRPr="00CD4331" w:rsidRDefault="00CD4331" w:rsidP="00CD4331">
      <w:pPr>
        <w:tabs>
          <w:tab w:val="left" w:pos="2390"/>
        </w:tabs>
      </w:pPr>
      <w:r w:rsidRPr="00CD4331">
        <w:lastRenderedPageBreak/>
        <w:t>Recent advancements in economic and demographic modelling have shifted focus to the production of individual commodities, such as grain, and their role in population dynamics (Dermody, Chiu-Smit, and van Beek, 2022). These straightforward models have evolved into more complex simulations, combining various economic and demographic factors. Verhagen (2022) highlights the use of Bayesian techniques in Palio demographic models, surpassing earlier methods based on Roman army recruitment data to estimate societal size.</w:t>
      </w:r>
    </w:p>
    <w:p w14:paraId="3579231F" w14:textId="77777777" w:rsidR="00CD4331" w:rsidRPr="00CD4331" w:rsidRDefault="00CD4331" w:rsidP="00CD4331">
      <w:pPr>
        <w:tabs>
          <w:tab w:val="left" w:pos="2390"/>
        </w:tabs>
      </w:pPr>
      <w:r w:rsidRPr="00CD4331">
        <w:t>Similarly, Sinner and Carreras (2019) examine Roman colonisation in Iberian cities, using data on living space, household sizes, and census information to analyse villas and farms. Haley (2021) expands on this approach by analysing per capita income and wealth distribution among non-slaves to explore economic growth.</w:t>
      </w:r>
    </w:p>
    <w:p w14:paraId="03453415" w14:textId="77777777" w:rsidR="00CD4331" w:rsidRPr="00CD4331" w:rsidRDefault="00CD4331" w:rsidP="00CD4331">
      <w:pPr>
        <w:tabs>
          <w:tab w:val="left" w:pos="2390"/>
        </w:tabs>
      </w:pPr>
      <w:r w:rsidRPr="00CD4331">
        <w:t xml:space="preserve">Séguy (2019) applies empirical methods to Limes populations, modelling demographic changes through interactions between individuals of varying ages and sexes. This approach emphasises the temporal and spatial dimensions of archaeological demography, noting the inherent challenge of decaying artefacts and habitation evidence. Séguy defines </w:t>
      </w:r>
      <w:r w:rsidRPr="00CD4331">
        <w:rPr>
          <w:i/>
          <w:iCs/>
        </w:rPr>
        <w:t>palaeodemography</w:t>
      </w:r>
      <w:r w:rsidRPr="00CD4331">
        <w:t xml:space="preserve"> as the “analysis of buried or cremated human remains” to reconstruct age and sex distributions at death, relying on biological uniformity assumptions (2019, p. 25). However, Huebner and Laes (2019) argue that demographic models for single individuals differ significantly from those for families or extended households.</w:t>
      </w:r>
    </w:p>
    <w:p w14:paraId="10EBB89D" w14:textId="77777777" w:rsidR="00CD4331" w:rsidRPr="00CD4331" w:rsidRDefault="00CD4331" w:rsidP="00CD4331">
      <w:pPr>
        <w:tabs>
          <w:tab w:val="left" w:pos="2390"/>
        </w:tabs>
      </w:pPr>
      <w:r w:rsidRPr="00CD4331">
        <w:t>The integration of DNA research enhances this framework, offering genetic evidence to complement traditional data. Antonio et al. (2022) used such methods to study Bronze Age communities, revealing static population patterns that can inform similar analyses in Roman contexts.</w:t>
      </w:r>
    </w:p>
    <w:p w14:paraId="3E160E3E" w14:textId="77777777" w:rsidR="00CD4331" w:rsidRPr="00CD4331" w:rsidRDefault="00CD4331" w:rsidP="00CD4331">
      <w:pPr>
        <w:tabs>
          <w:tab w:val="left" w:pos="2390"/>
        </w:tabs>
      </w:pPr>
      <w:r w:rsidRPr="00CD4331">
        <w:t xml:space="preserve">These methodologies are especially valuable for case studies. For example, applying them to a Roman villa or urban apartment block could uncover demographic compositions, </w:t>
      </w:r>
      <w:r w:rsidRPr="00CD4331">
        <w:lastRenderedPageBreak/>
        <w:t>familial relationships, and patterns of inheritance or social mobility. Machine Learning (ML) and Geographic Information System (GIS) models further enhance this research by transitioning from static demographic representations to dynamic simulations of population changes (Štular et al., 2022).</w:t>
      </w:r>
    </w:p>
    <w:p w14:paraId="6F2D3BA2" w14:textId="77777777" w:rsidR="00CD4331" w:rsidRPr="00CD4331" w:rsidRDefault="00CD4331" w:rsidP="00CD4331">
      <w:pPr>
        <w:tabs>
          <w:tab w:val="left" w:pos="2390"/>
        </w:tabs>
      </w:pPr>
      <w:r w:rsidRPr="00CD4331">
        <w:t>ML algorithms identify patterns and predict trends in large datasets, such as those derived from palaeodemographic studies (Crema, 2022). GIS adds a spatial dimension, visualising population distributions and movements. This integration can simulate scenarios like disease spread in a Roman city or the impact of economic policies on rural demographics.</w:t>
      </w:r>
    </w:p>
    <w:p w14:paraId="3555B142" w14:textId="77777777" w:rsidR="00CD4331" w:rsidRPr="00CD4331" w:rsidRDefault="00CD4331" w:rsidP="00CD4331">
      <w:pPr>
        <w:tabs>
          <w:tab w:val="left" w:pos="2390"/>
        </w:tabs>
      </w:pPr>
      <w:r w:rsidRPr="00CD4331">
        <w:t>New advancements in skeletal analysis also improve the precision of palaeodemographic methods. McFadden (2021) notes that increasing accuracy is “paramount” for advancing population analysis. By combining palaeodemography, DNA analysis, ML, and GIS, this research offers a robust and nuanced framework for understanding ancient population dynamics. Such methods are not only applicable to broad population studies but also provide detailed reconstructions for specific cases, enriching our understanding of life in the Roman Empire.</w:t>
      </w:r>
    </w:p>
    <w:p w14:paraId="337E111C" w14:textId="59F53B0F" w:rsidR="00CD4331" w:rsidRPr="00CD4331" w:rsidRDefault="00CD4331" w:rsidP="00CD4331">
      <w:pPr>
        <w:pStyle w:val="Heading3"/>
      </w:pPr>
      <w:bookmarkStart w:id="24" w:name="_Toc182111018"/>
      <w:r w:rsidRPr="00CD4331">
        <w:t>Analytical Approaches and Methodologies</w:t>
      </w:r>
      <w:bookmarkEnd w:id="24"/>
      <w:r>
        <w:tab/>
      </w:r>
    </w:p>
    <w:p w14:paraId="06633ABD" w14:textId="77777777" w:rsidR="00CD4331" w:rsidRPr="00CD4331" w:rsidRDefault="00CD4331" w:rsidP="00CD4331">
      <w:pPr>
        <w:tabs>
          <w:tab w:val="left" w:pos="2390"/>
        </w:tabs>
      </w:pPr>
      <w:r w:rsidRPr="00CD4331">
        <w:t>Brughmans and Wilson (2022) introduce comprehensive computer models to hypothesise about Roman population dynamics. Their simulations integrate variables like maritime trade, plagues, grain production, and transportation to illustrate how these factors shaped population trends. Taylor (2020) extends this by using dynamic models to explore geopolitical and trade dynamics, linking economic shifts to demographic changes over time.</w:t>
      </w:r>
    </w:p>
    <w:p w14:paraId="27D116CA" w14:textId="77777777" w:rsidR="00CD4331" w:rsidRPr="00CD4331" w:rsidRDefault="00CD4331" w:rsidP="00CD4331">
      <w:pPr>
        <w:tabs>
          <w:tab w:val="left" w:pos="2390"/>
        </w:tabs>
      </w:pPr>
      <w:r w:rsidRPr="00CD4331">
        <w:t xml:space="preserve">Taylor’s models rely on diverse historical sources, including amphorae, coins, and inscriptions, to document trade activities. These data points, combined with archaeological finds and ecofacts like seeds and grains, allow for a multidimensional reconstruction of trade </w:t>
      </w:r>
      <w:r w:rsidRPr="00CD4331">
        <w:lastRenderedPageBreak/>
        <w:t>networks (Outram and Bogaard, 2019). Such simulations reveal how trade scarcity, routes, and prosperity influenced population movements (Kelley and Schmidt, 2001).</w:t>
      </w:r>
    </w:p>
    <w:p w14:paraId="1B640AB8" w14:textId="77777777" w:rsidR="00CD4331" w:rsidRPr="00CD4331" w:rsidRDefault="00CD4331" w:rsidP="00CD4331">
      <w:pPr>
        <w:tabs>
          <w:tab w:val="left" w:pos="2390"/>
        </w:tabs>
      </w:pPr>
      <w:r w:rsidRPr="00CD4331">
        <w:t>Demographic modelling’s success depends on evidence availability and reliability. Disparities in documentation across periods pose challenges (Haglund, 2002). Comparative analyses of well-documented and less-documented periods help identify consistent patterns. Techniques like regression analysis and Bayesian inference bridge gaps in data (Chee et al., 2016).</w:t>
      </w:r>
    </w:p>
    <w:p w14:paraId="67FBE552" w14:textId="77777777" w:rsidR="00CD4331" w:rsidRPr="00CD4331" w:rsidRDefault="00CD4331" w:rsidP="00CD4331">
      <w:pPr>
        <w:tabs>
          <w:tab w:val="left" w:pos="2390"/>
        </w:tabs>
      </w:pPr>
      <w:r w:rsidRPr="00CD4331">
        <w:t>Proxy data, such as trade infrastructure or environmental indicators, further approximate economic activities when direct evidence is lacking (Jedwab, Johnson, and Koyama, 2022). Interdisciplinary collaboration integrates archaeological, historical, and environmental data, enriching demographic models (Izdebski et al., 2016).</w:t>
      </w:r>
    </w:p>
    <w:p w14:paraId="459968A2" w14:textId="77777777" w:rsidR="00CD4331" w:rsidRPr="00CD4331" w:rsidRDefault="00CD4331" w:rsidP="00CD4331">
      <w:pPr>
        <w:tabs>
          <w:tab w:val="left" w:pos="2390"/>
        </w:tabs>
      </w:pPr>
      <w:r w:rsidRPr="00CD4331">
        <w:t>Machine learning excels in analysing incomplete datasets, identifying trends that manual methods might overlook (Du et al., 2020). Sensitivity analysis tests how input changes affect model outcomes, highlighting variables with significant impacts (Frey and Patil, 2002). Together, these methods offer insights into historical population dynamics that might otherwise remain hidden.</w:t>
      </w:r>
    </w:p>
    <w:p w14:paraId="294FF3A2" w14:textId="77777777" w:rsidR="00CD4331" w:rsidRPr="00CD4331" w:rsidRDefault="00CD4331" w:rsidP="00CD4331">
      <w:pPr>
        <w:pStyle w:val="Heading3"/>
      </w:pPr>
      <w:bookmarkStart w:id="25" w:name="_Toc182111019"/>
      <w:r w:rsidRPr="00CD4331">
        <w:t>Gaps and Limitations in Previous Research</w:t>
      </w:r>
      <w:bookmarkEnd w:id="25"/>
    </w:p>
    <w:p w14:paraId="7B424D16" w14:textId="77777777" w:rsidR="00CD4331" w:rsidRPr="00CD4331" w:rsidRDefault="00CD4331" w:rsidP="00CD4331">
      <w:pPr>
        <w:tabs>
          <w:tab w:val="left" w:pos="2390"/>
        </w:tabs>
      </w:pPr>
      <w:r w:rsidRPr="00CD4331">
        <w:t>Launaro (2017) critiques assumptions of population decline, showing discrepancies between agricultural output and estimated population sizes. His findings suggest earlier studies may have overestimated population decreases. Verhagen (2022) updates these perspectives, presenting more robust demographic structures supported by agricultural productivity.</w:t>
      </w:r>
    </w:p>
    <w:p w14:paraId="399450E2" w14:textId="77777777" w:rsidR="00CD4331" w:rsidRPr="00CD4331" w:rsidRDefault="00CD4331" w:rsidP="00CD4331">
      <w:pPr>
        <w:tabs>
          <w:tab w:val="left" w:pos="2390"/>
        </w:tabs>
      </w:pPr>
      <w:r w:rsidRPr="00CD4331">
        <w:t xml:space="preserve">Fabiano (2020) argues that Rome maintained high population levels throughout the fourth century, although fewer individuals received state-sponsored grain distributions. These </w:t>
      </w:r>
      <w:r w:rsidRPr="00CD4331">
        <w:lastRenderedPageBreak/>
        <w:t>insights challenge traditional narratives of population fragility, emphasising a more resilient and adaptable Roman demographic system.</w:t>
      </w:r>
    </w:p>
    <w:p w14:paraId="26F93292" w14:textId="77777777" w:rsidR="0069219C" w:rsidRPr="00C214C5" w:rsidRDefault="0069219C" w:rsidP="00393975">
      <w:pPr>
        <w:pStyle w:val="Heading2"/>
      </w:pPr>
      <w:bookmarkStart w:id="26" w:name="_Toc153780246"/>
      <w:bookmarkStart w:id="27" w:name="_Toc182111020"/>
      <w:r w:rsidRPr="00C214C5">
        <w:t>2.4 Theoretical Framework</w:t>
      </w:r>
      <w:bookmarkEnd w:id="26"/>
      <w:bookmarkEnd w:id="27"/>
    </w:p>
    <w:p w14:paraId="69366363" w14:textId="015D1530" w:rsidR="004060F9" w:rsidRPr="00C214C5" w:rsidRDefault="005E2464" w:rsidP="00824DB0">
      <w:r w:rsidRPr="005E2464">
        <w:t>Lavan’s 2019 works introduce a groundbreaking framework for historical research, applying probability theory and degrees of belief to tackle the uncertainties inherent in ancient population studies. Both Lavan and Scheidel (2019) utilise Bayesian inference to estimate key population parameters, such as mortality rates, birth rates, and migration patterns. This method allows probability estimates to adjust dynamically as new data, like archaeological findings or textual evidence, becomes available. Sensitivity analysis complements this by testing how variations in assumptions—such as fertility rates or the reliability of specific sources—affect the model's conclusions.</w:t>
      </w:r>
    </w:p>
    <w:p w14:paraId="48756238" w14:textId="63B2C3BD" w:rsidR="00A37D04" w:rsidRPr="00C214C5" w:rsidRDefault="00A37D04" w:rsidP="00A37D04">
      <w:pPr>
        <w:ind w:firstLine="0"/>
      </w:pPr>
      <w:r w:rsidRPr="00C214C5">
        <w:rPr>
          <w:noProof/>
        </w:rPr>
        <w:drawing>
          <wp:inline distT="0" distB="0" distL="0" distR="0" wp14:anchorId="294E3020" wp14:editId="3D37CD34">
            <wp:extent cx="5731510" cy="3723640"/>
            <wp:effectExtent l="0" t="0" r="2540" b="0"/>
            <wp:docPr id="817934411" name="Picture 7" descr="Output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descr="Output image"/>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3723640"/>
                    </a:xfrm>
                    <a:prstGeom prst="rect">
                      <a:avLst/>
                    </a:prstGeom>
                    <a:noFill/>
                    <a:ln>
                      <a:noFill/>
                    </a:ln>
                  </pic:spPr>
                </pic:pic>
              </a:graphicData>
            </a:graphic>
          </wp:inline>
        </w:drawing>
      </w:r>
    </w:p>
    <w:p w14:paraId="36E9AA52" w14:textId="7EF0B071" w:rsidR="00A37D04" w:rsidRPr="00C214C5" w:rsidRDefault="00607681" w:rsidP="00607681">
      <w:pPr>
        <w:pStyle w:val="Caption"/>
        <w:jc w:val="center"/>
      </w:pPr>
      <w:r w:rsidRPr="00C214C5">
        <w:t xml:space="preserve">Figure </w:t>
      </w:r>
      <w:r w:rsidRPr="00C214C5">
        <w:fldChar w:fldCharType="begin"/>
      </w:r>
      <w:r w:rsidRPr="00C214C5">
        <w:instrText xml:space="preserve"> SEQ Figure \* ARABIC </w:instrText>
      </w:r>
      <w:r w:rsidRPr="00C214C5">
        <w:fldChar w:fldCharType="separate"/>
      </w:r>
      <w:r w:rsidR="00B97879">
        <w:rPr>
          <w:noProof/>
        </w:rPr>
        <w:t>5</w:t>
      </w:r>
      <w:r w:rsidRPr="00C214C5">
        <w:fldChar w:fldCharType="end"/>
      </w:r>
      <w:r w:rsidRPr="00C214C5">
        <w:t>: extended population graph</w:t>
      </w:r>
    </w:p>
    <w:p w14:paraId="21CD7097" w14:textId="77777777" w:rsidR="005E2464" w:rsidRPr="005E2464" w:rsidRDefault="005E2464" w:rsidP="005E2464">
      <w:bookmarkStart w:id="28" w:name="_Toc153780247"/>
      <w:r w:rsidRPr="005E2464">
        <w:lastRenderedPageBreak/>
        <w:t>Lavan’s approach emphasises cross-referencing multiple data sources, such as inscriptions, census records, and artefacts, to validate demographic estimates. Similarly, Scheidel integrates Bayesian methods with historical analysis to systematically manage incomplete datasets. Both scholars explicitly quantify uncertainties, using probabilistic models to present conclusions in terms of likelihood rather than definitive statements. This offers a flexible framework that adapts to the evolving nature of historical evidence.</w:t>
      </w:r>
    </w:p>
    <w:p w14:paraId="61650262" w14:textId="77777777" w:rsidR="005E2464" w:rsidRPr="005E2464" w:rsidRDefault="005E2464" w:rsidP="005E2464">
      <w:r w:rsidRPr="005E2464">
        <w:t xml:space="preserve">These methods are illustrated in </w:t>
      </w:r>
      <w:r w:rsidRPr="005E2464">
        <w:rPr>
          <w:i/>
          <w:iCs/>
        </w:rPr>
        <w:t>Figure 5</w:t>
      </w:r>
      <w:r w:rsidRPr="005E2464">
        <w:t>, which visualises extended population trends based on probabilistic modelling. By combining Bayesian inference with sensitivity analysis, researchers can better understand the reliability of their conclusions and identify the most influential variables in their models. For example, sensitivity tests might reveal how assumptions about life expectancy or grain distribution impact population estimates.</w:t>
      </w:r>
    </w:p>
    <w:p w14:paraId="7B1945E9" w14:textId="77777777" w:rsidR="005E2464" w:rsidRPr="005E2464" w:rsidRDefault="005E2464" w:rsidP="005E2464">
      <w:r w:rsidRPr="005E2464">
        <w:t>The integration of advanced statistical tools fundamentally transforms the field of ancient history. These probabilistic approaches allow for more nuanced interpretations of demographic trends, moving beyond rigid, deterministic models. They enable historians to reconstruct population dynamics with greater precision, providing deeper insights into how ancient societies responded to challenges like famine, migration, and political upheaval. This shift not only enhances the reliability of demographic studies but also broadens our understanding of historical processes, fostering a more sophisticated view of the past.</w:t>
      </w:r>
    </w:p>
    <w:p w14:paraId="55DC562B" w14:textId="48BF1E0D" w:rsidR="005B3F97" w:rsidRPr="00C214C5" w:rsidRDefault="005B3F97" w:rsidP="005B3F97">
      <w:pPr>
        <w:pStyle w:val="Heading2"/>
      </w:pPr>
      <w:bookmarkStart w:id="29" w:name="_Toc182111021"/>
      <w:r w:rsidRPr="00C214C5">
        <w:t>2.5 Population Shifts in Rome, Constantinople, Athens, and Carthage</w:t>
      </w:r>
      <w:bookmarkEnd w:id="29"/>
    </w:p>
    <w:p w14:paraId="54BFC410" w14:textId="77777777" w:rsidR="00270B84" w:rsidRPr="00270B84" w:rsidRDefault="00270B84" w:rsidP="00270B84">
      <w:r w:rsidRPr="00270B84">
        <w:t xml:space="preserve">Between 300 and 600 AD, the Mediterranean experienced profound demographic and geopolitical shifts. </w:t>
      </w:r>
      <w:r w:rsidRPr="00270B84">
        <w:rPr>
          <w:i/>
          <w:iCs/>
        </w:rPr>
        <w:t>Figure 4</w:t>
      </w:r>
      <w:r w:rsidRPr="00270B84">
        <w:t xml:space="preserve"> illustrates these changes, including the decline of the Western Roman Empire, the rise of Constantinople, and the redistribution of populations between urban centres and rural areas. This period was defined by urban decline, rural depopulation, and </w:t>
      </w:r>
      <w:r w:rsidRPr="00270B84">
        <w:lastRenderedPageBreak/>
        <w:t>significant migratory movements, offering insights into the broader socio-economic and political transformations of late antiquity.</w:t>
      </w:r>
    </w:p>
    <w:p w14:paraId="5BD18D0D" w14:textId="77777777" w:rsidR="00270B84" w:rsidRPr="00270B84" w:rsidRDefault="00270B84" w:rsidP="00270B84">
      <w:pPr>
        <w:pStyle w:val="Heading3"/>
      </w:pPr>
      <w:bookmarkStart w:id="30" w:name="_Toc182111022"/>
      <w:r w:rsidRPr="00270B84">
        <w:t>Urban and Rural Populations: Key Trends</w:t>
      </w:r>
      <w:bookmarkEnd w:id="30"/>
    </w:p>
    <w:p w14:paraId="111D1380" w14:textId="77777777" w:rsidR="00270B84" w:rsidRPr="00270B84" w:rsidRDefault="00270B84" w:rsidP="00270B84">
      <w:r w:rsidRPr="00270B84">
        <w:t>While urban centres were pivotal to the empire's administration and culture, rural areas formed the demographic and economic backbone. The interplay between these spheres reveals stark regional contrasts:</w:t>
      </w:r>
    </w:p>
    <w:p w14:paraId="2381DEEF" w14:textId="77777777" w:rsidR="00270B84" w:rsidRPr="00270B84" w:rsidRDefault="00270B84" w:rsidP="00270B84">
      <w:pPr>
        <w:numPr>
          <w:ilvl w:val="0"/>
          <w:numId w:val="35"/>
        </w:numPr>
      </w:pPr>
      <w:r w:rsidRPr="00270B84">
        <w:rPr>
          <w:b/>
          <w:bCs/>
        </w:rPr>
        <w:t>Rome:</w:t>
      </w:r>
      <w:r w:rsidRPr="00270B84">
        <w:t xml:space="preserve"> Once the empire’s epicentre, Rome’s population plummeted from 500,000 in 300 AD to 50,000 by 600 AD, reflecting the collapse of imperial authority and rural economies. The rural population in Italy dropped from 3 million to 800,000, driven by agricultural decline, invasions, and socio-economic fragmentation.</w:t>
      </w:r>
    </w:p>
    <w:p w14:paraId="48522A99" w14:textId="77777777" w:rsidR="00270B84" w:rsidRPr="00270B84" w:rsidRDefault="00270B84" w:rsidP="00270B84">
      <w:pPr>
        <w:numPr>
          <w:ilvl w:val="0"/>
          <w:numId w:val="35"/>
        </w:numPr>
      </w:pPr>
      <w:r w:rsidRPr="00270B84">
        <w:rPr>
          <w:b/>
          <w:bCs/>
        </w:rPr>
        <w:t>Constantinople:</w:t>
      </w:r>
      <w:r w:rsidRPr="00270B84">
        <w:t xml:space="preserve"> In contrast, Constantinople’s population surged from 40,000 in 300 AD to 500,000 by 500 AD, overtaking Rome as the dominant urban centre. Supported by fertile hinterlands in Thrace and Asia Minor, which grew from 5 million to 6.3 million, the city weathered the Justinianic Plague (541–549 AD) and stabilised at 6 million by 600 AD.</w:t>
      </w:r>
    </w:p>
    <w:p w14:paraId="13391D21" w14:textId="77777777" w:rsidR="00270B84" w:rsidRPr="00270B84" w:rsidRDefault="00270B84" w:rsidP="00270B84">
      <w:pPr>
        <w:numPr>
          <w:ilvl w:val="0"/>
          <w:numId w:val="35"/>
        </w:numPr>
      </w:pPr>
      <w:r w:rsidRPr="00270B84">
        <w:rPr>
          <w:b/>
          <w:bCs/>
        </w:rPr>
        <w:t>Carthage:</w:t>
      </w:r>
      <w:r w:rsidRPr="00270B84">
        <w:t xml:space="preserve"> Carthage saw a gradual decline, with its urban population falling from 200,000 in 300 AD to 70,000 by 600 AD. The rural population, essential for grain exports, dropped from 2.5 million to 600,000 as trade networks weakened and Vandal occupation disrupted the region’s economy.</w:t>
      </w:r>
    </w:p>
    <w:p w14:paraId="111F43E6" w14:textId="77777777" w:rsidR="00270B84" w:rsidRPr="00270B84" w:rsidRDefault="00270B84" w:rsidP="00270B84">
      <w:pPr>
        <w:numPr>
          <w:ilvl w:val="0"/>
          <w:numId w:val="35"/>
        </w:numPr>
      </w:pPr>
      <w:r w:rsidRPr="00270B84">
        <w:rPr>
          <w:b/>
          <w:bCs/>
        </w:rPr>
        <w:t>Athens:</w:t>
      </w:r>
      <w:r w:rsidRPr="00270B84">
        <w:t xml:space="preserve"> Athens maintained stability, with its urban population doubling from 60,000 to 120,000, supported by a rural population that grew from 1 million to 1.45 million. This reflects Athens’ enduring role as a cultural and intellectual hub in the Eastern Mediterranean.</w:t>
      </w:r>
    </w:p>
    <w:p w14:paraId="777C77E9" w14:textId="77777777" w:rsidR="00270B84" w:rsidRPr="00270B84" w:rsidRDefault="00270B84" w:rsidP="00270B84">
      <w:pPr>
        <w:pStyle w:val="Heading3"/>
      </w:pPr>
      <w:bookmarkStart w:id="31" w:name="_Toc182111023"/>
      <w:r w:rsidRPr="00270B84">
        <w:lastRenderedPageBreak/>
        <w:t>Regional Redistribution</w:t>
      </w:r>
      <w:bookmarkEnd w:id="31"/>
    </w:p>
    <w:p w14:paraId="7D113009" w14:textId="77777777" w:rsidR="00270B84" w:rsidRPr="00270B84" w:rsidRDefault="00270B84" w:rsidP="00270B84">
      <w:r w:rsidRPr="00270B84">
        <w:t>The combined population of Rome, Constantinople, Athens, and Carthage shifted from 12.2 million in 300 AD to 9.8 million by 600 AD. Rome’s decline was mirrored by Carthage’s, while Constantinople and its hinterlands emerged as the demographic and economic core of the empire. By 600 AD, Constantinople accounted for over 60% of the total population of these regions, underscoring its ascendancy as the new centre of power.</w:t>
      </w:r>
    </w:p>
    <w:p w14:paraId="176CB5FE" w14:textId="77777777" w:rsidR="00270B84" w:rsidRPr="00270B84" w:rsidRDefault="00270B84" w:rsidP="00270B84">
      <w:pPr>
        <w:pStyle w:val="Heading3"/>
      </w:pPr>
      <w:bookmarkStart w:id="32" w:name="_Toc182111024"/>
      <w:r w:rsidRPr="00270B84">
        <w:t>Drivers of Population Shifts</w:t>
      </w:r>
      <w:bookmarkEnd w:id="32"/>
    </w:p>
    <w:p w14:paraId="408E9A54" w14:textId="77777777" w:rsidR="00270B84" w:rsidRPr="00270B84" w:rsidRDefault="00270B84" w:rsidP="00270B84">
      <w:pPr>
        <w:numPr>
          <w:ilvl w:val="0"/>
          <w:numId w:val="36"/>
        </w:numPr>
      </w:pPr>
      <w:r w:rsidRPr="00270B84">
        <w:rPr>
          <w:b/>
          <w:bCs/>
        </w:rPr>
        <w:t>Economic Centralisation:</w:t>
      </w:r>
      <w:r w:rsidRPr="00270B84">
        <w:t xml:space="preserve"> Constantinople’s strategic location and imperial policies centralised trade and administration, driving its growth. Meanwhile, the collapse of Western trade networks accelerated the decline of Rome and Carthage.</w:t>
      </w:r>
    </w:p>
    <w:p w14:paraId="39C3662D" w14:textId="77777777" w:rsidR="00270B84" w:rsidRPr="00270B84" w:rsidRDefault="00270B84" w:rsidP="00270B84">
      <w:pPr>
        <w:numPr>
          <w:ilvl w:val="0"/>
          <w:numId w:val="36"/>
        </w:numPr>
      </w:pPr>
      <w:r w:rsidRPr="00270B84">
        <w:rPr>
          <w:b/>
          <w:bCs/>
        </w:rPr>
        <w:t>Plagues and Epidemics:</w:t>
      </w:r>
      <w:r w:rsidRPr="00270B84">
        <w:t xml:space="preserve"> The Justinianic Plague significantly reduced urban populations, particularly in densely populated areas like Constantinople.</w:t>
      </w:r>
    </w:p>
    <w:p w14:paraId="1833A823" w14:textId="77777777" w:rsidR="00270B84" w:rsidRPr="00270B84" w:rsidRDefault="00270B84" w:rsidP="00270B84">
      <w:pPr>
        <w:numPr>
          <w:ilvl w:val="0"/>
          <w:numId w:val="36"/>
        </w:numPr>
      </w:pPr>
      <w:r w:rsidRPr="00270B84">
        <w:rPr>
          <w:b/>
          <w:bCs/>
        </w:rPr>
        <w:t>Invasions and Migrations:</w:t>
      </w:r>
      <w:r w:rsidRPr="00270B84">
        <w:t xml:space="preserve"> Barbarian incursions in Italy, the Vandal occupation of North Africa, and Gothic migrations destabilised rural economies, leading to widespread depopulation.</w:t>
      </w:r>
    </w:p>
    <w:p w14:paraId="10C60DC0" w14:textId="77777777" w:rsidR="00270B84" w:rsidRPr="00270B84" w:rsidRDefault="00270B84" w:rsidP="00270B84">
      <w:pPr>
        <w:numPr>
          <w:ilvl w:val="0"/>
          <w:numId w:val="36"/>
        </w:numPr>
      </w:pPr>
      <w:r w:rsidRPr="00270B84">
        <w:rPr>
          <w:b/>
          <w:bCs/>
        </w:rPr>
        <w:t>Agricultural Decline:</w:t>
      </w:r>
      <w:r w:rsidRPr="00270B84">
        <w:t xml:space="preserve"> The failure of rural estates in Italy and North Africa further diminished agricultural output, exacerbating both rural and urban population losses.</w:t>
      </w:r>
    </w:p>
    <w:p w14:paraId="190A39B9" w14:textId="77777777" w:rsidR="00270B84" w:rsidRPr="00270B84" w:rsidRDefault="00270B84" w:rsidP="00270B84">
      <w:pPr>
        <w:pStyle w:val="Heading3"/>
      </w:pPr>
      <w:bookmarkStart w:id="33" w:name="_Toc182111025"/>
      <w:r w:rsidRPr="00270B84">
        <w:t>Urban-Rural Dynamics and Adaptability</w:t>
      </w:r>
      <w:bookmarkEnd w:id="33"/>
    </w:p>
    <w:p w14:paraId="38551FCF" w14:textId="77777777" w:rsidR="00270B84" w:rsidRPr="00270B84" w:rsidRDefault="00270B84" w:rsidP="00270B84">
      <w:r w:rsidRPr="00270B84">
        <w:t>The shifting balance between urban and rural populations highlights the adaptability of Mediterranean societies. Constantinople thrived as a trade and administrative hub, sustained by its rural hinterlands. Conversely, the collapse of rural Italy and North Africa precipitated the decline of Rome and Carthage. Athens demonstrated steady growth, while Constantinople’s rapid ascent underscored the Eastern Mediterranean’s resilience.</w:t>
      </w:r>
    </w:p>
    <w:p w14:paraId="34B22B7B" w14:textId="77777777" w:rsidR="00270B84" w:rsidRPr="00270B84" w:rsidRDefault="00270B84" w:rsidP="00270B84">
      <w:pPr>
        <w:pStyle w:val="Heading3"/>
      </w:pPr>
      <w:bookmarkStart w:id="34" w:name="_Toc182111026"/>
      <w:r w:rsidRPr="00270B84">
        <w:lastRenderedPageBreak/>
        <w:t>A Mediterranean in Transition</w:t>
      </w:r>
      <w:bookmarkEnd w:id="34"/>
    </w:p>
    <w:p w14:paraId="323ADB03" w14:textId="77777777" w:rsidR="00270B84" w:rsidRPr="00270B84" w:rsidRDefault="00270B84" w:rsidP="00270B84">
      <w:r w:rsidRPr="00270B84">
        <w:t>The demographic trends of Rome, Constantinople, Athens, and Carthage between 300 and 600 AD reflect a period of significant redistribution rather than outright collapse. Rome’s decline was accompanied by the rise of Constantinople, the stability of Athens, and the shifting fortunes of Carthage. These patterns reveal the complexity of late antiquity, marked by migration, economic reorganisation, and regional adaptation.</w:t>
      </w:r>
    </w:p>
    <w:p w14:paraId="16F0C6F4" w14:textId="77777777" w:rsidR="00270B84" w:rsidRPr="00270B84" w:rsidRDefault="00270B84" w:rsidP="00270B84">
      <w:r w:rsidRPr="00270B84">
        <w:t>Rather than viewing this period as a catastrophic decline, it should be seen as a reconfiguration of an interconnected Mediterranean world. The redistribution of population and resources highlights the resilience of these societies in navigating profound political and environmental changes.</w:t>
      </w:r>
    </w:p>
    <w:p w14:paraId="22345686" w14:textId="2798E6EC" w:rsidR="004409F9" w:rsidRDefault="004409F9" w:rsidP="00A37D04"/>
    <w:p w14:paraId="316A269A" w14:textId="77777777" w:rsidR="007A5670" w:rsidRPr="00C214C5" w:rsidRDefault="007A5670" w:rsidP="00A37D04"/>
    <w:p w14:paraId="0CF05EE0" w14:textId="01FD3047" w:rsidR="0069219C" w:rsidRPr="00C214C5" w:rsidRDefault="0069219C" w:rsidP="00393975">
      <w:pPr>
        <w:pStyle w:val="Heading2"/>
      </w:pPr>
      <w:bookmarkStart w:id="35" w:name="_Toc182111027"/>
      <w:r w:rsidRPr="00C214C5">
        <w:t>2.</w:t>
      </w:r>
      <w:r w:rsidR="005B3F97" w:rsidRPr="00C214C5">
        <w:t>6</w:t>
      </w:r>
      <w:r w:rsidRPr="00C214C5">
        <w:t xml:space="preserve"> Future Research Directions</w:t>
      </w:r>
      <w:bookmarkEnd w:id="28"/>
      <w:bookmarkEnd w:id="35"/>
    </w:p>
    <w:p w14:paraId="0AB55D7C" w14:textId="77777777" w:rsidR="00526002" w:rsidRPr="00526002" w:rsidRDefault="00526002" w:rsidP="00526002">
      <w:r w:rsidRPr="00526002">
        <w:t>Future research in Roman historical studies is increasingly shaped by interdisciplinary approaches that integrate economic, spatial, and demographic analyses. Kelly (2020) exemplifies this by applying economic frameworks to examine the relationship between market returns, price inflation, and capital returns within the Roman economy. His work bridges economic history and demography, providing critical insights into how economic forces shaped population patterns. Similarly, Sinner and Carreras (2019) investigate the demographic impact of Roman colonisation in Iberian cities. By combining census data, spatial analysis, and household composition studies, they reveal how urban development and population structures evolved under Roman influence. Together, these studies highlight the value of integrating economic and spatial methodologies to deepen our understanding of ancient populations.</w:t>
      </w:r>
    </w:p>
    <w:p w14:paraId="6AD023E1" w14:textId="77777777" w:rsidR="00526002" w:rsidRPr="00526002" w:rsidRDefault="00526002" w:rsidP="00526002">
      <w:r w:rsidRPr="00526002">
        <w:lastRenderedPageBreak/>
        <w:t xml:space="preserve">Séguy’s (2019) empirical research on the Roman </w:t>
      </w:r>
      <w:r w:rsidRPr="00526002">
        <w:rPr>
          <w:i/>
          <w:iCs/>
        </w:rPr>
        <w:t>Limes</w:t>
      </w:r>
      <w:r w:rsidRPr="00526002">
        <w:t xml:space="preserve"> employs statistical modelling to analyse demographic patterns and population interactions in frontier regions. His work provides a template for studying socio-military dynamics, demonstrating how populations in border areas adapted to changing political and environmental contexts. Lavan (2019) complements this by introducing probability theory to manage uncertainties in historical data. Through Bayesian inference and Monte Carlo simulations, Lavan’s framework dynamically updates population hypotheses as new evidence emerges, while sensitivity analysis tests the robustness of these models (Weber and Simon, 2016; Rubinstein and Kroese, 2016). This approach allows for more resilient and adaptable demographic models, presenting conclusions as probabilistic estimates rather than fixed certainties.</w:t>
      </w:r>
    </w:p>
    <w:p w14:paraId="4DFD53AB" w14:textId="77777777" w:rsidR="00526002" w:rsidRPr="00526002" w:rsidRDefault="00526002" w:rsidP="00526002">
      <w:r w:rsidRPr="00526002">
        <w:t>Huebner and Laes (2019) contribute a nuanced perspective by focusing on household dynamics. Their research highlights how household structures—whether single individuals, nuclear families, or extended households—significantly influence demographic trends. By capturing these variations across different socio-economic and regional contexts, they provide a granular understanding of the Roman Empire’s diverse societal structures (Bowman and Wilson, 2009b). Advanced techniques such as hierarchical clustering and principal component analysis (PCA) enhance these studies by identifying patterns in complex datasets, although care must be taken to mitigate biases inherent in PCA (Elhaik, 2022; Hippalgaonkar et al., 2023).</w:t>
      </w:r>
    </w:p>
    <w:p w14:paraId="0A7F9460" w14:textId="77777777" w:rsidR="00526002" w:rsidRPr="00526002" w:rsidRDefault="00526002" w:rsidP="00526002">
      <w:r w:rsidRPr="00526002">
        <w:t xml:space="preserve">Antonio et al. (2022) and McFadden (2021) advance palaeodemographic research by incorporating genetic and skeletal analyses. Antonio et al. use ancient DNA to uncover migration patterns, genetic diversity, and population stability, offering new insights into kinship and health. McFadden refines skeletal analysis techniques, improving the accuracy of life expectancy, disease prevalence, and physical characteristics in ancient populations. Together, these methods provide complementary tools for reconstructing demographic </w:t>
      </w:r>
      <w:r w:rsidRPr="00526002">
        <w:lastRenderedPageBreak/>
        <w:t>profiles, enriching our understanding of ancient societies through both genetic and osteological evidence.</w:t>
      </w:r>
    </w:p>
    <w:p w14:paraId="5B6BE4C4" w14:textId="77777777" w:rsidR="00526002" w:rsidRPr="00526002" w:rsidRDefault="00526002" w:rsidP="00526002">
      <w:r w:rsidRPr="00526002">
        <w:t>Heinrich and Erdkamp’s (2018) study of non-adult skeletal remains in Roman Aventicum reveals critical insights into childhood mortality and health challenges, including high perinatal mortality rates linked to environmental factors such as malaria and nutritional deficiencies. These findings provide a valuable bioarchaeological perspective on the health and demographic composition of Roman urban peripheries, further contextualising population dynamics.</w:t>
      </w:r>
    </w:p>
    <w:p w14:paraId="55340E64" w14:textId="77777777" w:rsidR="00526002" w:rsidRPr="00526002" w:rsidRDefault="00526002" w:rsidP="00526002">
      <w:r w:rsidRPr="00526002">
        <w:t>The integration of advanced statistical and computational tools continues to drive the field forward. Machine learning algorithms can analyse vast, multidimensional datasets, identifying patterns and simulating population movements (Wang, Chen, and Xue, 2024). Geospatial analysis adds a crucial spatial dimension, enabling the visualisation of demographic trends and migration flows across time and regions (Kirchner et al., 2021). These approaches not only enhance the accuracy of demographic reconstructions but also allow researchers to model dynamic population changes.</w:t>
      </w:r>
    </w:p>
    <w:p w14:paraId="4918EE57" w14:textId="77777777" w:rsidR="00526002" w:rsidRPr="00526002" w:rsidRDefault="00526002" w:rsidP="00526002">
      <w:pPr>
        <w:rPr>
          <w:b/>
          <w:bCs/>
        </w:rPr>
      </w:pPr>
      <w:r w:rsidRPr="00526002">
        <w:rPr>
          <w:b/>
          <w:bCs/>
        </w:rPr>
        <w:t>Conclusion</w:t>
      </w:r>
    </w:p>
    <w:p w14:paraId="5C7C5B8B" w14:textId="77777777" w:rsidR="00526002" w:rsidRPr="00526002" w:rsidRDefault="00526002" w:rsidP="00526002">
      <w:r w:rsidRPr="00526002">
        <w:t>The future of Roman historical studies lies in interdisciplinary approaches that integrate diverse data sources and methodologies. By combining economic, genetic, archaeological, and palaeodemographic evidence, researchers can develop more nuanced and adaptable models. Advanced analytical techniques, such as machine learning and geospatial analysis, enable the exploration of complex demographic patterns, while probabilistic methods like Bayesian inference acknowledge and incorporate the inherent uncertainties of historical data. Together, these innovations offer a robust framework for advancing our understanding of ancient population dynamics, emphasising the adaptability and complexity of Roman societies.</w:t>
      </w:r>
    </w:p>
    <w:p w14:paraId="36C08DAC" w14:textId="77777777" w:rsidR="007B073B" w:rsidRPr="00C214C5" w:rsidRDefault="007B073B" w:rsidP="007B073B"/>
    <w:p w14:paraId="7F47F126" w14:textId="764BCA75" w:rsidR="003F7167" w:rsidRPr="00C214C5" w:rsidRDefault="002F0BE2" w:rsidP="00EB5271">
      <w:r w:rsidRPr="00C214C5">
        <w:t xml:space="preserve"> </w:t>
      </w:r>
      <w:r w:rsidR="003F7167" w:rsidRPr="00C214C5">
        <w:br w:type="page"/>
      </w:r>
    </w:p>
    <w:p w14:paraId="75612046" w14:textId="78AEB324" w:rsidR="00763D1B" w:rsidRPr="00C214C5" w:rsidRDefault="003F7167" w:rsidP="00763D1B">
      <w:pPr>
        <w:pStyle w:val="Heading1"/>
        <w:rPr>
          <w:lang w:val="en-GB"/>
        </w:rPr>
      </w:pPr>
      <w:bookmarkStart w:id="36" w:name="_Toc153780248"/>
      <w:bookmarkStart w:id="37" w:name="_Toc182111028"/>
      <w:r w:rsidRPr="00C214C5">
        <w:rPr>
          <w:lang w:val="en-GB"/>
        </w:rPr>
        <w:lastRenderedPageBreak/>
        <w:t>Chapter 3 -</w:t>
      </w:r>
      <w:r w:rsidR="00F26EAD" w:rsidRPr="00C214C5">
        <w:rPr>
          <w:lang w:val="en-GB"/>
        </w:rPr>
        <w:t xml:space="preserve"> Socioeconomic Conditions and Population Dynamics</w:t>
      </w:r>
      <w:bookmarkEnd w:id="36"/>
      <w:bookmarkEnd w:id="37"/>
    </w:p>
    <w:p w14:paraId="406C7158" w14:textId="77777777" w:rsidR="007E6B15" w:rsidRPr="007E6B15" w:rsidRDefault="007E6B15" w:rsidP="007E6B15">
      <w:r w:rsidRPr="007E6B15">
        <w:t>This chapter examines the socioeconomic conditions that shaped population dynamics during the decline of the Roman Empire, offering a comprehensive analysis of how wealth distribution, income inequality, and social class structures contributed to demographic shifts. Drawing on Lavan’s (2016) insights into the impact of social hierarchies on population movements, the chapter investigates the underlying causes of the Empire’s collapse. Additionally, it incorporates Goodchild’s (2007) study on land use patterns and their influence on population distribution, highlighting the role of labour practices in shaping demographic trends.</w:t>
      </w:r>
    </w:p>
    <w:p w14:paraId="1B450AD2" w14:textId="77777777" w:rsidR="007E6B15" w:rsidRPr="007E6B15" w:rsidRDefault="007E6B15" w:rsidP="007E6B15">
      <w:r w:rsidRPr="007E6B15">
        <w:t>A primary focus is the Italian peninsula, particularly Rome and its surrounding regions, to analyse how economic and social conditions in both urban and rural areas affected birth rates and immigration patterns. By comparing agricultural practices in rural areas with commerce-driven urban centres, the chapter explores regional variations in economic activities and their direct impact on demographic trends. This analysis underscores the diversity of socioeconomic experiences across the Empire and challenges the notion of a uniform decline.</w:t>
      </w:r>
    </w:p>
    <w:p w14:paraId="42BCE990" w14:textId="77777777" w:rsidR="007E6B15" w:rsidRPr="007E6B15" w:rsidRDefault="007E6B15" w:rsidP="007E6B15">
      <w:r w:rsidRPr="007E6B15">
        <w:t>Methodologically, the chapter evaluates advanced statistical analyses and demographic modelling techniques used to study regional demographic patterns. These methodologies are assessed for their effectiveness in capturing the complexities of socioeconomic influences on population dynamics. By focusing on context-specific patterns, the research provides a nuanced understanding of how economic conditions shaped population landscapes in Late Antique Rome, enhancing the depth and accuracy of demographic studies.</w:t>
      </w:r>
    </w:p>
    <w:p w14:paraId="645919E5" w14:textId="77777777" w:rsidR="007E6B15" w:rsidRPr="007E6B15" w:rsidRDefault="007E6B15" w:rsidP="007E6B15">
      <w:r w:rsidRPr="007E6B15">
        <w:t xml:space="preserve">Each section of the chapter offers a distinct perspective on the multifaceted socioeconomic influences, collectively building a detailed picture of the factors driving demographic evolution in the Roman Empire. Goodchild’s (2007) work on Roman land use </w:t>
      </w:r>
      <w:r w:rsidRPr="007E6B15">
        <w:lastRenderedPageBreak/>
        <w:t>provides a critical framework for understanding the interaction between environmental and economic conditions and their demographic consequences. The chapter leverages these models to explore how malleable socioeconomic forces played a pivotal role in the Empire’s decline, offering insights that are applicable to both historical and modern contexts.</w:t>
      </w:r>
    </w:p>
    <w:p w14:paraId="49434533" w14:textId="77777777" w:rsidR="007E6B15" w:rsidRPr="007E6B15" w:rsidRDefault="007E6B15" w:rsidP="007E6B15">
      <w:r w:rsidRPr="007E6B15">
        <w:t>This exploration not only enriches our understanding of Roman history but also lays the foundation for broader discussions on the long-term implications of socioeconomic and demographic changes. By analysing the transformation of Roman population dynamics, this chapter provides analytical frameworks that can be extended to contemporary studies, offering valuable tools for understanding the dynamics of modern civilisation.</w:t>
      </w:r>
    </w:p>
    <w:p w14:paraId="05C40AAA" w14:textId="0969EBEA" w:rsidR="007B073B" w:rsidRPr="00C214C5" w:rsidRDefault="00F26EAD" w:rsidP="00E06DFD">
      <w:pPr>
        <w:pStyle w:val="Heading2"/>
      </w:pPr>
      <w:bookmarkStart w:id="38" w:name="_Toc153780249"/>
      <w:bookmarkStart w:id="39" w:name="_Toc182111029"/>
      <w:r w:rsidRPr="00C214C5">
        <w:t>3.1 Socioeconomic Factors Influencing Population Shifts</w:t>
      </w:r>
      <w:bookmarkEnd w:id="38"/>
      <w:bookmarkEnd w:id="39"/>
    </w:p>
    <w:p w14:paraId="784D5FB7" w14:textId="77777777" w:rsidR="00DD55A3" w:rsidRPr="00DD55A3" w:rsidRDefault="00DD55A3" w:rsidP="00DD55A3">
      <w:r w:rsidRPr="00DD55A3">
        <w:t>Understanding Roman population dynamics during the Empire’s decline requires a thorough analysis of socioeconomic factors. Wealth distribution, income inequality, and labour practices were key drivers of demographic change. Scholars such as Hopkins (2009, pp. 209–210) and Scheidel (2019) emphasise the role of economic growth in shaping population trends, while also addressing the uncertainties inherent in historical data. Lavan (2019a, 2019b) deepens this analysis by introducing probabilistic models to explore the interplay among economic, social, and political elements. These models help navigate the complexities of historical patterns, offering a clearer view of how these factors influenced population shifts.</w:t>
      </w:r>
    </w:p>
    <w:p w14:paraId="4B5DD84E" w14:textId="77777777" w:rsidR="00DD55A3" w:rsidRPr="00DD55A3" w:rsidRDefault="00DD55A3" w:rsidP="00DD55A3">
      <w:r w:rsidRPr="00DD55A3">
        <w:t xml:space="preserve">Wealth disparities were particularly impactful. In the Roman Empire, a small elite controlled substantial economic resources, while the majority faced limited means. This concentration of wealth and land ownership exacerbated social and economic inequalities. The resulting imbalances influenced migration, settlement patterns, and household stability. Scheidel’s (2019) use of Python-based models demonstrates how regions with higher wealth concentrations experienced greater population stability. Similarly, Jongman et al. (2019) show </w:t>
      </w:r>
      <w:r w:rsidRPr="00DD55A3">
        <w:lastRenderedPageBreak/>
        <w:t>that affluent urban centres, benefiting from income inequality, attracted rural populations, reshaping the demographic landscape. These studies highlight how wealth distribution directly affected access to resources and economic opportunities.</w:t>
      </w:r>
    </w:p>
    <w:p w14:paraId="6A4006AB" w14:textId="77777777" w:rsidR="00DD55A3" w:rsidRPr="00DD55A3" w:rsidRDefault="00DD55A3" w:rsidP="00DD55A3">
      <w:r w:rsidRPr="00DD55A3">
        <w:t xml:space="preserve">Beyond wealth disparities, labour practices also played a critical role in shaping population dynamics. The Roman social hierarchy was rigid, with distinct legal and economic roles for each class. For example, the </w:t>
      </w:r>
      <w:r w:rsidRPr="00DD55A3">
        <w:rPr>
          <w:i/>
          <w:iCs/>
        </w:rPr>
        <w:t>Codex Theodosianus</w:t>
      </w:r>
      <w:r w:rsidRPr="00DD55A3">
        <w:t xml:space="preserve"> defined specific rights and obligations for </w:t>
      </w:r>
      <w:r w:rsidRPr="00DD55A3">
        <w:rPr>
          <w:i/>
          <w:iCs/>
        </w:rPr>
        <w:t>coloni</w:t>
      </w:r>
      <w:r w:rsidRPr="00DD55A3">
        <w:t xml:space="preserve"> (tenant farmers), </w:t>
      </w:r>
      <w:r w:rsidRPr="00DD55A3">
        <w:rPr>
          <w:i/>
          <w:iCs/>
        </w:rPr>
        <w:t>servi</w:t>
      </w:r>
      <w:r w:rsidRPr="00DD55A3">
        <w:t xml:space="preserve"> (slaves), and </w:t>
      </w:r>
      <w:r w:rsidRPr="00DD55A3">
        <w:rPr>
          <w:i/>
          <w:iCs/>
        </w:rPr>
        <w:t>liberti</w:t>
      </w:r>
      <w:r w:rsidRPr="00DD55A3">
        <w:t xml:space="preserve"> (freedmen) (Godefroy and Marville, 1741). These legal frameworks reinforced social stratification and limited mobility, particularly under the colonate system. As Liebs (2021) notes, this system legally bound tenant farmers to the land, restricting their ability to seek better opportunities. Such constraints on rural populations directly influenced migration patterns and economic participation.</w:t>
      </w:r>
    </w:p>
    <w:p w14:paraId="354CC243" w14:textId="77777777" w:rsidR="00DD55A3" w:rsidRPr="00DD55A3" w:rsidRDefault="00DD55A3" w:rsidP="00DD55A3">
      <w:r w:rsidRPr="00DD55A3">
        <w:t>The colonate system illustrates how legal and economic structures shaped demographic outcomes. By limiting rural workers’ mobility, the system suppressed internal migration, contributing to broader population trends. Socioeconomic conditions also affected birth rates and immigration. Economic instability and resource scarcity often led to declining birth rates, while migration patterns were shaped by the search for economic opportunities and political stability. Kelly’s (2020) economic frameworks offer valuable insights into how these factors influenced population shifts, highlighting the interconnections between economic conditions and demographic changes.</w:t>
      </w:r>
    </w:p>
    <w:p w14:paraId="5CC54CA5" w14:textId="77777777" w:rsidR="00DD55A3" w:rsidRPr="00DD55A3" w:rsidRDefault="00DD55A3" w:rsidP="00DD55A3">
      <w:pPr>
        <w:rPr>
          <w:b/>
          <w:bCs/>
        </w:rPr>
      </w:pPr>
      <w:r w:rsidRPr="00DD55A3">
        <w:rPr>
          <w:b/>
          <w:bCs/>
        </w:rPr>
        <w:t>Analytical Methods and Models</w:t>
      </w:r>
    </w:p>
    <w:p w14:paraId="181A3AA6" w14:textId="77777777" w:rsidR="00DD55A3" w:rsidRPr="00DD55A3" w:rsidRDefault="00DD55A3" w:rsidP="00DD55A3">
      <w:r w:rsidRPr="00DD55A3">
        <w:t xml:space="preserve">Scholars employ a range of methodologies to analyse the impact of socioeconomic factors on population dynamics. Quantitative approaches, including demographic modelling and econometric techniques, allow for simulations of population growth or decline based on variables such as birth rates, death rates, and migration patterns. Scheidel (2019) uses statistical </w:t>
      </w:r>
      <w:r w:rsidRPr="00DD55A3">
        <w:lastRenderedPageBreak/>
        <w:t>analysis to link wealth distribution with population stability, revealing that regions with greater economic inequality experienced more pronounced demographic fluctuations.</w:t>
      </w:r>
    </w:p>
    <w:p w14:paraId="4148AA93" w14:textId="77777777" w:rsidR="00DD55A3" w:rsidRPr="00DD55A3" w:rsidRDefault="00DD55A3" w:rsidP="00DD55A3">
      <w:r w:rsidRPr="00DD55A3">
        <w:t>Probabilistic models, such as those using Bayesian inference and Monte Carlo simulations, address the inherent uncertainties in historical data (Weber and Simon, 2016; Rubinstein and Kroese, 2016). These techniques allow researchers to incorporate new evidence dynamically, updating hypotheses as more data becomes available. Sensitivity analysis complements these models by testing how changes in input variables affect outcomes, ensuring the robustness of demographic conclusions (Pianosi et al., 2016).</w:t>
      </w:r>
    </w:p>
    <w:p w14:paraId="1BC4B30E" w14:textId="77777777" w:rsidR="00DD55A3" w:rsidRPr="00DD55A3" w:rsidRDefault="00DD55A3" w:rsidP="00DD55A3">
      <w:r w:rsidRPr="00DD55A3">
        <w:t>On the qualitative side, historical case studies and textual analysis provide context for these quantitative methods. Lavan’s (2019a, 2019b) probabilistic framework allows for a detailed examination of socioeconomic conditions, such as the colonate system’s influence on migration and agricultural productivity. This integrated approach deepens our understanding of how legal and economic structures shaped demographic trends.</w:t>
      </w:r>
    </w:p>
    <w:p w14:paraId="6415D7E8" w14:textId="77777777" w:rsidR="00DD55A3" w:rsidRPr="00DD55A3" w:rsidRDefault="00DD55A3" w:rsidP="00DD55A3">
      <w:pPr>
        <w:rPr>
          <w:b/>
          <w:bCs/>
        </w:rPr>
      </w:pPr>
      <w:r w:rsidRPr="00DD55A3">
        <w:rPr>
          <w:b/>
          <w:bCs/>
        </w:rPr>
        <w:t>Socioeconomic Pressures and Demographic Reorganisation</w:t>
      </w:r>
    </w:p>
    <w:p w14:paraId="3508C57C" w14:textId="77777777" w:rsidR="00DD55A3" w:rsidRPr="00DD55A3" w:rsidRDefault="00DD55A3" w:rsidP="00DD55A3">
      <w:r w:rsidRPr="00DD55A3">
        <w:t>The chapter argues that Rome’s demographic evolution was driven by systemic socioeconomic pressures rather than outright collapse. Wealth inequality, labour constraints, and shifting settlement patterns prompted a reorganisation of population dynamics. Lavan’s probabilistic models demonstrate the critical relationship between economic disparity and migration, offering a nuanced view of how these forces reshaped the Empire’s demographic landscape.</w:t>
      </w:r>
    </w:p>
    <w:p w14:paraId="2C8CF699" w14:textId="77777777" w:rsidR="00DD55A3" w:rsidRPr="00DD55A3" w:rsidRDefault="00DD55A3" w:rsidP="00DD55A3">
      <w:r w:rsidRPr="00DD55A3">
        <w:t xml:space="preserve">By integrating both quantitative and qualitative methods, this chapter provides a comprehensive analysis of how socioeconomic conditions influenced population shifts during the Roman Empire’s decline. This multifaceted approach offers valuable insights into the </w:t>
      </w:r>
      <w:r w:rsidRPr="00DD55A3">
        <w:lastRenderedPageBreak/>
        <w:t>complex interdependencies between social structures, economic policies, and demographic trends, illuminating the transformative period of Late Antiquity.</w:t>
      </w:r>
    </w:p>
    <w:p w14:paraId="71829163" w14:textId="6D07B898" w:rsidR="00DB18EC" w:rsidRPr="00C214C5" w:rsidRDefault="0090751D" w:rsidP="0090751D">
      <w:pPr>
        <w:pStyle w:val="Caption"/>
        <w:jc w:val="center"/>
      </w:pPr>
      <w:bookmarkStart w:id="40" w:name="_Ref181855604"/>
      <w:r w:rsidRPr="00C214C5">
        <w:t xml:space="preserve">Table </w:t>
      </w:r>
      <w:r w:rsidRPr="00C214C5">
        <w:fldChar w:fldCharType="begin"/>
      </w:r>
      <w:r w:rsidRPr="00C214C5">
        <w:instrText xml:space="preserve"> SEQ Table \* ARABIC </w:instrText>
      </w:r>
      <w:r w:rsidRPr="00C214C5">
        <w:fldChar w:fldCharType="separate"/>
      </w:r>
      <w:r w:rsidRPr="00C214C5">
        <w:rPr>
          <w:noProof/>
        </w:rPr>
        <w:t>2</w:t>
      </w:r>
      <w:r w:rsidRPr="00C214C5">
        <w:fldChar w:fldCharType="end"/>
      </w:r>
      <w:bookmarkEnd w:id="40"/>
      <w:r w:rsidRPr="00C214C5">
        <w:t>: world population estimates</w:t>
      </w:r>
    </w:p>
    <w:p w14:paraId="01987846" w14:textId="6354F243" w:rsidR="00DC4A64" w:rsidRPr="00DC4A64" w:rsidRDefault="00DC4A64" w:rsidP="00C214C5">
      <w:pPr>
        <w:spacing w:line="240" w:lineRule="auto"/>
        <w:ind w:firstLine="0"/>
        <w:jc w:val="center"/>
        <w:rPr>
          <w:b/>
          <w:bCs/>
          <w:sz w:val="22"/>
          <w:szCs w:val="22"/>
        </w:rPr>
      </w:pPr>
      <w:r w:rsidRPr="00DC4A64">
        <w:rPr>
          <w:b/>
          <w:bCs/>
          <w:sz w:val="22"/>
          <w:szCs w:val="22"/>
        </w:rPr>
        <w:t>Urban and Rural Population Estimates in Key Roman Centres (300–600 AD)</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75"/>
        <w:gridCol w:w="776"/>
        <w:gridCol w:w="891"/>
        <w:gridCol w:w="1208"/>
        <w:gridCol w:w="1208"/>
        <w:gridCol w:w="832"/>
        <w:gridCol w:w="891"/>
        <w:gridCol w:w="776"/>
        <w:gridCol w:w="891"/>
        <w:gridCol w:w="968"/>
      </w:tblGrid>
      <w:tr w:rsidR="00C214C5" w:rsidRPr="00C214C5" w14:paraId="291B0ED4" w14:textId="77777777" w:rsidTr="00627BE3">
        <w:tc>
          <w:tcPr>
            <w:tcW w:w="1800" w:type="dxa"/>
          </w:tcPr>
          <w:p w14:paraId="514AD38B" w14:textId="77777777" w:rsidR="00DC4A64" w:rsidRPr="00DC4A64" w:rsidRDefault="00DC4A64" w:rsidP="00DC4A64">
            <w:pPr>
              <w:spacing w:line="240" w:lineRule="auto"/>
              <w:ind w:firstLine="0"/>
              <w:rPr>
                <w:sz w:val="16"/>
                <w:szCs w:val="16"/>
              </w:rPr>
            </w:pPr>
            <w:r w:rsidRPr="00DC4A64">
              <w:rPr>
                <w:sz w:val="16"/>
                <w:szCs w:val="16"/>
              </w:rPr>
              <w:t>Year</w:t>
            </w:r>
          </w:p>
        </w:tc>
        <w:tc>
          <w:tcPr>
            <w:tcW w:w="1800" w:type="dxa"/>
          </w:tcPr>
          <w:p w14:paraId="3EA26B97" w14:textId="77777777" w:rsidR="00DC4A64" w:rsidRPr="00DC4A64" w:rsidRDefault="00DC4A64" w:rsidP="00DC4A64">
            <w:pPr>
              <w:spacing w:line="240" w:lineRule="auto"/>
              <w:ind w:firstLine="0"/>
              <w:rPr>
                <w:sz w:val="16"/>
                <w:szCs w:val="16"/>
              </w:rPr>
            </w:pPr>
            <w:r w:rsidRPr="00DC4A64">
              <w:rPr>
                <w:sz w:val="16"/>
                <w:szCs w:val="16"/>
              </w:rPr>
              <w:t>Rome (Urban)</w:t>
            </w:r>
          </w:p>
        </w:tc>
        <w:tc>
          <w:tcPr>
            <w:tcW w:w="1800" w:type="dxa"/>
          </w:tcPr>
          <w:p w14:paraId="78065AF7" w14:textId="77777777" w:rsidR="00DC4A64" w:rsidRPr="00DC4A64" w:rsidRDefault="00DC4A64" w:rsidP="00DC4A64">
            <w:pPr>
              <w:spacing w:line="240" w:lineRule="auto"/>
              <w:ind w:firstLine="0"/>
              <w:rPr>
                <w:sz w:val="16"/>
                <w:szCs w:val="16"/>
              </w:rPr>
            </w:pPr>
            <w:r w:rsidRPr="00DC4A64">
              <w:rPr>
                <w:sz w:val="16"/>
                <w:szCs w:val="16"/>
              </w:rPr>
              <w:t>Rome (Rural)</w:t>
            </w:r>
          </w:p>
        </w:tc>
        <w:tc>
          <w:tcPr>
            <w:tcW w:w="1800" w:type="dxa"/>
          </w:tcPr>
          <w:p w14:paraId="26DCB124" w14:textId="77777777" w:rsidR="00DC4A64" w:rsidRPr="00DC4A64" w:rsidRDefault="00DC4A64" w:rsidP="00DC4A64">
            <w:pPr>
              <w:spacing w:line="240" w:lineRule="auto"/>
              <w:ind w:firstLine="0"/>
              <w:rPr>
                <w:sz w:val="16"/>
                <w:szCs w:val="16"/>
              </w:rPr>
            </w:pPr>
            <w:r w:rsidRPr="00DC4A64">
              <w:rPr>
                <w:sz w:val="16"/>
                <w:szCs w:val="16"/>
              </w:rPr>
              <w:t>Constantinople (Urban)</w:t>
            </w:r>
          </w:p>
        </w:tc>
        <w:tc>
          <w:tcPr>
            <w:tcW w:w="1800" w:type="dxa"/>
          </w:tcPr>
          <w:p w14:paraId="7B846BD8" w14:textId="77777777" w:rsidR="00DC4A64" w:rsidRPr="00DC4A64" w:rsidRDefault="00DC4A64" w:rsidP="00DC4A64">
            <w:pPr>
              <w:spacing w:line="240" w:lineRule="auto"/>
              <w:ind w:firstLine="0"/>
              <w:rPr>
                <w:sz w:val="16"/>
                <w:szCs w:val="16"/>
              </w:rPr>
            </w:pPr>
            <w:r w:rsidRPr="00DC4A64">
              <w:rPr>
                <w:sz w:val="16"/>
                <w:szCs w:val="16"/>
              </w:rPr>
              <w:t>Constantinople (Rural)</w:t>
            </w:r>
          </w:p>
        </w:tc>
        <w:tc>
          <w:tcPr>
            <w:tcW w:w="1800" w:type="dxa"/>
          </w:tcPr>
          <w:p w14:paraId="222A3F66" w14:textId="77777777" w:rsidR="00DC4A64" w:rsidRPr="00DC4A64" w:rsidRDefault="00DC4A64" w:rsidP="00DC4A64">
            <w:pPr>
              <w:spacing w:line="240" w:lineRule="auto"/>
              <w:ind w:firstLine="0"/>
              <w:rPr>
                <w:sz w:val="16"/>
                <w:szCs w:val="16"/>
              </w:rPr>
            </w:pPr>
            <w:r w:rsidRPr="00DC4A64">
              <w:rPr>
                <w:sz w:val="16"/>
                <w:szCs w:val="16"/>
              </w:rPr>
              <w:t>Carthage (Urban)</w:t>
            </w:r>
          </w:p>
        </w:tc>
        <w:tc>
          <w:tcPr>
            <w:tcW w:w="1800" w:type="dxa"/>
          </w:tcPr>
          <w:p w14:paraId="49CEDE55" w14:textId="77777777" w:rsidR="00DC4A64" w:rsidRPr="00DC4A64" w:rsidRDefault="00DC4A64" w:rsidP="00DC4A64">
            <w:pPr>
              <w:spacing w:line="240" w:lineRule="auto"/>
              <w:ind w:firstLine="0"/>
              <w:rPr>
                <w:sz w:val="16"/>
                <w:szCs w:val="16"/>
              </w:rPr>
            </w:pPr>
            <w:r w:rsidRPr="00DC4A64">
              <w:rPr>
                <w:sz w:val="16"/>
                <w:szCs w:val="16"/>
              </w:rPr>
              <w:t>Carthage (Rural)</w:t>
            </w:r>
          </w:p>
        </w:tc>
        <w:tc>
          <w:tcPr>
            <w:tcW w:w="1800" w:type="dxa"/>
          </w:tcPr>
          <w:p w14:paraId="20343826" w14:textId="77777777" w:rsidR="00DC4A64" w:rsidRPr="00DC4A64" w:rsidRDefault="00DC4A64" w:rsidP="00DC4A64">
            <w:pPr>
              <w:spacing w:line="240" w:lineRule="auto"/>
              <w:ind w:firstLine="0"/>
              <w:rPr>
                <w:sz w:val="16"/>
                <w:szCs w:val="16"/>
              </w:rPr>
            </w:pPr>
            <w:r w:rsidRPr="00DC4A64">
              <w:rPr>
                <w:sz w:val="16"/>
                <w:szCs w:val="16"/>
              </w:rPr>
              <w:t>Athens (Urban)</w:t>
            </w:r>
          </w:p>
        </w:tc>
        <w:tc>
          <w:tcPr>
            <w:tcW w:w="1800" w:type="dxa"/>
          </w:tcPr>
          <w:p w14:paraId="0E5AD868" w14:textId="77777777" w:rsidR="00DC4A64" w:rsidRPr="00DC4A64" w:rsidRDefault="00DC4A64" w:rsidP="00DC4A64">
            <w:pPr>
              <w:spacing w:line="240" w:lineRule="auto"/>
              <w:ind w:firstLine="0"/>
              <w:rPr>
                <w:sz w:val="16"/>
                <w:szCs w:val="16"/>
              </w:rPr>
            </w:pPr>
            <w:r w:rsidRPr="00DC4A64">
              <w:rPr>
                <w:sz w:val="16"/>
                <w:szCs w:val="16"/>
              </w:rPr>
              <w:t>Athens (Rural)</w:t>
            </w:r>
          </w:p>
        </w:tc>
        <w:tc>
          <w:tcPr>
            <w:tcW w:w="1800" w:type="dxa"/>
          </w:tcPr>
          <w:p w14:paraId="4E2CD603" w14:textId="77777777" w:rsidR="00DC4A64" w:rsidRPr="00DC4A64" w:rsidRDefault="00DC4A64" w:rsidP="00DC4A64">
            <w:pPr>
              <w:spacing w:line="240" w:lineRule="auto"/>
              <w:ind w:firstLine="0"/>
              <w:rPr>
                <w:sz w:val="16"/>
                <w:szCs w:val="16"/>
              </w:rPr>
            </w:pPr>
            <w:r w:rsidRPr="00DC4A64">
              <w:rPr>
                <w:sz w:val="16"/>
                <w:szCs w:val="16"/>
              </w:rPr>
              <w:t>Total Population</w:t>
            </w:r>
          </w:p>
        </w:tc>
      </w:tr>
      <w:tr w:rsidR="00C214C5" w:rsidRPr="00C214C5" w14:paraId="0C01B640" w14:textId="77777777" w:rsidTr="00627BE3">
        <w:tc>
          <w:tcPr>
            <w:tcW w:w="1800" w:type="dxa"/>
          </w:tcPr>
          <w:p w14:paraId="0E149769" w14:textId="77777777" w:rsidR="00DC4A64" w:rsidRPr="00DC4A64" w:rsidRDefault="00DC4A64" w:rsidP="00DC4A64">
            <w:pPr>
              <w:spacing w:line="240" w:lineRule="auto"/>
              <w:ind w:firstLine="0"/>
              <w:rPr>
                <w:sz w:val="16"/>
                <w:szCs w:val="16"/>
              </w:rPr>
            </w:pPr>
            <w:r w:rsidRPr="00DC4A64">
              <w:rPr>
                <w:sz w:val="16"/>
                <w:szCs w:val="16"/>
              </w:rPr>
              <w:t>300</w:t>
            </w:r>
          </w:p>
        </w:tc>
        <w:tc>
          <w:tcPr>
            <w:tcW w:w="1800" w:type="dxa"/>
          </w:tcPr>
          <w:p w14:paraId="47015A0E" w14:textId="77777777" w:rsidR="00DC4A64" w:rsidRPr="00DC4A64" w:rsidRDefault="00DC4A64" w:rsidP="00DC4A64">
            <w:pPr>
              <w:spacing w:line="240" w:lineRule="auto"/>
              <w:ind w:firstLine="0"/>
              <w:rPr>
                <w:sz w:val="16"/>
                <w:szCs w:val="16"/>
              </w:rPr>
            </w:pPr>
            <w:r w:rsidRPr="00DC4A64">
              <w:rPr>
                <w:sz w:val="16"/>
                <w:szCs w:val="16"/>
              </w:rPr>
              <w:t>500,000</w:t>
            </w:r>
          </w:p>
        </w:tc>
        <w:tc>
          <w:tcPr>
            <w:tcW w:w="1800" w:type="dxa"/>
          </w:tcPr>
          <w:p w14:paraId="19E8ACCC" w14:textId="77777777" w:rsidR="00DC4A64" w:rsidRPr="00DC4A64" w:rsidRDefault="00DC4A64" w:rsidP="00DC4A64">
            <w:pPr>
              <w:spacing w:line="240" w:lineRule="auto"/>
              <w:ind w:firstLine="0"/>
              <w:rPr>
                <w:sz w:val="16"/>
                <w:szCs w:val="16"/>
              </w:rPr>
            </w:pPr>
            <w:r w:rsidRPr="00DC4A64">
              <w:rPr>
                <w:sz w:val="16"/>
                <w:szCs w:val="16"/>
              </w:rPr>
              <w:t>3,000,000</w:t>
            </w:r>
          </w:p>
        </w:tc>
        <w:tc>
          <w:tcPr>
            <w:tcW w:w="1800" w:type="dxa"/>
          </w:tcPr>
          <w:p w14:paraId="0E39BC32" w14:textId="77777777" w:rsidR="00DC4A64" w:rsidRPr="00DC4A64" w:rsidRDefault="00DC4A64" w:rsidP="00DC4A64">
            <w:pPr>
              <w:spacing w:line="240" w:lineRule="auto"/>
              <w:ind w:firstLine="0"/>
              <w:rPr>
                <w:sz w:val="16"/>
                <w:szCs w:val="16"/>
              </w:rPr>
            </w:pPr>
            <w:r w:rsidRPr="00DC4A64">
              <w:rPr>
                <w:sz w:val="16"/>
                <w:szCs w:val="16"/>
              </w:rPr>
              <w:t>40,000</w:t>
            </w:r>
          </w:p>
        </w:tc>
        <w:tc>
          <w:tcPr>
            <w:tcW w:w="1800" w:type="dxa"/>
          </w:tcPr>
          <w:p w14:paraId="57F57279" w14:textId="77777777" w:rsidR="00DC4A64" w:rsidRPr="00DC4A64" w:rsidRDefault="00DC4A64" w:rsidP="00DC4A64">
            <w:pPr>
              <w:spacing w:line="240" w:lineRule="auto"/>
              <w:ind w:firstLine="0"/>
              <w:rPr>
                <w:sz w:val="16"/>
                <w:szCs w:val="16"/>
              </w:rPr>
            </w:pPr>
            <w:r w:rsidRPr="00DC4A64">
              <w:rPr>
                <w:sz w:val="16"/>
                <w:szCs w:val="16"/>
              </w:rPr>
              <w:t>5,000,000</w:t>
            </w:r>
          </w:p>
        </w:tc>
        <w:tc>
          <w:tcPr>
            <w:tcW w:w="1800" w:type="dxa"/>
          </w:tcPr>
          <w:p w14:paraId="7E358184" w14:textId="77777777" w:rsidR="00DC4A64" w:rsidRPr="00DC4A64" w:rsidRDefault="00DC4A64" w:rsidP="00DC4A64">
            <w:pPr>
              <w:spacing w:line="240" w:lineRule="auto"/>
              <w:ind w:firstLine="0"/>
              <w:rPr>
                <w:sz w:val="16"/>
                <w:szCs w:val="16"/>
              </w:rPr>
            </w:pPr>
            <w:r w:rsidRPr="00DC4A64">
              <w:rPr>
                <w:sz w:val="16"/>
                <w:szCs w:val="16"/>
              </w:rPr>
              <w:t>200,000</w:t>
            </w:r>
          </w:p>
        </w:tc>
        <w:tc>
          <w:tcPr>
            <w:tcW w:w="1800" w:type="dxa"/>
          </w:tcPr>
          <w:p w14:paraId="65B6A4EE" w14:textId="77777777" w:rsidR="00DC4A64" w:rsidRPr="00DC4A64" w:rsidRDefault="00DC4A64" w:rsidP="00DC4A64">
            <w:pPr>
              <w:spacing w:line="240" w:lineRule="auto"/>
              <w:ind w:firstLine="0"/>
              <w:rPr>
                <w:sz w:val="16"/>
                <w:szCs w:val="16"/>
              </w:rPr>
            </w:pPr>
            <w:r w:rsidRPr="00DC4A64">
              <w:rPr>
                <w:sz w:val="16"/>
                <w:szCs w:val="16"/>
              </w:rPr>
              <w:t>2,500,000</w:t>
            </w:r>
          </w:p>
        </w:tc>
        <w:tc>
          <w:tcPr>
            <w:tcW w:w="1800" w:type="dxa"/>
          </w:tcPr>
          <w:p w14:paraId="2AE22198" w14:textId="77777777" w:rsidR="00DC4A64" w:rsidRPr="00DC4A64" w:rsidRDefault="00DC4A64" w:rsidP="00DC4A64">
            <w:pPr>
              <w:spacing w:line="240" w:lineRule="auto"/>
              <w:ind w:firstLine="0"/>
              <w:rPr>
                <w:sz w:val="16"/>
                <w:szCs w:val="16"/>
              </w:rPr>
            </w:pPr>
            <w:r w:rsidRPr="00DC4A64">
              <w:rPr>
                <w:sz w:val="16"/>
                <w:szCs w:val="16"/>
              </w:rPr>
              <w:t>60,000</w:t>
            </w:r>
          </w:p>
        </w:tc>
        <w:tc>
          <w:tcPr>
            <w:tcW w:w="1800" w:type="dxa"/>
          </w:tcPr>
          <w:p w14:paraId="402F839C" w14:textId="77777777" w:rsidR="00DC4A64" w:rsidRPr="00DC4A64" w:rsidRDefault="00DC4A64" w:rsidP="00DC4A64">
            <w:pPr>
              <w:spacing w:line="240" w:lineRule="auto"/>
              <w:ind w:firstLine="0"/>
              <w:rPr>
                <w:sz w:val="16"/>
                <w:szCs w:val="16"/>
              </w:rPr>
            </w:pPr>
            <w:r w:rsidRPr="00DC4A64">
              <w:rPr>
                <w:sz w:val="16"/>
                <w:szCs w:val="16"/>
              </w:rPr>
              <w:t>1,000,000</w:t>
            </w:r>
          </w:p>
        </w:tc>
        <w:tc>
          <w:tcPr>
            <w:tcW w:w="1800" w:type="dxa"/>
          </w:tcPr>
          <w:p w14:paraId="79D8C4C5" w14:textId="77777777" w:rsidR="00DC4A64" w:rsidRPr="00DC4A64" w:rsidRDefault="00DC4A64" w:rsidP="00DC4A64">
            <w:pPr>
              <w:spacing w:line="240" w:lineRule="auto"/>
              <w:ind w:firstLine="0"/>
              <w:rPr>
                <w:sz w:val="16"/>
                <w:szCs w:val="16"/>
              </w:rPr>
            </w:pPr>
            <w:r w:rsidRPr="00DC4A64">
              <w:rPr>
                <w:sz w:val="16"/>
                <w:szCs w:val="16"/>
              </w:rPr>
              <w:t>12,300,000</w:t>
            </w:r>
          </w:p>
        </w:tc>
      </w:tr>
      <w:tr w:rsidR="00C214C5" w:rsidRPr="00C214C5" w14:paraId="259A90D2" w14:textId="77777777" w:rsidTr="00627BE3">
        <w:tc>
          <w:tcPr>
            <w:tcW w:w="1800" w:type="dxa"/>
          </w:tcPr>
          <w:p w14:paraId="38B97251" w14:textId="77777777" w:rsidR="00DC4A64" w:rsidRPr="00DC4A64" w:rsidRDefault="00DC4A64" w:rsidP="00DC4A64">
            <w:pPr>
              <w:spacing w:line="240" w:lineRule="auto"/>
              <w:ind w:firstLine="0"/>
              <w:rPr>
                <w:sz w:val="16"/>
                <w:szCs w:val="16"/>
              </w:rPr>
            </w:pPr>
            <w:r w:rsidRPr="00DC4A64">
              <w:rPr>
                <w:sz w:val="16"/>
                <w:szCs w:val="16"/>
              </w:rPr>
              <w:t>400</w:t>
            </w:r>
          </w:p>
        </w:tc>
        <w:tc>
          <w:tcPr>
            <w:tcW w:w="1800" w:type="dxa"/>
          </w:tcPr>
          <w:p w14:paraId="3D6368B0" w14:textId="77777777" w:rsidR="00DC4A64" w:rsidRPr="00DC4A64" w:rsidRDefault="00DC4A64" w:rsidP="00DC4A64">
            <w:pPr>
              <w:spacing w:line="240" w:lineRule="auto"/>
              <w:ind w:firstLine="0"/>
              <w:rPr>
                <w:sz w:val="16"/>
                <w:szCs w:val="16"/>
              </w:rPr>
            </w:pPr>
            <w:r w:rsidRPr="00DC4A64">
              <w:rPr>
                <w:sz w:val="16"/>
                <w:szCs w:val="16"/>
              </w:rPr>
              <w:t>400,000</w:t>
            </w:r>
          </w:p>
        </w:tc>
        <w:tc>
          <w:tcPr>
            <w:tcW w:w="1800" w:type="dxa"/>
          </w:tcPr>
          <w:p w14:paraId="29B40AEB" w14:textId="77777777" w:rsidR="00DC4A64" w:rsidRPr="00DC4A64" w:rsidRDefault="00DC4A64" w:rsidP="00DC4A64">
            <w:pPr>
              <w:spacing w:line="240" w:lineRule="auto"/>
              <w:ind w:firstLine="0"/>
              <w:rPr>
                <w:sz w:val="16"/>
                <w:szCs w:val="16"/>
              </w:rPr>
            </w:pPr>
            <w:r w:rsidRPr="00DC4A64">
              <w:rPr>
                <w:sz w:val="16"/>
                <w:szCs w:val="16"/>
              </w:rPr>
              <w:t>2,500,000</w:t>
            </w:r>
          </w:p>
        </w:tc>
        <w:tc>
          <w:tcPr>
            <w:tcW w:w="1800" w:type="dxa"/>
          </w:tcPr>
          <w:p w14:paraId="7B13B12F" w14:textId="77777777" w:rsidR="00DC4A64" w:rsidRPr="00DC4A64" w:rsidRDefault="00DC4A64" w:rsidP="00DC4A64">
            <w:pPr>
              <w:spacing w:line="240" w:lineRule="auto"/>
              <w:ind w:firstLine="0"/>
              <w:rPr>
                <w:sz w:val="16"/>
                <w:szCs w:val="16"/>
              </w:rPr>
            </w:pPr>
            <w:r w:rsidRPr="00DC4A64">
              <w:rPr>
                <w:sz w:val="16"/>
                <w:szCs w:val="16"/>
              </w:rPr>
              <w:t>250,000</w:t>
            </w:r>
          </w:p>
        </w:tc>
        <w:tc>
          <w:tcPr>
            <w:tcW w:w="1800" w:type="dxa"/>
          </w:tcPr>
          <w:p w14:paraId="3D8153C8" w14:textId="77777777" w:rsidR="00DC4A64" w:rsidRPr="00DC4A64" w:rsidRDefault="00DC4A64" w:rsidP="00DC4A64">
            <w:pPr>
              <w:spacing w:line="240" w:lineRule="auto"/>
              <w:ind w:firstLine="0"/>
              <w:rPr>
                <w:sz w:val="16"/>
                <w:szCs w:val="16"/>
              </w:rPr>
            </w:pPr>
            <w:r w:rsidRPr="00DC4A64">
              <w:rPr>
                <w:sz w:val="16"/>
                <w:szCs w:val="16"/>
              </w:rPr>
              <w:t>5,600,000</w:t>
            </w:r>
          </w:p>
        </w:tc>
        <w:tc>
          <w:tcPr>
            <w:tcW w:w="1800" w:type="dxa"/>
          </w:tcPr>
          <w:p w14:paraId="2577F54D" w14:textId="77777777" w:rsidR="00DC4A64" w:rsidRPr="00DC4A64" w:rsidRDefault="00DC4A64" w:rsidP="00DC4A64">
            <w:pPr>
              <w:spacing w:line="240" w:lineRule="auto"/>
              <w:ind w:firstLine="0"/>
              <w:rPr>
                <w:sz w:val="16"/>
                <w:szCs w:val="16"/>
              </w:rPr>
            </w:pPr>
            <w:r w:rsidRPr="00DC4A64">
              <w:rPr>
                <w:sz w:val="16"/>
                <w:szCs w:val="16"/>
              </w:rPr>
              <w:t>160,000</w:t>
            </w:r>
          </w:p>
        </w:tc>
        <w:tc>
          <w:tcPr>
            <w:tcW w:w="1800" w:type="dxa"/>
          </w:tcPr>
          <w:p w14:paraId="060A560E" w14:textId="77777777" w:rsidR="00DC4A64" w:rsidRPr="00DC4A64" w:rsidRDefault="00DC4A64" w:rsidP="00DC4A64">
            <w:pPr>
              <w:spacing w:line="240" w:lineRule="auto"/>
              <w:ind w:firstLine="0"/>
              <w:rPr>
                <w:sz w:val="16"/>
                <w:szCs w:val="16"/>
              </w:rPr>
            </w:pPr>
            <w:r w:rsidRPr="00DC4A64">
              <w:rPr>
                <w:sz w:val="16"/>
                <w:szCs w:val="16"/>
              </w:rPr>
              <w:t>2,000,000</w:t>
            </w:r>
          </w:p>
        </w:tc>
        <w:tc>
          <w:tcPr>
            <w:tcW w:w="1800" w:type="dxa"/>
          </w:tcPr>
          <w:p w14:paraId="55940AB6" w14:textId="77777777" w:rsidR="00DC4A64" w:rsidRPr="00DC4A64" w:rsidRDefault="00DC4A64" w:rsidP="00DC4A64">
            <w:pPr>
              <w:spacing w:line="240" w:lineRule="auto"/>
              <w:ind w:firstLine="0"/>
              <w:rPr>
                <w:sz w:val="16"/>
                <w:szCs w:val="16"/>
              </w:rPr>
            </w:pPr>
            <w:r w:rsidRPr="00DC4A64">
              <w:rPr>
                <w:sz w:val="16"/>
                <w:szCs w:val="16"/>
              </w:rPr>
              <w:t>70,000</w:t>
            </w:r>
          </w:p>
        </w:tc>
        <w:tc>
          <w:tcPr>
            <w:tcW w:w="1800" w:type="dxa"/>
          </w:tcPr>
          <w:p w14:paraId="2B6BC7BA" w14:textId="77777777" w:rsidR="00DC4A64" w:rsidRPr="00DC4A64" w:rsidRDefault="00DC4A64" w:rsidP="00DC4A64">
            <w:pPr>
              <w:spacing w:line="240" w:lineRule="auto"/>
              <w:ind w:firstLine="0"/>
              <w:rPr>
                <w:sz w:val="16"/>
                <w:szCs w:val="16"/>
              </w:rPr>
            </w:pPr>
            <w:r w:rsidRPr="00DC4A64">
              <w:rPr>
                <w:sz w:val="16"/>
                <w:szCs w:val="16"/>
              </w:rPr>
              <w:t>1,100,000</w:t>
            </w:r>
          </w:p>
        </w:tc>
        <w:tc>
          <w:tcPr>
            <w:tcW w:w="1800" w:type="dxa"/>
          </w:tcPr>
          <w:p w14:paraId="60D9FBB7" w14:textId="77777777" w:rsidR="00DC4A64" w:rsidRPr="00DC4A64" w:rsidRDefault="00DC4A64" w:rsidP="00DC4A64">
            <w:pPr>
              <w:spacing w:line="240" w:lineRule="auto"/>
              <w:ind w:firstLine="0"/>
              <w:rPr>
                <w:sz w:val="16"/>
                <w:szCs w:val="16"/>
              </w:rPr>
            </w:pPr>
            <w:r w:rsidRPr="00DC4A64">
              <w:rPr>
                <w:sz w:val="16"/>
                <w:szCs w:val="16"/>
              </w:rPr>
              <w:t>12,080,000</w:t>
            </w:r>
          </w:p>
        </w:tc>
      </w:tr>
      <w:tr w:rsidR="00C214C5" w:rsidRPr="00C214C5" w14:paraId="78182548" w14:textId="77777777" w:rsidTr="00627BE3">
        <w:tc>
          <w:tcPr>
            <w:tcW w:w="1800" w:type="dxa"/>
          </w:tcPr>
          <w:p w14:paraId="35B28D00" w14:textId="77777777" w:rsidR="00DC4A64" w:rsidRPr="00DC4A64" w:rsidRDefault="00DC4A64" w:rsidP="00DC4A64">
            <w:pPr>
              <w:spacing w:line="240" w:lineRule="auto"/>
              <w:ind w:firstLine="0"/>
              <w:rPr>
                <w:sz w:val="16"/>
                <w:szCs w:val="16"/>
              </w:rPr>
            </w:pPr>
            <w:r w:rsidRPr="00DC4A64">
              <w:rPr>
                <w:sz w:val="16"/>
                <w:szCs w:val="16"/>
              </w:rPr>
              <w:t>500</w:t>
            </w:r>
          </w:p>
        </w:tc>
        <w:tc>
          <w:tcPr>
            <w:tcW w:w="1800" w:type="dxa"/>
          </w:tcPr>
          <w:p w14:paraId="1DD80222" w14:textId="77777777" w:rsidR="00DC4A64" w:rsidRPr="00DC4A64" w:rsidRDefault="00DC4A64" w:rsidP="00DC4A64">
            <w:pPr>
              <w:spacing w:line="240" w:lineRule="auto"/>
              <w:ind w:firstLine="0"/>
              <w:rPr>
                <w:sz w:val="16"/>
                <w:szCs w:val="16"/>
              </w:rPr>
            </w:pPr>
            <w:r w:rsidRPr="00DC4A64">
              <w:rPr>
                <w:sz w:val="16"/>
                <w:szCs w:val="16"/>
              </w:rPr>
              <w:t>100,000</w:t>
            </w:r>
          </w:p>
        </w:tc>
        <w:tc>
          <w:tcPr>
            <w:tcW w:w="1800" w:type="dxa"/>
          </w:tcPr>
          <w:p w14:paraId="02D6909F" w14:textId="77777777" w:rsidR="00DC4A64" w:rsidRPr="00DC4A64" w:rsidRDefault="00DC4A64" w:rsidP="00DC4A64">
            <w:pPr>
              <w:spacing w:line="240" w:lineRule="auto"/>
              <w:ind w:firstLine="0"/>
              <w:rPr>
                <w:sz w:val="16"/>
                <w:szCs w:val="16"/>
              </w:rPr>
            </w:pPr>
            <w:r w:rsidRPr="00DC4A64">
              <w:rPr>
                <w:sz w:val="16"/>
                <w:szCs w:val="16"/>
              </w:rPr>
              <w:t>1,200,000</w:t>
            </w:r>
          </w:p>
        </w:tc>
        <w:tc>
          <w:tcPr>
            <w:tcW w:w="1800" w:type="dxa"/>
          </w:tcPr>
          <w:p w14:paraId="7C76D510" w14:textId="77777777" w:rsidR="00DC4A64" w:rsidRPr="00DC4A64" w:rsidRDefault="00DC4A64" w:rsidP="00DC4A64">
            <w:pPr>
              <w:spacing w:line="240" w:lineRule="auto"/>
              <w:ind w:firstLine="0"/>
              <w:rPr>
                <w:sz w:val="16"/>
                <w:szCs w:val="16"/>
              </w:rPr>
            </w:pPr>
            <w:r w:rsidRPr="00DC4A64">
              <w:rPr>
                <w:sz w:val="16"/>
                <w:szCs w:val="16"/>
              </w:rPr>
              <w:t>500,000</w:t>
            </w:r>
          </w:p>
        </w:tc>
        <w:tc>
          <w:tcPr>
            <w:tcW w:w="1800" w:type="dxa"/>
          </w:tcPr>
          <w:p w14:paraId="75D8B495" w14:textId="77777777" w:rsidR="00DC4A64" w:rsidRPr="00DC4A64" w:rsidRDefault="00DC4A64" w:rsidP="00DC4A64">
            <w:pPr>
              <w:spacing w:line="240" w:lineRule="auto"/>
              <w:ind w:firstLine="0"/>
              <w:rPr>
                <w:sz w:val="16"/>
                <w:szCs w:val="16"/>
              </w:rPr>
            </w:pPr>
            <w:r w:rsidRPr="00DC4A64">
              <w:rPr>
                <w:sz w:val="16"/>
                <w:szCs w:val="16"/>
              </w:rPr>
              <w:t>6,300,000</w:t>
            </w:r>
          </w:p>
        </w:tc>
        <w:tc>
          <w:tcPr>
            <w:tcW w:w="1800" w:type="dxa"/>
          </w:tcPr>
          <w:p w14:paraId="1594ACF2" w14:textId="77777777" w:rsidR="00DC4A64" w:rsidRPr="00DC4A64" w:rsidRDefault="00DC4A64" w:rsidP="00DC4A64">
            <w:pPr>
              <w:spacing w:line="240" w:lineRule="auto"/>
              <w:ind w:firstLine="0"/>
              <w:rPr>
                <w:sz w:val="16"/>
                <w:szCs w:val="16"/>
              </w:rPr>
            </w:pPr>
            <w:r w:rsidRPr="00DC4A64">
              <w:rPr>
                <w:sz w:val="16"/>
                <w:szCs w:val="16"/>
              </w:rPr>
              <w:t>110,000</w:t>
            </w:r>
          </w:p>
        </w:tc>
        <w:tc>
          <w:tcPr>
            <w:tcW w:w="1800" w:type="dxa"/>
          </w:tcPr>
          <w:p w14:paraId="03BB7A4A" w14:textId="77777777" w:rsidR="00DC4A64" w:rsidRPr="00DC4A64" w:rsidRDefault="00DC4A64" w:rsidP="00DC4A64">
            <w:pPr>
              <w:spacing w:line="240" w:lineRule="auto"/>
              <w:ind w:firstLine="0"/>
              <w:rPr>
                <w:sz w:val="16"/>
                <w:szCs w:val="16"/>
              </w:rPr>
            </w:pPr>
            <w:r w:rsidRPr="00DC4A64">
              <w:rPr>
                <w:sz w:val="16"/>
                <w:szCs w:val="16"/>
              </w:rPr>
              <w:t>1,200,000</w:t>
            </w:r>
          </w:p>
        </w:tc>
        <w:tc>
          <w:tcPr>
            <w:tcW w:w="1800" w:type="dxa"/>
          </w:tcPr>
          <w:p w14:paraId="4A4F091A" w14:textId="77777777" w:rsidR="00DC4A64" w:rsidRPr="00DC4A64" w:rsidRDefault="00DC4A64" w:rsidP="00DC4A64">
            <w:pPr>
              <w:spacing w:line="240" w:lineRule="auto"/>
              <w:ind w:firstLine="0"/>
              <w:rPr>
                <w:sz w:val="16"/>
                <w:szCs w:val="16"/>
              </w:rPr>
            </w:pPr>
            <w:r w:rsidRPr="00DC4A64">
              <w:rPr>
                <w:sz w:val="16"/>
                <w:szCs w:val="16"/>
              </w:rPr>
              <w:t>110,000</w:t>
            </w:r>
          </w:p>
        </w:tc>
        <w:tc>
          <w:tcPr>
            <w:tcW w:w="1800" w:type="dxa"/>
          </w:tcPr>
          <w:p w14:paraId="551D0854" w14:textId="77777777" w:rsidR="00DC4A64" w:rsidRPr="00DC4A64" w:rsidRDefault="00DC4A64" w:rsidP="00DC4A64">
            <w:pPr>
              <w:spacing w:line="240" w:lineRule="auto"/>
              <w:ind w:firstLine="0"/>
              <w:rPr>
                <w:sz w:val="16"/>
                <w:szCs w:val="16"/>
              </w:rPr>
            </w:pPr>
            <w:r w:rsidRPr="00DC4A64">
              <w:rPr>
                <w:sz w:val="16"/>
                <w:szCs w:val="16"/>
              </w:rPr>
              <w:t>1,350,000</w:t>
            </w:r>
          </w:p>
        </w:tc>
        <w:tc>
          <w:tcPr>
            <w:tcW w:w="1800" w:type="dxa"/>
          </w:tcPr>
          <w:p w14:paraId="55D56F35" w14:textId="77777777" w:rsidR="00DC4A64" w:rsidRPr="00DC4A64" w:rsidRDefault="00DC4A64" w:rsidP="00DC4A64">
            <w:pPr>
              <w:spacing w:line="240" w:lineRule="auto"/>
              <w:ind w:firstLine="0"/>
              <w:rPr>
                <w:sz w:val="16"/>
                <w:szCs w:val="16"/>
              </w:rPr>
            </w:pPr>
            <w:r w:rsidRPr="00DC4A64">
              <w:rPr>
                <w:sz w:val="16"/>
                <w:szCs w:val="16"/>
              </w:rPr>
              <w:t>10,870,000</w:t>
            </w:r>
          </w:p>
        </w:tc>
      </w:tr>
      <w:tr w:rsidR="00C214C5" w:rsidRPr="00C214C5" w14:paraId="44BCB3CD" w14:textId="77777777" w:rsidTr="00627BE3">
        <w:tc>
          <w:tcPr>
            <w:tcW w:w="1800" w:type="dxa"/>
          </w:tcPr>
          <w:p w14:paraId="515B43F9" w14:textId="77777777" w:rsidR="00DC4A64" w:rsidRPr="00DC4A64" w:rsidRDefault="00DC4A64" w:rsidP="00DC4A64">
            <w:pPr>
              <w:spacing w:line="240" w:lineRule="auto"/>
              <w:ind w:firstLine="0"/>
              <w:rPr>
                <w:sz w:val="16"/>
                <w:szCs w:val="16"/>
              </w:rPr>
            </w:pPr>
            <w:r w:rsidRPr="00DC4A64">
              <w:rPr>
                <w:sz w:val="16"/>
                <w:szCs w:val="16"/>
              </w:rPr>
              <w:t>600</w:t>
            </w:r>
          </w:p>
        </w:tc>
        <w:tc>
          <w:tcPr>
            <w:tcW w:w="1800" w:type="dxa"/>
          </w:tcPr>
          <w:p w14:paraId="354B9B5F" w14:textId="77777777" w:rsidR="00DC4A64" w:rsidRPr="00DC4A64" w:rsidRDefault="00DC4A64" w:rsidP="00DC4A64">
            <w:pPr>
              <w:spacing w:line="240" w:lineRule="auto"/>
              <w:ind w:firstLine="0"/>
              <w:rPr>
                <w:sz w:val="16"/>
                <w:szCs w:val="16"/>
              </w:rPr>
            </w:pPr>
            <w:r w:rsidRPr="00DC4A64">
              <w:rPr>
                <w:sz w:val="16"/>
                <w:szCs w:val="16"/>
              </w:rPr>
              <w:t>50,000</w:t>
            </w:r>
          </w:p>
        </w:tc>
        <w:tc>
          <w:tcPr>
            <w:tcW w:w="1800" w:type="dxa"/>
          </w:tcPr>
          <w:p w14:paraId="30946547" w14:textId="77777777" w:rsidR="00DC4A64" w:rsidRPr="00DC4A64" w:rsidRDefault="00DC4A64" w:rsidP="00DC4A64">
            <w:pPr>
              <w:spacing w:line="240" w:lineRule="auto"/>
              <w:ind w:firstLine="0"/>
              <w:rPr>
                <w:sz w:val="16"/>
                <w:szCs w:val="16"/>
              </w:rPr>
            </w:pPr>
            <w:r w:rsidRPr="00DC4A64">
              <w:rPr>
                <w:sz w:val="16"/>
                <w:szCs w:val="16"/>
              </w:rPr>
              <w:t>800,000</w:t>
            </w:r>
          </w:p>
        </w:tc>
        <w:tc>
          <w:tcPr>
            <w:tcW w:w="1800" w:type="dxa"/>
          </w:tcPr>
          <w:p w14:paraId="47FE1F7F" w14:textId="77777777" w:rsidR="00DC4A64" w:rsidRPr="00DC4A64" w:rsidRDefault="00DC4A64" w:rsidP="00DC4A64">
            <w:pPr>
              <w:spacing w:line="240" w:lineRule="auto"/>
              <w:ind w:firstLine="0"/>
              <w:rPr>
                <w:sz w:val="16"/>
                <w:szCs w:val="16"/>
              </w:rPr>
            </w:pPr>
            <w:r w:rsidRPr="00DC4A64">
              <w:rPr>
                <w:sz w:val="16"/>
                <w:szCs w:val="16"/>
              </w:rPr>
              <w:t>300,000</w:t>
            </w:r>
          </w:p>
        </w:tc>
        <w:tc>
          <w:tcPr>
            <w:tcW w:w="1800" w:type="dxa"/>
          </w:tcPr>
          <w:p w14:paraId="7B0B28A5" w14:textId="77777777" w:rsidR="00DC4A64" w:rsidRPr="00DC4A64" w:rsidRDefault="00DC4A64" w:rsidP="00DC4A64">
            <w:pPr>
              <w:spacing w:line="240" w:lineRule="auto"/>
              <w:ind w:firstLine="0"/>
              <w:rPr>
                <w:sz w:val="16"/>
                <w:szCs w:val="16"/>
              </w:rPr>
            </w:pPr>
            <w:r w:rsidRPr="00DC4A64">
              <w:rPr>
                <w:sz w:val="16"/>
                <w:szCs w:val="16"/>
              </w:rPr>
              <w:t>5,900,000</w:t>
            </w:r>
          </w:p>
        </w:tc>
        <w:tc>
          <w:tcPr>
            <w:tcW w:w="1800" w:type="dxa"/>
          </w:tcPr>
          <w:p w14:paraId="76233627" w14:textId="77777777" w:rsidR="00DC4A64" w:rsidRPr="00DC4A64" w:rsidRDefault="00DC4A64" w:rsidP="00DC4A64">
            <w:pPr>
              <w:spacing w:line="240" w:lineRule="auto"/>
              <w:ind w:firstLine="0"/>
              <w:rPr>
                <w:sz w:val="16"/>
                <w:szCs w:val="16"/>
              </w:rPr>
            </w:pPr>
            <w:r w:rsidRPr="00DC4A64">
              <w:rPr>
                <w:sz w:val="16"/>
                <w:szCs w:val="16"/>
              </w:rPr>
              <w:t>70,000</w:t>
            </w:r>
          </w:p>
        </w:tc>
        <w:tc>
          <w:tcPr>
            <w:tcW w:w="1800" w:type="dxa"/>
          </w:tcPr>
          <w:p w14:paraId="3FE16BE1" w14:textId="77777777" w:rsidR="00DC4A64" w:rsidRPr="00DC4A64" w:rsidRDefault="00DC4A64" w:rsidP="00DC4A64">
            <w:pPr>
              <w:spacing w:line="240" w:lineRule="auto"/>
              <w:ind w:firstLine="0"/>
              <w:rPr>
                <w:sz w:val="16"/>
                <w:szCs w:val="16"/>
              </w:rPr>
            </w:pPr>
            <w:r w:rsidRPr="00DC4A64">
              <w:rPr>
                <w:sz w:val="16"/>
                <w:szCs w:val="16"/>
              </w:rPr>
              <w:t>600,000</w:t>
            </w:r>
          </w:p>
        </w:tc>
        <w:tc>
          <w:tcPr>
            <w:tcW w:w="1800" w:type="dxa"/>
          </w:tcPr>
          <w:p w14:paraId="45F47E5D" w14:textId="77777777" w:rsidR="00DC4A64" w:rsidRPr="00DC4A64" w:rsidRDefault="00DC4A64" w:rsidP="00DC4A64">
            <w:pPr>
              <w:spacing w:line="240" w:lineRule="auto"/>
              <w:ind w:firstLine="0"/>
              <w:rPr>
                <w:sz w:val="16"/>
                <w:szCs w:val="16"/>
              </w:rPr>
            </w:pPr>
            <w:r w:rsidRPr="00DC4A64">
              <w:rPr>
                <w:sz w:val="16"/>
                <w:szCs w:val="16"/>
              </w:rPr>
              <w:t>120,000</w:t>
            </w:r>
          </w:p>
        </w:tc>
        <w:tc>
          <w:tcPr>
            <w:tcW w:w="1800" w:type="dxa"/>
          </w:tcPr>
          <w:p w14:paraId="4FA097A4" w14:textId="77777777" w:rsidR="00DC4A64" w:rsidRPr="00DC4A64" w:rsidRDefault="00DC4A64" w:rsidP="00DC4A64">
            <w:pPr>
              <w:spacing w:line="240" w:lineRule="auto"/>
              <w:ind w:firstLine="0"/>
              <w:rPr>
                <w:sz w:val="16"/>
                <w:szCs w:val="16"/>
              </w:rPr>
            </w:pPr>
            <w:r w:rsidRPr="00DC4A64">
              <w:rPr>
                <w:sz w:val="16"/>
                <w:szCs w:val="16"/>
              </w:rPr>
              <w:t>1,450,000</w:t>
            </w:r>
          </w:p>
        </w:tc>
        <w:tc>
          <w:tcPr>
            <w:tcW w:w="1800" w:type="dxa"/>
          </w:tcPr>
          <w:p w14:paraId="5EE650F5" w14:textId="77777777" w:rsidR="00DC4A64" w:rsidRPr="00DC4A64" w:rsidRDefault="00DC4A64" w:rsidP="00DC4A64">
            <w:pPr>
              <w:spacing w:line="240" w:lineRule="auto"/>
              <w:ind w:firstLine="0"/>
              <w:rPr>
                <w:sz w:val="16"/>
                <w:szCs w:val="16"/>
              </w:rPr>
            </w:pPr>
            <w:r w:rsidRPr="00DC4A64">
              <w:rPr>
                <w:sz w:val="16"/>
                <w:szCs w:val="16"/>
              </w:rPr>
              <w:t>9,290,000</w:t>
            </w:r>
          </w:p>
        </w:tc>
      </w:tr>
    </w:tbl>
    <w:p w14:paraId="6F1A117F" w14:textId="2CE079EF" w:rsidR="002A59DF" w:rsidRPr="002A59DF" w:rsidRDefault="002A59DF" w:rsidP="002A59DF">
      <w:pPr>
        <w:pStyle w:val="Heading3"/>
      </w:pPr>
      <w:bookmarkStart w:id="41" w:name="_Toc182111030"/>
      <w:r w:rsidRPr="002A59DF">
        <w:t>Rome’s Decline and Population Redistribution</w:t>
      </w:r>
      <w:bookmarkEnd w:id="41"/>
    </w:p>
    <w:p w14:paraId="561E25AE" w14:textId="77777777" w:rsidR="002A59DF" w:rsidRPr="002A59DF" w:rsidRDefault="002A59DF" w:rsidP="002A59DF">
      <w:r w:rsidRPr="002A59DF">
        <w:t>Between 300 and 600 AD, Rome’s urban population fell from 500,000 to just 50,000, while its rural hinterlands declined from 3 million to 800,000. This dramatic shift reflects significant migration to other centres, particularly Constantinople, as the empire’s focus moved eastward (Kelly, 2004). Economic opportunities and the political stability of the Eastern Roman Empire were key drivers of this migration.</w:t>
      </w:r>
    </w:p>
    <w:p w14:paraId="5D985774" w14:textId="77777777" w:rsidR="002A59DF" w:rsidRPr="002A59DF" w:rsidRDefault="002A59DF" w:rsidP="002A59DF">
      <w:pPr>
        <w:pStyle w:val="Heading4"/>
      </w:pPr>
      <w:r w:rsidRPr="002A59DF">
        <w:t>Constantinople’s Rise</w:t>
      </w:r>
    </w:p>
    <w:p w14:paraId="385FF5C7" w14:textId="77777777" w:rsidR="002A59DF" w:rsidRPr="002A59DF" w:rsidRDefault="002A59DF" w:rsidP="002A59DF">
      <w:r w:rsidRPr="002A59DF">
        <w:t>Constantinople grew rapidly, expanding from an urban population of 40,000 in 300 AD to 500,000 by 500 AD. Its rural hinterlands also thrived, peaking at 6.3 million. As the administrative and economic hub of the Eastern Roman Empire, it attracted skilled labourers, merchants, and displaced populations from the West (Lavan, 2019b).</w:t>
      </w:r>
    </w:p>
    <w:p w14:paraId="546497B4" w14:textId="77777777" w:rsidR="002A59DF" w:rsidRPr="002A59DF" w:rsidRDefault="002A59DF" w:rsidP="002A59DF">
      <w:pPr>
        <w:pStyle w:val="Heading4"/>
      </w:pPr>
      <w:r w:rsidRPr="002A59DF">
        <w:t>Athens’ Stability and Growth</w:t>
      </w:r>
    </w:p>
    <w:p w14:paraId="321CA803" w14:textId="77777777" w:rsidR="002A59DF" w:rsidRPr="002A59DF" w:rsidRDefault="002A59DF" w:rsidP="002A59DF">
      <w:r w:rsidRPr="002A59DF">
        <w:t>Athens demonstrated steady growth, with its urban population rising from 60,000 in 300 AD to 120,000 by 600 AD. This growth was supported by rural populations, which increased from 1 million to 1.45 million. Athens retained its status as a cultural and intellectual centre in the Eastern Mediterranean, contributing to its demographic stability (Scheidel, 2017).</w:t>
      </w:r>
    </w:p>
    <w:p w14:paraId="106649D8" w14:textId="77777777" w:rsidR="002A59DF" w:rsidRPr="002A59DF" w:rsidRDefault="002A59DF" w:rsidP="002A59DF">
      <w:pPr>
        <w:pStyle w:val="Heading4"/>
      </w:pPr>
      <w:r w:rsidRPr="002A59DF">
        <w:lastRenderedPageBreak/>
        <w:t>Carthage’s Decline</w:t>
      </w:r>
    </w:p>
    <w:p w14:paraId="3F2B9346" w14:textId="77777777" w:rsidR="002A59DF" w:rsidRPr="002A59DF" w:rsidRDefault="002A59DF" w:rsidP="002A59DF">
      <w:r w:rsidRPr="002A59DF">
        <w:t>Carthage, once a key trade hub in North Africa, saw its urban population drop from 200,000 in 300 AD to 70,000 by 600 AD. Rural populations fell from 2.5 million to 600,000, largely due to the weakening of North African trade networks and the impact of the Vandal occupation (Kelly, 2004).</w:t>
      </w:r>
    </w:p>
    <w:p w14:paraId="05BDB9ED" w14:textId="77777777" w:rsidR="002A59DF" w:rsidRPr="002A59DF" w:rsidRDefault="002A59DF" w:rsidP="002A59DF">
      <w:pPr>
        <w:pStyle w:val="Heading4"/>
      </w:pPr>
      <w:r w:rsidRPr="002A59DF">
        <w:t>Socioeconomic Forces Driving Population Shifts</w:t>
      </w:r>
    </w:p>
    <w:p w14:paraId="5A92763D" w14:textId="77777777" w:rsidR="002A59DF" w:rsidRPr="002A59DF" w:rsidRDefault="002A59DF" w:rsidP="002A59DF">
      <w:r w:rsidRPr="002A59DF">
        <w:t>Several socioeconomic factors directly influenced these demographic changes:</w:t>
      </w:r>
    </w:p>
    <w:p w14:paraId="3FCEE464" w14:textId="77777777" w:rsidR="002A59DF" w:rsidRPr="002A59DF" w:rsidRDefault="002A59DF" w:rsidP="002A59DF">
      <w:pPr>
        <w:numPr>
          <w:ilvl w:val="0"/>
          <w:numId w:val="37"/>
        </w:numPr>
      </w:pPr>
      <w:r w:rsidRPr="002A59DF">
        <w:rPr>
          <w:b/>
          <w:bCs/>
        </w:rPr>
        <w:t>Economic Redistribution:</w:t>
      </w:r>
      <w:r w:rsidRPr="002A59DF">
        <w:t xml:space="preserve"> The shift of wealth and resources from Rome to Constantinople coincided with population migrations, reflecting Constantinople’s emergence as the new imperial centre (Lavan, 2019a).</w:t>
      </w:r>
    </w:p>
    <w:p w14:paraId="7F1CAF2F" w14:textId="77777777" w:rsidR="002A59DF" w:rsidRPr="002A59DF" w:rsidRDefault="002A59DF" w:rsidP="002A59DF">
      <w:pPr>
        <w:numPr>
          <w:ilvl w:val="0"/>
          <w:numId w:val="37"/>
        </w:numPr>
      </w:pPr>
      <w:r w:rsidRPr="002A59DF">
        <w:rPr>
          <w:b/>
          <w:bCs/>
        </w:rPr>
        <w:t>Labour Practices:</w:t>
      </w:r>
      <w:r w:rsidRPr="002A59DF">
        <w:t xml:space="preserve"> The colonate system, which bound tenant farmers to the land, limited rural migration and emphasised the role of hinterlands in sustaining urban centres (Scheidel, 2017).</w:t>
      </w:r>
    </w:p>
    <w:p w14:paraId="0A799CA2" w14:textId="77777777" w:rsidR="002A59DF" w:rsidRPr="002A59DF" w:rsidRDefault="002A59DF" w:rsidP="002A59DF">
      <w:pPr>
        <w:numPr>
          <w:ilvl w:val="0"/>
          <w:numId w:val="37"/>
        </w:numPr>
      </w:pPr>
      <w:r w:rsidRPr="002A59DF">
        <w:rPr>
          <w:b/>
          <w:bCs/>
        </w:rPr>
        <w:t>Trade and Commerce:</w:t>
      </w:r>
      <w:r w:rsidRPr="002A59DF">
        <w:t xml:space="preserve"> Constantinople’s strategic location fostered robust trade networks, attracting populations seeking economic stability (Kelly, 2004).</w:t>
      </w:r>
    </w:p>
    <w:p w14:paraId="767A9E62" w14:textId="77777777" w:rsidR="002A59DF" w:rsidRPr="002A59DF" w:rsidRDefault="002A59DF" w:rsidP="002A59DF">
      <w:pPr>
        <w:numPr>
          <w:ilvl w:val="0"/>
          <w:numId w:val="37"/>
        </w:numPr>
      </w:pPr>
      <w:r w:rsidRPr="002A59DF">
        <w:rPr>
          <w:b/>
          <w:bCs/>
        </w:rPr>
        <w:t>Environmental Pressures:</w:t>
      </w:r>
      <w:r w:rsidRPr="002A59DF">
        <w:t xml:space="preserve"> Crop failures and the Late Antique Little Ice Age accelerated rural depopulation in Italy and North Africa, prompting migration to more stable regions (Lavan, 2019b).</w:t>
      </w:r>
    </w:p>
    <w:p w14:paraId="591B03E5" w14:textId="77777777" w:rsidR="002A59DF" w:rsidRPr="002A59DF" w:rsidRDefault="002A59DF" w:rsidP="002A59DF">
      <w:pPr>
        <w:rPr>
          <w:b/>
          <w:bCs/>
        </w:rPr>
      </w:pPr>
      <w:r w:rsidRPr="002A59DF">
        <w:rPr>
          <w:b/>
          <w:bCs/>
        </w:rPr>
        <w:t>A Mediterranean in Transition</w:t>
      </w:r>
    </w:p>
    <w:p w14:paraId="77012727" w14:textId="3E941F46" w:rsidR="0070706E" w:rsidRPr="00C214C5" w:rsidRDefault="002A59DF" w:rsidP="0057758B">
      <w:r w:rsidRPr="002A59DF">
        <w:t xml:space="preserve">The demographic patterns of Rome, Constantinople, Athens, and Carthage illustrate a Mediterranean in flux, driven by economic and political reorganisation rather than outright collapse. Rome’s decline reflects a redistribution of populations and resources to emerging </w:t>
      </w:r>
      <w:r w:rsidRPr="002A59DF">
        <w:lastRenderedPageBreak/>
        <w:t>centres, particularly Constantinople, highlighting the adaptability of human settlements during this transformative period.</w:t>
      </w:r>
    </w:p>
    <w:p w14:paraId="6946508F" w14:textId="77777777" w:rsidR="00F26EAD" w:rsidRPr="00C214C5" w:rsidRDefault="00F26EAD" w:rsidP="007B073B">
      <w:pPr>
        <w:pStyle w:val="Heading2"/>
      </w:pPr>
      <w:bookmarkStart w:id="42" w:name="_Toc153780250"/>
      <w:bookmarkStart w:id="43" w:name="_Toc182111031"/>
      <w:r w:rsidRPr="00C214C5">
        <w:t>3.2 Wealth Distribution and Income Inequality</w:t>
      </w:r>
      <w:bookmarkEnd w:id="42"/>
      <w:bookmarkEnd w:id="43"/>
    </w:p>
    <w:p w14:paraId="207FDAAA" w14:textId="77777777" w:rsidR="00D400D1" w:rsidRPr="00D400D1" w:rsidRDefault="00D400D1" w:rsidP="00D400D1">
      <w:r w:rsidRPr="00D400D1">
        <w:t>Wealth distribution and income inequality were central to shaping Roman population dynamics during the Empire’s decline. Stark economic disparities characterised Roman society, with a small, affluent elite controlling vast resources while the majority struggled to meet basic needs. Scheidel (2019) highlights how these socioeconomic structures profoundly influenced population movements and settlement patterns.</w:t>
      </w:r>
    </w:p>
    <w:p w14:paraId="63F46FF1" w14:textId="77777777" w:rsidR="00D400D1" w:rsidRPr="00D400D1" w:rsidRDefault="00D400D1" w:rsidP="00D400D1">
      <w:r w:rsidRPr="00D400D1">
        <w:t>The elite—comprising landowners, senators, and influential political figures—held considerable economic and political power, creating significant barriers to social mobility for the lower classes. Kelly’s (2020) analysis of economic frameworks demonstrates how this concentration of wealth limited the broader population’s ability to secure stable livelihoods and establish households. These inequalities drove migration, as individuals sought better opportunities in wealthier, economically stable regions.</w:t>
      </w:r>
    </w:p>
    <w:p w14:paraId="337755A1" w14:textId="77777777" w:rsidR="00D400D1" w:rsidRPr="00D400D1" w:rsidRDefault="00D400D1" w:rsidP="00BE6769">
      <w:pPr>
        <w:pStyle w:val="Heading3"/>
      </w:pPr>
      <w:bookmarkStart w:id="44" w:name="_Toc182111032"/>
      <w:r w:rsidRPr="00D400D1">
        <w:t>Wealth Distribution and Settlement Patterns</w:t>
      </w:r>
      <w:bookmarkEnd w:id="44"/>
    </w:p>
    <w:p w14:paraId="041CDC9B" w14:textId="77777777" w:rsidR="00D400D1" w:rsidRPr="00D400D1" w:rsidRDefault="00D400D1" w:rsidP="00D400D1">
      <w:r w:rsidRPr="00D400D1">
        <w:t>Wealthier regions, sustained by fertile agricultural zones and robust economic networks, became magnets for migrants seeking economic security. Scheidel (2019) argues that such areas, particularly in the Eastern Empire, experienced greater population stability. This dynamic is evident in the population shifts from the Western to the Eastern Roman Empire, where economic disparities played a critical role in reshaping the demographic balance.</w:t>
      </w:r>
    </w:p>
    <w:p w14:paraId="6247D4FD" w14:textId="77777777" w:rsidR="00D400D1" w:rsidRPr="00D400D1" w:rsidRDefault="00D400D1" w:rsidP="00BE6769">
      <w:pPr>
        <w:pStyle w:val="Heading3"/>
      </w:pPr>
      <w:bookmarkStart w:id="45" w:name="_Toc182111033"/>
      <w:r w:rsidRPr="00D400D1">
        <w:t>Case Study 1: Rome’s Economic Decline</w:t>
      </w:r>
      <w:bookmarkEnd w:id="45"/>
    </w:p>
    <w:p w14:paraId="78C2CDF7" w14:textId="77777777" w:rsidR="00D400D1" w:rsidRPr="00D400D1" w:rsidRDefault="00D400D1" w:rsidP="00D400D1">
      <w:r w:rsidRPr="00D400D1">
        <w:t xml:space="preserve">Rome’s loss of economic primacy offers a striking example of wealth distribution’s influence on population movements. By 500 AD, Rome’s urban population had dramatically </w:t>
      </w:r>
      <w:r w:rsidRPr="00D400D1">
        <w:lastRenderedPageBreak/>
        <w:t>decreased, reflecting the empire’s shift of resources to the East (Heather, 2005). The Vandal conquest of Carthage in 439 AD severed North Africa’s grain supply, destabilising Rome’s food networks and prompting significant migration (Kelly, 2004). Archaeological evidence from southern Italy shows the abandonment of large estates, with a shift toward smaller, self-sustaining communities (Bowes, 2011).</w:t>
      </w:r>
    </w:p>
    <w:p w14:paraId="646477B0" w14:textId="77777777" w:rsidR="00D400D1" w:rsidRPr="00D400D1" w:rsidRDefault="00D400D1" w:rsidP="00BE6769">
      <w:pPr>
        <w:pStyle w:val="Heading3"/>
      </w:pPr>
      <w:bookmarkStart w:id="46" w:name="_Toc182111034"/>
      <w:r w:rsidRPr="00D400D1">
        <w:t>Case Study 2: Constantinople as an Economic Hub</w:t>
      </w:r>
      <w:bookmarkEnd w:id="46"/>
    </w:p>
    <w:p w14:paraId="7D50779F" w14:textId="77777777" w:rsidR="00D400D1" w:rsidRPr="00D400D1" w:rsidRDefault="00D400D1" w:rsidP="00D400D1">
      <w:r w:rsidRPr="00D400D1">
        <w:t>In contrast, Constantinople’s population surged, bolstered by its role as an administrative and military centre. The city’s grain dole, supplied by surplus production in Thrace and Asia Minor, attracted migrants from across the empire (Scheidel, 2019). As a key trade hub, Constantinople drew merchants, artisans, and labourers seeking economic opportunities. Inscriptions from the Theodosian Walls highlight the contributions of these workers, illustrating the scale of migration during the fourth and fifth centuries (Crow, 1995).</w:t>
      </w:r>
    </w:p>
    <w:p w14:paraId="130A030E" w14:textId="77777777" w:rsidR="00D400D1" w:rsidRPr="00D400D1" w:rsidRDefault="00D400D1" w:rsidP="00BE6769">
      <w:pPr>
        <w:pStyle w:val="Heading3"/>
      </w:pPr>
      <w:bookmarkStart w:id="47" w:name="_Toc182111035"/>
      <w:r w:rsidRPr="00D400D1">
        <w:t>Case Study 3: Rural Hinterlands and Urban Sustainability</w:t>
      </w:r>
      <w:bookmarkEnd w:id="47"/>
    </w:p>
    <w:p w14:paraId="0223DFF8" w14:textId="77777777" w:rsidR="00D400D1" w:rsidRPr="00D400D1" w:rsidRDefault="00D400D1" w:rsidP="00D400D1">
      <w:r w:rsidRPr="00D400D1">
        <w:t>The rural hinterlands of Constantinople and Athens played a vital role in sustaining urban growth. Thrace and Asia Minor’s agricultural productivity supported Constantinople’s expansion, while Athens’ rural population grew alongside its stable trade networks (Scheidel, 2017). Conversely, rural Italy and North Africa faced significant depopulation due to economic disintegration and environmental pressures, further driving migration away from these regions.</w:t>
      </w:r>
    </w:p>
    <w:p w14:paraId="3553E331" w14:textId="77777777" w:rsidR="00D400D1" w:rsidRPr="00D400D1" w:rsidRDefault="00D400D1" w:rsidP="00BE6769">
      <w:pPr>
        <w:pStyle w:val="Heading3"/>
      </w:pPr>
      <w:bookmarkStart w:id="48" w:name="_Toc182111036"/>
      <w:r w:rsidRPr="00D400D1">
        <w:t>Theoretical Framework and Implications</w:t>
      </w:r>
      <w:bookmarkEnd w:id="48"/>
    </w:p>
    <w:p w14:paraId="6E3FAE2F" w14:textId="77777777" w:rsidR="00D400D1" w:rsidRPr="00D400D1" w:rsidRDefault="00D400D1" w:rsidP="00D400D1">
      <w:r w:rsidRPr="00D400D1">
        <w:t xml:space="preserve">Scheidel’s (2019) probabilistic modelling of socioeconomic inequalities provides a robust framework for understanding these demographic shifts. His models demonstrate how wealth concentration in economically prosperous regions created strong migratory pull factors, while economic instability in the West acted as push factors. Lavan’s (2019) archaeological </w:t>
      </w:r>
      <w:r w:rsidRPr="00D400D1">
        <w:lastRenderedPageBreak/>
        <w:t>research further supports this, using material evidence such as coin hoards and ceramic assemblages to track economic activity and population movements.</w:t>
      </w:r>
    </w:p>
    <w:p w14:paraId="1C0A3AAF" w14:textId="77777777" w:rsidR="00D400D1" w:rsidRPr="00D400D1" w:rsidRDefault="00D400D1" w:rsidP="00BE6769">
      <w:pPr>
        <w:pStyle w:val="Heading3"/>
      </w:pPr>
      <w:bookmarkStart w:id="49" w:name="_Toc182111037"/>
      <w:r w:rsidRPr="00D400D1">
        <w:t>Case Summary</w:t>
      </w:r>
      <w:bookmarkEnd w:id="49"/>
    </w:p>
    <w:p w14:paraId="4F7A1DEB" w14:textId="77777777" w:rsidR="00D400D1" w:rsidRPr="00D400D1" w:rsidRDefault="00D400D1" w:rsidP="00D400D1">
      <w:r w:rsidRPr="00D400D1">
        <w:t>The redistribution of populations within the Roman Empire was shaped by entrenched socioeconomic inequalities, environmental pressures, and political reorganisation. Wealth disparities dictated migration patterns, fostering population growth in economically stable regions like Constantinople while accelerating decline in others, such as Rome and Carthage. This analysis, which integrates archaeological, historical, and probabilistic models, underscores the complexity of demographic change in late antiquity.</w:t>
      </w:r>
    </w:p>
    <w:p w14:paraId="1ADAB21D" w14:textId="77777777" w:rsidR="00D400D1" w:rsidRPr="00D400D1" w:rsidRDefault="00D400D1" w:rsidP="00D400D1">
      <w:r w:rsidRPr="00D400D1">
        <w:t>Understanding wealth distribution and income inequality is crucial for comprehending the socioeconomic forces that influenced Roman demographic trends. By drawing on insights from Scheidel (2019) and Kelly (2020), this chapter offers a nuanced analysis of how economic power dynamics shaped settlement and migration patterns, enriching our understanding of this transformative period in Roman history.</w:t>
      </w:r>
    </w:p>
    <w:p w14:paraId="498D6FC4" w14:textId="0F9597E4" w:rsidR="00F26EAD" w:rsidRPr="00C214C5" w:rsidRDefault="00F26EAD" w:rsidP="007B073B">
      <w:pPr>
        <w:pStyle w:val="Heading2"/>
      </w:pPr>
      <w:bookmarkStart w:id="50" w:name="_Toc153780251"/>
      <w:bookmarkStart w:id="51" w:name="_Toc182111038"/>
      <w:r w:rsidRPr="00C214C5">
        <w:t xml:space="preserve">3.3 Social Classes and </w:t>
      </w:r>
      <w:r w:rsidR="0098625D" w:rsidRPr="00C214C5">
        <w:t>Labour</w:t>
      </w:r>
      <w:r w:rsidRPr="00C214C5">
        <w:t xml:space="preserve"> Practices</w:t>
      </w:r>
      <w:bookmarkEnd w:id="50"/>
      <w:bookmarkEnd w:id="51"/>
    </w:p>
    <w:p w14:paraId="174AC6B2" w14:textId="77777777" w:rsidR="0045225D" w:rsidRPr="0045225D" w:rsidRDefault="0045225D" w:rsidP="0045225D">
      <w:r w:rsidRPr="0045225D">
        <w:t>The Roman Empire's social classes were deeply embedded in its economic, political, and demographic systems, significantly influencing labour patterns, migration, and population dynamics during its decline. These sharply stratified groups—ranging from the elite to enslaved individuals—played distinct roles in shaping the empire's socio-economic landscape, with their privileges and constraints impacting broader demographic trends.</w:t>
      </w:r>
    </w:p>
    <w:p w14:paraId="0AB6F368" w14:textId="77777777" w:rsidR="0045225D" w:rsidRPr="0045225D" w:rsidRDefault="0045225D" w:rsidP="0045225D">
      <w:pPr>
        <w:pStyle w:val="Heading3"/>
      </w:pPr>
      <w:bookmarkStart w:id="52" w:name="_Toc182111039"/>
      <w:r w:rsidRPr="0045225D">
        <w:t>The Senatorial and Equestrian Classes</w:t>
      </w:r>
      <w:bookmarkEnd w:id="52"/>
    </w:p>
    <w:p w14:paraId="27A48DB6" w14:textId="77777777" w:rsidR="0045225D" w:rsidRPr="0045225D" w:rsidRDefault="0045225D" w:rsidP="0045225D">
      <w:r w:rsidRPr="0045225D">
        <w:t xml:space="preserve">The </w:t>
      </w:r>
      <w:r w:rsidRPr="0045225D">
        <w:rPr>
          <w:i/>
          <w:iCs/>
        </w:rPr>
        <w:t>ordo senatorius</w:t>
      </w:r>
      <w:r w:rsidRPr="0045225D">
        <w:t xml:space="preserve"> and </w:t>
      </w:r>
      <w:r w:rsidRPr="0045225D">
        <w:rPr>
          <w:i/>
          <w:iCs/>
        </w:rPr>
        <w:t>ordo equester</w:t>
      </w:r>
      <w:r w:rsidRPr="0045225D">
        <w:t xml:space="preserve"> represented the Roman elite, wielding immense economic and political power. Senators controlled vast estates, particularly in Italy and North Africa, deriving wealth from agricultural production and maintaining influence through the </w:t>
      </w:r>
      <w:r w:rsidRPr="0045225D">
        <w:lastRenderedPageBreak/>
        <w:t>patron-client system (Scheidel, 2017). However, disruptions such as the Vandal conquest of Carthage in 439 AD eroded their wealth and stability, prompting many to abandon rural estates (Heather, 2005).</w:t>
      </w:r>
    </w:p>
    <w:p w14:paraId="6EDD4A0B" w14:textId="77777777" w:rsidR="0045225D" w:rsidRPr="0045225D" w:rsidRDefault="0045225D" w:rsidP="0045225D">
      <w:r w:rsidRPr="0045225D">
        <w:t>Equestrians, positioned just below senators, engaged in trade, finance, and provincial administration. Their activities supported urban economies, facilitating long-distance trade. Yet, political instability and economic decentralisation led many equestrians to migrate eastward to cities like Constantinople, seeking security and opportunity (Kelly, 2004). Together, these classes illustrate how wealth concentration among the elite shaped migration patterns and reinforced regional economic disparities.</w:t>
      </w:r>
    </w:p>
    <w:p w14:paraId="3B5AF612" w14:textId="77777777" w:rsidR="0045225D" w:rsidRPr="0045225D" w:rsidRDefault="0045225D" w:rsidP="0045225D">
      <w:pPr>
        <w:pStyle w:val="Heading3"/>
      </w:pPr>
      <w:bookmarkStart w:id="53" w:name="_Toc182111040"/>
      <w:r w:rsidRPr="0045225D">
        <w:t>The Plebeians: Urban and Rural Labourers</w:t>
      </w:r>
      <w:bookmarkEnd w:id="53"/>
    </w:p>
    <w:p w14:paraId="2B9EE7E8" w14:textId="77777777" w:rsidR="0045225D" w:rsidRPr="0045225D" w:rsidRDefault="0045225D" w:rsidP="0045225D">
      <w:r w:rsidRPr="0045225D">
        <w:t>The plebeian class, comprising artisans, merchants, and small-scale farmers, was diverse and influential in both urban and rural settings.</w:t>
      </w:r>
    </w:p>
    <w:p w14:paraId="0A33812E" w14:textId="77777777" w:rsidR="0045225D" w:rsidRPr="0045225D" w:rsidRDefault="0045225D" w:rsidP="0045225D">
      <w:pPr>
        <w:numPr>
          <w:ilvl w:val="0"/>
          <w:numId w:val="38"/>
        </w:numPr>
      </w:pPr>
      <w:r w:rsidRPr="0045225D">
        <w:rPr>
          <w:b/>
          <w:bCs/>
        </w:rPr>
        <w:t>Urban Plebeians:</w:t>
      </w:r>
      <w:r w:rsidRPr="0045225D">
        <w:t xml:space="preserve"> In cities like Rome and Constantinople, plebeians worked in crafts, markets, and public services. While Rome’s economic decline reduced employment opportunities, Constantinople’s growth attracted skilled labourers and artisans (Scheidel, 2019).</w:t>
      </w:r>
    </w:p>
    <w:p w14:paraId="74EF89A4" w14:textId="77777777" w:rsidR="0045225D" w:rsidRPr="0045225D" w:rsidRDefault="0045225D" w:rsidP="0045225D">
      <w:pPr>
        <w:numPr>
          <w:ilvl w:val="0"/>
          <w:numId w:val="38"/>
        </w:numPr>
      </w:pPr>
      <w:r w:rsidRPr="0045225D">
        <w:rPr>
          <w:b/>
          <w:bCs/>
        </w:rPr>
        <w:t>Rural Plebeians:</w:t>
      </w:r>
      <w:r w:rsidRPr="0045225D">
        <w:t xml:space="preserve"> Many rural plebeians were </w:t>
      </w:r>
      <w:r w:rsidRPr="0045225D">
        <w:rPr>
          <w:i/>
          <w:iCs/>
        </w:rPr>
        <w:t>coloni</w:t>
      </w:r>
      <w:r w:rsidRPr="0045225D">
        <w:t>, legally bound to the land under the colonate system. This system limited their mobility, reinforcing the economic importance of rural areas in sustaining urban centres. However, heavy taxation, crop failures, and invasions drove some to abandon their lands in search of better opportunities (Lavan, 2019a).</w:t>
      </w:r>
    </w:p>
    <w:p w14:paraId="6742EBC9" w14:textId="77777777" w:rsidR="0045225D" w:rsidRPr="0045225D" w:rsidRDefault="0045225D" w:rsidP="0045225D">
      <w:pPr>
        <w:pStyle w:val="Heading3"/>
      </w:pPr>
      <w:bookmarkStart w:id="54" w:name="_Toc182111041"/>
      <w:r w:rsidRPr="0045225D">
        <w:t>Slaves and Freedmen: Foundations of the Economy</w:t>
      </w:r>
      <w:bookmarkEnd w:id="54"/>
    </w:p>
    <w:p w14:paraId="0D5C6CC4" w14:textId="77777777" w:rsidR="0045225D" w:rsidRPr="0045225D" w:rsidRDefault="0045225D" w:rsidP="0045225D">
      <w:r w:rsidRPr="0045225D">
        <w:t xml:space="preserve">Slaves were integral to the Roman economy, working across agriculture, skilled trades, and domestic service. As military conquests slowed, the supply of enslaved individuals </w:t>
      </w:r>
      <w:r w:rsidRPr="0045225D">
        <w:lastRenderedPageBreak/>
        <w:t>decreased, prompting landowners to adopt tenant farming systems that tied labourers to the land (Scheidel, 2017).</w:t>
      </w:r>
    </w:p>
    <w:p w14:paraId="2DC56083" w14:textId="77777777" w:rsidR="0045225D" w:rsidRPr="0045225D" w:rsidRDefault="0045225D" w:rsidP="0045225D">
      <w:r w:rsidRPr="0045225D">
        <w:t>Freedmen, while legally free, often maintained obligations to their former masters and played a vital role in urban economies. Many migrated to cities like Constantinople, leveraging their skills and connections to achieve economic mobility within a rigidly stratified society (Lavan, 2019b).</w:t>
      </w:r>
    </w:p>
    <w:p w14:paraId="101E3B79" w14:textId="77777777" w:rsidR="0045225D" w:rsidRPr="0045225D" w:rsidRDefault="0045225D" w:rsidP="0045225D">
      <w:pPr>
        <w:pStyle w:val="Heading3"/>
      </w:pPr>
      <w:bookmarkStart w:id="55" w:name="_Toc182111042"/>
      <w:r w:rsidRPr="0045225D">
        <w:t>The Marginalised: Non-Citizens and Barbarian Groups</w:t>
      </w:r>
      <w:bookmarkEnd w:id="55"/>
    </w:p>
    <w:p w14:paraId="72DC4541" w14:textId="77777777" w:rsidR="0045225D" w:rsidRPr="0045225D" w:rsidRDefault="0045225D" w:rsidP="0045225D">
      <w:r w:rsidRPr="0045225D">
        <w:t>The Roman Empire also encompassed non-citizens, including provincials and barbarian populations.</w:t>
      </w:r>
    </w:p>
    <w:p w14:paraId="0759C694" w14:textId="77777777" w:rsidR="0045225D" w:rsidRPr="0045225D" w:rsidRDefault="0045225D" w:rsidP="0045225D">
      <w:pPr>
        <w:numPr>
          <w:ilvl w:val="0"/>
          <w:numId w:val="39"/>
        </w:numPr>
      </w:pPr>
      <w:r w:rsidRPr="0045225D">
        <w:rPr>
          <w:b/>
          <w:bCs/>
        </w:rPr>
        <w:t>Provincials:</w:t>
      </w:r>
      <w:r w:rsidRPr="0045225D">
        <w:t xml:space="preserve"> Often heavily taxed and exploited, many provincials migrated toward wealthier regions like Italy and the Eastern provinces.</w:t>
      </w:r>
    </w:p>
    <w:p w14:paraId="1A23C7E7" w14:textId="77777777" w:rsidR="0045225D" w:rsidRPr="0045225D" w:rsidRDefault="0045225D" w:rsidP="0045225D">
      <w:pPr>
        <w:numPr>
          <w:ilvl w:val="0"/>
          <w:numId w:val="39"/>
        </w:numPr>
      </w:pPr>
      <w:r w:rsidRPr="0045225D">
        <w:rPr>
          <w:b/>
          <w:bCs/>
        </w:rPr>
        <w:t>Barbarians:</w:t>
      </w:r>
      <w:r w:rsidRPr="0045225D">
        <w:t xml:space="preserve"> Groups such as the Visigoths and Vandals were both adversaries and integrated populations within the empire. Their settlement as </w:t>
      </w:r>
      <w:r w:rsidRPr="0045225D">
        <w:rPr>
          <w:i/>
          <w:iCs/>
        </w:rPr>
        <w:t>foederati</w:t>
      </w:r>
      <w:r w:rsidRPr="0045225D">
        <w:t xml:space="preserve"> in Roman territories added complexity to the social hierarchy and contributed to demographic shifts (Heather, 2005).</w:t>
      </w:r>
    </w:p>
    <w:p w14:paraId="6A408144" w14:textId="77777777" w:rsidR="0045225D" w:rsidRPr="0045225D" w:rsidRDefault="0045225D" w:rsidP="0045225D">
      <w:pPr>
        <w:pStyle w:val="Heading3"/>
      </w:pPr>
      <w:bookmarkStart w:id="56" w:name="_Toc182111043"/>
      <w:r w:rsidRPr="0045225D">
        <w:t>Socioeconomic Forces Shaping Demographic Change</w:t>
      </w:r>
      <w:bookmarkEnd w:id="56"/>
    </w:p>
    <w:p w14:paraId="47AC03F1" w14:textId="77777777" w:rsidR="0045225D" w:rsidRPr="0045225D" w:rsidRDefault="0045225D" w:rsidP="0045225D">
      <w:r w:rsidRPr="0045225D">
        <w:t>Several interconnected factors influenced migration and settlement patterns:</w:t>
      </w:r>
    </w:p>
    <w:p w14:paraId="2D200028" w14:textId="77777777" w:rsidR="0045225D" w:rsidRPr="0045225D" w:rsidRDefault="0045225D" w:rsidP="0045225D">
      <w:pPr>
        <w:numPr>
          <w:ilvl w:val="0"/>
          <w:numId w:val="40"/>
        </w:numPr>
      </w:pPr>
      <w:r w:rsidRPr="0045225D">
        <w:rPr>
          <w:b/>
          <w:bCs/>
        </w:rPr>
        <w:t>Economic Redistribution:</w:t>
      </w:r>
      <w:r w:rsidRPr="0045225D">
        <w:t xml:space="preserve"> Wealth concentrated among elites led to regional disparities. The decline of Western estates prompted rural depopulation, while Constantinople’s economic vitality attracted migrants (Lavan, 2019a).</w:t>
      </w:r>
    </w:p>
    <w:p w14:paraId="3FB2BC92" w14:textId="77777777" w:rsidR="0045225D" w:rsidRPr="0045225D" w:rsidRDefault="0045225D" w:rsidP="0045225D">
      <w:pPr>
        <w:numPr>
          <w:ilvl w:val="0"/>
          <w:numId w:val="40"/>
        </w:numPr>
      </w:pPr>
      <w:r w:rsidRPr="0045225D">
        <w:rPr>
          <w:b/>
          <w:bCs/>
        </w:rPr>
        <w:t>Labour Mobility:</w:t>
      </w:r>
      <w:r w:rsidRPr="0045225D">
        <w:t xml:space="preserve"> Urban plebeians and freedmen enjoyed greater freedom of movement compared to rural </w:t>
      </w:r>
      <w:r w:rsidRPr="0045225D">
        <w:rPr>
          <w:i/>
          <w:iCs/>
        </w:rPr>
        <w:t>coloni</w:t>
      </w:r>
      <w:r w:rsidRPr="0045225D">
        <w:t>, shaping population flows toward economically vibrant centres.</w:t>
      </w:r>
    </w:p>
    <w:p w14:paraId="46F9162A" w14:textId="77777777" w:rsidR="0045225D" w:rsidRPr="0045225D" w:rsidRDefault="0045225D" w:rsidP="0045225D">
      <w:pPr>
        <w:numPr>
          <w:ilvl w:val="0"/>
          <w:numId w:val="40"/>
        </w:numPr>
      </w:pPr>
      <w:r w:rsidRPr="0045225D">
        <w:rPr>
          <w:b/>
          <w:bCs/>
        </w:rPr>
        <w:lastRenderedPageBreak/>
        <w:t>Rural-Urban Interdependence:</w:t>
      </w:r>
      <w:r w:rsidRPr="0045225D">
        <w:t xml:space="preserve"> Declines in the colonate system and reduced availability of enslaved labour disrupted agricultural productivity, highlighting the dependence of urban centres on rural hinterlands.</w:t>
      </w:r>
    </w:p>
    <w:p w14:paraId="5CD41D07" w14:textId="77777777" w:rsidR="0045225D" w:rsidRPr="0045225D" w:rsidRDefault="0045225D" w:rsidP="0045225D">
      <w:pPr>
        <w:numPr>
          <w:ilvl w:val="0"/>
          <w:numId w:val="40"/>
        </w:numPr>
      </w:pPr>
      <w:r w:rsidRPr="0045225D">
        <w:rPr>
          <w:b/>
          <w:bCs/>
        </w:rPr>
        <w:t>Integration of Marginalised Groups:</w:t>
      </w:r>
      <w:r w:rsidRPr="0045225D">
        <w:t xml:space="preserve"> Freedmen, provincials, and barbarian populations adapted to and reshaped Roman socioeconomic systems during periods of transformation.</w:t>
      </w:r>
    </w:p>
    <w:p w14:paraId="1EAD0F5D" w14:textId="77777777" w:rsidR="0045225D" w:rsidRPr="0045225D" w:rsidRDefault="0045225D" w:rsidP="0045225D">
      <w:pPr>
        <w:pStyle w:val="Heading3"/>
      </w:pPr>
      <w:bookmarkStart w:id="57" w:name="_Toc182111044"/>
      <w:r w:rsidRPr="0045225D">
        <w:t>Skeletal Analysis and Socioeconomic Status</w:t>
      </w:r>
      <w:bookmarkEnd w:id="57"/>
    </w:p>
    <w:p w14:paraId="703312A9" w14:textId="77777777" w:rsidR="0045225D" w:rsidRPr="0045225D" w:rsidRDefault="0045225D" w:rsidP="0045225D">
      <w:r w:rsidRPr="0045225D">
        <w:t>Skeletal analysis offers valuable insights into the health, diet, and labour practices of Roman populations, though the connection to socioeconomic status requires careful interpretation.</w:t>
      </w:r>
    </w:p>
    <w:p w14:paraId="725FE037" w14:textId="77777777" w:rsidR="0045225D" w:rsidRPr="0045225D" w:rsidRDefault="0045225D" w:rsidP="0045225D">
      <w:pPr>
        <w:numPr>
          <w:ilvl w:val="0"/>
          <w:numId w:val="41"/>
        </w:numPr>
      </w:pPr>
      <w:r w:rsidRPr="0045225D">
        <w:rPr>
          <w:b/>
          <w:bCs/>
        </w:rPr>
        <w:t>Health Indicators:</w:t>
      </w:r>
      <w:r w:rsidRPr="0045225D">
        <w:t xml:space="preserve"> While markers like enamel hypoplasia or Harris lines indicate malnutrition and stress, these conditions were not exclusive to the lower classes. Urban elites, despite their wealth, often suffered from diseases linked to overcrowding and poor sanitation (Redfern, 2010).</w:t>
      </w:r>
    </w:p>
    <w:p w14:paraId="6329A3E0" w14:textId="77777777" w:rsidR="0045225D" w:rsidRPr="0045225D" w:rsidRDefault="0045225D" w:rsidP="0045225D">
      <w:pPr>
        <w:numPr>
          <w:ilvl w:val="0"/>
          <w:numId w:val="41"/>
        </w:numPr>
      </w:pPr>
      <w:r w:rsidRPr="0045225D">
        <w:rPr>
          <w:b/>
          <w:bCs/>
        </w:rPr>
        <w:t>Labour Evidence:</w:t>
      </w:r>
      <w:r w:rsidRPr="0045225D">
        <w:t xml:space="preserve"> Repetitive strain injuries, such as osteoarthritis, commonly found in manual labourers, contrast with the relatively sedentary lifestyles of elite classes (Larsen, 2015). However, estate management occasionally exposed landowners to physical strain, complicating these distinctions (Scheidel, 2017).</w:t>
      </w:r>
    </w:p>
    <w:p w14:paraId="4F80B8FE" w14:textId="77777777" w:rsidR="0045225D" w:rsidRPr="0045225D" w:rsidRDefault="0045225D" w:rsidP="0045225D">
      <w:r w:rsidRPr="0045225D">
        <w:t>The burial context further complicates socioeconomic interpretations. Elaborate grave goods and inscriptions often mark high-status burials, yet skeletal evidence of disease and stress persists even among the elite. Conversely, modest burials without grave goods may reflect cultural practices rather than impoverished living conditions (Prowse, 2004).</w:t>
      </w:r>
    </w:p>
    <w:p w14:paraId="1845C257" w14:textId="77777777" w:rsidR="0045225D" w:rsidRPr="0045225D" w:rsidRDefault="0045225D" w:rsidP="0045225D">
      <w:r w:rsidRPr="0045225D">
        <w:t xml:space="preserve">Integrating skeletal data with historical and archaeological evidence provides a nuanced understanding of Roman socio-economic dynamics. For instance, isotopic analyses reveal </w:t>
      </w:r>
      <w:r w:rsidRPr="0045225D">
        <w:lastRenderedPageBreak/>
        <w:t>dietary differences between urban and rural populations, highlighting regional variations influenced by environmental and economic factors (Müldner and Richards, 2007).</w:t>
      </w:r>
    </w:p>
    <w:p w14:paraId="145F9C51" w14:textId="77777777" w:rsidR="0045225D" w:rsidRPr="0045225D" w:rsidRDefault="0045225D" w:rsidP="0045225D">
      <w:pPr>
        <w:pStyle w:val="Heading3"/>
      </w:pPr>
      <w:bookmarkStart w:id="58" w:name="_Toc182111045"/>
      <w:r w:rsidRPr="0045225D">
        <w:t>Conclusion</w:t>
      </w:r>
      <w:bookmarkEnd w:id="58"/>
    </w:p>
    <w:p w14:paraId="32FC9EC7" w14:textId="77777777" w:rsidR="0045225D" w:rsidRPr="0045225D" w:rsidRDefault="0045225D" w:rsidP="0045225D">
      <w:r w:rsidRPr="0045225D">
        <w:t>The social classes and labour practices of the Roman Empire played a pivotal role in shaping population dynamics during Late Antiquity. Wealth disparities, legal constraints, and migration shaped the empire’s demographic landscape, driving significant population shifts. By analysing the interactions between these stratified groups and their economic environments, we gain a deeper understanding of how Roman society adapted to and was transformed by the pressures of decline. Skeletal and archaeological evidence, when integrated with historical insights, enriches this analysis, providing a comprehensive view of the socioeconomic forces that influenced the empire's demographic evolution.</w:t>
      </w:r>
    </w:p>
    <w:p w14:paraId="520588AB" w14:textId="735D9254" w:rsidR="00F26EAD" w:rsidRPr="00C214C5" w:rsidRDefault="00F26EAD" w:rsidP="007B073B">
      <w:pPr>
        <w:pStyle w:val="Heading2"/>
      </w:pPr>
      <w:bookmarkStart w:id="59" w:name="_Toc153780252"/>
      <w:bookmarkStart w:id="60" w:name="_Toc182111046"/>
      <w:r w:rsidRPr="00C214C5">
        <w:t>3.4 Impact of Socioeconomic Conditions on Birth Rates and Immigration</w:t>
      </w:r>
      <w:bookmarkEnd w:id="59"/>
      <w:bookmarkEnd w:id="60"/>
    </w:p>
    <w:p w14:paraId="7325C465" w14:textId="77777777" w:rsidR="00B96C4E" w:rsidRPr="00B96C4E" w:rsidRDefault="00B96C4E" w:rsidP="00B96C4E">
      <w:r w:rsidRPr="00B96C4E">
        <w:t>During the decline of the Roman Empire, socioeconomic conditions significantly shaped birth rates, immigration patterns, and overall population dynamics. Key factors such as income inequality, resource distribution, economic stability, and the influx of Germanic tribes played pivotal roles in reshaping the Empire's demographic structure.</w:t>
      </w:r>
    </w:p>
    <w:p w14:paraId="0AEC5ADE" w14:textId="77777777" w:rsidR="00B96C4E" w:rsidRPr="00B96C4E" w:rsidRDefault="00B96C4E" w:rsidP="00BE6769">
      <w:pPr>
        <w:pStyle w:val="Heading3"/>
      </w:pPr>
      <w:bookmarkStart w:id="61" w:name="_Toc182111047"/>
      <w:r w:rsidRPr="00B96C4E">
        <w:t>Socioeconomic Influences on Birth Rates</w:t>
      </w:r>
      <w:bookmarkEnd w:id="61"/>
    </w:p>
    <w:p w14:paraId="2866BA03" w14:textId="77777777" w:rsidR="00B96C4E" w:rsidRPr="00B96C4E" w:rsidRDefault="00B96C4E" w:rsidP="00B96C4E">
      <w:r w:rsidRPr="00B96C4E">
        <w:t>The socioeconomic environment profoundly influenced birth rates in Late Antiquity. Economic hardships and disparities constrained many families' ability to sustain larger households. Séguy (2019) highlights how limited access to resources such as nutrition, healthcare, and education negatively impacted reproductive health and family planning. This led to a demographic shift, with lower birth rates and an older population profile becoming more prevalent.</w:t>
      </w:r>
    </w:p>
    <w:p w14:paraId="07FAC3E2" w14:textId="77777777" w:rsidR="00B96C4E" w:rsidRPr="00B96C4E" w:rsidRDefault="00B96C4E" w:rsidP="00B96C4E">
      <w:r w:rsidRPr="00B96C4E">
        <w:lastRenderedPageBreak/>
        <w:t>Economic instability and uncertainty further disincentivised family expansion. Individuals, faced with precarious conditions, prioritised immediate survival over long-term growth, contributing to a decline in birth rates that reshaped the Empire's age structure and weakened its labour force.</w:t>
      </w:r>
    </w:p>
    <w:p w14:paraId="3A3970D2" w14:textId="77777777" w:rsidR="00B96C4E" w:rsidRPr="00B96C4E" w:rsidRDefault="00B96C4E" w:rsidP="00BE6769">
      <w:pPr>
        <w:pStyle w:val="Heading3"/>
      </w:pPr>
      <w:bookmarkStart w:id="62" w:name="_Toc182111048"/>
      <w:r w:rsidRPr="00B96C4E">
        <w:t>Demographic Redistribution: A New Perspective</w:t>
      </w:r>
      <w:bookmarkEnd w:id="62"/>
    </w:p>
    <w:p w14:paraId="48A9F936" w14:textId="77777777" w:rsidR="00B96C4E" w:rsidRPr="00B96C4E" w:rsidRDefault="00B96C4E" w:rsidP="00B96C4E">
      <w:r w:rsidRPr="00B96C4E">
        <w:t>The narrative of widespread demographic decline in the Roman Empire requires a nuanced re-evaluation. While regions like Rome and the Western provinces experienced population decreases, these shifts often reflected redistribution rather than collapse. Migratory movements toward economically stable regions such as Constantinople and Sardis were driven by imperial investment and strategic geographic positioning (Heather, 2005; Lavan, 2019).</w:t>
      </w:r>
    </w:p>
    <w:p w14:paraId="3BCA6D0D" w14:textId="77777777" w:rsidR="00B96C4E" w:rsidRPr="00B96C4E" w:rsidRDefault="00B96C4E" w:rsidP="00B96C4E">
      <w:r w:rsidRPr="00B96C4E">
        <w:t>Rome’s population decline from 500,000 in 300 AD to 100,000 by 500 AD mirrored a shift in imperial focus. Constantinople’s population, conversely, grew from 40,000 to 500,000 over the same period, showcasing its economic and political magnetism. These shifts underscore the importance of migration in shaping Late Antique population dynamics (Scheidel, 2017).</w:t>
      </w:r>
    </w:p>
    <w:p w14:paraId="5FC65CCB" w14:textId="77777777" w:rsidR="00B96C4E" w:rsidRPr="00B96C4E" w:rsidRDefault="00B96C4E" w:rsidP="00BE6769">
      <w:pPr>
        <w:pStyle w:val="Heading3"/>
      </w:pPr>
      <w:bookmarkStart w:id="63" w:name="_Toc182111049"/>
      <w:r w:rsidRPr="00B96C4E">
        <w:t>Migration and Germanic Influx</w:t>
      </w:r>
      <w:bookmarkEnd w:id="63"/>
    </w:p>
    <w:p w14:paraId="57E2C61D" w14:textId="77777777" w:rsidR="00B96C4E" w:rsidRPr="00B96C4E" w:rsidRDefault="00B96C4E" w:rsidP="00B96C4E">
      <w:r w:rsidRPr="00B96C4E">
        <w:t>The arrival of Germanic tribes significantly impacted the Empire’s demographic landscape. Driven by political instability and the pursuit of economic opportunities, these groups contributed to a younger, more dynamic population profile. Kelly (2020) demonstrates how economic pressures motivated these migrations, while Sinner and Carreras (2019) note the demographic contrasts between native Roman populations and incoming Germanic migrants.</w:t>
      </w:r>
    </w:p>
    <w:p w14:paraId="31D735BB" w14:textId="77777777" w:rsidR="00B96C4E" w:rsidRPr="00B96C4E" w:rsidRDefault="00B96C4E" w:rsidP="00B96C4E">
      <w:r w:rsidRPr="00B96C4E">
        <w:lastRenderedPageBreak/>
        <w:t>These migrations injected youthful demographics into urban centres, offsetting declining birth rates among native Romans. This influx reshaped population pyramids, reinforcing the Empire’s economic resilience in certain regions.</w:t>
      </w:r>
    </w:p>
    <w:p w14:paraId="28350FB1" w14:textId="77777777" w:rsidR="00B96C4E" w:rsidRPr="00B96C4E" w:rsidRDefault="00B96C4E" w:rsidP="00BE6769">
      <w:pPr>
        <w:pStyle w:val="Heading3"/>
      </w:pPr>
      <w:bookmarkStart w:id="64" w:name="_Toc182111050"/>
      <w:r w:rsidRPr="00B96C4E">
        <w:t>The Role of the Elite in Socioeconomic Dynamics</w:t>
      </w:r>
      <w:bookmarkEnd w:id="64"/>
    </w:p>
    <w:p w14:paraId="16A7BB17" w14:textId="77777777" w:rsidR="00B96C4E" w:rsidRPr="00B96C4E" w:rsidRDefault="00B96C4E" w:rsidP="00B96C4E">
      <w:r w:rsidRPr="00B96C4E">
        <w:t>The Roman elite played a crucial role in influencing socioeconomic conditions and population trends. Senators and equestrians, who controlled vast wealth and resources, often focused on rent-seeking and political influence rather than economic productivity. Lavan (2019a, 2019b) explores how this concentration of power exacerbated income inequality and limited economic opportunities for lower classes.</w:t>
      </w:r>
    </w:p>
    <w:p w14:paraId="3BC12744" w14:textId="77777777" w:rsidR="00B96C4E" w:rsidRPr="00B96C4E" w:rsidRDefault="00B96C4E" w:rsidP="00B96C4E">
      <w:r w:rsidRPr="00B96C4E">
        <w:t>The elite’s preference for political roles over economic ventures skewed labour force composition and migration patterns. Antonio et al. (2022) highlight how this imbalance influenced the Empire’s broader socioeconomic landscape, driving lower-class migration toward economically vibrant areas.</w:t>
      </w:r>
    </w:p>
    <w:p w14:paraId="7C0C213C" w14:textId="77777777" w:rsidR="00B96C4E" w:rsidRPr="00B96C4E" w:rsidRDefault="00B96C4E" w:rsidP="00BE6769">
      <w:pPr>
        <w:pStyle w:val="Heading3"/>
      </w:pPr>
      <w:bookmarkStart w:id="65" w:name="_Toc182111051"/>
      <w:r w:rsidRPr="00B96C4E">
        <w:t>Archaeological Evidence of Migration</w:t>
      </w:r>
      <w:bookmarkEnd w:id="65"/>
    </w:p>
    <w:p w14:paraId="7863EA36" w14:textId="77777777" w:rsidR="00B96C4E" w:rsidRPr="00B96C4E" w:rsidRDefault="00B96C4E" w:rsidP="00B96C4E">
      <w:r w:rsidRPr="00B96C4E">
        <w:t>Material culture provides tangible evidence of these demographic shifts. Inscriptions and artefacts from Sardis reveal a steady influx of migrants, including artisans and labourers, contributing to urban growth. Similarly, the workforce that constructed Constantinople’s Theodosian Walls included migrants from the Western provinces, illustrating the city’s role as a demographic hub (Crow, 1995).</w:t>
      </w:r>
    </w:p>
    <w:p w14:paraId="2C1D1DB8" w14:textId="77777777" w:rsidR="00B96C4E" w:rsidRPr="00B96C4E" w:rsidRDefault="00B96C4E" w:rsidP="00B96C4E">
      <w:r w:rsidRPr="00B96C4E">
        <w:t>This archaeological evidence supports the view that migration, rather than collapse, was central to Late Antique demographic changes. Urban centres like Constantinople and Sardis absorbed populations from less stable regions, highlighting the Empire’s adaptability.</w:t>
      </w:r>
    </w:p>
    <w:p w14:paraId="7409D84F" w14:textId="77777777" w:rsidR="00B96C4E" w:rsidRPr="00B96C4E" w:rsidRDefault="00B96C4E" w:rsidP="00BE6769">
      <w:pPr>
        <w:pStyle w:val="Heading3"/>
      </w:pPr>
      <w:bookmarkStart w:id="66" w:name="_Toc182111052"/>
      <w:r w:rsidRPr="00B96C4E">
        <w:lastRenderedPageBreak/>
        <w:t>Socioeconomic Reorganisation and Demographic Stability</w:t>
      </w:r>
      <w:bookmarkEnd w:id="66"/>
    </w:p>
    <w:p w14:paraId="38BC3EF1" w14:textId="77777777" w:rsidR="00B96C4E" w:rsidRPr="00B96C4E" w:rsidRDefault="00B96C4E" w:rsidP="00B96C4E">
      <w:r w:rsidRPr="00B96C4E">
        <w:t>The population shifts in Late Antiquity reflect a broader socioeconomic reorganisation. Migration from the West to the East was a strategic response to economic disparities and political instability. Eastern cities maintained demographic stability through concentrated wealth and imperial patronage, underscoring their resilience during the Empire’s decline (Scheidel, 2017).</w:t>
      </w:r>
    </w:p>
    <w:p w14:paraId="16460B6A" w14:textId="5BD203C4" w:rsidR="003F7167" w:rsidRDefault="00F26EAD" w:rsidP="007B073B">
      <w:pPr>
        <w:pStyle w:val="Heading2"/>
      </w:pPr>
      <w:bookmarkStart w:id="67" w:name="_Toc153780253"/>
      <w:bookmarkStart w:id="68" w:name="_Toc182111054"/>
      <w:r w:rsidRPr="00C214C5">
        <w:t>3.5 Analytical Techniques for Assessing Socioeconomic Factors</w:t>
      </w:r>
      <w:bookmarkEnd w:id="67"/>
      <w:bookmarkEnd w:id="68"/>
    </w:p>
    <w:p w14:paraId="6CBE1278" w14:textId="77777777" w:rsidR="008850E6" w:rsidRPr="008850E6" w:rsidRDefault="008850E6" w:rsidP="008850E6">
      <w:r w:rsidRPr="008850E6">
        <w:t>The analysis of socioeconomic conditions, birth rates, immigration patterns, and elite behaviours provides critical insights into the complex population dynamics of the Roman Empire during its decline. Understanding these interactions requires a range of analytical techniques that illuminate the intricate connections between wealth distribution, labour practices, and demographic shifts. McFadden’s (2021) palaeodemographic advancements offer valuable contributions, contextualising the decline in birth rates, Germanic migrations, and the rent-seeking practices of the Roman elite.</w:t>
      </w:r>
    </w:p>
    <w:p w14:paraId="52D765CD" w14:textId="77777777" w:rsidR="008850E6" w:rsidRPr="008850E6" w:rsidRDefault="008850E6" w:rsidP="008850E6">
      <w:pPr>
        <w:pStyle w:val="Heading3"/>
      </w:pPr>
      <w:bookmarkStart w:id="69" w:name="_Toc182111055"/>
      <w:r w:rsidRPr="008850E6">
        <w:t>Quantitative Approaches: Statistical Analysis and Demographic Modelling</w:t>
      </w:r>
      <w:bookmarkEnd w:id="69"/>
    </w:p>
    <w:p w14:paraId="2C694C01" w14:textId="77777777" w:rsidR="008850E6" w:rsidRPr="008850E6" w:rsidRDefault="008850E6" w:rsidP="008850E6">
      <w:r w:rsidRPr="008850E6">
        <w:t>Statistical analysis and demographic modelling are foundational tools in assessing the socioeconomic factors influencing Roman population dynamics. These methods quantify relationships between economic indicators and demographic trends, providing a structured framework for examining changes across the Empire.</w:t>
      </w:r>
    </w:p>
    <w:p w14:paraId="5E9596BB" w14:textId="77777777" w:rsidR="008850E6" w:rsidRPr="008850E6" w:rsidRDefault="008850E6" w:rsidP="008850E6">
      <w:r w:rsidRPr="008850E6">
        <w:t>Statistical techniques such as regression, correlation, and time-series analysis help identify patterns between income levels, resource distribution, and population shifts. Verhagen (2022), for instance, uses computational models to link staple production and population stability in regions like Asia Minor and North Africa. These analyses reveal how proximity to trade routes and fertile lands sustained settlements.</w:t>
      </w:r>
    </w:p>
    <w:p w14:paraId="2BC47201" w14:textId="77777777" w:rsidR="008850E6" w:rsidRPr="008850E6" w:rsidRDefault="008850E6" w:rsidP="008850E6">
      <w:r w:rsidRPr="008850E6">
        <w:lastRenderedPageBreak/>
        <w:t>Demographic modelling complements these findings by simulating population scenarios under varying conditions. Brughmans and Wilson (2022) integrate variables such as birth rates, mortality rates, and migration flows to reconstruct potential demographic trajectories. Models exploring the Plague of Cyprian illustrate its effects on labour availability and population movements. However, such models rely on assumptions that may oversimplify regional responses, underscoring the importance of contextualising quantitative results with localised data (Scheidel, 2017).</w:t>
      </w:r>
    </w:p>
    <w:p w14:paraId="2A5663AF" w14:textId="77777777" w:rsidR="008850E6" w:rsidRPr="008850E6" w:rsidRDefault="008850E6" w:rsidP="008850E6">
      <w:pPr>
        <w:pStyle w:val="Heading3"/>
      </w:pPr>
      <w:bookmarkStart w:id="70" w:name="_Toc182111056"/>
      <w:r w:rsidRPr="008850E6">
        <w:t>Qualitative Approaches: Historical Analysis</w:t>
      </w:r>
      <w:bookmarkEnd w:id="70"/>
    </w:p>
    <w:p w14:paraId="4F3B09D0" w14:textId="77777777" w:rsidR="008850E6" w:rsidRPr="008850E6" w:rsidRDefault="008850E6" w:rsidP="008850E6">
      <w:r w:rsidRPr="008850E6">
        <w:t>Historical analysis adds depth to quantitative methods by situating demographic shifts within broader social and economic frameworks. Kelly’s (2020) examination of imperial policies, taxation, and grain redistribution highlights how these factors shaped migration and settlement patterns. Heavy taxation in the Western provinces, for example, undermined urban centres and prompted migration to economically stable regions in the East.</w:t>
      </w:r>
    </w:p>
    <w:p w14:paraId="26F45737" w14:textId="77777777" w:rsidR="008850E6" w:rsidRPr="008850E6" w:rsidRDefault="008850E6" w:rsidP="008850E6">
      <w:r w:rsidRPr="008850E6">
        <w:t xml:space="preserve">Lavan’s (2019a, 2019b) application of probability models further refines this understanding by illustrating how legal reforms, such as the colonate system, stabilised agricultural productivity while restricting rural mobility. These narratives, derived from sources like Libanius’s </w:t>
      </w:r>
      <w:r w:rsidRPr="008850E6">
        <w:rPr>
          <w:i/>
          <w:iCs/>
        </w:rPr>
        <w:t>Orations</w:t>
      </w:r>
      <w:r w:rsidRPr="008850E6">
        <w:t>, enrich quantitative findings by providing contextual evidence of the socio-political pressures that influenced population dynamics.</w:t>
      </w:r>
    </w:p>
    <w:p w14:paraId="06C2ACFB" w14:textId="77777777" w:rsidR="008850E6" w:rsidRPr="008850E6" w:rsidRDefault="008850E6" w:rsidP="008850E6">
      <w:pPr>
        <w:pStyle w:val="Heading3"/>
      </w:pPr>
      <w:bookmarkStart w:id="71" w:name="_Toc182111057"/>
      <w:r w:rsidRPr="008850E6">
        <w:t>Case Studies and Comparative Analysis</w:t>
      </w:r>
      <w:bookmarkEnd w:id="71"/>
    </w:p>
    <w:p w14:paraId="7572BE0C" w14:textId="77777777" w:rsidR="008850E6" w:rsidRPr="008850E6" w:rsidRDefault="008850E6" w:rsidP="008850E6">
      <w:r w:rsidRPr="008850E6">
        <w:t>Case studies offer granular insights into the localised effects of socioeconomic factors. Sinner and Carreras (2019) compare demographic patterns in Sardis and Brixia, highlighting the resilience of Eastern urban centres versus the vulnerabilities of Western rural economies. Sardis thrived on economic diversification and imperial support, while Brixia faced labour shortages and urban decline due to rural depopulation.</w:t>
      </w:r>
    </w:p>
    <w:p w14:paraId="4DF1BA49" w14:textId="77777777" w:rsidR="008850E6" w:rsidRPr="008850E6" w:rsidRDefault="008850E6" w:rsidP="008850E6">
      <w:r w:rsidRPr="008850E6">
        <w:lastRenderedPageBreak/>
        <w:t>Comparative analysis enhances these insights by juxtaposing regions or timeframes. By comparing urban and rural populations or provinces with differing economic conditions, researchers identify how local factors shaped demographic outcomes. Such studies underscore the uneven distribution of resources across the Empire, challenging homogenised narratives of population responses.</w:t>
      </w:r>
    </w:p>
    <w:p w14:paraId="4D8459F6" w14:textId="77777777" w:rsidR="008850E6" w:rsidRPr="008850E6" w:rsidRDefault="008850E6" w:rsidP="008850E6">
      <w:pPr>
        <w:pStyle w:val="Heading3"/>
      </w:pPr>
      <w:bookmarkStart w:id="72" w:name="_Toc182111058"/>
      <w:r w:rsidRPr="008850E6">
        <w:t>Integration and Critical Engagement</w:t>
      </w:r>
      <w:bookmarkEnd w:id="72"/>
    </w:p>
    <w:p w14:paraId="697C0B3B" w14:textId="77777777" w:rsidR="008850E6" w:rsidRPr="008850E6" w:rsidRDefault="008850E6" w:rsidP="008850E6">
      <w:r w:rsidRPr="008850E6">
        <w:t>Although these methodologies provide invaluable insights, they are not without limitations. Statistical models often depend on incomplete datasets, especially in regions like Gaul and Hispania, where archaeological evidence is scarce. Demographic models may oversimplify complex variables, such as migration drivers or the differential impacts of crises like plagues. Historical analysis, while rich in detail, requires careful interpretation due to biases in ancient sources, which often reflect elite perspectives.</w:t>
      </w:r>
    </w:p>
    <w:p w14:paraId="56C7C09B" w14:textId="77777777" w:rsidR="008850E6" w:rsidRPr="008850E6" w:rsidRDefault="008850E6" w:rsidP="008850E6">
      <w:r w:rsidRPr="008850E6">
        <w:t>To address these limitations, interdisciplinary approaches are essential. For instance, integrating statistical data on settlement densities with historical accounts of migration flows offers a more comprehensive understanding of demographic changes. Regional case studies provide tangible evidence to ground abstract models, enhancing their accuracy and applicability.</w:t>
      </w:r>
    </w:p>
    <w:p w14:paraId="4834E2E9" w14:textId="77777777" w:rsidR="008850E6" w:rsidRPr="008850E6" w:rsidRDefault="008850E6" w:rsidP="008850E6">
      <w:pPr>
        <w:pStyle w:val="Heading3"/>
      </w:pPr>
      <w:bookmarkStart w:id="73" w:name="_Toc182111059"/>
      <w:r w:rsidRPr="008850E6">
        <w:t>Conclusion</w:t>
      </w:r>
      <w:bookmarkEnd w:id="73"/>
    </w:p>
    <w:p w14:paraId="2FF1CE00" w14:textId="77777777" w:rsidR="008850E6" w:rsidRPr="008850E6" w:rsidRDefault="008850E6" w:rsidP="008850E6">
      <w:r w:rsidRPr="008850E6">
        <w:t>This chapter demonstrates that population dynamics in the Roman Empire during the 3rd and 4th centuries were shaped by a complex interplay of socioeconomic, environmental, and political factors. Rather than a narrative of uniform demographic decline, the evidence points to significant regional redistributions of populations. Eastern urban centres absorbed migrants from declining Western regions, reshaping the Empire’s demographic landscape.</w:t>
      </w:r>
    </w:p>
    <w:p w14:paraId="6A78A92B" w14:textId="77777777" w:rsidR="008850E6" w:rsidRPr="008850E6" w:rsidRDefault="008850E6" w:rsidP="008850E6">
      <w:r w:rsidRPr="008850E6">
        <w:lastRenderedPageBreak/>
        <w:t>By critically examining the methodologies employed by scholars such as Scheidel, Lavan, and Kelly, this chapter highlights the strengths and limitations of current research. Statistical and demographic modelling offer powerful tools for identifying patterns and testing hypotheses, while historical analysis and case studies provide essential context and depth. This interdisciplinary approach reveals the interconnectedness of wealth distribution, labour practices, and migration, offering a nuanced understanding of how the Roman Empire adapted to systemic challenges.</w:t>
      </w:r>
    </w:p>
    <w:p w14:paraId="194EE1C6" w14:textId="77777777" w:rsidR="00BE6769" w:rsidRDefault="00BE6769" w:rsidP="00BE6769"/>
    <w:p w14:paraId="3C9B3F7B" w14:textId="77777777" w:rsidR="00BE6769" w:rsidRPr="00BE6769" w:rsidRDefault="00BE6769" w:rsidP="00BE6769"/>
    <w:p w14:paraId="2E2F5879" w14:textId="09E9AF6F" w:rsidR="00BB3340" w:rsidRPr="00C214C5" w:rsidRDefault="00BB3340" w:rsidP="00947E8E">
      <w:pPr>
        <w:rPr>
          <w:rFonts w:eastAsiaTheme="majorEastAsia"/>
          <w:sz w:val="32"/>
          <w:szCs w:val="32"/>
        </w:rPr>
      </w:pPr>
    </w:p>
    <w:p w14:paraId="77B34D65" w14:textId="77777777" w:rsidR="00BE6769" w:rsidRDefault="00BE6769">
      <w:pPr>
        <w:spacing w:line="259" w:lineRule="auto"/>
        <w:ind w:firstLine="0"/>
        <w:jc w:val="left"/>
        <w:rPr>
          <w:rFonts w:eastAsiaTheme="majorEastAsia"/>
          <w:sz w:val="32"/>
          <w:szCs w:val="32"/>
        </w:rPr>
      </w:pPr>
      <w:bookmarkStart w:id="74" w:name="_Toc153780254"/>
      <w:r>
        <w:br w:type="page"/>
      </w:r>
    </w:p>
    <w:p w14:paraId="2C9ADF45" w14:textId="16ACA143" w:rsidR="006D7E5C" w:rsidRPr="00C214C5" w:rsidRDefault="00BC37CD" w:rsidP="006D7E5C">
      <w:pPr>
        <w:pStyle w:val="Heading1"/>
        <w:rPr>
          <w:lang w:val="en-GB"/>
        </w:rPr>
      </w:pPr>
      <w:bookmarkStart w:id="75" w:name="_Toc182111060"/>
      <w:r w:rsidRPr="00C214C5">
        <w:rPr>
          <w:lang w:val="en-GB"/>
        </w:rPr>
        <w:lastRenderedPageBreak/>
        <w:t>C</w:t>
      </w:r>
      <w:r w:rsidR="003F7167" w:rsidRPr="00C214C5">
        <w:rPr>
          <w:lang w:val="en-GB"/>
        </w:rPr>
        <w:t>hapter 4</w:t>
      </w:r>
      <w:r w:rsidRPr="00C214C5">
        <w:rPr>
          <w:lang w:val="en-GB"/>
        </w:rPr>
        <w:t xml:space="preserve"> – </w:t>
      </w:r>
      <w:r w:rsidR="006D7E5C" w:rsidRPr="00C214C5">
        <w:rPr>
          <w:lang w:val="en-GB"/>
        </w:rPr>
        <w:t>Political Instability, Environmental Changes, and Demographic Shifts</w:t>
      </w:r>
      <w:bookmarkEnd w:id="74"/>
      <w:bookmarkEnd w:id="75"/>
    </w:p>
    <w:p w14:paraId="5B359318" w14:textId="77777777" w:rsidR="000C5291" w:rsidRPr="000C5291" w:rsidRDefault="000C5291" w:rsidP="000C5291">
      <w:r w:rsidRPr="000C5291">
        <w:t>During the third and fourth centuries, Rome underwent a period of profound political upheaval, environmental challenges, and demographic transformation. This era was marked by relentless power struggles, internal discord, and the persistent threat of external invasions, which collectively destabilised the Empire. Lavan (2016) highlights how political changes, particularly the expansion of Roman citizenship, reshaped population dynamics and social structures. Similarly, Goodchild’s (2007) analysis of Roman land use patterns underscores the intricate relationship between political events and population distribution.</w:t>
      </w:r>
    </w:p>
    <w:p w14:paraId="3158EB18" w14:textId="77777777" w:rsidR="000C5291" w:rsidRPr="000C5291" w:rsidRDefault="000C5291" w:rsidP="000C5291">
      <w:r w:rsidRPr="000C5291">
        <w:t>This chapter examines the governance issues and widespread corruption that exacerbated Rome’s instability. Weak leadership, frequent changes in rulers, and the decay of political institutions eroded administrative efficiency and public trust, as explored by Goodchild (2007). Additionally, pervasive corruption distorted economic incentives and deepened social inequalities, a dynamic contextualised by Lavan’s (2016) study on citizenship and governance.</w:t>
      </w:r>
    </w:p>
    <w:p w14:paraId="3B3FB65C" w14:textId="77777777" w:rsidR="000C5291" w:rsidRPr="000C5291" w:rsidRDefault="000C5291" w:rsidP="000C5291">
      <w:r w:rsidRPr="000C5291">
        <w:t>The Empire also faced environmental challenges, including climate shifts and natural disasters such as droughts, floods, and earthquakes. These hardships, as noted by Lavan (2016) and Goodchild (2007), severely impacted agricultural productivity and access to resources, altering living standards and prompting shifts in population distribution.</w:t>
      </w:r>
    </w:p>
    <w:p w14:paraId="18A77297" w14:textId="5D2B5302" w:rsidR="006D7E5C" w:rsidRPr="00C214C5" w:rsidRDefault="000C5291" w:rsidP="00FC5B96">
      <w:r w:rsidRPr="000C5291">
        <w:t>This chapter offers a comprehensive analysis of how political instability, governance failures, environmental changes, and demographic shifts collectively shaped population movements and societal dynamics in the Roman Empire during this period. Drawing on the works of Lavan (2016) and Goodchild (2007), it explores the interconnectedness of these factors and their significant influence on Rome’s historical trajectory</w:t>
      </w:r>
      <w:r>
        <w:t>.</w:t>
      </w:r>
    </w:p>
    <w:p w14:paraId="1ECD55EA" w14:textId="77777777" w:rsidR="006D7E5C" w:rsidRPr="00C214C5" w:rsidRDefault="006D7E5C" w:rsidP="007B073B">
      <w:pPr>
        <w:pStyle w:val="Heading2"/>
      </w:pPr>
      <w:bookmarkStart w:id="76" w:name="_Toc153780255"/>
      <w:bookmarkStart w:id="77" w:name="_Toc182111061"/>
      <w:r w:rsidRPr="00C214C5">
        <w:lastRenderedPageBreak/>
        <w:t>4.1 Political Conflicts and Power Struggles</w:t>
      </w:r>
      <w:bookmarkEnd w:id="76"/>
      <w:bookmarkEnd w:id="77"/>
    </w:p>
    <w:p w14:paraId="7C4B3813" w14:textId="77777777" w:rsidR="00885648" w:rsidRPr="00885648" w:rsidRDefault="00885648" w:rsidP="00885648">
      <w:r w:rsidRPr="00885648">
        <w:t xml:space="preserve">The third and fourth centuries of the Roman Empire were fraught with political turbulence, environmental crises, and demographic transformations. Frequent succession disputes, internal strife, and external pressures disrupted governance and destabilised socio-economic structures, triggering significant population shifts. Lavan’s (2016) examination of Roman citizenship highlights how reforms such as the </w:t>
      </w:r>
      <w:r w:rsidRPr="00885648">
        <w:rPr>
          <w:i/>
          <w:iCs/>
        </w:rPr>
        <w:t>Constitutio Antoniniana</w:t>
      </w:r>
      <w:r w:rsidRPr="00885648">
        <w:t xml:space="preserve"> spurred urban migration, offering newly enfranchised citizens economic and legal benefits. Concurrently, Goodchild’s (2007) analysis of Roman land use patterns illustrates how political instability prompted widespread population movements, with rural communities gravitating towards urban centres in search of safety and economic stability.</w:t>
      </w:r>
    </w:p>
    <w:p w14:paraId="6CB325B7" w14:textId="77777777" w:rsidR="00885648" w:rsidRPr="00885648" w:rsidRDefault="00885648" w:rsidP="00885648">
      <w:pPr>
        <w:pStyle w:val="Heading3"/>
      </w:pPr>
      <w:bookmarkStart w:id="78" w:name="_Toc182111062"/>
      <w:r w:rsidRPr="00885648">
        <w:t>Succession Crises and Fragmentation</w:t>
      </w:r>
      <w:bookmarkEnd w:id="78"/>
    </w:p>
    <w:p w14:paraId="2FBABE37" w14:textId="77777777" w:rsidR="00885648" w:rsidRPr="00885648" w:rsidRDefault="00885648" w:rsidP="00885648">
      <w:r w:rsidRPr="00885648">
        <w:t>Succession crises deeply fractured the Empire, precipitating political fragmentation and economic decline. The death of Emperor Severus Alexander in 235 AD marked the onset of the Crisis of the Third Century, a period characterised by near-constant civil war and external invasions. This instability disrupted trade, weakened infrastructure, and reallocated resources. Archaeological findings from regions like Gaul and Dacia reveal rural depopulation, as agricultural communities sought refuge in fortified urban centres. Cities such as Trier experienced rapid population growth, evolving into administrative and military hubs (Goodchild, 2007). These shifts illustrate how political instability directly influenced settlement patterns and resource distribution.</w:t>
      </w:r>
    </w:p>
    <w:p w14:paraId="2A200AA4" w14:textId="77777777" w:rsidR="00885648" w:rsidRPr="00885648" w:rsidRDefault="00885648" w:rsidP="00885648">
      <w:pPr>
        <w:pStyle w:val="Heading3"/>
      </w:pPr>
      <w:bookmarkStart w:id="79" w:name="_Toc182111063"/>
      <w:r w:rsidRPr="00885648">
        <w:t>Military Mobilisation and Civilian Relocation</w:t>
      </w:r>
      <w:bookmarkEnd w:id="79"/>
    </w:p>
    <w:p w14:paraId="2A44F412" w14:textId="77777777" w:rsidR="00885648" w:rsidRPr="00885648" w:rsidRDefault="00885648" w:rsidP="00885648">
      <w:r w:rsidRPr="00885648">
        <w:t xml:space="preserve">The mobilisation of military forces during internal and external conflicts catalysed significant demographic changes. The deployment of Roman troops often necessitated the relocation of auxiliary labourers, craftsmen, and their families to support logistical and operational needs. For instance, during the Gothic Wars (circa 249–269 AD), military </w:t>
      </w:r>
      <w:r w:rsidRPr="00885648">
        <w:lastRenderedPageBreak/>
        <w:t>campaigns in the Balkans spurred temporary population booms in conflict zones. However, the eventual withdrawal of troops left many of these settlements vulnerable, leading to cycles of depopulation and economic decline in border regions (Heather, 2005).</w:t>
      </w:r>
    </w:p>
    <w:p w14:paraId="32541CBF" w14:textId="77777777" w:rsidR="00885648" w:rsidRPr="00885648" w:rsidRDefault="00885648" w:rsidP="00885648">
      <w:pPr>
        <w:pStyle w:val="Heading3"/>
      </w:pPr>
      <w:bookmarkStart w:id="80" w:name="_Toc182111064"/>
      <w:r w:rsidRPr="00885648">
        <w:t>Integration and Displacement of Foreign Populations</w:t>
      </w:r>
      <w:bookmarkEnd w:id="80"/>
    </w:p>
    <w:p w14:paraId="5FDFACCB" w14:textId="77777777" w:rsidR="00885648" w:rsidRPr="00885648" w:rsidRDefault="00885648" w:rsidP="00885648">
      <w:r w:rsidRPr="00885648">
        <w:t>The influx of foreign populations, particularly Germanic tribes, played a pivotal role in reshaping the Empire’s demographic and cultural landscape. Treaties formalised the settlement of groups like the Visigoths within Roman territory, granting them land in exchange for military service. While this arrangement offered short-term stability, it also introduced semi-autonomous communities that operated under their own leadership and customs. These hybrid settlements often altered regional demographics, either displacing local populations or fostering new, culturally blended communities (Wolfram, 1988).</w:t>
      </w:r>
    </w:p>
    <w:p w14:paraId="22F4C6AF" w14:textId="77777777" w:rsidR="00885648" w:rsidRPr="00885648" w:rsidRDefault="00885648" w:rsidP="00885648">
      <w:pPr>
        <w:pStyle w:val="Heading3"/>
      </w:pPr>
      <w:bookmarkStart w:id="81" w:name="_Toc182111065"/>
      <w:r w:rsidRPr="00885648">
        <w:t>Socioeconomic Repercussions of Political Upheaval</w:t>
      </w:r>
      <w:bookmarkEnd w:id="81"/>
    </w:p>
    <w:p w14:paraId="2376E05F" w14:textId="77777777" w:rsidR="00885648" w:rsidRPr="00885648" w:rsidRDefault="00885648" w:rsidP="00885648">
      <w:r w:rsidRPr="00885648">
        <w:t>Political instability intensified socio-economic disparities and curtailed mobility for lower social strata. As elite landowners consolidated wealth and resources in fortified estates or urban centres, rural areas were left economically stagnant. This concentration of wealth not only deepened social inequality but also reduced opportunities for the lower classes, compelling many to migrate in search of employment and security. Scheidel (2019) identifies a correlation between political turmoil, wealth concentration, and demographic shifts, noting that these factors contributed to declining birth rates, altered migration patterns, and restructured occupational hierarchies.</w:t>
      </w:r>
    </w:p>
    <w:p w14:paraId="228A6A37" w14:textId="77777777" w:rsidR="00885648" w:rsidRPr="00885648" w:rsidRDefault="00885648" w:rsidP="00885648">
      <w:pPr>
        <w:pStyle w:val="Heading3"/>
      </w:pPr>
      <w:bookmarkStart w:id="82" w:name="_Toc182111066"/>
      <w:r w:rsidRPr="00885648">
        <w:t>Regional Variations in Demographic Responses</w:t>
      </w:r>
      <w:bookmarkEnd w:id="82"/>
    </w:p>
    <w:p w14:paraId="33198152" w14:textId="77777777" w:rsidR="00885648" w:rsidRPr="00885648" w:rsidRDefault="00885648" w:rsidP="00885648">
      <w:r w:rsidRPr="00885648">
        <w:t xml:space="preserve">Goodchild’s (2007) analysis of land use patterns underscores how political instability reshaped both rural and urban landscapes. In North Africa, for instance, smaller agricultural settlements declined as resources and labour were redirected to cities like Carthage. These </w:t>
      </w:r>
      <w:r w:rsidRPr="00885648">
        <w:lastRenderedPageBreak/>
        <w:t>urban centres, fortified and economically prioritised by local elites, became demographic strongholds amidst the broader instability. By contrast, regions in the Western Empire experienced more pronounced rural depopulation, with many communities abandoning their lands due to the absence of central authority and protection.</w:t>
      </w:r>
    </w:p>
    <w:p w14:paraId="7482E93F" w14:textId="77777777" w:rsidR="00885648" w:rsidRPr="00885648" w:rsidRDefault="00885648" w:rsidP="00885648">
      <w:r w:rsidRPr="00885648">
        <w:t>Comparative analysis, as employed by Lavan (2016), reveals the varied demographic impacts of political conflicts across different regions. While Eastern provinces like Lydia, with cities such as Sardis, benefited from imperial support and economic diversification, Western provinces struggled with declining agricultural productivity and labour shortages. These regional disparities highlight the uneven impact of political instability on the Empire’s population dynamics.</w:t>
      </w:r>
    </w:p>
    <w:p w14:paraId="5D3B1A82" w14:textId="77777777" w:rsidR="00885648" w:rsidRPr="00885648" w:rsidRDefault="00885648" w:rsidP="00885648">
      <w:pPr>
        <w:pStyle w:val="Heading3"/>
      </w:pPr>
      <w:bookmarkStart w:id="83" w:name="_Toc182111067"/>
      <w:r w:rsidRPr="00885648">
        <w:t>Methodological Insights</w:t>
      </w:r>
      <w:bookmarkEnd w:id="83"/>
    </w:p>
    <w:p w14:paraId="3F74DA8C" w14:textId="77777777" w:rsidR="00885648" w:rsidRPr="00885648" w:rsidRDefault="00885648" w:rsidP="00885648">
      <w:r w:rsidRPr="00885648">
        <w:t>The examination of primary sources, including historical narratives, inscriptions, and administrative documents, is essential for reconstructing the demographic impacts of political conflict. Comparative methodologies allow scholars to identify patterns and deviations in population responses to crises. Lavan’s (2016) exploration of citizenship reforms and Goodchild’s (2007) land use studies provide a comprehensive framework for understanding how governance and political instability shaped demographic trends.</w:t>
      </w:r>
    </w:p>
    <w:p w14:paraId="00F1073A" w14:textId="77777777" w:rsidR="00885648" w:rsidRPr="00885648" w:rsidRDefault="00885648" w:rsidP="00885648">
      <w:pPr>
        <w:pStyle w:val="Heading3"/>
      </w:pPr>
      <w:bookmarkStart w:id="84" w:name="_Toc182111068"/>
      <w:r w:rsidRPr="00885648">
        <w:t>Conclusion</w:t>
      </w:r>
      <w:bookmarkEnd w:id="84"/>
    </w:p>
    <w:p w14:paraId="39AEF1CB" w14:textId="77777777" w:rsidR="00885648" w:rsidRPr="00885648" w:rsidRDefault="00885648" w:rsidP="00885648">
      <w:r w:rsidRPr="00885648">
        <w:t>The intersection of political conflict, socio-economic factors, and demographic change played a decisive role in the transformation of the Roman Empire. By integrating insights from Lavan (2016) and Goodchild (2007), this section highlights the profound influence of governance failures, military mobilisation, and foreign settlements on population dynamics. These analyses underscore the complex interplay between political instability and demographic shifts, offering a nuanced perspective on the Empire’s historical evolution.</w:t>
      </w:r>
    </w:p>
    <w:p w14:paraId="3B5DD34A" w14:textId="1F64C714" w:rsidR="001D0322" w:rsidRDefault="006D7E5C" w:rsidP="001D0322">
      <w:pPr>
        <w:pStyle w:val="Heading2"/>
      </w:pPr>
      <w:bookmarkStart w:id="85" w:name="_Toc153780256"/>
      <w:bookmarkStart w:id="86" w:name="_Toc182111069"/>
      <w:r w:rsidRPr="00C214C5">
        <w:lastRenderedPageBreak/>
        <w:t>4.2 Governance Issues and Corruption</w:t>
      </w:r>
      <w:bookmarkStart w:id="87" w:name="_Toc153780257"/>
      <w:bookmarkEnd w:id="85"/>
      <w:bookmarkEnd w:id="86"/>
    </w:p>
    <w:p w14:paraId="1856B1A4" w14:textId="77777777" w:rsidR="006E0600" w:rsidRPr="006E0600" w:rsidRDefault="006E0600" w:rsidP="006E0600">
      <w:r w:rsidRPr="006E0600">
        <w:t>The third century marked a pivotal period of governance crises and pervasive corruption in the Roman Empire, reshaping its socio-political and demographic landscape. The Crisis of the Third Century (235–284 CE) was characterised by political instability, economic fragmentation, and administrative collapse. These factors collectively disrupted population distribution, migration patterns, and social structures. By critically examining Lavan (2016) and Goodchild (2007), it becomes evident that these governance failures and systemic corruption were not merely disruptive but transformative, fundamentally altering the Empire's demographic and economic composition.</w:t>
      </w:r>
    </w:p>
    <w:p w14:paraId="50E9A2AA" w14:textId="77777777" w:rsidR="006E0600" w:rsidRPr="006E0600" w:rsidRDefault="006E0600" w:rsidP="006E0600">
      <w:pPr>
        <w:pStyle w:val="Heading3"/>
      </w:pPr>
      <w:bookmarkStart w:id="88" w:name="_Toc182111070"/>
      <w:r w:rsidRPr="006E0600">
        <w:t>Disintegration of Centralised Power</w:t>
      </w:r>
      <w:bookmarkEnd w:id="88"/>
    </w:p>
    <w:p w14:paraId="2E12358A" w14:textId="77777777" w:rsidR="006E0600" w:rsidRPr="006E0600" w:rsidRDefault="006E0600" w:rsidP="006E0600">
      <w:r w:rsidRPr="006E0600">
        <w:t>The assassination of Severus Alexander in 235 CE initiated a half-century of political turmoil, marked by the rapid turnover of 26 emperors in 50 years, many of whom rose to power through military coups. Lavan (2016) underscores how this instability fractured central authority, resulting in the emergence of semi-autonomous zones governed by local elites and military commanders. This fragmentation eroded the state's ability to effectively manage crises, whether economic, social, or environmental.</w:t>
      </w:r>
    </w:p>
    <w:p w14:paraId="0B9CCA8D" w14:textId="77777777" w:rsidR="006E0600" w:rsidRPr="006E0600" w:rsidRDefault="006E0600" w:rsidP="006E0600">
      <w:r w:rsidRPr="006E0600">
        <w:t>The demographic consequences of this instability were profound. Goodchild’s (2007) research reveals that rural depopulation accelerated as smallholder farmers abandoned vulnerable agricultural settlements for fortified urban centres like Carthage. These cities, though temporarily stabilised by urban migration, faced increased strain on resources, leading to overcrowding and competition for essentials such as housing and food. In regions like Gaul, rural and small-town populations similarly gravitated toward fortified hubs such as Trier, further highlighting the demographic shifts driven by political disintegration.</w:t>
      </w:r>
    </w:p>
    <w:p w14:paraId="1913276A" w14:textId="77777777" w:rsidR="006E0600" w:rsidRPr="006E0600" w:rsidRDefault="006E0600" w:rsidP="006E0600">
      <w:pPr>
        <w:pStyle w:val="Heading3"/>
      </w:pPr>
      <w:bookmarkStart w:id="89" w:name="_Toc182111071"/>
      <w:r w:rsidRPr="006E0600">
        <w:lastRenderedPageBreak/>
        <w:t>Political Stabilisation and the Role of Christianity</w:t>
      </w:r>
      <w:bookmarkEnd w:id="89"/>
    </w:p>
    <w:p w14:paraId="0EDBDD16" w14:textId="77777777" w:rsidR="006E0600" w:rsidRPr="006E0600" w:rsidRDefault="006E0600" w:rsidP="006E0600">
      <w:r w:rsidRPr="006E0600">
        <w:t>By the fourth century, the Empire achieved greater political stability under Constantine and his successors. Constantine’s alignment with Christianity, institutionalised through the Edict of Milan (313 CE), provided a new form of political legitimacy. This alignment strengthened imperial authority, with the church’s bureaucratic structure mirroring and supporting imperial governance. The integration of Christianity fostered administrative cohesion, restoring public confidence and contributing to a more stable socio-political environment.</w:t>
      </w:r>
    </w:p>
    <w:p w14:paraId="23BD44B9" w14:textId="77777777" w:rsidR="006E0600" w:rsidRPr="006E0600" w:rsidRDefault="006E0600" w:rsidP="006E0600">
      <w:r w:rsidRPr="006E0600">
        <w:t>This newfound stability restructured population dynamics, attracting migrants to urban centres like Constantinople. The city’s robust economy and political security made it a key destination for those seeking opportunities within a more cohesive imperial framework.</w:t>
      </w:r>
    </w:p>
    <w:p w14:paraId="2F023BBC" w14:textId="77777777" w:rsidR="006E0600" w:rsidRPr="006E0600" w:rsidRDefault="006E0600" w:rsidP="006E0600">
      <w:pPr>
        <w:pStyle w:val="Heading3"/>
      </w:pPr>
      <w:bookmarkStart w:id="90" w:name="_Toc182111072"/>
      <w:r w:rsidRPr="006E0600">
        <w:t>Corruption and its Socioeconomic Impacts</w:t>
      </w:r>
      <w:bookmarkEnd w:id="90"/>
    </w:p>
    <w:p w14:paraId="03BA5C90" w14:textId="77777777" w:rsidR="006E0600" w:rsidRPr="006E0600" w:rsidRDefault="006E0600" w:rsidP="006E0600">
      <w:r w:rsidRPr="006E0600">
        <w:t>Corruption permeated every level of Roman administration during the third century, fundamentally distorting socio-economic systems. Bribery and rent-seeking behaviours commodified legal and administrative processes, as officials exploited their positions for personal gain. Goodchild (2007) highlights how local elites abandoned traditional civic responsibilities, such as funding public works, in favour of personal enrichment. Inscriptions from Carthage reveal a decline in the construction of essential infrastructure, including baths and aqueducts, exacerbating urban living conditions.</w:t>
      </w:r>
    </w:p>
    <w:p w14:paraId="1F7DBBCF" w14:textId="77777777" w:rsidR="006E0600" w:rsidRPr="006E0600" w:rsidRDefault="006E0600" w:rsidP="006E0600">
      <w:r w:rsidRPr="006E0600">
        <w:t xml:space="preserve">Provincial governors further destabilised local economies through exploitative tax practices. Lavan (2016) notes that governors often manipulated tax systems to extract wealth from rural populations, driving smallholder farmers into debt and eventual displacement. This weakened rural economies and forced many to migrate to urban centres, further straining city </w:t>
      </w:r>
      <w:r w:rsidRPr="006E0600">
        <w:lastRenderedPageBreak/>
        <w:t>resources. The cumulative effect of these corrupt practices entrenched socio-economic inequalities, undermining public trust and exacerbating demographic shifts.</w:t>
      </w:r>
    </w:p>
    <w:p w14:paraId="359AB038" w14:textId="77777777" w:rsidR="006E0600" w:rsidRPr="006E0600" w:rsidRDefault="006E0600" w:rsidP="006E0600">
      <w:pPr>
        <w:pStyle w:val="Heading3"/>
      </w:pPr>
      <w:bookmarkStart w:id="91" w:name="_Toc182111073"/>
      <w:r w:rsidRPr="006E0600">
        <w:t>Demographic Shifts and Migration Patterns</w:t>
      </w:r>
      <w:bookmarkEnd w:id="91"/>
    </w:p>
    <w:p w14:paraId="0A671AC8" w14:textId="77777777" w:rsidR="006E0600" w:rsidRPr="006E0600" w:rsidRDefault="006E0600" w:rsidP="006E0600">
      <w:r w:rsidRPr="006E0600">
        <w:t>The combined effects of political instability and corruption catalysed significant demographic changes. Internal migration became a defining feature of this era, as populations sought security within fortified urban centres. Goodchild (2007) documents significant population influxes in cities like Trier and Leptis Magna, driven by their strategic importance as military and administrative hubs. Conversely, rural regions experienced widespread depopulation, disrupting agricultural productivity and initiating cycles of economic decline.</w:t>
      </w:r>
    </w:p>
    <w:p w14:paraId="307B143E" w14:textId="77777777" w:rsidR="006E0600" w:rsidRPr="006E0600" w:rsidRDefault="006E0600" w:rsidP="006E0600">
      <w:r w:rsidRPr="006E0600">
        <w:t>External migrations further reshaped the Empire’s demographic landscape. The settlement of the Visigoths in the Balkans in 376 CE exemplifies this trend. While treaties stabilised border regions temporarily, they also introduced semi-autonomous communities that challenged traditional Roman governance. Heather (2005) highlights how these settlements altered regional demographics and cultural identities, particularly in frontier zones.</w:t>
      </w:r>
    </w:p>
    <w:p w14:paraId="7CC46117" w14:textId="77777777" w:rsidR="006E0600" w:rsidRPr="006E0600" w:rsidRDefault="006E0600" w:rsidP="006E0600">
      <w:pPr>
        <w:pStyle w:val="Heading3"/>
      </w:pPr>
      <w:bookmarkStart w:id="92" w:name="_Toc182111074"/>
      <w:r w:rsidRPr="006E0600">
        <w:t>Methodological Engagement</w:t>
      </w:r>
      <w:bookmarkEnd w:id="92"/>
    </w:p>
    <w:p w14:paraId="14CDB601" w14:textId="77777777" w:rsidR="006E0600" w:rsidRPr="006E0600" w:rsidRDefault="006E0600" w:rsidP="006E0600">
      <w:r w:rsidRPr="006E0600">
        <w:t>Studying governance, corruption, and demographic shifts in the Roman Empire necessitates a critical engagement with primary sources, including literary accounts, legal codes, and epigraphic evidence. Elite authors often exaggerated corruption to critique specific regimes, requiring careful cross-referencing with archaeological data. For instance, epigraphic records documenting civic contributions provide a more grounded perspective, revealing regional variations in governance and public services. Comparing these findings with earlier periods, such as Augustus’s principate, underscores how the compounded pressures of the third century magnified the effects of corruption and political instability.</w:t>
      </w:r>
    </w:p>
    <w:p w14:paraId="32CC0793" w14:textId="77777777" w:rsidR="006E0600" w:rsidRPr="006E0600" w:rsidRDefault="006E0600" w:rsidP="006E0600">
      <w:pPr>
        <w:pStyle w:val="Heading3"/>
      </w:pPr>
      <w:bookmarkStart w:id="93" w:name="_Toc182111075"/>
      <w:r w:rsidRPr="006E0600">
        <w:lastRenderedPageBreak/>
        <w:t>Conclusion</w:t>
      </w:r>
      <w:bookmarkEnd w:id="93"/>
    </w:p>
    <w:p w14:paraId="6D4A4D33" w14:textId="7944A170" w:rsidR="008B49BC" w:rsidRPr="001D0322" w:rsidRDefault="006E0600" w:rsidP="001D0322">
      <w:r w:rsidRPr="006E0600">
        <w:t>Governance failures and systemic corruption during the third century were transformative forces that redefined the Roman Empire's socio-political and demographic landscape. By integrating insights from Lavan (2016) and Goodchild (2007), this analysis highlights the interconnectedness of political instability, corruption, and demographic shifts. The demographic redistribution driven by these factors underscores the complex interplay of governance and socio-economic conditions in shaping the historical trajectory of the Roman Empire.</w:t>
      </w:r>
    </w:p>
    <w:p w14:paraId="48AF07FF" w14:textId="5FFF9EBB" w:rsidR="006D7E5C" w:rsidRPr="00C214C5" w:rsidRDefault="006D7E5C" w:rsidP="007B073B">
      <w:pPr>
        <w:pStyle w:val="Heading2"/>
      </w:pPr>
      <w:bookmarkStart w:id="94" w:name="_Toc182111076"/>
      <w:r w:rsidRPr="00C214C5">
        <w:t>4.3 Climate Change, Natural Disasters, and Epidemics</w:t>
      </w:r>
      <w:bookmarkEnd w:id="87"/>
      <w:bookmarkEnd w:id="94"/>
    </w:p>
    <w:p w14:paraId="04D2FDC8" w14:textId="77777777" w:rsidR="006741D9" w:rsidRPr="006741D9" w:rsidRDefault="006741D9" w:rsidP="006741D9">
      <w:r w:rsidRPr="006741D9">
        <w:t xml:space="preserve">Between the third and sixth centuries CE, the Roman Empire faced significant demographic and societal upheavals driven by environmental crises, catastrophic epidemics, and political instability. These challenges strained the Empire’s stability but also revealed its capacity for resilience and adaptation. Integrating primary sources, such as Cyprian of Carthage’s </w:t>
      </w:r>
      <w:r w:rsidRPr="006741D9">
        <w:rPr>
          <w:i/>
          <w:iCs/>
        </w:rPr>
        <w:t>De Mortalitate</w:t>
      </w:r>
      <w:r w:rsidRPr="006741D9">
        <w:t>, with modern scholarship provides a nuanced understanding of these crises and their varied regional impacts.</w:t>
      </w:r>
    </w:p>
    <w:p w14:paraId="2D5E87F2" w14:textId="77777777" w:rsidR="006741D9" w:rsidRPr="006741D9" w:rsidRDefault="006741D9" w:rsidP="00F10AAD">
      <w:pPr>
        <w:pStyle w:val="Heading3"/>
      </w:pPr>
      <w:bookmarkStart w:id="95" w:name="_Toc182111077"/>
      <w:r w:rsidRPr="006741D9">
        <w:t>Epidemics and Demographic Transformations</w:t>
      </w:r>
      <w:bookmarkEnd w:id="95"/>
    </w:p>
    <w:p w14:paraId="1E9221CA" w14:textId="77777777" w:rsidR="006741D9" w:rsidRPr="006741D9" w:rsidRDefault="006741D9" w:rsidP="006741D9">
      <w:r w:rsidRPr="006741D9">
        <w:t xml:space="preserve">The Plague of Cyprian (249–262 CE) was among the most devastating pandemics in Roman history, profoundly reshaping its demographic and social structures. In </w:t>
      </w:r>
      <w:r w:rsidRPr="006741D9">
        <w:rPr>
          <w:i/>
          <w:iCs/>
        </w:rPr>
        <w:t>De Mortalitate</w:t>
      </w:r>
      <w:r w:rsidRPr="006741D9">
        <w:t>, Cyprian vividly describes symptoms such as severe diarrhoea, fever, and respiratory distress, leading scholars to hypothesise a viral haemorrhagic fever (Huebner, 2021). Beyond its physical toll, Cyprian portrays the epidemic as divine punishment, contrasting the despair of non-Christians with the solidarity of Christian communities.</w:t>
      </w:r>
    </w:p>
    <w:p w14:paraId="6726F1CF" w14:textId="77777777" w:rsidR="006741D9" w:rsidRPr="006741D9" w:rsidRDefault="006741D9" w:rsidP="006741D9">
      <w:r w:rsidRPr="006741D9">
        <w:t xml:space="preserve">The epidemic’s demographic impact was severe. Harper (2017) estimates urban mortality rates of up to 30%, causing labour shortages and disrupting agricultural and economic </w:t>
      </w:r>
      <w:r w:rsidRPr="006741D9">
        <w:lastRenderedPageBreak/>
        <w:t>systems. Rural areas experienced declining productivity as reduced workforces led to food shortages, prompting survivors to migrate to urban centres like Carthage and Alexandria. However, these migrations strained urban infrastructure, fostering overcrowding and further outbreaks.</w:t>
      </w:r>
    </w:p>
    <w:p w14:paraId="5C179193" w14:textId="77777777" w:rsidR="006741D9" w:rsidRPr="006741D9" w:rsidRDefault="006741D9" w:rsidP="00F10AAD">
      <w:pPr>
        <w:pStyle w:val="Heading3"/>
      </w:pPr>
      <w:bookmarkStart w:id="96" w:name="_Toc182111078"/>
      <w:r w:rsidRPr="006741D9">
        <w:t>Relative Stability and Persistent Health Challenges in the Fourth Century</w:t>
      </w:r>
      <w:bookmarkEnd w:id="96"/>
    </w:p>
    <w:p w14:paraId="0F38AC84" w14:textId="77777777" w:rsidR="006741D9" w:rsidRPr="006741D9" w:rsidRDefault="006741D9" w:rsidP="006741D9">
      <w:r w:rsidRPr="006741D9">
        <w:t>Although the fourth century was more stable politically, health crises persisted. Recurrent smaller outbreaks continued to affect urban populations. Cyprian’s writings suggest lingering demographic effects of the third-century pandemic, particularly in North Africa, where recovery was uneven.</w:t>
      </w:r>
    </w:p>
    <w:p w14:paraId="0C3EFDF3" w14:textId="77777777" w:rsidR="006741D9" w:rsidRPr="006741D9" w:rsidRDefault="006741D9" w:rsidP="006741D9">
      <w:r w:rsidRPr="006741D9">
        <w:t>Constantine’s administrative reforms and the integration of Christianity into imperial governance improved public health responses. Christian charitable organisations played a key role in providing aid during outbreaks, marking a shift from the fragmented responses of the third century (Sessa, 2019). This integration helped bolster societal resilience and stabilise urban centres.</w:t>
      </w:r>
    </w:p>
    <w:p w14:paraId="67A11D61" w14:textId="77777777" w:rsidR="006741D9" w:rsidRPr="006741D9" w:rsidRDefault="006741D9" w:rsidP="00F10AAD">
      <w:pPr>
        <w:pStyle w:val="Heading3"/>
      </w:pPr>
      <w:bookmarkStart w:id="97" w:name="_Toc182111079"/>
      <w:r w:rsidRPr="006741D9">
        <w:t>Environmental Challenges and Settlement Patterns</w:t>
      </w:r>
      <w:bookmarkEnd w:id="97"/>
    </w:p>
    <w:p w14:paraId="2AF104BB" w14:textId="77777777" w:rsidR="006741D9" w:rsidRPr="006741D9" w:rsidRDefault="006741D9" w:rsidP="006741D9">
      <w:r w:rsidRPr="006741D9">
        <w:t>Climatic fluctuations exacerbated these crises. Sessa (2019) cites palaeoclimatic data indicating prolonged droughts and irregular rainfall, particularly in the eastern Mediterranean. These conditions reduced grain yields in key regions like Egypt and Syria, worsening food insecurity and heightening vulnerability to disease.</w:t>
      </w:r>
    </w:p>
    <w:p w14:paraId="7B4F4263" w14:textId="77777777" w:rsidR="006741D9" w:rsidRPr="006741D9" w:rsidRDefault="006741D9" w:rsidP="006741D9">
      <w:r w:rsidRPr="006741D9">
        <w:t xml:space="preserve">Goodchild’s (2007) analysis highlights the uneven regional impacts of these environmental challenges. North Africa’s fertile estates near Carthage remained productive due to advanced irrigation and imperial investment, while marginal lands in Gaul and Britain were abandoned under climatic and economic pressures. Urban centres absorbed displaced rural populations, though these migrations strained resources. In Egypt, stable Nile flooding </w:t>
      </w:r>
      <w:r w:rsidRPr="006741D9">
        <w:lastRenderedPageBreak/>
        <w:t>sustained rural settlements, contrasting with the pronounced rural depopulation in the Western Empire.</w:t>
      </w:r>
    </w:p>
    <w:p w14:paraId="2AB2C29B" w14:textId="77777777" w:rsidR="006741D9" w:rsidRPr="006741D9" w:rsidRDefault="006741D9" w:rsidP="00F10AAD">
      <w:pPr>
        <w:pStyle w:val="Heading3"/>
      </w:pPr>
      <w:bookmarkStart w:id="98" w:name="_Toc182111080"/>
      <w:r w:rsidRPr="006741D9">
        <w:t>Political Instability and Epidemics</w:t>
      </w:r>
      <w:bookmarkEnd w:id="98"/>
    </w:p>
    <w:p w14:paraId="26E08ADA" w14:textId="77777777" w:rsidR="006741D9" w:rsidRPr="006741D9" w:rsidRDefault="006741D9" w:rsidP="006741D9">
      <w:r w:rsidRPr="006741D9">
        <w:t xml:space="preserve">Political instability compounded the impact of environmental and epidemiological crises. Cyprian’s </w:t>
      </w:r>
      <w:r w:rsidRPr="006741D9">
        <w:rPr>
          <w:i/>
          <w:iCs/>
        </w:rPr>
        <w:t>De Mortalitate</w:t>
      </w:r>
      <w:r w:rsidRPr="006741D9">
        <w:t xml:space="preserve"> ties the spread of disease to societal moral decay, reflecting the material consequences of fragmented leadership. Lavan (2016) links governance failures to rural economic decline, noting how excessive taxation and corruption displaced smallholders. This, combined with labour shortages from the Plague of Cyprian, drove significant demographic shifts toward urban centres like Antioch and Trier (Goodchild, 2007).</w:t>
      </w:r>
    </w:p>
    <w:p w14:paraId="0F3B9F2C" w14:textId="77777777" w:rsidR="006741D9" w:rsidRPr="006741D9" w:rsidRDefault="006741D9" w:rsidP="00F10AAD">
      <w:pPr>
        <w:pStyle w:val="Heading3"/>
      </w:pPr>
      <w:bookmarkStart w:id="99" w:name="_Toc182111081"/>
      <w:r w:rsidRPr="006741D9">
        <w:t>Methodological Considerations</w:t>
      </w:r>
      <w:bookmarkEnd w:id="99"/>
    </w:p>
    <w:p w14:paraId="7D560384" w14:textId="77777777" w:rsidR="006741D9" w:rsidRPr="006741D9" w:rsidRDefault="006741D9" w:rsidP="006741D9">
      <w:r w:rsidRPr="006741D9">
        <w:t>Estimating the demographic impact of crises like the Plague of Cyprian presents challenges. Harper (2017) and Scheidel (2002) emphasise the fragmentary nature of available evidence, while Haldon et al. (2018) critique the urban-centric focus that may overlook rural resilience. Cyprian’s theological framing necessitates cautious interpretation, balanced by corroborative archaeological and epigraphic data.</w:t>
      </w:r>
    </w:p>
    <w:p w14:paraId="67D1E96B" w14:textId="77777777" w:rsidR="006741D9" w:rsidRPr="006741D9" w:rsidRDefault="006741D9" w:rsidP="00F10AAD">
      <w:pPr>
        <w:pStyle w:val="Heading3"/>
      </w:pPr>
      <w:bookmarkStart w:id="100" w:name="_Toc182111082"/>
      <w:r w:rsidRPr="006741D9">
        <w:t>Conclusion</w:t>
      </w:r>
      <w:bookmarkEnd w:id="100"/>
    </w:p>
    <w:p w14:paraId="7AF4A17B" w14:textId="77777777" w:rsidR="006741D9" w:rsidRPr="006741D9" w:rsidRDefault="006741D9" w:rsidP="006741D9">
      <w:r w:rsidRPr="006741D9">
        <w:t xml:space="preserve">The complex interplay of climate change, natural disasters, and epidemics profoundly shaped the Roman Empire’s demographic landscape between the third and sixth centuries. Epidemics like the Plague of Cyprian, compounded by environmental challenges and political instability, drove significant population redistribution. However, periods of stability, particularly under Constantine, showcased the Empire’s adaptive capacity. By integrating ancient accounts like </w:t>
      </w:r>
      <w:r w:rsidRPr="006741D9">
        <w:rPr>
          <w:i/>
          <w:iCs/>
        </w:rPr>
        <w:t>De Mortalitate</w:t>
      </w:r>
      <w:r w:rsidRPr="006741D9">
        <w:t xml:space="preserve"> with modern scholarship, this chapter highlights the multifaceted nature of these crises and their enduring impact on Roman society.</w:t>
      </w:r>
    </w:p>
    <w:p w14:paraId="7DD2A8E2" w14:textId="77777777" w:rsidR="006D7E5C" w:rsidRPr="00C214C5" w:rsidRDefault="006D7E5C" w:rsidP="007B073B">
      <w:pPr>
        <w:pStyle w:val="Heading2"/>
      </w:pPr>
      <w:bookmarkStart w:id="101" w:name="_Toc153780258"/>
      <w:bookmarkStart w:id="102" w:name="_Toc182111083"/>
      <w:r w:rsidRPr="00C214C5">
        <w:lastRenderedPageBreak/>
        <w:t>4.4 Resource Depletion and Agricultural Productivity</w:t>
      </w:r>
      <w:bookmarkEnd w:id="101"/>
      <w:bookmarkEnd w:id="102"/>
    </w:p>
    <w:p w14:paraId="51C49660" w14:textId="77777777" w:rsidR="00793E02" w:rsidRPr="00793E02" w:rsidRDefault="00793E02" w:rsidP="00793E02">
      <w:r w:rsidRPr="00793E02">
        <w:t xml:space="preserve">Environmental degradation, resource depletion, and declining agricultural productivity significantly shaped the Roman Empire’s demographic and economic structures during the third and fourth centuries. Exacerbated by political instability and socio-economic inequalities, these challenges led to diverse regional responses. By examining primary sources such as </w:t>
      </w:r>
      <w:r w:rsidRPr="00793E02">
        <w:rPr>
          <w:i/>
          <w:iCs/>
        </w:rPr>
        <w:t>Res Gestae</w:t>
      </w:r>
      <w:r w:rsidRPr="00793E02">
        <w:t xml:space="preserve"> by Ammianus Marcellinus, </w:t>
      </w:r>
      <w:r w:rsidRPr="00793E02">
        <w:rPr>
          <w:i/>
          <w:iCs/>
        </w:rPr>
        <w:t>Mosella</w:t>
      </w:r>
      <w:r w:rsidRPr="00793E02">
        <w:t xml:space="preserve"> by Ausonius, and </w:t>
      </w:r>
      <w:r w:rsidRPr="00793E02">
        <w:rPr>
          <w:i/>
          <w:iCs/>
        </w:rPr>
        <w:t>Orations</w:t>
      </w:r>
      <w:r w:rsidRPr="00793E02">
        <w:t xml:space="preserve"> by Themistius, alongside contemporary analyses by Verhagen (2022) and Goodchild (2007), this section argues that while these challenges created profound regional disparities, they also underscore the Empire’s capacity for adaptation.</w:t>
      </w:r>
    </w:p>
    <w:p w14:paraId="7DC9B850" w14:textId="77777777" w:rsidR="00793E02" w:rsidRPr="00793E02" w:rsidRDefault="00793E02" w:rsidP="001C42D9">
      <w:pPr>
        <w:pStyle w:val="Heading3"/>
      </w:pPr>
      <w:bookmarkStart w:id="103" w:name="_Toc182111084"/>
      <w:r w:rsidRPr="00793E02">
        <w:t>Environmental Degradation and Resource Scarcity</w:t>
      </w:r>
      <w:bookmarkEnd w:id="103"/>
    </w:p>
    <w:p w14:paraId="3EB0D44B" w14:textId="77777777" w:rsidR="00793E02" w:rsidRPr="00793E02" w:rsidRDefault="00793E02" w:rsidP="00793E02">
      <w:r w:rsidRPr="00793E02">
        <w:t xml:space="preserve">As accessible resources dwindled, mining operations expanded into frontier regions, exacerbating environmental degradation and intensifying the ecological strain highlighted by Ammianus Marcellinus in </w:t>
      </w:r>
      <w:r w:rsidRPr="00793E02">
        <w:rPr>
          <w:i/>
          <w:iCs/>
        </w:rPr>
        <w:t>Res Gestae</w:t>
      </w:r>
      <w:r w:rsidRPr="00793E02">
        <w:t xml:space="preserve">. Themistius, in </w:t>
      </w:r>
      <w:r w:rsidRPr="00793E02">
        <w:rPr>
          <w:i/>
          <w:iCs/>
        </w:rPr>
        <w:t>Orations</w:t>
      </w:r>
      <w:r w:rsidRPr="00793E02">
        <w:t>, critiques deforestation driven by urban expansion, linking it to soil erosion and reduced water retention. These issues destabilized agricultural systems, increasing reliance on grain imports from North Africa and Egypt.</w:t>
      </w:r>
    </w:p>
    <w:p w14:paraId="20CD0535" w14:textId="77777777" w:rsidR="00793E02" w:rsidRPr="00793E02" w:rsidRDefault="00793E02" w:rsidP="00793E02">
      <w:r w:rsidRPr="00793E02">
        <w:t>Verhagen (2022) emphasizes the environmental toll of agricultural intensification, particularly in Italy, where degraded ecosystems struggled to support the population. These concerns resonate with Holleran and Claridge’s (2018) reflections on balancing economic growth and ecological sustainability.</w:t>
      </w:r>
    </w:p>
    <w:p w14:paraId="744D926D" w14:textId="77777777" w:rsidR="00793E02" w:rsidRPr="00793E02" w:rsidRDefault="00793E02" w:rsidP="001C42D9">
      <w:pPr>
        <w:pStyle w:val="Heading3"/>
      </w:pPr>
      <w:bookmarkStart w:id="104" w:name="_Toc182111085"/>
      <w:r w:rsidRPr="00793E02">
        <w:t>Declining Agricultural Productivity and Socio-Economic Transformation</w:t>
      </w:r>
      <w:bookmarkEnd w:id="104"/>
    </w:p>
    <w:p w14:paraId="5EF74712" w14:textId="77777777" w:rsidR="00793E02" w:rsidRPr="00793E02" w:rsidRDefault="00793E02" w:rsidP="00793E02">
      <w:r w:rsidRPr="00793E02">
        <w:t xml:space="preserve">Agricultural decline reshaped the Roman socio-economic landscape. In </w:t>
      </w:r>
      <w:r w:rsidRPr="00793E02">
        <w:rPr>
          <w:i/>
          <w:iCs/>
        </w:rPr>
        <w:t>Mosella</w:t>
      </w:r>
      <w:r w:rsidRPr="00793E02">
        <w:t xml:space="preserve">, Ausonius praises the agricultural prosperity of the Moselle region, offering a stark contrast to </w:t>
      </w:r>
      <w:r w:rsidRPr="00793E02">
        <w:lastRenderedPageBreak/>
        <w:t xml:space="preserve">the decline elsewhere. However, Julian’s </w:t>
      </w:r>
      <w:r w:rsidRPr="00793E02">
        <w:rPr>
          <w:i/>
          <w:iCs/>
        </w:rPr>
        <w:t>Letters</w:t>
      </w:r>
      <w:r w:rsidRPr="00793E02">
        <w:t xml:space="preserve"> critique estate mismanagement in Gaul, where soil exhaustion and invasions prompted land abandonment.</w:t>
      </w:r>
    </w:p>
    <w:p w14:paraId="4F6E77E5" w14:textId="77777777" w:rsidR="00793E02" w:rsidRPr="00793E02" w:rsidRDefault="00793E02" w:rsidP="00793E02">
      <w:r w:rsidRPr="00793E02">
        <w:t>Goodchild (2007) highlights the resilience of estates near Carthage and the Nile Delta, which sustained high productivity through advanced irrigation and imperial support. These regions were crucial in maintaining the grain supply for urban centers like Constantinople. Meanwhile, cities like Antioch absorbed rural migrants, a trend lamented by Themistius, who viewed it as a strain on urban resources. Verhagen’s (2022) research shows how landowners diversified income sources, supplementing agricultural wealth with trade and administrative roles to maintain their socio-economic dominance.</w:t>
      </w:r>
    </w:p>
    <w:p w14:paraId="5BFA7DC8" w14:textId="77777777" w:rsidR="00793E02" w:rsidRPr="00793E02" w:rsidRDefault="00793E02" w:rsidP="001C42D9">
      <w:pPr>
        <w:pStyle w:val="Heading3"/>
      </w:pPr>
      <w:bookmarkStart w:id="105" w:name="_Toc182111086"/>
      <w:r w:rsidRPr="00793E02">
        <w:t>Regional Variability in Settlement Patterns</w:t>
      </w:r>
      <w:bookmarkEnd w:id="105"/>
    </w:p>
    <w:p w14:paraId="33B84995" w14:textId="77777777" w:rsidR="00793E02" w:rsidRPr="00793E02" w:rsidRDefault="00793E02" w:rsidP="00793E02">
      <w:r w:rsidRPr="00793E02">
        <w:t>Settlement dynamics during Late Antiquity varied significantly, reflecting a complex interplay of environmental, economic, and political factors:</w:t>
      </w:r>
    </w:p>
    <w:p w14:paraId="3FEBB07F" w14:textId="77777777" w:rsidR="00793E02" w:rsidRPr="00793E02" w:rsidRDefault="00793E02" w:rsidP="00793E02">
      <w:pPr>
        <w:numPr>
          <w:ilvl w:val="0"/>
          <w:numId w:val="42"/>
        </w:numPr>
      </w:pPr>
      <w:r w:rsidRPr="00793E02">
        <w:rPr>
          <w:b/>
          <w:bCs/>
        </w:rPr>
        <w:t>North Africa and Egypt</w:t>
      </w:r>
      <w:r w:rsidRPr="00793E02">
        <w:t xml:space="preserve">: These regions sustained stable rural populations due to fertile soils and advanced agricultural practices. Libanius, in </w:t>
      </w:r>
      <w:r w:rsidRPr="00793E02">
        <w:rPr>
          <w:i/>
          <w:iCs/>
        </w:rPr>
        <w:t>Orations</w:t>
      </w:r>
      <w:r w:rsidRPr="00793E02">
        <w:t>, extols the enduring productivity of estates near Carthage and the Nile. Archaeological evidence corroborates this stability, challenging the narrative of widespread rural decline (Huebner &amp; Laes, 2019).</w:t>
      </w:r>
    </w:p>
    <w:p w14:paraId="4FDECA08" w14:textId="77777777" w:rsidR="00793E02" w:rsidRPr="00793E02" w:rsidRDefault="00793E02" w:rsidP="00793E02">
      <w:pPr>
        <w:numPr>
          <w:ilvl w:val="0"/>
          <w:numId w:val="42"/>
        </w:numPr>
      </w:pPr>
      <w:r w:rsidRPr="00793E02">
        <w:rPr>
          <w:b/>
          <w:bCs/>
        </w:rPr>
        <w:t>Gaul and Britain</w:t>
      </w:r>
      <w:r w:rsidRPr="00793E02">
        <w:t>: Ammianus Marcellinus documents the abandonment of marginal lands in these provinces, driven by soil exhaustion and external threats. Cities like Trier emerged as refuges, while other urban centers declined as Roman authority waned.</w:t>
      </w:r>
    </w:p>
    <w:p w14:paraId="30F98334" w14:textId="77777777" w:rsidR="00793E02" w:rsidRPr="00793E02" w:rsidRDefault="00793E02" w:rsidP="00793E02">
      <w:pPr>
        <w:numPr>
          <w:ilvl w:val="0"/>
          <w:numId w:val="42"/>
        </w:numPr>
      </w:pPr>
      <w:r w:rsidRPr="00793E02">
        <w:rPr>
          <w:b/>
          <w:bCs/>
        </w:rPr>
        <w:t>Eastern Provinces</w:t>
      </w:r>
      <w:r w:rsidRPr="00793E02">
        <w:t xml:space="preserve">: Eusebius, in </w:t>
      </w:r>
      <w:r w:rsidRPr="00793E02">
        <w:rPr>
          <w:i/>
          <w:iCs/>
        </w:rPr>
        <w:t>Church History</w:t>
      </w:r>
      <w:r w:rsidRPr="00793E02">
        <w:t>, describes flourishing Christian communities in Asia Minor and the Levant, supported by imperial patronage and stable governance. Verhagen (2022) highlights the strong urban-rural linkages that helped these regions withstand environmental and political challenges.</w:t>
      </w:r>
    </w:p>
    <w:p w14:paraId="6F2B23C0" w14:textId="77777777" w:rsidR="00793E02" w:rsidRPr="00793E02" w:rsidRDefault="00793E02" w:rsidP="00793E02">
      <w:r w:rsidRPr="00793E02">
        <w:lastRenderedPageBreak/>
        <w:t>This regional variation challenges oversimplified narratives, underscoring the importance of local context in shaping demographic and settlement trends.</w:t>
      </w:r>
    </w:p>
    <w:p w14:paraId="65076FFD" w14:textId="77777777" w:rsidR="00793E02" w:rsidRPr="00793E02" w:rsidRDefault="00793E02" w:rsidP="001C42D9">
      <w:pPr>
        <w:pStyle w:val="Heading3"/>
      </w:pPr>
      <w:bookmarkStart w:id="106" w:name="_Toc182111087"/>
      <w:r w:rsidRPr="00793E02">
        <w:t>Socio-Economic Inequalities and Elite Strategies</w:t>
      </w:r>
      <w:bookmarkEnd w:id="106"/>
    </w:p>
    <w:p w14:paraId="696024D5" w14:textId="77777777" w:rsidR="00793E02" w:rsidRPr="00793E02" w:rsidRDefault="00793E02" w:rsidP="00793E02">
      <w:r w:rsidRPr="00793E02">
        <w:t xml:space="preserve">Despite the agricultural challenges, landownership remained central to elite wealth and power. In </w:t>
      </w:r>
      <w:r w:rsidRPr="00793E02">
        <w:rPr>
          <w:i/>
          <w:iCs/>
        </w:rPr>
        <w:t>Letters</w:t>
      </w:r>
      <w:r w:rsidRPr="00793E02">
        <w:t>, Julian critiques the greed of landowners who exploited tenant farmers. Goodchild (2007) observes that villa estates continued to anchor elite patronage networks, reinforcing socio-economic hierarchies.</w:t>
      </w:r>
    </w:p>
    <w:p w14:paraId="2871FD1C" w14:textId="77777777" w:rsidR="00793E02" w:rsidRPr="00793E02" w:rsidRDefault="00793E02" w:rsidP="00793E02">
      <w:r w:rsidRPr="00793E02">
        <w:t>Elites engaged in rent-seeking behaviors and tax manipulation, exacerbating rural instability and deepening socio-economic disparities. These dynamics parallel modern concerns about wealth concentration and resource mismanagement. Scheidel (2019) warns of the long-term destabilizing effects of such inequalities, highlighting their role in driving migration and social unrest.</w:t>
      </w:r>
    </w:p>
    <w:p w14:paraId="3807ED12" w14:textId="77777777" w:rsidR="00793E02" w:rsidRPr="00793E02" w:rsidRDefault="00793E02" w:rsidP="001C42D9">
      <w:pPr>
        <w:pStyle w:val="Heading3"/>
      </w:pPr>
      <w:bookmarkStart w:id="107" w:name="_Toc182111088"/>
      <w:r w:rsidRPr="00793E02">
        <w:t>Lessons for Modern Climate and Resource Management</w:t>
      </w:r>
      <w:bookmarkEnd w:id="107"/>
    </w:p>
    <w:p w14:paraId="231E9379" w14:textId="77777777" w:rsidR="00793E02" w:rsidRPr="00793E02" w:rsidRDefault="00793E02" w:rsidP="00793E02">
      <w:r w:rsidRPr="00793E02">
        <w:t xml:space="preserve">The Roman Empire’s struggles with resource depletion and environmental degradation offer enduring lessons on sustainability. Themistius’ reflections in </w:t>
      </w:r>
      <w:r w:rsidRPr="00793E02">
        <w:rPr>
          <w:i/>
          <w:iCs/>
        </w:rPr>
        <w:t>Orations</w:t>
      </w:r>
      <w:r w:rsidRPr="00793E02">
        <w:t xml:space="preserve"> on the long-term costs of overexploitation parallel contemporary challenges related to deforestation and biodiversity loss.</w:t>
      </w:r>
    </w:p>
    <w:p w14:paraId="670C4AD1" w14:textId="77777777" w:rsidR="00793E02" w:rsidRPr="00793E02" w:rsidRDefault="00793E02" w:rsidP="00793E02">
      <w:r w:rsidRPr="00793E02">
        <w:t>Scheidel (2019) argues that Rome’s reliance on extractive industries underscores the risks of overexploiting finite resources. These historical parallels emphasize the necessity of integrating environmental sustainability into economic and political strategies to address modern challenges such as climate change and resource management.</w:t>
      </w:r>
    </w:p>
    <w:p w14:paraId="5D9F272A" w14:textId="77777777" w:rsidR="00793E02" w:rsidRPr="00793E02" w:rsidRDefault="00793E02" w:rsidP="001C42D9">
      <w:pPr>
        <w:pStyle w:val="Heading3"/>
      </w:pPr>
      <w:bookmarkStart w:id="108" w:name="_Toc182111089"/>
      <w:r w:rsidRPr="00793E02">
        <w:t>Conclusion</w:t>
      </w:r>
      <w:bookmarkEnd w:id="108"/>
    </w:p>
    <w:p w14:paraId="3DAE5E09" w14:textId="77777777" w:rsidR="00793E02" w:rsidRPr="00793E02" w:rsidRDefault="00793E02" w:rsidP="00793E02">
      <w:r w:rsidRPr="00793E02">
        <w:t xml:space="preserve">The Roman experience in Late Antiquity demonstrates both resilience and vulnerability in the face of resource scarcity and environmental change. While some regions faced </w:t>
      </w:r>
      <w:r w:rsidRPr="00793E02">
        <w:lastRenderedPageBreak/>
        <w:t>significant rural depopulation and socio-economic upheaval, others adapted through innovative agricultural practices and diversified economic strategies. Examining Rome's experience through primary sources and modern scholarship yields valuable insights into the consequences of unsustainable practices. The Roman experience serves as a potent reminder that the consequences of unsustainable practices can be far-reaching and enduring, underscoring the urgent need for responsible resource management in the face of contemporary environmental challenges.</w:t>
      </w:r>
    </w:p>
    <w:p w14:paraId="15A5F1D9" w14:textId="77777777" w:rsidR="006D7E5C" w:rsidRPr="00C214C5" w:rsidRDefault="006D7E5C" w:rsidP="007B073B">
      <w:pPr>
        <w:pStyle w:val="Heading2"/>
      </w:pPr>
      <w:bookmarkStart w:id="109" w:name="_Toc153780259"/>
      <w:bookmarkStart w:id="110" w:name="_Toc182111090"/>
      <w:r w:rsidRPr="00C214C5">
        <w:t>4.5 Impact of Political Instability, Environmental Changes, and Demographic Shifts on Population Movements</w:t>
      </w:r>
      <w:bookmarkEnd w:id="109"/>
      <w:bookmarkEnd w:id="110"/>
    </w:p>
    <w:p w14:paraId="349CDC25" w14:textId="77777777" w:rsidR="009C48D7" w:rsidRPr="009C48D7" w:rsidRDefault="009C48D7" w:rsidP="009C48D7">
      <w:r w:rsidRPr="009C48D7">
        <w:t xml:space="preserve">The third century marked a transformative period for the Roman Empire, shaped by political upheaval, environmental crises, and significant demographic shifts. These interwoven challenges restructured societal frameworks and drove population movements, fundamentally altering the lives of ordinary Romans. This analysis reveals that while these crises presented formidable obstacles, they also spurred adaptations that reshaped the Empire’s long-term trajectory. By examining primary sources such as </w:t>
      </w:r>
      <w:r w:rsidRPr="009C48D7">
        <w:rPr>
          <w:i/>
          <w:iCs/>
        </w:rPr>
        <w:t>Res Gestae</w:t>
      </w:r>
      <w:r w:rsidRPr="009C48D7">
        <w:t xml:space="preserve"> by Ammianus Marcellinus, </w:t>
      </w:r>
      <w:r w:rsidRPr="009C48D7">
        <w:rPr>
          <w:i/>
          <w:iCs/>
        </w:rPr>
        <w:t>Mosella</w:t>
      </w:r>
      <w:r w:rsidRPr="009C48D7">
        <w:t xml:space="preserve"> by Ausonius, and </w:t>
      </w:r>
      <w:r w:rsidRPr="009C48D7">
        <w:rPr>
          <w:i/>
          <w:iCs/>
        </w:rPr>
        <w:t>Church History</w:t>
      </w:r>
      <w:r w:rsidRPr="009C48D7">
        <w:t xml:space="preserve"> by Eusebius, alongside modern scholarship, this section explores the complex interplay of these factors.</w:t>
      </w:r>
    </w:p>
    <w:p w14:paraId="00B63ACE" w14:textId="77777777" w:rsidR="009C48D7" w:rsidRPr="009C48D7" w:rsidRDefault="009C48D7" w:rsidP="001C42D9">
      <w:pPr>
        <w:pStyle w:val="Heading3"/>
      </w:pPr>
      <w:bookmarkStart w:id="111" w:name="_Toc182111091"/>
      <w:r w:rsidRPr="009C48D7">
        <w:t>Political Instability and Migration</w:t>
      </w:r>
      <w:bookmarkEnd w:id="111"/>
    </w:p>
    <w:p w14:paraId="69FAAFA0" w14:textId="77777777" w:rsidR="009C48D7" w:rsidRPr="009C48D7" w:rsidRDefault="009C48D7" w:rsidP="009C48D7">
      <w:r w:rsidRPr="009C48D7">
        <w:t xml:space="preserve">The Crisis of the Third Century (235–284 CE) epitomised the Empire’s political instability, characterised by rapid succession of emperors, civil wars, and fragmented authority. Ammianus Marcellinus, in </w:t>
      </w:r>
      <w:r w:rsidRPr="009C48D7">
        <w:rPr>
          <w:i/>
          <w:iCs/>
        </w:rPr>
        <w:t>Res Gestae</w:t>
      </w:r>
      <w:r w:rsidRPr="009C48D7">
        <w:t>, vividly recounts the chaos, detailing the erosion of central governance and the emergence of semi-autonomous urban hubs as military and administrative strongholds. Cities like Trier and Sirmium attracted populations seeking refuge from the turmoil.</w:t>
      </w:r>
    </w:p>
    <w:p w14:paraId="51306F35" w14:textId="77777777" w:rsidR="009C48D7" w:rsidRPr="009C48D7" w:rsidRDefault="009C48D7" w:rsidP="009C48D7">
      <w:r w:rsidRPr="009C48D7">
        <w:lastRenderedPageBreak/>
        <w:t xml:space="preserve">This political fragmentation further compounded the environmental and demographic challenges, creating a web of interconnected crises. Eusebius, in </w:t>
      </w:r>
      <w:r w:rsidRPr="009C48D7">
        <w:rPr>
          <w:i/>
          <w:iCs/>
        </w:rPr>
        <w:t>Church History</w:t>
      </w:r>
      <w:r w:rsidRPr="009C48D7">
        <w:t>, highlights the resilience of Eastern cities such as Antioch, which maintained stability and economic vitality through strong governance and imperial patronage. Conversely, the Western provinces faced more acute disruptions, where rural communities fled to fortified urban centres for security, leaving agricultural lands vulnerable to neglect and decline (Lavan, 2019b).</w:t>
      </w:r>
    </w:p>
    <w:p w14:paraId="4A2720A4" w14:textId="77777777" w:rsidR="009C48D7" w:rsidRPr="009C48D7" w:rsidRDefault="009C48D7" w:rsidP="001C42D9">
      <w:pPr>
        <w:pStyle w:val="Heading3"/>
      </w:pPr>
      <w:bookmarkStart w:id="112" w:name="_Toc182111092"/>
      <w:r w:rsidRPr="009C48D7">
        <w:t>Environmental Changes and Agricultural Decline</w:t>
      </w:r>
      <w:bookmarkEnd w:id="112"/>
    </w:p>
    <w:p w14:paraId="5A1C0BFE" w14:textId="77777777" w:rsidR="009C48D7" w:rsidRPr="009C48D7" w:rsidRDefault="009C48D7" w:rsidP="009C48D7">
      <w:r w:rsidRPr="009C48D7">
        <w:t xml:space="preserve">Climate shifts during this period—marked by droughts, erratic rainfall, and severe weather events—had a devastating impact on agriculture. Ausonius, in </w:t>
      </w:r>
      <w:r w:rsidRPr="009C48D7">
        <w:rPr>
          <w:i/>
          <w:iCs/>
        </w:rPr>
        <w:t>Mosella</w:t>
      </w:r>
      <w:r w:rsidRPr="009C48D7">
        <w:t xml:space="preserve">, contrasts the fertile landscapes of the Moselle region with the struggles of less fortunate areas. Deforestation, soil erosion, and reduced water retention further destabilised agricultural productivity, as highlighted in Themistius’ </w:t>
      </w:r>
      <w:r w:rsidRPr="009C48D7">
        <w:rPr>
          <w:i/>
          <w:iCs/>
        </w:rPr>
        <w:t>Orations</w:t>
      </w:r>
      <w:r w:rsidRPr="009C48D7">
        <w:t>. These disruptions drove rural inhabitants to cities, exacerbating urban overcrowding and resource competition (Verhagen, 2022).</w:t>
      </w:r>
    </w:p>
    <w:p w14:paraId="0104F601" w14:textId="77777777" w:rsidR="009C48D7" w:rsidRPr="009C48D7" w:rsidRDefault="009C48D7" w:rsidP="009C48D7">
      <w:r w:rsidRPr="009C48D7">
        <w:t>Regions like Gaul and Britain saw widespread abandonment of marginal lands, while areas such as North Africa and the Nile Delta maintained productivity through advanced irrigation and imperial investment. Goodchild (2007) underscores the resilience of these agrarian systems, which continued to sustain both local populations and the grain economy essential for urban centres like Constantinople.</w:t>
      </w:r>
    </w:p>
    <w:p w14:paraId="365E38F7" w14:textId="77777777" w:rsidR="009C48D7" w:rsidRPr="009C48D7" w:rsidRDefault="009C48D7" w:rsidP="001C42D9">
      <w:pPr>
        <w:pStyle w:val="Heading3"/>
      </w:pPr>
      <w:bookmarkStart w:id="113" w:name="_Toc182111093"/>
      <w:r w:rsidRPr="009C48D7">
        <w:t>Epidemics and Public Health</w:t>
      </w:r>
      <w:bookmarkEnd w:id="113"/>
    </w:p>
    <w:p w14:paraId="57BC22D6" w14:textId="77777777" w:rsidR="009C48D7" w:rsidRPr="009C48D7" w:rsidRDefault="009C48D7" w:rsidP="009C48D7">
      <w:r w:rsidRPr="009C48D7">
        <w:t xml:space="preserve">The demographic toll of epidemics such as the Plague of Cyprian (249–262 CE) was severe. Cyprian’s </w:t>
      </w:r>
      <w:r w:rsidRPr="009C48D7">
        <w:rPr>
          <w:i/>
          <w:iCs/>
        </w:rPr>
        <w:t>De Mortalitate</w:t>
      </w:r>
      <w:r w:rsidRPr="009C48D7">
        <w:t xml:space="preserve"> provides a harrowing account of the pandemic’s symptoms and societal impact, framing it as both divine punishment and a test of faith. Harper (2017) estimates that mortality rates in urban centres reached up to 30%, severely depleting the labour force and disrupting economic stability.</w:t>
      </w:r>
    </w:p>
    <w:p w14:paraId="67915F81" w14:textId="77777777" w:rsidR="009C48D7" w:rsidRPr="009C48D7" w:rsidRDefault="009C48D7" w:rsidP="009C48D7">
      <w:r w:rsidRPr="009C48D7">
        <w:lastRenderedPageBreak/>
        <w:t>The fear of contagion and the disruption caused by epidemics further fueled population movements as people sought safety in less affected areas. Overcrowded cities like Carthage and Alexandria became epicentres of disease transmission, worsening public health conditions. Themistius credits Christian charitable organisations with mitigating some of these challenges by providing medical care and food distribution, illustrating an early form of organised public health response.</w:t>
      </w:r>
    </w:p>
    <w:p w14:paraId="4F09CA0E" w14:textId="77777777" w:rsidR="009C48D7" w:rsidRPr="009C48D7" w:rsidRDefault="009C48D7" w:rsidP="001C42D9">
      <w:pPr>
        <w:pStyle w:val="Heading3"/>
      </w:pPr>
      <w:bookmarkStart w:id="114" w:name="_Toc182111094"/>
      <w:r w:rsidRPr="009C48D7">
        <w:t>Socio-Economic Adaptations</w:t>
      </w:r>
      <w:bookmarkEnd w:id="114"/>
    </w:p>
    <w:p w14:paraId="45994E08" w14:textId="77777777" w:rsidR="009C48D7" w:rsidRPr="009C48D7" w:rsidRDefault="009C48D7" w:rsidP="009C48D7">
      <w:r w:rsidRPr="009C48D7">
        <w:t xml:space="preserve">The socio-economic consequences of political and environmental challenges necessitated significant adaptations. Julian, in </w:t>
      </w:r>
      <w:r w:rsidRPr="009C48D7">
        <w:rPr>
          <w:i/>
          <w:iCs/>
        </w:rPr>
        <w:t>Letters</w:t>
      </w:r>
      <w:r w:rsidRPr="009C48D7">
        <w:t>, critiques the inefficiencies in estate management in Gaul, where landowners diversified their income streams through trade and administrative roles. This shift maintained elite wealth but further stratified rural societies, with tenant farmers and labourers bearing increased economic burdens (Scheidel, 2019).</w:t>
      </w:r>
    </w:p>
    <w:p w14:paraId="255365AB" w14:textId="77777777" w:rsidR="009C48D7" w:rsidRPr="009C48D7" w:rsidRDefault="009C48D7" w:rsidP="009C48D7">
      <w:r w:rsidRPr="009C48D7">
        <w:t>Migration to urban centres offered some economic opportunities, particularly in crafts, trade, and bureaucratic employment. However, as Themistius laments, these opportunities were limited and often failed to offset the hardships faced by the majority. The influx of migrants strained urban infrastructure, intensifying socio-economic inequalities and contributing to social tensions.</w:t>
      </w:r>
    </w:p>
    <w:p w14:paraId="0B702605" w14:textId="77777777" w:rsidR="009C48D7" w:rsidRPr="009C48D7" w:rsidRDefault="009C48D7" w:rsidP="001C42D9">
      <w:pPr>
        <w:pStyle w:val="Heading3"/>
      </w:pPr>
      <w:bookmarkStart w:id="115" w:name="_Toc182111095"/>
      <w:r w:rsidRPr="009C48D7">
        <w:t>Regional Variability in Population Movements</w:t>
      </w:r>
      <w:bookmarkEnd w:id="115"/>
    </w:p>
    <w:p w14:paraId="686F3993" w14:textId="77777777" w:rsidR="009C48D7" w:rsidRPr="009C48D7" w:rsidRDefault="009C48D7" w:rsidP="009C48D7">
      <w:r w:rsidRPr="009C48D7">
        <w:t>Population movements during this period were far from uniform, reflecting diverse regional contexts:</w:t>
      </w:r>
    </w:p>
    <w:p w14:paraId="0E00993E" w14:textId="77777777" w:rsidR="009C48D7" w:rsidRPr="009C48D7" w:rsidRDefault="009C48D7" w:rsidP="009C48D7">
      <w:pPr>
        <w:numPr>
          <w:ilvl w:val="0"/>
          <w:numId w:val="43"/>
        </w:numPr>
      </w:pPr>
      <w:r w:rsidRPr="009C48D7">
        <w:rPr>
          <w:b/>
          <w:bCs/>
        </w:rPr>
        <w:t>Western Provinces</w:t>
      </w:r>
      <w:r w:rsidRPr="009C48D7">
        <w:t>: Gaul and Britain experienced significant rural depopulation due to environmental challenges and invasions. Urban centres like Trier became temporary refuges but struggled to sustain growth.</w:t>
      </w:r>
    </w:p>
    <w:p w14:paraId="48039506" w14:textId="77777777" w:rsidR="009C48D7" w:rsidRPr="009C48D7" w:rsidRDefault="009C48D7" w:rsidP="009C48D7">
      <w:pPr>
        <w:numPr>
          <w:ilvl w:val="0"/>
          <w:numId w:val="43"/>
        </w:numPr>
      </w:pPr>
      <w:r w:rsidRPr="009C48D7">
        <w:rPr>
          <w:b/>
          <w:bCs/>
        </w:rPr>
        <w:lastRenderedPageBreak/>
        <w:t>Eastern Provinces</w:t>
      </w:r>
      <w:r w:rsidRPr="009C48D7">
        <w:t xml:space="preserve">: Cities like Antioch and Constantinople thrived due to their strategic importance and sustained imperial investment, as noted by Eusebius in </w:t>
      </w:r>
      <w:r w:rsidRPr="009C48D7">
        <w:rPr>
          <w:i/>
          <w:iCs/>
        </w:rPr>
        <w:t>Church History</w:t>
      </w:r>
      <w:r w:rsidRPr="009C48D7">
        <w:t>.</w:t>
      </w:r>
    </w:p>
    <w:p w14:paraId="4C78D52E" w14:textId="77777777" w:rsidR="009C48D7" w:rsidRPr="009C48D7" w:rsidRDefault="009C48D7" w:rsidP="009C48D7">
      <w:pPr>
        <w:numPr>
          <w:ilvl w:val="0"/>
          <w:numId w:val="43"/>
        </w:numPr>
      </w:pPr>
      <w:r w:rsidRPr="009C48D7">
        <w:rPr>
          <w:b/>
          <w:bCs/>
        </w:rPr>
        <w:t>North Africa and Egypt</w:t>
      </w:r>
      <w:r w:rsidRPr="009C48D7">
        <w:t>: These regions remained agriculturally resilient, with estates near Carthage and the Nile Delta playing a crucial role in the grain supply for urban centres (Huebner &amp; Laes, 2019).</w:t>
      </w:r>
    </w:p>
    <w:p w14:paraId="529722EC" w14:textId="77777777" w:rsidR="009C48D7" w:rsidRPr="009C48D7" w:rsidRDefault="009C48D7" w:rsidP="009C48D7">
      <w:r w:rsidRPr="009C48D7">
        <w:t>This regional variation underscores the Empire’s adaptive capacity, highlighting the complex interplay between crisis and continuity.</w:t>
      </w:r>
    </w:p>
    <w:p w14:paraId="0B239014" w14:textId="77777777" w:rsidR="009C48D7" w:rsidRPr="009C48D7" w:rsidRDefault="009C48D7" w:rsidP="001C42D9">
      <w:pPr>
        <w:pStyle w:val="Heading3"/>
      </w:pPr>
      <w:bookmarkStart w:id="116" w:name="_Toc182111096"/>
      <w:r w:rsidRPr="009C48D7">
        <w:t>Conclusion</w:t>
      </w:r>
      <w:bookmarkEnd w:id="116"/>
    </w:p>
    <w:p w14:paraId="6E5B08A8" w14:textId="77777777" w:rsidR="009C48D7" w:rsidRPr="009C48D7" w:rsidRDefault="009C48D7" w:rsidP="009C48D7">
      <w:r w:rsidRPr="009C48D7">
        <w:t xml:space="preserve">The political instability, environmental changes, and demographic shifts of the third century had profound implications for the Roman Empire’s population dynamics. Migration patterns, driven by a combination of security concerns, economic opportunities, and environmental pressures, reshaped urban and rural landscapes. Examining these dynamics through primary sources such as </w:t>
      </w:r>
      <w:r w:rsidRPr="009C48D7">
        <w:rPr>
          <w:i/>
          <w:iCs/>
        </w:rPr>
        <w:t>Res Gestae</w:t>
      </w:r>
      <w:r w:rsidRPr="009C48D7">
        <w:t xml:space="preserve"> and </w:t>
      </w:r>
      <w:r w:rsidRPr="009C48D7">
        <w:rPr>
          <w:i/>
          <w:iCs/>
        </w:rPr>
        <w:t>Church History</w:t>
      </w:r>
      <w:r w:rsidRPr="009C48D7">
        <w:t>, alongside modern scholarship, reveals the Empire’s resilience and adaptability in the face of systemic challenges. The Roman experience demonstrates the intricate interplay of political, environmental, and socio-economic factors in shaping population movements, offering valuable insights into managing crises and fostering societal resilience.</w:t>
      </w:r>
    </w:p>
    <w:p w14:paraId="49D03D22" w14:textId="54C61D70" w:rsidR="00BC37CD" w:rsidRPr="00C214C5" w:rsidRDefault="00BC37CD" w:rsidP="00EB5271">
      <w:r w:rsidRPr="00C214C5">
        <w:br w:type="page"/>
      </w:r>
    </w:p>
    <w:p w14:paraId="4F643498" w14:textId="68142982" w:rsidR="00BC37CD" w:rsidRDefault="00BC37CD" w:rsidP="00B47F16">
      <w:pPr>
        <w:pStyle w:val="Heading1"/>
        <w:rPr>
          <w:lang w:val="en-GB"/>
        </w:rPr>
      </w:pPr>
      <w:bookmarkStart w:id="117" w:name="_Toc153780260"/>
      <w:bookmarkStart w:id="118" w:name="_Toc182111097"/>
      <w:r w:rsidRPr="00C214C5">
        <w:rPr>
          <w:lang w:val="en-GB"/>
        </w:rPr>
        <w:lastRenderedPageBreak/>
        <w:t>Chapter 5 – Conclusion</w:t>
      </w:r>
      <w:bookmarkEnd w:id="117"/>
      <w:bookmarkEnd w:id="118"/>
    </w:p>
    <w:p w14:paraId="3C609D44" w14:textId="77777777" w:rsidR="00FC6FEE" w:rsidRPr="00FC6FEE" w:rsidRDefault="00FC6FEE" w:rsidP="00FC6FEE">
      <w:r w:rsidRPr="00FC6FEE">
        <w:t xml:space="preserve">Economically, the Roman Empire struggled with stark wealth disparities and income inequality, profoundly shaping settlement patterns and migration trends. Scheidel’s (2019) analysis illustrates how the concentration of wealth among the elite intensified urban migration as rural populations sought economic security in cities. Libanius, in </w:t>
      </w:r>
      <w:r w:rsidRPr="00FC6FEE">
        <w:rPr>
          <w:i/>
          <w:iCs/>
        </w:rPr>
        <w:t>Orations</w:t>
      </w:r>
      <w:r w:rsidRPr="00FC6FEE">
        <w:t>, criticises the socio-economic divide, lamenting the decline of civic benefaction as elites withdrew from public life, exacerbating social tensions and economic instability. Holleran and Claridge (2018) expand on this, showing how poverty and wealth concentration affected urban resource distribution, leading to overcrowded and impoverished urban centres.</w:t>
      </w:r>
    </w:p>
    <w:p w14:paraId="617E168A" w14:textId="77777777" w:rsidR="00FC6FEE" w:rsidRPr="00FC6FEE" w:rsidRDefault="00FC6FEE" w:rsidP="00FC6FEE">
      <w:r w:rsidRPr="00FC6FEE">
        <w:t xml:space="preserve">Political instability and governance challenges further destabilised the Empire, as rapid leadership changes and corruption undermined administrative efficiency and public trust. Ammianus Marcellinus, in </w:t>
      </w:r>
      <w:r w:rsidRPr="00FC6FEE">
        <w:rPr>
          <w:i/>
          <w:iCs/>
        </w:rPr>
        <w:t>Res Gestae</w:t>
      </w:r>
      <w:r w:rsidRPr="00FC6FEE">
        <w:t>, vividly describes the administrative failures and exploitation under corrupt officials, which deepened societal divisions and weakened state capacity. Goodchild’s (2007) research contextualises these political dynamics, showing how governance breakdowns prompted population shifts toward regions offering relative stability. Similarly, Tacoma (2016) highlights the impact of political turmoil on social structures, noting how power struggles and civil wars disrupted traditional hierarchies and settlement patterns.</w:t>
      </w:r>
    </w:p>
    <w:p w14:paraId="3D3387FF" w14:textId="77777777" w:rsidR="00FC6FEE" w:rsidRPr="00FC6FEE" w:rsidRDefault="00FC6FEE" w:rsidP="00FC6FEE">
      <w:r w:rsidRPr="00FC6FEE">
        <w:t xml:space="preserve">Environmental challenges, particularly climate change and resource depletion, played a crucial role in reshaping the Empire’s demographic landscape. Verhagen’s (2022) research underscores the role of declining agricultural productivity in driving food shortages and migration. This is corroborated by Julian in </w:t>
      </w:r>
      <w:r w:rsidRPr="00FC6FEE">
        <w:rPr>
          <w:i/>
          <w:iCs/>
        </w:rPr>
        <w:t>Letters</w:t>
      </w:r>
      <w:r w:rsidRPr="00FC6FEE">
        <w:t>, who reflects on the hardship faced by rural communities as they struggled to maintain their livelihoods amidst erratic weather and failing crops. Such environmental pressures heightened vulnerability to disease, further straining the Empire’s socio-economic and demographic systems.</w:t>
      </w:r>
    </w:p>
    <w:p w14:paraId="639E71B0" w14:textId="6C1AC333" w:rsidR="00A97E3B" w:rsidRDefault="00A97E3B" w:rsidP="00B04831">
      <w:pPr>
        <w:pStyle w:val="Heading2"/>
      </w:pPr>
      <w:bookmarkStart w:id="119" w:name="_Toc153780261"/>
      <w:bookmarkStart w:id="120" w:name="_Toc182111098"/>
      <w:r w:rsidRPr="00C214C5">
        <w:lastRenderedPageBreak/>
        <w:t xml:space="preserve">5.1 </w:t>
      </w:r>
      <w:r w:rsidR="00352740" w:rsidRPr="00C214C5">
        <w:t>Overview of Key Discoveries</w:t>
      </w:r>
      <w:bookmarkEnd w:id="119"/>
      <w:bookmarkEnd w:id="120"/>
    </w:p>
    <w:p w14:paraId="5EC241A1" w14:textId="77777777" w:rsidR="00F97C99" w:rsidRPr="00F97C99" w:rsidRDefault="00F97C99" w:rsidP="00F97C99">
      <w:r w:rsidRPr="00F97C99">
        <w:t>The third and fourth centuries mark a pivotal period in Roman history, shaped by intricate demographic, socio-economic, and political transformations. This analysis reveals that the Empire’s decline was not a uniform process but a complex interplay of factors that produced varied regional outcomes. By synthesising insights from primary sources and modern scholarship, this section underscores the interconnected forces that redefined the Roman world during Late Antiquity.</w:t>
      </w:r>
    </w:p>
    <w:p w14:paraId="5D5C9B60" w14:textId="77777777" w:rsidR="00F97C99" w:rsidRPr="00F97C99" w:rsidRDefault="00F97C99" w:rsidP="001C42D9">
      <w:pPr>
        <w:pStyle w:val="Heading3"/>
      </w:pPr>
      <w:bookmarkStart w:id="121" w:name="_Toc182111099"/>
      <w:r w:rsidRPr="00F97C99">
        <w:t>Demographic Shifts</w:t>
      </w:r>
      <w:bookmarkEnd w:id="121"/>
    </w:p>
    <w:p w14:paraId="44C187AB" w14:textId="77777777" w:rsidR="00F97C99" w:rsidRPr="00F97C99" w:rsidRDefault="00F97C99" w:rsidP="00F97C99">
      <w:r w:rsidRPr="00F97C99">
        <w:t xml:space="preserve">Primary sources provide valuable insights into migration and population changes across the Empire. Ammianus Marcellinus in </w:t>
      </w:r>
      <w:r w:rsidRPr="00F97C99">
        <w:rPr>
          <w:i/>
          <w:iCs/>
        </w:rPr>
        <w:t>Res Gestae</w:t>
      </w:r>
      <w:r w:rsidRPr="00F97C99">
        <w:t xml:space="preserve"> chronicles the movement of diverse groups into frontier regions, highlighting the demographic pressures on urban centres. Similarly, Eusebius in </w:t>
      </w:r>
      <w:r w:rsidRPr="00F97C99">
        <w:rPr>
          <w:i/>
          <w:iCs/>
        </w:rPr>
        <w:t>Church History</w:t>
      </w:r>
      <w:r w:rsidRPr="00F97C99">
        <w:t xml:space="preserve"> underscores the demographic resilience of cities like Antioch, where migration sustained growth despite broader challenges. These accounts challenge simplified narratives of demographic decline, revealing regional adaptations and continuities.</w:t>
      </w:r>
    </w:p>
    <w:p w14:paraId="4F7E8423" w14:textId="77777777" w:rsidR="00F97C99" w:rsidRPr="00F97C99" w:rsidRDefault="00F97C99" w:rsidP="00F97C99">
      <w:r w:rsidRPr="00F97C99">
        <w:t>As Séguy (2019) notes, demographic patterns were uneven, with some areas, like Gaul, experiencing population decline, while Egypt and North Africa demonstrated stability, supported by robust agricultural economies. These findings call for a nuanced demographic analysis that acknowledges both regional decline and resilience.</w:t>
      </w:r>
    </w:p>
    <w:p w14:paraId="43A00476" w14:textId="77777777" w:rsidR="00F97C99" w:rsidRPr="00F97C99" w:rsidRDefault="00F97C99" w:rsidP="001C42D9">
      <w:pPr>
        <w:pStyle w:val="Heading3"/>
      </w:pPr>
      <w:bookmarkStart w:id="122" w:name="_Toc182111100"/>
      <w:r w:rsidRPr="00F97C99">
        <w:t>Socio-Economic Disparities</w:t>
      </w:r>
      <w:bookmarkEnd w:id="122"/>
    </w:p>
    <w:p w14:paraId="6CD80339" w14:textId="77777777" w:rsidR="00F97C99" w:rsidRPr="00F97C99" w:rsidRDefault="00F97C99" w:rsidP="00F97C99">
      <w:r w:rsidRPr="00F97C99">
        <w:t xml:space="preserve">Wealth concentration among the elite had profound implications for settlement and migration patterns. Scheidel (2019) and Holleran and Claridge (2018) illustrate how income inequality drove rural populations toward urban centres, where they sought economic stability. The writings of Libanius in </w:t>
      </w:r>
      <w:r w:rsidRPr="00F97C99">
        <w:rPr>
          <w:i/>
          <w:iCs/>
        </w:rPr>
        <w:t>Orations</w:t>
      </w:r>
      <w:r w:rsidRPr="00F97C99">
        <w:t xml:space="preserve"> offer contemporary critiques of these disparities, emphasising their role in exacerbating social tensions.</w:t>
      </w:r>
    </w:p>
    <w:p w14:paraId="3600922D" w14:textId="77777777" w:rsidR="00F97C99" w:rsidRPr="00F97C99" w:rsidRDefault="00F97C99" w:rsidP="00F97C99">
      <w:r w:rsidRPr="00F97C99">
        <w:lastRenderedPageBreak/>
        <w:t xml:space="preserve">This concentration of wealth displaced rural populations, intensifying migration to cities like Constantinople, as Julian’s </w:t>
      </w:r>
      <w:r w:rsidRPr="00F97C99">
        <w:rPr>
          <w:i/>
          <w:iCs/>
        </w:rPr>
        <w:t>Letters</w:t>
      </w:r>
      <w:r w:rsidRPr="00F97C99">
        <w:t xml:space="preserve"> describe. These migrations not only reshaped urban demographics but also strained resources, highlighting the economic disparities that defined the Late Roman Empire.</w:t>
      </w:r>
    </w:p>
    <w:p w14:paraId="4EF4948D" w14:textId="77777777" w:rsidR="00F97C99" w:rsidRPr="00F97C99" w:rsidRDefault="00F97C99" w:rsidP="001C42D9">
      <w:pPr>
        <w:pStyle w:val="Heading3"/>
      </w:pPr>
      <w:bookmarkStart w:id="123" w:name="_Toc182111101"/>
      <w:r w:rsidRPr="00F97C99">
        <w:t>Labour Practices and Social Class Dynamics</w:t>
      </w:r>
      <w:bookmarkEnd w:id="123"/>
    </w:p>
    <w:p w14:paraId="17F3B4A6" w14:textId="77777777" w:rsidR="00F97C99" w:rsidRPr="00F97C99" w:rsidRDefault="00F97C99" w:rsidP="00F97C99">
      <w:r w:rsidRPr="00F97C99">
        <w:t>Labour practices, particularly the transition to tenant farming, reflect significant socio-economic adaptations during Late Antiquity. The shift from enslaved labour to tenant farming, noted by Huebner and Laes (2019), allowed landowners to maintain agricultural productivity amidst broader socio-political changes.</w:t>
      </w:r>
    </w:p>
    <w:p w14:paraId="7B660C75" w14:textId="77777777" w:rsidR="00F97C99" w:rsidRPr="00F97C99" w:rsidRDefault="00F97C99" w:rsidP="00F97C99">
      <w:r w:rsidRPr="00F97C99">
        <w:t xml:space="preserve">Ausonius in </w:t>
      </w:r>
      <w:r w:rsidRPr="00F97C99">
        <w:rPr>
          <w:i/>
          <w:iCs/>
        </w:rPr>
        <w:t>Mosella</w:t>
      </w:r>
      <w:r w:rsidRPr="00F97C99">
        <w:t xml:space="preserve"> praises the contributions of skilled labourers to urban prosperity, illustrating their central role in sustaining economic life. Kelly (2020) further emphasises how employment opportunities influenced migration, with rural workers moving to cities in search of stability and livelihood.</w:t>
      </w:r>
    </w:p>
    <w:p w14:paraId="14F8E1A3" w14:textId="77777777" w:rsidR="00F97C99" w:rsidRPr="00F97C99" w:rsidRDefault="00F97C99" w:rsidP="001C42D9">
      <w:pPr>
        <w:pStyle w:val="Heading3"/>
      </w:pPr>
      <w:bookmarkStart w:id="124" w:name="_Toc182111102"/>
      <w:r w:rsidRPr="00F97C99">
        <w:t>Political Instability and Governance Challenges</w:t>
      </w:r>
      <w:bookmarkEnd w:id="124"/>
    </w:p>
    <w:p w14:paraId="2AF4EAE1" w14:textId="77777777" w:rsidR="00F97C99" w:rsidRPr="00F97C99" w:rsidRDefault="00F97C99" w:rsidP="00F97C99">
      <w:r w:rsidRPr="00F97C99">
        <w:t>Political instability, marked by rapid leadership changes and administrative failures, had far-reaching demographic consequences. Goodchild (2007) highlights how governance breakdowns led to rural depopulation and the fortification of urban centres.</w:t>
      </w:r>
    </w:p>
    <w:p w14:paraId="10E38A37" w14:textId="77777777" w:rsidR="00F97C99" w:rsidRPr="00F97C99" w:rsidRDefault="00F97C99" w:rsidP="00F97C99">
      <w:r w:rsidRPr="00F97C99">
        <w:t xml:space="preserve">Ammianus Marcellinus’ </w:t>
      </w:r>
      <w:r w:rsidRPr="00F97C99">
        <w:rPr>
          <w:i/>
          <w:iCs/>
        </w:rPr>
        <w:t>Res Gestae</w:t>
      </w:r>
      <w:r w:rsidRPr="00F97C99">
        <w:t xml:space="preserve"> vividly documents the Empire’s fragmented governance, while Themistius in </w:t>
      </w:r>
      <w:r w:rsidRPr="00F97C99">
        <w:rPr>
          <w:i/>
          <w:iCs/>
        </w:rPr>
        <w:t>Orations</w:t>
      </w:r>
      <w:r w:rsidRPr="00F97C99">
        <w:t xml:space="preserve"> underscores the centralising efforts in Constantinople, which became a beacon of stability. This political fragmentation drove populations to regions with stronger governance, reshaping the Empire’s demographic landscape.</w:t>
      </w:r>
    </w:p>
    <w:p w14:paraId="043A169B" w14:textId="77777777" w:rsidR="00F97C99" w:rsidRPr="00F97C99" w:rsidRDefault="00F97C99" w:rsidP="001C42D9">
      <w:pPr>
        <w:pStyle w:val="Heading3"/>
      </w:pPr>
      <w:bookmarkStart w:id="125" w:name="_Toc182111103"/>
      <w:r w:rsidRPr="00F97C99">
        <w:lastRenderedPageBreak/>
        <w:t>Environmental Challenges and Agricultural Decline</w:t>
      </w:r>
      <w:bookmarkEnd w:id="125"/>
    </w:p>
    <w:p w14:paraId="4381FBBF" w14:textId="77777777" w:rsidR="00F97C99" w:rsidRPr="00F97C99" w:rsidRDefault="00F97C99" w:rsidP="00F97C99">
      <w:r w:rsidRPr="00F97C99">
        <w:t>Environmental challenges, including climate fluctuations and resource depletion, compounded the Empire’s demographic and economic difficulties. Verhagen’s (2022) models demonstrate how these factors undermined agricultural output, leading to food shortages and rural migration.</w:t>
      </w:r>
    </w:p>
    <w:p w14:paraId="6CA39424" w14:textId="77777777" w:rsidR="00F97C99" w:rsidRPr="00F97C99" w:rsidRDefault="00F97C99" w:rsidP="00F97C99">
      <w:r w:rsidRPr="00F97C99">
        <w:t xml:space="preserve">Julian’s </w:t>
      </w:r>
      <w:r w:rsidRPr="00F97C99">
        <w:rPr>
          <w:i/>
          <w:iCs/>
        </w:rPr>
        <w:t>Letters</w:t>
      </w:r>
      <w:r w:rsidRPr="00F97C99">
        <w:t xml:space="preserve"> detail the hardships faced by rural communities, highlighting their struggle to maintain agricultural productivity under adverse conditions. Themistius’ accounts further stress the critical role of imperial intervention in stabilising food supplies, particularly in the Eastern provinces.</w:t>
      </w:r>
    </w:p>
    <w:p w14:paraId="5A772D66" w14:textId="77777777" w:rsidR="00F97C99" w:rsidRPr="00F97C99" w:rsidRDefault="00F97C99" w:rsidP="001C42D9">
      <w:pPr>
        <w:pStyle w:val="Heading3"/>
      </w:pPr>
      <w:bookmarkStart w:id="126" w:name="_Toc182111104"/>
      <w:r w:rsidRPr="00F97C99">
        <w:t>Synthesis of Key Factors</w:t>
      </w:r>
      <w:bookmarkEnd w:id="126"/>
    </w:p>
    <w:p w14:paraId="291599DE" w14:textId="77777777" w:rsidR="00F97C99" w:rsidRPr="00F97C99" w:rsidRDefault="00F97C99" w:rsidP="00F97C99">
      <w:r w:rsidRPr="00F97C99">
        <w:t>The Roman Empire’s decline was characterised by regional variability and adaptive responses to a complex set of challenges. The interplay of demographic shifts, socio-economic disparities, political instability, and environmental pressures reshaped the Empire’s structure, demonstrating its capacity for both resilience and transformation.</w:t>
      </w:r>
    </w:p>
    <w:p w14:paraId="3CBC9E22" w14:textId="77777777" w:rsidR="00F97C99" w:rsidRPr="00F97C99" w:rsidRDefault="00F97C99" w:rsidP="00F97C99">
      <w:r w:rsidRPr="00F97C99">
        <w:t>By examining Rome’s experience through primary sources and modern scholarship, we gain valuable insights into the dynamics of systemic change. The Roman case underscores the importance of understanding historical transitions as multifactorial processes that reveal both the vulnerabilities and adaptive capacities of complex societies.</w:t>
      </w:r>
    </w:p>
    <w:p w14:paraId="507C6546" w14:textId="5E4A5F6E" w:rsidR="00A97E3B" w:rsidRPr="00C214C5" w:rsidRDefault="00A97E3B" w:rsidP="00B04831">
      <w:pPr>
        <w:pStyle w:val="Heading2"/>
      </w:pPr>
      <w:bookmarkStart w:id="127" w:name="_Toc153780262"/>
      <w:bookmarkStart w:id="128" w:name="_Toc182111105"/>
      <w:r w:rsidRPr="00C214C5">
        <w:t>5.2 Contributions to the Field</w:t>
      </w:r>
      <w:bookmarkEnd w:id="127"/>
      <w:bookmarkEnd w:id="128"/>
    </w:p>
    <w:p w14:paraId="652D512B" w14:textId="77777777" w:rsidR="00F371AF" w:rsidRPr="00F371AF" w:rsidRDefault="00F371AF" w:rsidP="00F371AF">
      <w:r w:rsidRPr="00F371AF">
        <w:t xml:space="preserve">The investigation into the decline of the Roman Empire during the 3rd and 4th centuries integrates demographic, socio-economic, political, and environmental analyses, making substantial contributions to historical studies. By synthesizing primary sources such as </w:t>
      </w:r>
      <w:r w:rsidRPr="00F371AF">
        <w:rPr>
          <w:i/>
          <w:iCs/>
        </w:rPr>
        <w:t>Res Gestae</w:t>
      </w:r>
      <w:r w:rsidRPr="00F371AF">
        <w:t xml:space="preserve"> by Ammianus Marcellinus, </w:t>
      </w:r>
      <w:r w:rsidRPr="00F371AF">
        <w:rPr>
          <w:i/>
          <w:iCs/>
        </w:rPr>
        <w:t>Letters</w:t>
      </w:r>
      <w:r w:rsidRPr="00F371AF">
        <w:t xml:space="preserve"> by Julian, and </w:t>
      </w:r>
      <w:r w:rsidRPr="00F371AF">
        <w:rPr>
          <w:i/>
          <w:iCs/>
        </w:rPr>
        <w:t>Orations</w:t>
      </w:r>
      <w:r w:rsidRPr="00F371AF">
        <w:t xml:space="preserve"> by Libanius with modern </w:t>
      </w:r>
      <w:r w:rsidRPr="00F371AF">
        <w:lastRenderedPageBreak/>
        <w:t>scholarship, this research offers a nuanced understanding of the Empire’s transformative period.</w:t>
      </w:r>
    </w:p>
    <w:p w14:paraId="168FDC47" w14:textId="77777777" w:rsidR="00F371AF" w:rsidRPr="00F371AF" w:rsidRDefault="00F371AF" w:rsidP="00F371AF">
      <w:pPr>
        <w:rPr>
          <w:b/>
          <w:bCs/>
        </w:rPr>
      </w:pPr>
      <w:r w:rsidRPr="00F371AF">
        <w:rPr>
          <w:b/>
          <w:bCs/>
        </w:rPr>
        <w:t>Demographic Changes and Population Dynamics</w:t>
      </w:r>
    </w:p>
    <w:p w14:paraId="28025AB9" w14:textId="77777777" w:rsidR="00F371AF" w:rsidRPr="00F371AF" w:rsidRDefault="00F371AF" w:rsidP="00F371AF">
      <w:r w:rsidRPr="00F371AF">
        <w:t xml:space="preserve">This research challenges the traditional narrative of uniform demographic decline, demonstrating significant regional variation. While many scholars have pointed to ageing populations and declining birth rates, this study highlights areas of demographic resilience, such as Egypt and North Africa, where migration and robust agricultural economies sustained population levels. Séguy’s (2019) demographic modelling is complemented by Ausonius’s </w:t>
      </w:r>
      <w:r w:rsidRPr="00F371AF">
        <w:rPr>
          <w:i/>
          <w:iCs/>
        </w:rPr>
        <w:t>Mosella</w:t>
      </w:r>
      <w:r w:rsidRPr="00F371AF">
        <w:t>, which captures the vitality of specific rural landscapes. This research contributes to the field by providing a more nuanced understanding of regional demographic variations, emphasizing that decline was not a universal experience across the Empire.</w:t>
      </w:r>
    </w:p>
    <w:p w14:paraId="7D5F3741" w14:textId="77777777" w:rsidR="00F371AF" w:rsidRPr="00F371AF" w:rsidRDefault="00F371AF" w:rsidP="00F371AF">
      <w:r w:rsidRPr="00F371AF">
        <w:t>Primary sources reveal the complex dynamics of migration, with Ammianus Marcellinus detailing the influx of Germanic tribes and their integration into Roman society. These migratory flows diversified urban populations and reshaped the socio-political fabric, illustrating the Empire’s capacity for adaptation amidst demographic pressures.</w:t>
      </w:r>
    </w:p>
    <w:p w14:paraId="48D7C6D4" w14:textId="77777777" w:rsidR="00F371AF" w:rsidRPr="00F371AF" w:rsidRDefault="00F371AF" w:rsidP="00F371AF">
      <w:pPr>
        <w:rPr>
          <w:b/>
          <w:bCs/>
        </w:rPr>
      </w:pPr>
      <w:r w:rsidRPr="00F371AF">
        <w:rPr>
          <w:b/>
          <w:bCs/>
        </w:rPr>
        <w:t>Socio-Economic Conditions and Wealth Disparities</w:t>
      </w:r>
    </w:p>
    <w:p w14:paraId="18F38391" w14:textId="77777777" w:rsidR="00F371AF" w:rsidRPr="00F371AF" w:rsidRDefault="00F371AF" w:rsidP="00F371AF">
      <w:r w:rsidRPr="00F371AF">
        <w:t xml:space="preserve">The study underscores the critical role of wealth concentration and income inequality in shaping population movements and settlement patterns. Scheidel’s (2019) analysis of economic disparities is brought to life through Libanius’s </w:t>
      </w:r>
      <w:r w:rsidRPr="00F371AF">
        <w:rPr>
          <w:i/>
          <w:iCs/>
        </w:rPr>
        <w:t>Orations</w:t>
      </w:r>
      <w:r w:rsidRPr="00F371AF">
        <w:t xml:space="preserve">, which lament the withdrawal of elite patronage from civic responsibilities. Julian’s </w:t>
      </w:r>
      <w:r w:rsidRPr="00F371AF">
        <w:rPr>
          <w:i/>
          <w:iCs/>
        </w:rPr>
        <w:t>Letters</w:t>
      </w:r>
      <w:r w:rsidRPr="00F371AF">
        <w:t xml:space="preserve"> further illustrate the challenges faced by rural communities, such as heavy taxation and declining agricultural yields, which exacerbated socio-economic inequalities and spurred migration towards urban centres.</w:t>
      </w:r>
    </w:p>
    <w:p w14:paraId="510B0F44" w14:textId="77777777" w:rsidR="00F371AF" w:rsidRPr="00F371AF" w:rsidRDefault="00F371AF" w:rsidP="00F371AF">
      <w:r w:rsidRPr="00F371AF">
        <w:lastRenderedPageBreak/>
        <w:t>The transition from enslaved labour to tenant farming during Late Antiquity is another key focus. Libanius and Themistius document how these socio-economic shifts preserved elite dominance while intensifying rural stratification. This adaptation highlights the enduring importance of land ownership and patronage in maintaining the socio-economic framework despite systemic challenges.</w:t>
      </w:r>
    </w:p>
    <w:p w14:paraId="30558962" w14:textId="77777777" w:rsidR="00F371AF" w:rsidRPr="00F371AF" w:rsidRDefault="00F371AF" w:rsidP="00F371AF">
      <w:pPr>
        <w:rPr>
          <w:b/>
          <w:bCs/>
        </w:rPr>
      </w:pPr>
      <w:r w:rsidRPr="00F371AF">
        <w:rPr>
          <w:b/>
          <w:bCs/>
        </w:rPr>
        <w:t>Political Instability and Governance Challenges</w:t>
      </w:r>
    </w:p>
    <w:p w14:paraId="5C843ABC" w14:textId="77777777" w:rsidR="00F371AF" w:rsidRPr="00F371AF" w:rsidRDefault="00F371AF" w:rsidP="00F371AF">
      <w:r w:rsidRPr="00F371AF">
        <w:t xml:space="preserve">Political instability is shown to be a significant driver of the Empire’s decline. Goodchild’s (2007) analysis of administrative breakdowns aligns with Ammianus Marcellinus’s vivid accounts of corruption and inefficiency in </w:t>
      </w:r>
      <w:r w:rsidRPr="00F371AF">
        <w:rPr>
          <w:i/>
          <w:iCs/>
        </w:rPr>
        <w:t>Res Gestae</w:t>
      </w:r>
      <w:r w:rsidRPr="00F371AF">
        <w:t>. These issues weakened the state’s capacity to respond to crises, undermining public trust and fostering a climate of insecurity.</w:t>
      </w:r>
    </w:p>
    <w:p w14:paraId="57CE18BC" w14:textId="77777777" w:rsidR="00F371AF" w:rsidRPr="00F371AF" w:rsidRDefault="00F371AF" w:rsidP="00F371AF">
      <w:r w:rsidRPr="00F371AF">
        <w:t xml:space="preserve">Tacoma’s (2016) exploration of leadership volatility is further enriched by Themistius’s </w:t>
      </w:r>
      <w:r w:rsidRPr="00F371AF">
        <w:rPr>
          <w:i/>
          <w:iCs/>
        </w:rPr>
        <w:t>Orations</w:t>
      </w:r>
      <w:r w:rsidRPr="00F371AF">
        <w:t>, which reflect on the difficulties of maintaining imperial authority. This instability disrupted economic and social cohesion, driving populations to seek security in regions with more stable governance. The research thus emphasizes that political fragmentation played a pivotal role in accelerating the Empire’s decline by weakening its administrative foundations.</w:t>
      </w:r>
    </w:p>
    <w:p w14:paraId="1897C75B" w14:textId="77777777" w:rsidR="00F371AF" w:rsidRPr="00F371AF" w:rsidRDefault="00F371AF" w:rsidP="00F371AF">
      <w:pPr>
        <w:rPr>
          <w:b/>
          <w:bCs/>
        </w:rPr>
      </w:pPr>
      <w:r w:rsidRPr="00F371AF">
        <w:rPr>
          <w:b/>
          <w:bCs/>
        </w:rPr>
        <w:t>Environmental Influences and Resource Management</w:t>
      </w:r>
    </w:p>
    <w:p w14:paraId="11C7A67C" w14:textId="77777777" w:rsidR="00F371AF" w:rsidRPr="00F371AF" w:rsidRDefault="00F371AF" w:rsidP="00F371AF">
      <w:r w:rsidRPr="00F371AF">
        <w:t xml:space="preserve">The study’s analysis of environmental challenges provides a crucial dimension to understanding the Empire’s decline. Verhagen’s (2022) computational models of population and resource dynamics are supported by Julian’s </w:t>
      </w:r>
      <w:r w:rsidRPr="00F371AF">
        <w:rPr>
          <w:i/>
          <w:iCs/>
        </w:rPr>
        <w:t>Letters</w:t>
      </w:r>
      <w:r w:rsidRPr="00F371AF">
        <w:t>, which detail the struggles of rural estates amidst climate variability. Severe droughts and irregular rainfall patterns disrupted agricultural productivity, while resource depletion strained the Empire’s infrastructure.</w:t>
      </w:r>
    </w:p>
    <w:p w14:paraId="334A8DE8" w14:textId="77777777" w:rsidR="00F371AF" w:rsidRPr="00F371AF" w:rsidRDefault="00F371AF" w:rsidP="00F371AF">
      <w:r w:rsidRPr="00F371AF">
        <w:t xml:space="preserve">Themistius’s </w:t>
      </w:r>
      <w:r w:rsidRPr="00F371AF">
        <w:rPr>
          <w:i/>
          <w:iCs/>
        </w:rPr>
        <w:t>Orations</w:t>
      </w:r>
      <w:r w:rsidRPr="00F371AF">
        <w:t xml:space="preserve"> offer insights into the Empire’s reliance on grain imports, highlighting the vulnerability of urban centres like Constantinople to disruptions in grain-</w:t>
      </w:r>
      <w:r w:rsidRPr="00F371AF">
        <w:lastRenderedPageBreak/>
        <w:t>producing regions. This dependency underscored the interconnectedness of environmental and economic stability, demonstrating how environmental stressors could magnify existing socio-political challenges.</w:t>
      </w:r>
    </w:p>
    <w:p w14:paraId="4E32D339" w14:textId="77777777" w:rsidR="00F371AF" w:rsidRPr="00F371AF" w:rsidRDefault="00F371AF" w:rsidP="00F371AF">
      <w:pPr>
        <w:rPr>
          <w:b/>
          <w:bCs/>
        </w:rPr>
      </w:pPr>
      <w:r w:rsidRPr="00F371AF">
        <w:rPr>
          <w:b/>
          <w:bCs/>
        </w:rPr>
        <w:t>Conclusion</w:t>
      </w:r>
    </w:p>
    <w:p w14:paraId="0EDE18A9" w14:textId="77777777" w:rsidR="00F371AF" w:rsidRPr="00F371AF" w:rsidRDefault="00F371AF" w:rsidP="00F371AF">
      <w:r w:rsidRPr="00F371AF">
        <w:t>By integrating primary sources and modern scholarship, this research provides a comprehensive analysis of the complex interplay between demographic, socio-economic, political, and environmental factors during the Roman Empire’s decline. The study’s findings challenge simplistic narratives of collapse, instead presenting a nuanced view of regional variability and adaptive strategies. By demonstrating the interconnectedness of these factors, this research offers a valuable framework for understanding historical transformations and underscores the relevance of Rome’s experience for contemporary discussions on resilience and sustainability.</w:t>
      </w:r>
    </w:p>
    <w:p w14:paraId="4F45FD54" w14:textId="356FD45E" w:rsidR="00A97E3B" w:rsidRPr="00C214C5" w:rsidRDefault="00A97E3B" w:rsidP="00B04831">
      <w:pPr>
        <w:pStyle w:val="Heading2"/>
      </w:pPr>
      <w:bookmarkStart w:id="129" w:name="_Toc153780263"/>
      <w:bookmarkStart w:id="130" w:name="_Toc182111106"/>
      <w:r w:rsidRPr="00C214C5">
        <w:t xml:space="preserve">5.3 </w:t>
      </w:r>
      <w:r w:rsidR="006842A5" w:rsidRPr="00C214C5">
        <w:t>Insights into the Roman Empire</w:t>
      </w:r>
      <w:r w:rsidR="00267EF7" w:rsidRPr="00C214C5">
        <w:t>’</w:t>
      </w:r>
      <w:r w:rsidR="006842A5" w:rsidRPr="00C214C5">
        <w:t>s</w:t>
      </w:r>
      <w:bookmarkEnd w:id="129"/>
      <w:r w:rsidR="007F5ADA">
        <w:t xml:space="preserve"> Transformation</w:t>
      </w:r>
      <w:bookmarkEnd w:id="130"/>
    </w:p>
    <w:p w14:paraId="2304B3AA" w14:textId="77777777" w:rsidR="0048119A" w:rsidRPr="0048119A" w:rsidRDefault="0048119A" w:rsidP="0048119A">
      <w:r w:rsidRPr="0048119A">
        <w:t>The late Roman period, traditionally framed as an era of decline, requires a reassessment that focuses on its transformative aspects. Political instability, environmental pressures, and demographic changes reveal a society not in terminal collapse but in a state of significant adaptation. This reinterpretation underscores the importance of population redistribution, evolving identities, and resilience in the face of systemic challenges.</w:t>
      </w:r>
    </w:p>
    <w:p w14:paraId="066D5488" w14:textId="77777777" w:rsidR="0048119A" w:rsidRPr="0048119A" w:rsidRDefault="0048119A" w:rsidP="0048119A">
      <w:pPr>
        <w:rPr>
          <w:b/>
          <w:bCs/>
        </w:rPr>
      </w:pPr>
      <w:r w:rsidRPr="0048119A">
        <w:rPr>
          <w:b/>
          <w:bCs/>
        </w:rPr>
        <w:t>Political Shifts and Adaptation</w:t>
      </w:r>
    </w:p>
    <w:p w14:paraId="2B509BBB" w14:textId="77777777" w:rsidR="0048119A" w:rsidRPr="0048119A" w:rsidRDefault="0048119A" w:rsidP="0048119A">
      <w:r w:rsidRPr="0048119A">
        <w:t xml:space="preserve">Frequent leadership changes and power struggles strained central authority, yet this political decentralisation fostered regional autonomy and allowed areas like the Eastern Empire to thrive. Themistius, in his </w:t>
      </w:r>
      <w:r w:rsidRPr="0048119A">
        <w:rPr>
          <w:i/>
          <w:iCs/>
        </w:rPr>
        <w:t>Orations</w:t>
      </w:r>
      <w:r w:rsidRPr="0048119A">
        <w:t xml:space="preserve">, praises the administrative resilience of Constantinople, highlighting how the city flourished despite broader imperial instability. Similarly, Ammianus </w:t>
      </w:r>
      <w:r w:rsidRPr="0048119A">
        <w:lastRenderedPageBreak/>
        <w:t xml:space="preserve">Marcellinus in </w:t>
      </w:r>
      <w:r w:rsidRPr="0048119A">
        <w:rPr>
          <w:i/>
          <w:iCs/>
        </w:rPr>
        <w:t>Res Gestae</w:t>
      </w:r>
      <w:r w:rsidRPr="0048119A">
        <w:t xml:space="preserve"> describes the fortification and economic vibrancy of urban centres such as Antioch, which became crucial refuges during periods of unrest.</w:t>
      </w:r>
    </w:p>
    <w:p w14:paraId="4E7322DC" w14:textId="77777777" w:rsidR="0048119A" w:rsidRPr="0048119A" w:rsidRDefault="0048119A" w:rsidP="0048119A">
      <w:r w:rsidRPr="0048119A">
        <w:t xml:space="preserve">The continuation of public works, elite patronage, and the solidus coinage system further demonstrate the Empire’s economic vitality. The construction of elaborate rural villas, noted in </w:t>
      </w:r>
      <w:r w:rsidRPr="0048119A">
        <w:rPr>
          <w:i/>
          <w:iCs/>
        </w:rPr>
        <w:t>Letters</w:t>
      </w:r>
      <w:r w:rsidRPr="0048119A">
        <w:t xml:space="preserve"> by Julian, exemplifies the sustained wealth and cultural activity among the elite, even as parts of the Western Empire faced economic strain.</w:t>
      </w:r>
    </w:p>
    <w:p w14:paraId="7F19D55C" w14:textId="63ACA02B" w:rsidR="002A11D2" w:rsidRDefault="002A11D2" w:rsidP="002A11D2">
      <w:pPr>
        <w:ind w:firstLine="0"/>
      </w:pPr>
      <w:r>
        <w:rPr>
          <w:noProof/>
        </w:rPr>
        <w:drawing>
          <wp:inline distT="0" distB="0" distL="0" distR="0" wp14:anchorId="70896EFB" wp14:editId="45C5B20D">
            <wp:extent cx="5731510" cy="3415665"/>
            <wp:effectExtent l="0" t="0" r="2540" b="0"/>
            <wp:docPr id="890978435" name="Picture 8" descr="Output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9" descr="Output image"/>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3415665"/>
                    </a:xfrm>
                    <a:prstGeom prst="rect">
                      <a:avLst/>
                    </a:prstGeom>
                    <a:noFill/>
                    <a:ln>
                      <a:noFill/>
                    </a:ln>
                  </pic:spPr>
                </pic:pic>
              </a:graphicData>
            </a:graphic>
          </wp:inline>
        </w:drawing>
      </w:r>
    </w:p>
    <w:p w14:paraId="1FC5D5D9" w14:textId="2E281E47" w:rsidR="00611156" w:rsidRDefault="00611156" w:rsidP="00611156">
      <w:pPr>
        <w:pStyle w:val="Caption"/>
      </w:pPr>
      <w:bookmarkStart w:id="131" w:name="_Ref181864399"/>
      <w:bookmarkStart w:id="132" w:name="_Ref181864394"/>
      <w:r>
        <w:t xml:space="preserve">Figure </w:t>
      </w:r>
      <w:r>
        <w:fldChar w:fldCharType="begin"/>
      </w:r>
      <w:r>
        <w:instrText xml:space="preserve"> SEQ Figure \* ARABIC </w:instrText>
      </w:r>
      <w:r>
        <w:fldChar w:fldCharType="separate"/>
      </w:r>
      <w:r w:rsidR="00B97879">
        <w:rPr>
          <w:noProof/>
        </w:rPr>
        <w:t>6</w:t>
      </w:r>
      <w:r>
        <w:fldChar w:fldCharType="end"/>
      </w:r>
      <w:bookmarkEnd w:id="131"/>
      <w:r>
        <w:t>: rural and urban population migrations</w:t>
      </w:r>
      <w:bookmarkEnd w:id="132"/>
    </w:p>
    <w:p w14:paraId="149D84CA" w14:textId="77777777" w:rsidR="00896447" w:rsidRPr="00896447" w:rsidRDefault="00D332FE" w:rsidP="00896447">
      <w:pPr>
        <w:ind w:firstLine="0"/>
        <w:rPr>
          <w:b/>
          <w:bCs/>
        </w:rPr>
      </w:pPr>
      <w:r>
        <w:tab/>
      </w:r>
      <w:r w:rsidR="00896447" w:rsidRPr="00896447">
        <w:rPr>
          <w:b/>
          <w:bCs/>
        </w:rPr>
        <w:t>Environmental Challenges and Resource Management</w:t>
      </w:r>
    </w:p>
    <w:p w14:paraId="79FBFDF0" w14:textId="77777777" w:rsidR="00896447" w:rsidRPr="00896447" w:rsidRDefault="00896447" w:rsidP="00896447">
      <w:pPr>
        <w:ind w:firstLine="0"/>
      </w:pPr>
      <w:r w:rsidRPr="00896447">
        <w:t xml:space="preserve">The narrative of universal environmental collapse fails to account for regional disparities. While marginal lands in Gaul and Britain faced abandonment due to soil exhaustion, other regions, such as North Africa and Egypt, continued to support thriving agricultural economies. Libanius, in his </w:t>
      </w:r>
      <w:r w:rsidRPr="00896447">
        <w:rPr>
          <w:i/>
          <w:iCs/>
        </w:rPr>
        <w:t>Orations</w:t>
      </w:r>
      <w:r w:rsidRPr="00896447">
        <w:t xml:space="preserve">, discusses the resilience of rural estates, supported by advanced irrigation systems, which ensured grain supplies for cities like Constantinople. These examples </w:t>
      </w:r>
      <w:r w:rsidRPr="00896447">
        <w:lastRenderedPageBreak/>
        <w:t>illustrate how technological innovations mitigated the impact of climatic variability, enabling certain regions to maintain productivity.</w:t>
      </w:r>
    </w:p>
    <w:p w14:paraId="04667430" w14:textId="5CC82937" w:rsidR="00B97879" w:rsidRDefault="00B97879" w:rsidP="00D332FE">
      <w:pPr>
        <w:ind w:firstLine="0"/>
      </w:pPr>
      <w:commentRangeStart w:id="133"/>
      <w:r>
        <w:rPr>
          <w:noProof/>
        </w:rPr>
        <w:drawing>
          <wp:inline distT="0" distB="0" distL="0" distR="0" wp14:anchorId="05E203CB" wp14:editId="3B1F89B8">
            <wp:extent cx="5731510" cy="4342765"/>
            <wp:effectExtent l="0" t="0" r="2540" b="635"/>
            <wp:docPr id="1527058758" name="Picture 9" descr="Output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1" descr="Output image"/>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4342765"/>
                    </a:xfrm>
                    <a:prstGeom prst="rect">
                      <a:avLst/>
                    </a:prstGeom>
                    <a:noFill/>
                    <a:ln>
                      <a:noFill/>
                    </a:ln>
                  </pic:spPr>
                </pic:pic>
              </a:graphicData>
            </a:graphic>
          </wp:inline>
        </w:drawing>
      </w:r>
      <w:commentRangeEnd w:id="133"/>
      <w:r w:rsidR="00A0092F">
        <w:rPr>
          <w:rStyle w:val="CommentReference"/>
        </w:rPr>
        <w:commentReference w:id="133"/>
      </w:r>
    </w:p>
    <w:p w14:paraId="62336A5A" w14:textId="523E5C82" w:rsidR="00B97879" w:rsidRPr="00D332FE" w:rsidRDefault="00B97879" w:rsidP="00B97879">
      <w:pPr>
        <w:pStyle w:val="Caption"/>
        <w:jc w:val="center"/>
      </w:pPr>
      <w:r>
        <w:t xml:space="preserve">Figure </w:t>
      </w:r>
      <w:r>
        <w:fldChar w:fldCharType="begin"/>
      </w:r>
      <w:r>
        <w:instrText xml:space="preserve"> SEQ Figure \* ARABIC </w:instrText>
      </w:r>
      <w:r>
        <w:fldChar w:fldCharType="separate"/>
      </w:r>
      <w:r>
        <w:rPr>
          <w:noProof/>
        </w:rPr>
        <w:t>7</w:t>
      </w:r>
      <w:r>
        <w:fldChar w:fldCharType="end"/>
      </w:r>
      <w:r>
        <w:t>: model output to be updated</w:t>
      </w:r>
    </w:p>
    <w:p w14:paraId="2E42301A" w14:textId="77777777" w:rsidR="00896447" w:rsidRPr="00896447" w:rsidRDefault="00D332FE" w:rsidP="00896447">
      <w:pPr>
        <w:ind w:firstLine="0"/>
      </w:pPr>
      <w:r>
        <w:tab/>
      </w:r>
      <w:r w:rsidR="00896447" w:rsidRPr="00896447">
        <w:t xml:space="preserve">Julian’s </w:t>
      </w:r>
      <w:r w:rsidR="00896447" w:rsidRPr="00896447">
        <w:rPr>
          <w:i/>
          <w:iCs/>
        </w:rPr>
        <w:t>Letters</w:t>
      </w:r>
      <w:r w:rsidR="00896447" w:rsidRPr="00896447">
        <w:t xml:space="preserve"> provide further insights into the logistical networks that sustained urban centres. He highlights the efficient transport of grain from fertile regions, demonstrating the Empire’s capacity to adapt its resource management strategies in response to environmental pressures.</w:t>
      </w:r>
    </w:p>
    <w:p w14:paraId="3C3C2ACA" w14:textId="77777777" w:rsidR="00896447" w:rsidRPr="00896447" w:rsidRDefault="00896447" w:rsidP="00896447">
      <w:pPr>
        <w:pStyle w:val="Heading3"/>
      </w:pPr>
      <w:bookmarkStart w:id="134" w:name="_Toc182111107"/>
      <w:r w:rsidRPr="00896447">
        <w:t>Demographic Shifts and Cultural Evolution</w:t>
      </w:r>
      <w:bookmarkEnd w:id="134"/>
    </w:p>
    <w:p w14:paraId="6B425CF3" w14:textId="6600165A" w:rsidR="00896447" w:rsidRPr="00896447" w:rsidRDefault="00896447" w:rsidP="00896447">
      <w:pPr>
        <w:ind w:firstLine="0"/>
      </w:pPr>
      <w:r>
        <w:tab/>
      </w:r>
      <w:r w:rsidRPr="00896447">
        <w:t xml:space="preserve">Demographic movements, including migrations and the integration of immigrants, transformed Roman society without eroding its core identity. Migrants enriched local economies by introducing new skills and traditions, as evidenced by Ammianus’s vivid </w:t>
      </w:r>
      <w:r w:rsidRPr="00896447">
        <w:lastRenderedPageBreak/>
        <w:t xml:space="preserve">descriptions in </w:t>
      </w:r>
      <w:r w:rsidRPr="00896447">
        <w:rPr>
          <w:i/>
          <w:iCs/>
        </w:rPr>
        <w:t>Res Gestae</w:t>
      </w:r>
      <w:r w:rsidRPr="00896447">
        <w:t xml:space="preserve"> of cities like Antioch, which thrived as hubs of economic and cultural exchange.</w:t>
      </w:r>
    </w:p>
    <w:p w14:paraId="6BF4C0C0" w14:textId="67EFA770" w:rsidR="00896447" w:rsidRPr="00896447" w:rsidRDefault="00896447" w:rsidP="00896447">
      <w:pPr>
        <w:ind w:firstLine="0"/>
      </w:pPr>
      <w:r>
        <w:tab/>
      </w:r>
      <w:r w:rsidRPr="00896447">
        <w:t>Rather than destabilising Roman identity, these shifts fostered cultural synthesis. Themistius underscores the strength derived from diversity, portraying the integration of different peoples as a cornerstone of imperial resilience. The ongoing construction of schools and preservation of classical texts in the Eastern Empire illustrate the enduring strength of intellectual traditions during this period, countering notions of cultural decline.</w:t>
      </w:r>
    </w:p>
    <w:p w14:paraId="279363F0" w14:textId="77777777" w:rsidR="00896447" w:rsidRPr="00896447" w:rsidRDefault="00896447" w:rsidP="00896447">
      <w:pPr>
        <w:pStyle w:val="Heading3"/>
      </w:pPr>
      <w:bookmarkStart w:id="135" w:name="_Toc182111108"/>
      <w:r w:rsidRPr="00896447">
        <w:t>A Reassessment of Decline</w:t>
      </w:r>
      <w:bookmarkEnd w:id="135"/>
    </w:p>
    <w:p w14:paraId="5C6DAE1A" w14:textId="7D34A6CB" w:rsidR="00896447" w:rsidRPr="00896447" w:rsidRDefault="00896447" w:rsidP="00896447">
      <w:pPr>
        <w:ind w:firstLine="0"/>
      </w:pPr>
      <w:r>
        <w:tab/>
      </w:r>
      <w:r w:rsidRPr="00896447">
        <w:t>This analysis challenges traditional narratives of decline, revealing that the late Roman period was one of transformation and resilience. Political decentralisation, effective resource management, and demographic adaptation illustrate an Empire responding dynamically to its challenges.</w:t>
      </w:r>
    </w:p>
    <w:p w14:paraId="76BCF2F5" w14:textId="69B10322" w:rsidR="00896447" w:rsidRPr="00896447" w:rsidRDefault="00896447" w:rsidP="00896447">
      <w:pPr>
        <w:ind w:firstLine="0"/>
      </w:pPr>
      <w:r>
        <w:tab/>
      </w:r>
      <w:r w:rsidRPr="00896447">
        <w:t xml:space="preserve">Primary sources such as </w:t>
      </w:r>
      <w:r w:rsidRPr="00896447">
        <w:rPr>
          <w:i/>
          <w:iCs/>
        </w:rPr>
        <w:t>Orations</w:t>
      </w:r>
      <w:r w:rsidRPr="00896447">
        <w:t xml:space="preserve"> by Libanius and </w:t>
      </w:r>
      <w:r w:rsidRPr="00896447">
        <w:rPr>
          <w:i/>
          <w:iCs/>
        </w:rPr>
        <w:t>Letters</w:t>
      </w:r>
      <w:r w:rsidRPr="00896447">
        <w:t xml:space="preserve"> by Julian provide vital perspectives on these transformations, offering a more nuanced understanding of Late Antiquity. The late Roman period stands as a testament to the Empire’s capacity for adaptation, underscoring the complexities of historical change and the resilience of societies under pressure.</w:t>
      </w:r>
    </w:p>
    <w:p w14:paraId="4B14639F" w14:textId="77777777" w:rsidR="00A97E3B" w:rsidRDefault="00A97E3B" w:rsidP="00FA3692">
      <w:pPr>
        <w:pStyle w:val="Heading2"/>
      </w:pPr>
      <w:bookmarkStart w:id="136" w:name="_Toc153780264"/>
      <w:bookmarkStart w:id="137" w:name="_Toc182111109"/>
      <w:r w:rsidRPr="00C214C5">
        <w:t>5.4 Limitations and Recommendations for Future Research</w:t>
      </w:r>
      <w:bookmarkEnd w:id="136"/>
      <w:bookmarkEnd w:id="137"/>
    </w:p>
    <w:p w14:paraId="7565202B" w14:textId="77777777" w:rsidR="0064031A" w:rsidRPr="0064031A" w:rsidRDefault="0064031A" w:rsidP="0064031A">
      <w:r w:rsidRPr="0064031A">
        <w:t>Despite the depth of this investigation into the Roman Empire’s decline during the 3rd and 4th centuries, several limitations persist, shaping the context and scope of its conclusions. Recognizing these gaps is essential to refining our understanding and guiding future inquiry.</w:t>
      </w:r>
    </w:p>
    <w:p w14:paraId="7489AAEC" w14:textId="77777777" w:rsidR="007D0233" w:rsidRDefault="0064031A" w:rsidP="007D0233">
      <w:pPr>
        <w:pStyle w:val="Heading3"/>
      </w:pPr>
      <w:bookmarkStart w:id="138" w:name="_Toc182111110"/>
      <w:r w:rsidRPr="0064031A">
        <w:t>Challenges of Historical Reconstruction</w:t>
      </w:r>
      <w:bookmarkEnd w:id="138"/>
    </w:p>
    <w:p w14:paraId="438FFCC5" w14:textId="606F22DB" w:rsidR="0064031A" w:rsidRPr="0064031A" w:rsidRDefault="0064031A" w:rsidP="0064031A">
      <w:r w:rsidRPr="0064031A">
        <w:t xml:space="preserve">The fragmentary nature of ancient records and material evidence presents inherent constraints. Primary sources, such as Libanius’s </w:t>
      </w:r>
      <w:r w:rsidRPr="0064031A">
        <w:rPr>
          <w:i/>
          <w:iCs/>
        </w:rPr>
        <w:t>Orations</w:t>
      </w:r>
      <w:r w:rsidRPr="0064031A">
        <w:t xml:space="preserve"> and Ammianus Marcellinus’s </w:t>
      </w:r>
      <w:r w:rsidRPr="0064031A">
        <w:rPr>
          <w:i/>
          <w:iCs/>
        </w:rPr>
        <w:t xml:space="preserve">Res </w:t>
      </w:r>
      <w:r w:rsidRPr="0064031A">
        <w:rPr>
          <w:i/>
          <w:iCs/>
        </w:rPr>
        <w:lastRenderedPageBreak/>
        <w:t>Gestae</w:t>
      </w:r>
      <w:r w:rsidRPr="0064031A">
        <w:t xml:space="preserve">, provide valuable insights but are shaped by their elite perspectives, focusing heavily on urban, military, and political affairs (Libanius, </w:t>
      </w:r>
      <w:r w:rsidRPr="0064031A">
        <w:rPr>
          <w:i/>
          <w:iCs/>
        </w:rPr>
        <w:t>Orations</w:t>
      </w:r>
      <w:r w:rsidRPr="0064031A">
        <w:t xml:space="preserve"> 18.243; Marcellinus, </w:t>
      </w:r>
      <w:r w:rsidRPr="0064031A">
        <w:rPr>
          <w:i/>
          <w:iCs/>
        </w:rPr>
        <w:t>Res Gestae</w:t>
      </w:r>
      <w:r w:rsidRPr="0064031A">
        <w:t xml:space="preserve"> 16.12). This can obscure the lived experiences of marginalized and rural populations, leaving gaps in the broader historical narrative. Furthermore, selective preservation and potential biases in these sources necessitate careful interpretation to avoid overgeneralizations about the Empire’s demographic and socio-economic conditions.</w:t>
      </w:r>
    </w:p>
    <w:p w14:paraId="7BE872CF" w14:textId="77777777" w:rsidR="007D0233" w:rsidRDefault="0064031A" w:rsidP="0064031A">
      <w:pPr>
        <w:rPr>
          <w:b/>
          <w:bCs/>
        </w:rPr>
      </w:pPr>
      <w:r w:rsidRPr="0064031A">
        <w:rPr>
          <w:b/>
          <w:bCs/>
        </w:rPr>
        <w:t>Scope and Focus of the Research</w:t>
      </w:r>
    </w:p>
    <w:p w14:paraId="05E0E1D2" w14:textId="0C04BAE5" w:rsidR="0064031A" w:rsidRPr="0064031A" w:rsidRDefault="0064031A" w:rsidP="0064031A">
      <w:r w:rsidRPr="0064031A">
        <w:t xml:space="preserve">This study has focused on political instability, socio-economic disparities, and environmental challenges. However, other dimensions, such as cultural transformations and technological innovations, require further exploration. Themistius’s </w:t>
      </w:r>
      <w:r w:rsidRPr="0064031A">
        <w:rPr>
          <w:i/>
          <w:iCs/>
        </w:rPr>
        <w:t>Orations</w:t>
      </w:r>
      <w:r w:rsidRPr="0064031A">
        <w:t xml:space="preserve">, for instance, illuminate the evolving role of education and intellectual continuity, while Eusebius’s </w:t>
      </w:r>
      <w:r w:rsidRPr="0064031A">
        <w:rPr>
          <w:i/>
          <w:iCs/>
        </w:rPr>
        <w:t>Church History</w:t>
      </w:r>
      <w:r w:rsidRPr="0064031A">
        <w:t xml:space="preserve"> sheds light on the growing influence of Christianity as both a social and political force (Themistius, </w:t>
      </w:r>
      <w:r w:rsidRPr="0064031A">
        <w:rPr>
          <w:i/>
          <w:iCs/>
        </w:rPr>
        <w:t>Orations</w:t>
      </w:r>
      <w:r w:rsidRPr="0064031A">
        <w:t xml:space="preserve"> 25; Eusebius, </w:t>
      </w:r>
      <w:r w:rsidRPr="0064031A">
        <w:rPr>
          <w:i/>
          <w:iCs/>
        </w:rPr>
        <w:t>Church History</w:t>
      </w:r>
      <w:r w:rsidRPr="0064031A">
        <w:t xml:space="preserve"> 10.8). These elements played pivotal roles in shaping the Empire’s adaptive strategies and merit deeper analysis.</w:t>
      </w:r>
    </w:p>
    <w:p w14:paraId="1F43D702" w14:textId="77777777" w:rsidR="0064031A" w:rsidRPr="0064031A" w:rsidRDefault="0064031A" w:rsidP="0064031A">
      <w:pPr>
        <w:pStyle w:val="Heading3"/>
      </w:pPr>
      <w:bookmarkStart w:id="139" w:name="_Toc182111111"/>
      <w:r w:rsidRPr="0064031A">
        <w:t>Future Research Directions</w:t>
      </w:r>
      <w:bookmarkEnd w:id="139"/>
    </w:p>
    <w:p w14:paraId="683BD795" w14:textId="77777777" w:rsidR="0064031A" w:rsidRPr="0064031A" w:rsidRDefault="0064031A" w:rsidP="007D0233">
      <w:pPr>
        <w:pStyle w:val="Heading4"/>
        <w:numPr>
          <w:ilvl w:val="0"/>
          <w:numId w:val="45"/>
        </w:numPr>
      </w:pPr>
      <w:r w:rsidRPr="0064031A">
        <w:t>Interdisciplinary Approaches</w:t>
      </w:r>
    </w:p>
    <w:p w14:paraId="089C3787" w14:textId="5ACA4C43" w:rsidR="0064031A" w:rsidRPr="0064031A" w:rsidRDefault="0064031A" w:rsidP="0064031A">
      <w:pPr>
        <w:ind w:left="360" w:firstLine="0"/>
      </w:pPr>
      <w:r w:rsidRPr="0064031A">
        <w:t>Future research could benefit from integrating methodologies from anthropology, climatology, and digital humanities. Genetic studies, such as those by Antonio et al. (2022), combined with Verhagen’s (2022) climate modelling, could offer more detailed insights into the relationship between environmental shifts and population dynamics. Moreover, GIS mapping and computational simulations could provide nuanced visualizations of migration patterns and urban-rural interactions.</w:t>
      </w:r>
    </w:p>
    <w:p w14:paraId="15B9C04A" w14:textId="010DAAB7" w:rsidR="0064031A" w:rsidRPr="0064031A" w:rsidRDefault="0064031A" w:rsidP="007D0233">
      <w:pPr>
        <w:pStyle w:val="Heading4"/>
        <w:numPr>
          <w:ilvl w:val="0"/>
          <w:numId w:val="45"/>
        </w:numPr>
      </w:pPr>
      <w:r w:rsidRPr="0064031A">
        <w:lastRenderedPageBreak/>
        <w:t>Locali</w:t>
      </w:r>
      <w:r>
        <w:t>s</w:t>
      </w:r>
      <w:r w:rsidRPr="0064031A">
        <w:t>ed Studies</w:t>
      </w:r>
    </w:p>
    <w:p w14:paraId="6C0AFAAD" w14:textId="12129500" w:rsidR="0064031A" w:rsidRPr="0064031A" w:rsidRDefault="0064031A" w:rsidP="0064031A">
      <w:pPr>
        <w:ind w:left="360" w:firstLine="0"/>
      </w:pPr>
      <w:r w:rsidRPr="0064031A">
        <w:t xml:space="preserve">While this study offers an overarching view of the Empire’s transformation, regional analyses could provide a more granular understanding. Julian’s </w:t>
      </w:r>
      <w:r w:rsidRPr="0064031A">
        <w:rPr>
          <w:i/>
          <w:iCs/>
        </w:rPr>
        <w:t>Letters</w:t>
      </w:r>
      <w:r w:rsidRPr="0064031A">
        <w:t xml:space="preserve"> offer a window into provincial governance and economic life, serving as a basis for micro-historical studies that explore localized responses to systemic challenges (Julian, </w:t>
      </w:r>
      <w:r w:rsidRPr="0064031A">
        <w:rPr>
          <w:i/>
          <w:iCs/>
        </w:rPr>
        <w:t>Letters</w:t>
      </w:r>
      <w:r w:rsidRPr="0064031A">
        <w:t xml:space="preserve"> 46). Focusing on key provinces like Egypt or frontier regions such as the Danube could yield insights into diverse adaptive strategies.</w:t>
      </w:r>
    </w:p>
    <w:p w14:paraId="0BD5CB32" w14:textId="77777777" w:rsidR="0064031A" w:rsidRDefault="0064031A" w:rsidP="007D0233">
      <w:pPr>
        <w:pStyle w:val="Heading4"/>
        <w:numPr>
          <w:ilvl w:val="0"/>
          <w:numId w:val="45"/>
        </w:numPr>
      </w:pPr>
      <w:r w:rsidRPr="0064031A">
        <w:t>Comparative Analyses</w:t>
      </w:r>
      <w:r>
        <w:t xml:space="preserve"> </w:t>
      </w:r>
    </w:p>
    <w:p w14:paraId="7C3FA75F" w14:textId="2F801A23" w:rsidR="0064031A" w:rsidRPr="0064031A" w:rsidRDefault="0064031A" w:rsidP="0064031A">
      <w:pPr>
        <w:ind w:left="720" w:firstLine="0"/>
      </w:pPr>
      <w:r w:rsidRPr="0064031A">
        <w:t>Comparative studies with contemporaneous empires, such as the Sassanian or Han Empires, could contextuali</w:t>
      </w:r>
      <w:r w:rsidR="007D0233">
        <w:t>s</w:t>
      </w:r>
      <w:r w:rsidRPr="0064031A">
        <w:t>e the Roman experience within broader patterns of imperial resilience and decline. These analyses could highlight shared responses to environmental stressors, economic shifts, and administrative challenges, enriching our understanding of the unique and universal aspects of Rome’s trajectory.</w:t>
      </w:r>
    </w:p>
    <w:p w14:paraId="3104D056" w14:textId="77777777" w:rsidR="0064031A" w:rsidRPr="0064031A" w:rsidRDefault="0064031A" w:rsidP="007D0233">
      <w:pPr>
        <w:pStyle w:val="Heading2"/>
      </w:pPr>
      <w:bookmarkStart w:id="140" w:name="_Toc182111112"/>
      <w:r w:rsidRPr="0064031A">
        <w:t>5.5 Final Remarks</w:t>
      </w:r>
      <w:bookmarkEnd w:id="140"/>
    </w:p>
    <w:p w14:paraId="20B95194" w14:textId="77777777" w:rsidR="0064031A" w:rsidRPr="0064031A" w:rsidRDefault="0064031A" w:rsidP="0064031A">
      <w:r w:rsidRPr="0064031A">
        <w:t xml:space="preserve">The Roman Empire's experience during the 3rd and 4th centuries illustrates a period of profound transformation rather than uniform decline. By integrating primary sources like </w:t>
      </w:r>
      <w:r w:rsidRPr="0064031A">
        <w:rPr>
          <w:i/>
          <w:iCs/>
        </w:rPr>
        <w:t>Res Gestae</w:t>
      </w:r>
      <w:r w:rsidRPr="0064031A">
        <w:t xml:space="preserve">, </w:t>
      </w:r>
      <w:r w:rsidRPr="0064031A">
        <w:rPr>
          <w:i/>
          <w:iCs/>
        </w:rPr>
        <w:t>Orations</w:t>
      </w:r>
      <w:r w:rsidRPr="0064031A">
        <w:t xml:space="preserve">, and </w:t>
      </w:r>
      <w:r w:rsidRPr="0064031A">
        <w:rPr>
          <w:i/>
          <w:iCs/>
        </w:rPr>
        <w:t>Church History</w:t>
      </w:r>
      <w:r w:rsidRPr="0064031A">
        <w:t xml:space="preserve"> with modern scholarship, this study presents a nuanced narrative of resilience and adaptation in the face of multifaceted challenges.</w:t>
      </w:r>
    </w:p>
    <w:p w14:paraId="007B688C" w14:textId="77777777" w:rsidR="0064031A" w:rsidRPr="0064031A" w:rsidRDefault="0064031A" w:rsidP="0064031A">
      <w:r w:rsidRPr="0064031A">
        <w:t>Demographic shifts, migratory flows, and the integration of diverse populations reshaped the Empire’s socio-economic fabric, reflecting its dynamic response to political instability and environmental pressures. Despite resource depletion and administrative fragmentation, the Empire demonstrated a remarkable capacity for innovation, from the development of advanced irrigation systems to the persistence of elite cultural institutions.</w:t>
      </w:r>
    </w:p>
    <w:p w14:paraId="196664CE" w14:textId="270F3E4B" w:rsidR="0064031A" w:rsidRPr="0064031A" w:rsidRDefault="0064031A" w:rsidP="0064031A">
      <w:r w:rsidRPr="0064031A">
        <w:lastRenderedPageBreak/>
        <w:t>This research underscores the interconnectedness of demographic, political, and environmental factors in shaping historical change. By examining Rome’s adaptive strategies, contemporary societies can draw valuable lessons in managing systemic challenges, emphasi</w:t>
      </w:r>
      <w:r w:rsidR="007D0233">
        <w:t>s</w:t>
      </w:r>
      <w:r w:rsidRPr="0064031A">
        <w:t>ing the enduring relevance of historical inquiry in addressing modern global issues.</w:t>
      </w:r>
    </w:p>
    <w:p w14:paraId="0E82A87F" w14:textId="77777777" w:rsidR="0039244A" w:rsidRDefault="0039244A">
      <w:pPr>
        <w:spacing w:line="259" w:lineRule="auto"/>
        <w:ind w:firstLine="0"/>
        <w:jc w:val="left"/>
        <w:rPr>
          <w:rFonts w:eastAsiaTheme="majorEastAsia"/>
          <w:sz w:val="32"/>
          <w:szCs w:val="32"/>
        </w:rPr>
      </w:pPr>
      <w:bookmarkStart w:id="141" w:name="_Toc153780266"/>
      <w:r>
        <w:br w:type="page"/>
      </w:r>
    </w:p>
    <w:p w14:paraId="2C36B793" w14:textId="75EFE074" w:rsidR="00794974" w:rsidRPr="00C214C5" w:rsidRDefault="00794974" w:rsidP="00F67BD3">
      <w:pPr>
        <w:pStyle w:val="Heading1"/>
        <w:rPr>
          <w:lang w:val="en-GB"/>
        </w:rPr>
      </w:pPr>
      <w:bookmarkStart w:id="142" w:name="_Toc182111113"/>
      <w:r w:rsidRPr="00C214C5">
        <w:rPr>
          <w:lang w:val="en-GB"/>
        </w:rPr>
        <w:lastRenderedPageBreak/>
        <w:t>Bibliography</w:t>
      </w:r>
      <w:bookmarkEnd w:id="141"/>
      <w:bookmarkEnd w:id="142"/>
    </w:p>
    <w:p w14:paraId="68943C9E" w14:textId="7CC027BF" w:rsidR="00F67BD3" w:rsidRPr="00C214C5" w:rsidRDefault="00F67BD3" w:rsidP="00F67BD3">
      <w:pPr>
        <w:pStyle w:val="Bibliography"/>
      </w:pPr>
      <w:r w:rsidRPr="00C214C5">
        <w:t xml:space="preserve">Antonio, M.L. </w:t>
      </w:r>
      <w:r w:rsidRPr="00C214C5">
        <w:rPr>
          <w:i/>
          <w:iCs/>
        </w:rPr>
        <w:t>et al.</w:t>
      </w:r>
      <w:r w:rsidRPr="00C214C5">
        <w:t xml:space="preserve"> (2022) </w:t>
      </w:r>
      <w:r w:rsidR="00267EF7" w:rsidRPr="00C214C5">
        <w:t>‘</w:t>
      </w:r>
      <w:r w:rsidRPr="00C214C5">
        <w:t>Stable population structure in Europe since the Iron Age, despite high mobility</w:t>
      </w:r>
      <w:r w:rsidR="00267EF7" w:rsidRPr="00C214C5">
        <w:t>’</w:t>
      </w:r>
      <w:r w:rsidRPr="00C214C5">
        <w:t xml:space="preserve">, </w:t>
      </w:r>
      <w:r w:rsidRPr="00C214C5">
        <w:rPr>
          <w:i/>
          <w:iCs/>
        </w:rPr>
        <w:t>bioRxiv</w:t>
      </w:r>
      <w:r w:rsidRPr="00C214C5">
        <w:t xml:space="preserve"> [Preprint].</w:t>
      </w:r>
    </w:p>
    <w:p w14:paraId="19E660E1" w14:textId="77777777" w:rsidR="00F67BD3" w:rsidRPr="00C214C5" w:rsidRDefault="00F67BD3" w:rsidP="00F67BD3">
      <w:pPr>
        <w:pStyle w:val="Bibliography"/>
      </w:pPr>
      <w:r w:rsidRPr="00C214C5">
        <w:t xml:space="preserve">Beloch, J. (1886) </w:t>
      </w:r>
      <w:r w:rsidRPr="00C214C5">
        <w:rPr>
          <w:i/>
          <w:iCs/>
        </w:rPr>
        <w:t>Die Bevölkerung der griechisch-römischen Welt</w:t>
      </w:r>
      <w:r w:rsidRPr="00C214C5">
        <w:t>. Duncker &amp; Humblot.</w:t>
      </w:r>
    </w:p>
    <w:p w14:paraId="361F454C" w14:textId="6F216216" w:rsidR="00F67BD3" w:rsidRPr="00C214C5" w:rsidRDefault="00F67BD3" w:rsidP="00F67BD3">
      <w:pPr>
        <w:pStyle w:val="Bibliography"/>
      </w:pPr>
      <w:r w:rsidRPr="00C214C5">
        <w:t xml:space="preserve">Benati, G. (2022) </w:t>
      </w:r>
      <w:r w:rsidR="00267EF7" w:rsidRPr="00C214C5">
        <w:t>‘</w:t>
      </w:r>
      <w:r w:rsidRPr="00C214C5">
        <w:t>Clash of the Titans: The Economics of Early Bronze Age Mesopotamia Between Empirical Evidence and Theoretical Models</w:t>
      </w:r>
      <w:r w:rsidR="00267EF7" w:rsidRPr="00C214C5">
        <w:t>’</w:t>
      </w:r>
      <w:r w:rsidRPr="00C214C5">
        <w:t xml:space="preserve">, in M. Frangipane, M. Poettinger, and B. Schefold (eds) </w:t>
      </w:r>
      <w:r w:rsidRPr="00C214C5">
        <w:rPr>
          <w:i/>
          <w:iCs/>
        </w:rPr>
        <w:t>Ancient Economies in Comparative Perspective: Material Life, Institutions and Economic Thought</w:t>
      </w:r>
      <w:r w:rsidRPr="00C214C5">
        <w:t>. Cham: Springer International Publishing (Frontiers in Economic History), pp. 111–129. Available at: https://doi.org/10.1007/978-3-031-08763-9_7.</w:t>
      </w:r>
    </w:p>
    <w:p w14:paraId="68B238DE" w14:textId="48B8A7C4" w:rsidR="00F67BD3" w:rsidRPr="00C214C5" w:rsidRDefault="00F67BD3" w:rsidP="00F67BD3">
      <w:pPr>
        <w:pStyle w:val="Bibliography"/>
      </w:pPr>
      <w:r w:rsidRPr="00C214C5">
        <w:t xml:space="preserve">Brughmans, T. (2022) </w:t>
      </w:r>
      <w:r w:rsidR="00267EF7" w:rsidRPr="00C214C5">
        <w:t>‘</w:t>
      </w:r>
      <w:r w:rsidRPr="00C214C5">
        <w:t>Why Simulate Roman Economies?</w:t>
      </w:r>
      <w:r w:rsidR="00267EF7" w:rsidRPr="00C214C5">
        <w:t>’</w:t>
      </w:r>
      <w:r w:rsidRPr="00C214C5">
        <w:t xml:space="preserve">, </w:t>
      </w:r>
      <w:r w:rsidRPr="00C214C5">
        <w:rPr>
          <w:i/>
          <w:iCs/>
        </w:rPr>
        <w:t>Simulating Roman Economies: Theories, Methods, and Computational Models</w:t>
      </w:r>
      <w:r w:rsidRPr="00C214C5">
        <w:t>, p. 1.</w:t>
      </w:r>
    </w:p>
    <w:p w14:paraId="183C88B3" w14:textId="77777777" w:rsidR="00F67BD3" w:rsidRPr="00C214C5" w:rsidRDefault="00F67BD3" w:rsidP="00F67BD3">
      <w:pPr>
        <w:pStyle w:val="Bibliography"/>
      </w:pPr>
      <w:r w:rsidRPr="00C214C5">
        <w:t xml:space="preserve">Brughmans, T. and Wilson, A. (2022) </w:t>
      </w:r>
      <w:r w:rsidRPr="00C214C5">
        <w:rPr>
          <w:i/>
          <w:iCs/>
        </w:rPr>
        <w:t>Simulating Roman Economies: Theories, Methods, and Computational Models</w:t>
      </w:r>
      <w:r w:rsidRPr="00C214C5">
        <w:t>. Oxford University Press.</w:t>
      </w:r>
    </w:p>
    <w:p w14:paraId="6554EBA7" w14:textId="6B2D5F13" w:rsidR="00F67BD3" w:rsidRPr="00C214C5" w:rsidRDefault="00F67BD3" w:rsidP="00F67BD3">
      <w:pPr>
        <w:pStyle w:val="Bibliography"/>
      </w:pPr>
      <w:r w:rsidRPr="00C214C5">
        <w:t xml:space="preserve">Camenisch, C. </w:t>
      </w:r>
      <w:r w:rsidRPr="00C214C5">
        <w:rPr>
          <w:i/>
          <w:iCs/>
        </w:rPr>
        <w:t>et al.</w:t>
      </w:r>
      <w:r w:rsidRPr="00C214C5">
        <w:t xml:space="preserve"> (2022) </w:t>
      </w:r>
      <w:r w:rsidR="00267EF7" w:rsidRPr="00C214C5">
        <w:t>‘</w:t>
      </w:r>
      <w:r w:rsidRPr="00C214C5">
        <w:t>A Bayesian approach to historical climatology for the Burgundian Low Countries in the 15th century</w:t>
      </w:r>
      <w:r w:rsidR="00267EF7" w:rsidRPr="00C214C5">
        <w:t>’</w:t>
      </w:r>
      <w:r w:rsidRPr="00C214C5">
        <w:t xml:space="preserve">, </w:t>
      </w:r>
      <w:r w:rsidRPr="00C214C5">
        <w:rPr>
          <w:i/>
          <w:iCs/>
        </w:rPr>
        <w:t>Climate of the Past</w:t>
      </w:r>
      <w:r w:rsidRPr="00C214C5">
        <w:t>, 18(11), pp. 2449–2462. Available at: https://doi.org/10.5194/cp-18-2449-2022.</w:t>
      </w:r>
    </w:p>
    <w:p w14:paraId="05E16174" w14:textId="7EB79217" w:rsidR="00F67BD3" w:rsidRPr="00C214C5" w:rsidRDefault="00F67BD3" w:rsidP="00F67BD3">
      <w:pPr>
        <w:pStyle w:val="Bibliography"/>
      </w:pPr>
      <w:r w:rsidRPr="00C214C5">
        <w:t xml:space="preserve">lo Cascio, E. (1994) </w:t>
      </w:r>
      <w:r w:rsidR="00267EF7" w:rsidRPr="00C214C5">
        <w:t>‘</w:t>
      </w:r>
      <w:r w:rsidRPr="00C214C5">
        <w:t>The Size of the Roman Population: Beloch and the Meaning of the Augustan Census Figures</w:t>
      </w:r>
      <w:r w:rsidR="00267EF7" w:rsidRPr="00C214C5">
        <w:t>’</w:t>
      </w:r>
      <w:r w:rsidRPr="00C214C5">
        <w:t xml:space="preserve">, </w:t>
      </w:r>
      <w:r w:rsidRPr="00C214C5">
        <w:rPr>
          <w:i/>
          <w:iCs/>
        </w:rPr>
        <w:t>Journal of Roman Studies</w:t>
      </w:r>
      <w:r w:rsidRPr="00C214C5">
        <w:t>, 84, pp. 23–40. Available at: https://doi.org/10.2307/300868.</w:t>
      </w:r>
    </w:p>
    <w:p w14:paraId="32645551" w14:textId="4BD4EFA1" w:rsidR="00F67BD3" w:rsidRPr="00C214C5" w:rsidRDefault="00F67BD3" w:rsidP="00F67BD3">
      <w:pPr>
        <w:pStyle w:val="Bibliography"/>
      </w:pPr>
      <w:r w:rsidRPr="00C214C5">
        <w:t xml:space="preserve">Cascio, E.L. (2013) </w:t>
      </w:r>
      <w:r w:rsidR="00267EF7" w:rsidRPr="00C214C5">
        <w:t>‘</w:t>
      </w:r>
      <w:r w:rsidRPr="00C214C5">
        <w:t>Population and Demographic Studies</w:t>
      </w:r>
      <w:r w:rsidR="00267EF7" w:rsidRPr="00C214C5">
        <w:t>’</w:t>
      </w:r>
      <w:r w:rsidRPr="00C214C5">
        <w:t xml:space="preserve">, in J.D. Evans (ed.) </w:t>
      </w:r>
      <w:r w:rsidRPr="00C214C5">
        <w:rPr>
          <w:i/>
          <w:iCs/>
        </w:rPr>
        <w:t>A Companion to the Archaeology of the Roman Republic</w:t>
      </w:r>
      <w:r w:rsidRPr="00C214C5">
        <w:t>. Oxford: Blackwell Publishing Ltd, pp. 155–165. Available at: https://doi.org/10.1002/9781118557129.ch10.</w:t>
      </w:r>
    </w:p>
    <w:p w14:paraId="4E29C46A" w14:textId="41775221" w:rsidR="00F67BD3" w:rsidRPr="00C214C5" w:rsidRDefault="00F67BD3" w:rsidP="00F67BD3">
      <w:pPr>
        <w:pStyle w:val="Bibliography"/>
      </w:pPr>
      <w:r w:rsidRPr="00C214C5">
        <w:t xml:space="preserve">Den Boer, W. (1974) </w:t>
      </w:r>
      <w:r w:rsidR="00267EF7" w:rsidRPr="00C214C5">
        <w:t>‘</w:t>
      </w:r>
      <w:r w:rsidRPr="00C214C5">
        <w:t>Republican Rome and the Demography of Hopkins</w:t>
      </w:r>
      <w:r w:rsidR="00267EF7" w:rsidRPr="00C214C5">
        <w:t>’</w:t>
      </w:r>
      <w:r w:rsidRPr="00C214C5">
        <w:t xml:space="preserve">, </w:t>
      </w:r>
      <w:r w:rsidRPr="00C214C5">
        <w:rPr>
          <w:i/>
          <w:iCs/>
        </w:rPr>
        <w:t>Mnemosyne</w:t>
      </w:r>
      <w:r w:rsidRPr="00C214C5">
        <w:t>, 27(1), pp. 79–82.</w:t>
      </w:r>
    </w:p>
    <w:p w14:paraId="3360F4FE" w14:textId="75EDD0E3" w:rsidR="00F67BD3" w:rsidRPr="00C214C5" w:rsidRDefault="00F67BD3" w:rsidP="00F67BD3">
      <w:pPr>
        <w:pStyle w:val="Bibliography"/>
      </w:pPr>
      <w:r w:rsidRPr="00C214C5">
        <w:t xml:space="preserve">Dermody, B.J., Chiu-Smit, </w:t>
      </w:r>
      <w:r w:rsidR="00C96D41" w:rsidRPr="00C214C5">
        <w:t>A.,</w:t>
      </w:r>
      <w:r w:rsidRPr="00C214C5">
        <w:t xml:space="preserve"> and van Beek, R.L. (2022) </w:t>
      </w:r>
      <w:r w:rsidR="00267EF7" w:rsidRPr="00C214C5">
        <w:t>‘</w:t>
      </w:r>
      <w:r w:rsidRPr="00C214C5">
        <w:t>A Model of Grain Production and Trade for the Roman World</w:t>
      </w:r>
      <w:r w:rsidR="00267EF7" w:rsidRPr="00C214C5">
        <w:t>’</w:t>
      </w:r>
      <w:r w:rsidRPr="00C214C5">
        <w:t xml:space="preserve">, </w:t>
      </w:r>
      <w:r w:rsidRPr="00C214C5">
        <w:rPr>
          <w:i/>
          <w:iCs/>
        </w:rPr>
        <w:t>Simulating Roman Economies: Theories, Methods, and Computational Models</w:t>
      </w:r>
      <w:r w:rsidRPr="00C214C5">
        <w:t>, p. 196.</w:t>
      </w:r>
    </w:p>
    <w:p w14:paraId="29A38FFD" w14:textId="45ED0C76" w:rsidR="00F67BD3" w:rsidRPr="00C214C5" w:rsidRDefault="00F67BD3" w:rsidP="00F67BD3">
      <w:pPr>
        <w:pStyle w:val="Bibliography"/>
      </w:pPr>
      <w:r w:rsidRPr="00C214C5">
        <w:t xml:space="preserve">Engels, D. (1980) </w:t>
      </w:r>
      <w:r w:rsidR="00267EF7" w:rsidRPr="00C214C5">
        <w:t>‘</w:t>
      </w:r>
      <w:r w:rsidRPr="00C214C5">
        <w:t>The Problem of Female Infanticide in the Greco-Roman World</w:t>
      </w:r>
      <w:r w:rsidR="00267EF7" w:rsidRPr="00C214C5">
        <w:t>’</w:t>
      </w:r>
      <w:r w:rsidRPr="00C214C5">
        <w:t xml:space="preserve">, </w:t>
      </w:r>
      <w:r w:rsidRPr="00C214C5">
        <w:rPr>
          <w:i/>
          <w:iCs/>
        </w:rPr>
        <w:t>Classical Philology</w:t>
      </w:r>
      <w:r w:rsidRPr="00C214C5">
        <w:t>, 75(2), pp. 112–120. Available at: https://doi.org/10.1086/366548.</w:t>
      </w:r>
    </w:p>
    <w:p w14:paraId="02D79CFA" w14:textId="77777777" w:rsidR="00F67BD3" w:rsidRPr="00C214C5" w:rsidRDefault="00F67BD3" w:rsidP="00F67BD3">
      <w:pPr>
        <w:pStyle w:val="Bibliography"/>
      </w:pPr>
      <w:r w:rsidRPr="00C214C5">
        <w:t xml:space="preserve">Erdkamp, P., Verboven, K. and Zuiderhoek, A. (2020) </w:t>
      </w:r>
      <w:r w:rsidRPr="00C214C5">
        <w:rPr>
          <w:i/>
          <w:iCs/>
        </w:rPr>
        <w:t>Capital, Investment, and Innovation in the Roman World</w:t>
      </w:r>
      <w:r w:rsidRPr="00C214C5">
        <w:t>. Oxford University Press.</w:t>
      </w:r>
    </w:p>
    <w:p w14:paraId="24ADE1E9" w14:textId="5B5B3A90" w:rsidR="00F67BD3" w:rsidRPr="00C214C5" w:rsidRDefault="00F67BD3" w:rsidP="00F67BD3">
      <w:pPr>
        <w:pStyle w:val="Bibliography"/>
      </w:pPr>
      <w:r w:rsidRPr="00C214C5">
        <w:t xml:space="preserve">Fabiano, J. (2020) </w:t>
      </w:r>
      <w:r w:rsidRPr="00C214C5">
        <w:rPr>
          <w:i/>
          <w:iCs/>
        </w:rPr>
        <w:t>Narratu Sunt Digna: Aspects of the Socio</w:t>
      </w:r>
      <w:r w:rsidR="00927522" w:rsidRPr="00C214C5">
        <w:rPr>
          <w:i/>
          <w:iCs/>
        </w:rPr>
        <w:t>e</w:t>
      </w:r>
      <w:r w:rsidRPr="00C214C5">
        <w:rPr>
          <w:i/>
          <w:iCs/>
        </w:rPr>
        <w:t>conomic Life of Rome</w:t>
      </w:r>
      <w:r w:rsidR="00267EF7" w:rsidRPr="00C214C5">
        <w:rPr>
          <w:i/>
          <w:iCs/>
        </w:rPr>
        <w:t>’</w:t>
      </w:r>
      <w:r w:rsidRPr="00C214C5">
        <w:rPr>
          <w:i/>
          <w:iCs/>
        </w:rPr>
        <w:t>s Plebs, 275-455 CE</w:t>
      </w:r>
      <w:r w:rsidRPr="00C214C5">
        <w:t>. University of Toronto (Canada). Available at: https://www.proquest.com/openview/19f8fc73c3631998816f0d2a01ad7e2d/1?pq-origsite=gscholar&amp;cbl=18750&amp;diss=y.</w:t>
      </w:r>
    </w:p>
    <w:p w14:paraId="3DC07F3D" w14:textId="307F90CA" w:rsidR="00F67BD3" w:rsidRPr="00C214C5" w:rsidRDefault="00F67BD3" w:rsidP="00F67BD3">
      <w:pPr>
        <w:pStyle w:val="Bibliography"/>
      </w:pPr>
      <w:r w:rsidRPr="00C214C5">
        <w:t xml:space="preserve">Frier, B. (1983) </w:t>
      </w:r>
      <w:r w:rsidR="00267EF7" w:rsidRPr="00C214C5">
        <w:t>‘</w:t>
      </w:r>
      <w:r w:rsidRPr="00C214C5">
        <w:t>Roman Life Expectancy: The Pannonian Evidence</w:t>
      </w:r>
      <w:r w:rsidR="00267EF7" w:rsidRPr="00C214C5">
        <w:t>’</w:t>
      </w:r>
      <w:r w:rsidRPr="00C214C5">
        <w:t xml:space="preserve">, </w:t>
      </w:r>
      <w:r w:rsidRPr="00C214C5">
        <w:rPr>
          <w:i/>
          <w:iCs/>
        </w:rPr>
        <w:t>Phoenix</w:t>
      </w:r>
      <w:r w:rsidRPr="00C214C5">
        <w:t>, 37(4), pp. 328–344. Available at: https://doi.org/10.2307/1088154.</w:t>
      </w:r>
    </w:p>
    <w:p w14:paraId="1CDE1E9B" w14:textId="77777777" w:rsidR="00F67BD3" w:rsidRPr="00C214C5" w:rsidRDefault="00F67BD3" w:rsidP="00F67BD3">
      <w:pPr>
        <w:pStyle w:val="Bibliography"/>
      </w:pPr>
      <w:r w:rsidRPr="00C214C5">
        <w:lastRenderedPageBreak/>
        <w:t xml:space="preserve">Frier, B.W. (2021) </w:t>
      </w:r>
      <w:r w:rsidRPr="00C214C5">
        <w:rPr>
          <w:i/>
          <w:iCs/>
        </w:rPr>
        <w:t>A Casebook on the Roman Law of Contracts</w:t>
      </w:r>
      <w:r w:rsidRPr="00C214C5">
        <w:t>. Oxford University Press.</w:t>
      </w:r>
    </w:p>
    <w:p w14:paraId="1048D2D0" w14:textId="19952DE7" w:rsidR="00F67BD3" w:rsidRPr="00C214C5" w:rsidRDefault="00F67BD3" w:rsidP="00F67BD3">
      <w:pPr>
        <w:pStyle w:val="Bibliography"/>
      </w:pPr>
      <w:r w:rsidRPr="00C214C5">
        <w:t xml:space="preserve">Gibbon, E. (1787) </w:t>
      </w:r>
      <w:r w:rsidRPr="00C214C5">
        <w:rPr>
          <w:i/>
          <w:iCs/>
        </w:rPr>
        <w:t xml:space="preserve">The History </w:t>
      </w:r>
      <w:r w:rsidR="00F2657A" w:rsidRPr="00C214C5">
        <w:rPr>
          <w:i/>
          <w:iCs/>
        </w:rPr>
        <w:t>of</w:t>
      </w:r>
      <w:r w:rsidRPr="00C214C5">
        <w:rPr>
          <w:i/>
          <w:iCs/>
        </w:rPr>
        <w:t xml:space="preserve"> The Decline And Fall Of The Roman Empire: 2</w:t>
      </w:r>
      <w:r w:rsidRPr="00C214C5">
        <w:t>. Tourneisen.</w:t>
      </w:r>
    </w:p>
    <w:p w14:paraId="54CC395F" w14:textId="5D17685B" w:rsidR="00F67BD3" w:rsidRPr="00C214C5" w:rsidRDefault="00F67BD3" w:rsidP="00F67BD3">
      <w:pPr>
        <w:pStyle w:val="Bibliography"/>
      </w:pPr>
      <w:r w:rsidRPr="00C214C5">
        <w:t xml:space="preserve">Haley, E.W. (2021) </w:t>
      </w:r>
      <w:r w:rsidR="00267EF7" w:rsidRPr="00C214C5">
        <w:t>‘</w:t>
      </w:r>
      <w:r w:rsidRPr="00C214C5">
        <w:t>Chapter seven The Nature of Economic Growth in Roman Imperial Baetica: A Theoretical Perspective</w:t>
      </w:r>
      <w:r w:rsidR="00267EF7" w:rsidRPr="00C214C5">
        <w:t>’</w:t>
      </w:r>
      <w:r w:rsidRPr="00C214C5">
        <w:t xml:space="preserve">, in </w:t>
      </w:r>
      <w:r w:rsidRPr="00C214C5">
        <w:rPr>
          <w:i/>
          <w:iCs/>
        </w:rPr>
        <w:t>Baetica Felix</w:t>
      </w:r>
      <w:r w:rsidRPr="00C214C5">
        <w:t>. University of Texas Press, pp. 171–185.</w:t>
      </w:r>
    </w:p>
    <w:p w14:paraId="39C1DA1D" w14:textId="77777777" w:rsidR="00F67BD3" w:rsidRPr="00C214C5" w:rsidRDefault="00F67BD3" w:rsidP="00F67BD3">
      <w:pPr>
        <w:pStyle w:val="Bibliography"/>
      </w:pPr>
      <w:r w:rsidRPr="00C214C5">
        <w:t xml:space="preserve">Hin, S. (2013) </w:t>
      </w:r>
      <w:r w:rsidRPr="00C214C5">
        <w:rPr>
          <w:i/>
          <w:iCs/>
        </w:rPr>
        <w:t>The Demography of Roman Italy: Population Dynamics in an Ancient Conquest Society 201 BCE–14 CE</w:t>
      </w:r>
      <w:r w:rsidRPr="00C214C5">
        <w:t>. Cambridge University Press.</w:t>
      </w:r>
    </w:p>
    <w:p w14:paraId="5CD953E3" w14:textId="77777777" w:rsidR="00F67BD3" w:rsidRPr="00C214C5" w:rsidRDefault="00F67BD3" w:rsidP="00F67BD3">
      <w:pPr>
        <w:pStyle w:val="Bibliography"/>
      </w:pPr>
      <w:r w:rsidRPr="00C214C5">
        <w:t xml:space="preserve">Holleran, C. and Claridge, A. (2018) </w:t>
      </w:r>
      <w:r w:rsidRPr="00C214C5">
        <w:rPr>
          <w:i/>
          <w:iCs/>
        </w:rPr>
        <w:t>A Companion to the City of Rome</w:t>
      </w:r>
      <w:r w:rsidRPr="00C214C5">
        <w:t>. John Wiley &amp; Sons.</w:t>
      </w:r>
    </w:p>
    <w:p w14:paraId="18742500" w14:textId="77777777" w:rsidR="00F67BD3" w:rsidRPr="00C214C5" w:rsidRDefault="00F67BD3" w:rsidP="00F67BD3">
      <w:pPr>
        <w:pStyle w:val="Bibliography"/>
      </w:pPr>
      <w:r w:rsidRPr="00C214C5">
        <w:t xml:space="preserve">Hopkins, K. (1985) </w:t>
      </w:r>
      <w:r w:rsidRPr="00C214C5">
        <w:rPr>
          <w:i/>
          <w:iCs/>
        </w:rPr>
        <w:t>Death and Renewal: Volume 2: Sociological Studies in Roman History</w:t>
      </w:r>
      <w:r w:rsidRPr="00C214C5">
        <w:t>. Cambridge University Press.</w:t>
      </w:r>
    </w:p>
    <w:p w14:paraId="3ABC3C4E" w14:textId="469E7C13" w:rsidR="00F67BD3" w:rsidRPr="00C214C5" w:rsidRDefault="00F67BD3" w:rsidP="00F67BD3">
      <w:pPr>
        <w:pStyle w:val="Bibliography"/>
      </w:pPr>
      <w:r w:rsidRPr="00C214C5">
        <w:t xml:space="preserve">Hopkins, K. (2009) </w:t>
      </w:r>
      <w:r w:rsidR="00267EF7" w:rsidRPr="00C214C5">
        <w:t>‘</w:t>
      </w:r>
      <w:r w:rsidRPr="00C214C5">
        <w:t>The political economy of the Roman empire</w:t>
      </w:r>
      <w:r w:rsidR="00267EF7" w:rsidRPr="00C214C5">
        <w:t>’</w:t>
      </w:r>
      <w:r w:rsidRPr="00C214C5">
        <w:t xml:space="preserve">, </w:t>
      </w:r>
      <w:r w:rsidRPr="00C214C5">
        <w:rPr>
          <w:i/>
          <w:iCs/>
        </w:rPr>
        <w:t>The dynamics of ancient empires: State power from Assyria to Byzantium</w:t>
      </w:r>
      <w:r w:rsidRPr="00C214C5">
        <w:t>, pp. 178–204.</w:t>
      </w:r>
    </w:p>
    <w:p w14:paraId="626244DD" w14:textId="77777777" w:rsidR="00F67BD3" w:rsidRPr="00C214C5" w:rsidRDefault="00F67BD3" w:rsidP="00F67BD3">
      <w:pPr>
        <w:pStyle w:val="Bibliography"/>
      </w:pPr>
      <w:r w:rsidRPr="00C214C5">
        <w:t xml:space="preserve">Huebner, S.R. and Laes, C. (2019) </w:t>
      </w:r>
      <w:r w:rsidRPr="00C214C5">
        <w:rPr>
          <w:i/>
          <w:iCs/>
        </w:rPr>
        <w:t>The Single Life in the Roman and Later Roman World</w:t>
      </w:r>
      <w:r w:rsidRPr="00C214C5">
        <w:t>. Cambridge University Press.</w:t>
      </w:r>
    </w:p>
    <w:p w14:paraId="6EF8CBE4" w14:textId="3C866DB9" w:rsidR="00F67BD3" w:rsidRPr="00C214C5" w:rsidRDefault="00F67BD3" w:rsidP="00F67BD3">
      <w:pPr>
        <w:pStyle w:val="Bibliography"/>
      </w:pPr>
      <w:r w:rsidRPr="00C214C5">
        <w:t xml:space="preserve">Kelly, P. (2020) </w:t>
      </w:r>
      <w:r w:rsidRPr="00C214C5">
        <w:rPr>
          <w:i/>
          <w:iCs/>
        </w:rPr>
        <w:t>Risk and return in Roman Egypt: were markets in Roman Egypt driven by financial rationality?</w:t>
      </w:r>
      <w:r w:rsidRPr="00C214C5">
        <w:t xml:space="preserve"> King</w:t>
      </w:r>
      <w:r w:rsidR="00267EF7" w:rsidRPr="00C214C5">
        <w:t>’</w:t>
      </w:r>
      <w:r w:rsidRPr="00C214C5">
        <w:t>s College London.</w:t>
      </w:r>
    </w:p>
    <w:p w14:paraId="59B2E276" w14:textId="44B615C0" w:rsidR="00F67BD3" w:rsidRPr="00C214C5" w:rsidRDefault="00F67BD3" w:rsidP="00F67BD3">
      <w:pPr>
        <w:pStyle w:val="Bibliography"/>
      </w:pPr>
      <w:r w:rsidRPr="00C214C5">
        <w:t xml:space="preserve">Kelly, P.V. (2021) </w:t>
      </w:r>
      <w:r w:rsidR="00267EF7" w:rsidRPr="00C214C5">
        <w:t>‘</w:t>
      </w:r>
      <w:r w:rsidRPr="00C214C5">
        <w:t>Third-Century Price Inflation Reassessed</w:t>
      </w:r>
      <w:r w:rsidR="00267EF7" w:rsidRPr="00C214C5">
        <w:t>’</w:t>
      </w:r>
      <w:r w:rsidRPr="00C214C5">
        <w:t xml:space="preserve">, </w:t>
      </w:r>
      <w:r w:rsidRPr="00C214C5">
        <w:rPr>
          <w:i/>
          <w:iCs/>
        </w:rPr>
        <w:t>Theoretical Roman Archaeology Journal</w:t>
      </w:r>
      <w:r w:rsidRPr="00C214C5">
        <w:t>, 4(1), p. 5.</w:t>
      </w:r>
    </w:p>
    <w:p w14:paraId="3EA6B3CA" w14:textId="0107A663" w:rsidR="00F67BD3" w:rsidRPr="00C214C5" w:rsidRDefault="00F67BD3" w:rsidP="00F67BD3">
      <w:pPr>
        <w:pStyle w:val="Bibliography"/>
      </w:pPr>
      <w:r w:rsidRPr="00C214C5">
        <w:t xml:space="preserve">Kelly, P.V. (2022) </w:t>
      </w:r>
      <w:r w:rsidR="00267EF7" w:rsidRPr="00C214C5">
        <w:t>‘</w:t>
      </w:r>
      <w:r w:rsidRPr="00C214C5">
        <w:t>Was r Greater Than g? Evidence from Roman Egypt</w:t>
      </w:r>
      <w:r w:rsidR="00C96D41" w:rsidRPr="00C214C5">
        <w:t>,</w:t>
      </w:r>
      <w:r w:rsidR="00267EF7" w:rsidRPr="00C214C5">
        <w:t>’</w:t>
      </w:r>
      <w:r w:rsidRPr="00C214C5">
        <w:t xml:space="preserve"> in M. Koedijk and N. Morley (eds) </w:t>
      </w:r>
      <w:r w:rsidRPr="00C214C5">
        <w:rPr>
          <w:i/>
          <w:iCs/>
        </w:rPr>
        <w:t>Capital in Classical Antiquity</w:t>
      </w:r>
      <w:r w:rsidRPr="00C214C5">
        <w:t>. Cham: Springer International Publishing (Palgrave Studies in Ancient Economies), pp. 261–286. Available at: https://doi.org/10.1007/978-3-030-93834-5_10.</w:t>
      </w:r>
    </w:p>
    <w:p w14:paraId="1C4C2DF1" w14:textId="77777777" w:rsidR="00F67BD3" w:rsidRPr="00C214C5" w:rsidRDefault="00F67BD3" w:rsidP="00F67BD3">
      <w:pPr>
        <w:pStyle w:val="Bibliography"/>
      </w:pPr>
      <w:r w:rsidRPr="00C214C5">
        <w:t xml:space="preserve">Kleijn, G. de (2021) </w:t>
      </w:r>
      <w:r w:rsidRPr="00C214C5">
        <w:rPr>
          <w:i/>
          <w:iCs/>
        </w:rPr>
        <w:t>The Water Supply of Ancient Rome: City Area, Water, and Population</w:t>
      </w:r>
      <w:r w:rsidRPr="00C214C5">
        <w:t>. BRILL.</w:t>
      </w:r>
    </w:p>
    <w:p w14:paraId="318B3D0F" w14:textId="77777777" w:rsidR="00F67BD3" w:rsidRPr="00C214C5" w:rsidRDefault="00F67BD3" w:rsidP="00F67BD3">
      <w:pPr>
        <w:pStyle w:val="Bibliography"/>
      </w:pPr>
      <w:r w:rsidRPr="00C214C5">
        <w:t xml:space="preserve">Launaro, A. (2017) </w:t>
      </w:r>
      <w:r w:rsidRPr="00C214C5">
        <w:rPr>
          <w:i/>
          <w:iCs/>
        </w:rPr>
        <w:t>Something Old, Something New: Social and Economic Developments in the Countryside of Roman Italy between Republic and Empire</w:t>
      </w:r>
      <w:r w:rsidRPr="00C214C5">
        <w:t>. Brill, pp. 85–111. Available at: https://doi.org/10.1163/9789004345027_006.</w:t>
      </w:r>
    </w:p>
    <w:p w14:paraId="45B23F5E" w14:textId="19F7AC1C" w:rsidR="00F67BD3" w:rsidRPr="00C214C5" w:rsidRDefault="00F67BD3" w:rsidP="00F67BD3">
      <w:pPr>
        <w:pStyle w:val="Bibliography"/>
      </w:pPr>
      <w:r w:rsidRPr="00C214C5">
        <w:t xml:space="preserve">Lavan, M. (2019a) </w:t>
      </w:r>
      <w:r w:rsidR="00267EF7" w:rsidRPr="00C214C5">
        <w:t>‘</w:t>
      </w:r>
      <w:r w:rsidRPr="00C214C5">
        <w:t>Epistemic Uncertainty, Subjective Probability, and Ancient History</w:t>
      </w:r>
      <w:r w:rsidR="00267EF7" w:rsidRPr="00C214C5">
        <w:t>’</w:t>
      </w:r>
      <w:r w:rsidRPr="00C214C5">
        <w:t xml:space="preserve">, </w:t>
      </w:r>
      <w:r w:rsidRPr="00C214C5">
        <w:rPr>
          <w:i/>
          <w:iCs/>
        </w:rPr>
        <w:t>The Journal of Interdisciplinary History</w:t>
      </w:r>
      <w:r w:rsidRPr="00C214C5">
        <w:t>, 50(1), pp. 91–111. Available at: https://doi.org/10.1162/jinh_a_01377.</w:t>
      </w:r>
    </w:p>
    <w:p w14:paraId="6235C799" w14:textId="0D9843BC" w:rsidR="00F67BD3" w:rsidRPr="00C214C5" w:rsidRDefault="00F67BD3" w:rsidP="00F67BD3">
      <w:pPr>
        <w:pStyle w:val="Bibliography"/>
      </w:pPr>
      <w:r w:rsidRPr="00C214C5">
        <w:t xml:space="preserve">Lavan, M. (2019b) </w:t>
      </w:r>
      <w:r w:rsidR="00267EF7" w:rsidRPr="00C214C5">
        <w:t>‘</w:t>
      </w:r>
      <w:r w:rsidRPr="00C214C5">
        <w:t xml:space="preserve">The Army and the Spread of Roman </w:t>
      </w:r>
      <w:r w:rsidR="00725F78" w:rsidRPr="00C214C5">
        <w:t>Citizenship</w:t>
      </w:r>
      <w:r w:rsidR="00267EF7" w:rsidRPr="00C214C5">
        <w:t>’</w:t>
      </w:r>
      <w:r w:rsidRPr="00C214C5">
        <w:t xml:space="preserve">, </w:t>
      </w:r>
      <w:r w:rsidRPr="00C214C5">
        <w:rPr>
          <w:i/>
          <w:iCs/>
        </w:rPr>
        <w:t>The Journal of Roman Studies</w:t>
      </w:r>
      <w:r w:rsidRPr="00C214C5">
        <w:t>, 109, pp. 27–69. Available at: https://doi.org/10.1017/S0075435819000662.</w:t>
      </w:r>
    </w:p>
    <w:p w14:paraId="4437193D" w14:textId="52348DBA" w:rsidR="00F67BD3" w:rsidRPr="00C214C5" w:rsidRDefault="00F67BD3" w:rsidP="00F67BD3">
      <w:pPr>
        <w:pStyle w:val="Bibliography"/>
      </w:pPr>
      <w:r w:rsidRPr="00C214C5">
        <w:t xml:space="preserve">Marcot, B.G. (2012) </w:t>
      </w:r>
      <w:r w:rsidR="00267EF7" w:rsidRPr="00C214C5">
        <w:t>‘</w:t>
      </w:r>
      <w:r w:rsidRPr="00C214C5">
        <w:t>Metrics for evaluating performance and uncertainty of Bayesian network models</w:t>
      </w:r>
      <w:r w:rsidR="00267EF7" w:rsidRPr="00C214C5">
        <w:t>’</w:t>
      </w:r>
      <w:r w:rsidRPr="00C214C5">
        <w:t xml:space="preserve">, </w:t>
      </w:r>
      <w:r w:rsidRPr="00C214C5">
        <w:rPr>
          <w:i/>
          <w:iCs/>
        </w:rPr>
        <w:t>Ecological Modelling</w:t>
      </w:r>
      <w:r w:rsidRPr="00C214C5">
        <w:t>, 230, pp. 50–62. Available at: https://doi.org/10.1016/j.ecolmodel.2012.01.013.</w:t>
      </w:r>
    </w:p>
    <w:p w14:paraId="10D01F24" w14:textId="63358958" w:rsidR="00F67BD3" w:rsidRPr="00C214C5" w:rsidRDefault="00F67BD3" w:rsidP="00F67BD3">
      <w:pPr>
        <w:pStyle w:val="Bibliography"/>
      </w:pPr>
      <w:r w:rsidRPr="00C214C5">
        <w:lastRenderedPageBreak/>
        <w:t xml:space="preserve">Marešová, P., Mohelská, H. and Kuča, K. (2015) </w:t>
      </w:r>
      <w:r w:rsidR="00267EF7" w:rsidRPr="00C214C5">
        <w:t>‘</w:t>
      </w:r>
      <w:r w:rsidRPr="00C214C5">
        <w:t>Economics Aspects of Ageing Population</w:t>
      </w:r>
      <w:r w:rsidR="00267EF7" w:rsidRPr="00C214C5">
        <w:t>’</w:t>
      </w:r>
      <w:r w:rsidRPr="00C214C5">
        <w:t xml:space="preserve">, </w:t>
      </w:r>
      <w:r w:rsidRPr="00C214C5">
        <w:rPr>
          <w:i/>
          <w:iCs/>
        </w:rPr>
        <w:t>Procedia Economics and Finance</w:t>
      </w:r>
      <w:r w:rsidRPr="00C214C5">
        <w:t>, 23, pp. 534–538. Available at: https://doi.org/10.1016/S2212-5671(15)00492-X.</w:t>
      </w:r>
    </w:p>
    <w:p w14:paraId="1B4763B9" w14:textId="7947298D" w:rsidR="00F67BD3" w:rsidRPr="00C214C5" w:rsidRDefault="00F67BD3" w:rsidP="00F67BD3">
      <w:pPr>
        <w:pStyle w:val="Bibliography"/>
      </w:pPr>
      <w:r w:rsidRPr="00C214C5">
        <w:t xml:space="preserve">McFadden, C. (2021) </w:t>
      </w:r>
      <w:r w:rsidR="00267EF7" w:rsidRPr="00C214C5">
        <w:t>‘</w:t>
      </w:r>
      <w:r w:rsidRPr="00C214C5">
        <w:t>The past, present and future of skeletal analysis in palaeodemography</w:t>
      </w:r>
      <w:r w:rsidR="00267EF7" w:rsidRPr="00C214C5">
        <w:t>’</w:t>
      </w:r>
      <w:r w:rsidRPr="00C214C5">
        <w:t xml:space="preserve">, </w:t>
      </w:r>
      <w:r w:rsidRPr="00C214C5">
        <w:rPr>
          <w:i/>
          <w:iCs/>
        </w:rPr>
        <w:t>Philosophical Transactions of the Royal Society B: Biological Sciences</w:t>
      </w:r>
      <w:r w:rsidRPr="00C214C5">
        <w:t>, 376(1816), p. 20190709. Available at: https://doi.org/10.1098/rstb.2019.0709.</w:t>
      </w:r>
    </w:p>
    <w:p w14:paraId="1CC97A2A" w14:textId="7CF73816" w:rsidR="00F67BD3" w:rsidRPr="00C214C5" w:rsidRDefault="00F67BD3" w:rsidP="00F67BD3">
      <w:pPr>
        <w:pStyle w:val="Bibliography"/>
      </w:pPr>
      <w:r w:rsidRPr="00C214C5">
        <w:t xml:space="preserve">Oates, W.J. (1934) </w:t>
      </w:r>
      <w:r w:rsidR="00267EF7" w:rsidRPr="00C214C5">
        <w:t>‘</w:t>
      </w:r>
      <w:r w:rsidRPr="00C214C5">
        <w:t>The Population of Rome</w:t>
      </w:r>
      <w:r w:rsidR="00267EF7" w:rsidRPr="00C214C5">
        <w:t>’</w:t>
      </w:r>
      <w:r w:rsidRPr="00C214C5">
        <w:t xml:space="preserve">, </w:t>
      </w:r>
      <w:r w:rsidRPr="00C214C5">
        <w:rPr>
          <w:i/>
          <w:iCs/>
        </w:rPr>
        <w:t>Classical Philology</w:t>
      </w:r>
      <w:r w:rsidRPr="00C214C5">
        <w:t>, 29(2), pp. 101–116. Available at: https://doi.org/10.1086/361701.</w:t>
      </w:r>
    </w:p>
    <w:p w14:paraId="78605B72" w14:textId="77777777" w:rsidR="00F67BD3" w:rsidRPr="00C214C5" w:rsidRDefault="00F67BD3" w:rsidP="00F67BD3">
      <w:pPr>
        <w:pStyle w:val="Bibliography"/>
      </w:pPr>
      <w:r w:rsidRPr="00C214C5">
        <w:t xml:space="preserve">Scheidel, W. (2017) </w:t>
      </w:r>
      <w:r w:rsidRPr="00C214C5">
        <w:rPr>
          <w:i/>
          <w:iCs/>
        </w:rPr>
        <w:t>Debating Roman Demography</w:t>
      </w:r>
      <w:r w:rsidRPr="00C214C5">
        <w:t>. BRILL.</w:t>
      </w:r>
    </w:p>
    <w:p w14:paraId="23A11B7A" w14:textId="5D637DE5" w:rsidR="00F67BD3" w:rsidRPr="00C214C5" w:rsidRDefault="00F67BD3" w:rsidP="00F67BD3">
      <w:pPr>
        <w:pStyle w:val="Bibliography"/>
      </w:pPr>
      <w:r w:rsidRPr="00C214C5">
        <w:t xml:space="preserve">Scheidel, W. (2019) </w:t>
      </w:r>
      <w:r w:rsidR="00267EF7" w:rsidRPr="00C214C5">
        <w:t>‘</w:t>
      </w:r>
      <w:r w:rsidRPr="00C214C5">
        <w:t xml:space="preserve">All roads lead to Rome: the demography, </w:t>
      </w:r>
      <w:r w:rsidR="00C96D41" w:rsidRPr="00C214C5">
        <w:t>economics,</w:t>
      </w:r>
      <w:r w:rsidRPr="00C214C5">
        <w:t xml:space="preserve"> and ethnicity of migration - LAURENS E. TACOMA, MOVING ROMANS: MIGRATION TO ROME IN THE PRINCIPATE (Oxford University Press; Oxford2016). Pp. xi + 304. ISBN 978-0-19-876805-0.</w:t>
      </w:r>
      <w:r w:rsidR="00267EF7" w:rsidRPr="00C214C5">
        <w:t>’</w:t>
      </w:r>
      <w:r w:rsidRPr="00C214C5">
        <w:t xml:space="preserve">, </w:t>
      </w:r>
      <w:r w:rsidRPr="00C214C5">
        <w:rPr>
          <w:i/>
          <w:iCs/>
        </w:rPr>
        <w:t>Journal of Roman Archaeology</w:t>
      </w:r>
      <w:r w:rsidRPr="00C214C5">
        <w:t>, 32, pp. 683–689. Available at: https://doi.org/10.1017/S1047759419000564.</w:t>
      </w:r>
    </w:p>
    <w:p w14:paraId="76A7E2EC" w14:textId="2C1942A2" w:rsidR="00F67BD3" w:rsidRPr="00C214C5" w:rsidRDefault="00F67BD3" w:rsidP="00F67BD3">
      <w:pPr>
        <w:pStyle w:val="Bibliography"/>
      </w:pPr>
      <w:r w:rsidRPr="00C214C5">
        <w:t xml:space="preserve">Séguy, I. (2019) </w:t>
      </w:r>
      <w:r w:rsidR="00267EF7" w:rsidRPr="00C214C5">
        <w:t>‘</w:t>
      </w:r>
      <w:r w:rsidRPr="00C214C5">
        <w:t>Current trends in Roman demography and empirical approaches to the dynamics of the Limes populations</w:t>
      </w:r>
      <w:r w:rsidR="00267EF7" w:rsidRPr="00C214C5">
        <w:t>’</w:t>
      </w:r>
      <w:r w:rsidRPr="00C214C5">
        <w:t xml:space="preserve">, in </w:t>
      </w:r>
      <w:r w:rsidRPr="00C214C5">
        <w:rPr>
          <w:i/>
          <w:iCs/>
        </w:rPr>
        <w:t>Finding the limits of the limes</w:t>
      </w:r>
      <w:r w:rsidRPr="00C214C5">
        <w:t>. Springer, Cham, pp. 23–41.</w:t>
      </w:r>
    </w:p>
    <w:p w14:paraId="21B95C24" w14:textId="7FA7F8E8" w:rsidR="00F67BD3" w:rsidRPr="00C214C5" w:rsidRDefault="00F67BD3" w:rsidP="00F67BD3">
      <w:pPr>
        <w:pStyle w:val="Bibliography"/>
      </w:pPr>
      <w:r w:rsidRPr="00C214C5">
        <w:t xml:space="preserve">Sinner, A.G. and Carreras, C. (2019) </w:t>
      </w:r>
      <w:r w:rsidR="00267EF7" w:rsidRPr="00C214C5">
        <w:t>‘</w:t>
      </w:r>
      <w:r w:rsidRPr="00C214C5">
        <w:t xml:space="preserve">Methods of Palaeodemography: The Case of the Iberian </w:t>
      </w:r>
      <w:r w:rsidRPr="00C214C5">
        <w:rPr>
          <w:i/>
          <w:iCs/>
        </w:rPr>
        <w:t>Oppida</w:t>
      </w:r>
      <w:r w:rsidRPr="00C214C5">
        <w:t xml:space="preserve"> and Roman Cities in North‐East Spain</w:t>
      </w:r>
      <w:r w:rsidR="00267EF7" w:rsidRPr="00C214C5">
        <w:t>’</w:t>
      </w:r>
      <w:r w:rsidRPr="00C214C5">
        <w:t xml:space="preserve">, </w:t>
      </w:r>
      <w:r w:rsidRPr="00C214C5">
        <w:rPr>
          <w:i/>
          <w:iCs/>
        </w:rPr>
        <w:t>Oxford Journal of Archaeology</w:t>
      </w:r>
      <w:r w:rsidRPr="00C214C5">
        <w:t>, 38(3), pp. 302–324. Available at: https://doi.org/10.1111/ojoa.12175.</w:t>
      </w:r>
    </w:p>
    <w:p w14:paraId="5F1093D6" w14:textId="77777777" w:rsidR="00F67BD3" w:rsidRPr="00C214C5" w:rsidRDefault="00F67BD3" w:rsidP="00F67BD3">
      <w:pPr>
        <w:pStyle w:val="Bibliography"/>
      </w:pPr>
      <w:r w:rsidRPr="00C214C5">
        <w:t xml:space="preserve">Spengler, J.J. (2018) </w:t>
      </w:r>
      <w:r w:rsidRPr="00C214C5">
        <w:rPr>
          <w:i/>
          <w:iCs/>
        </w:rPr>
        <w:t>History of Population Theories</w:t>
      </w:r>
      <w:r w:rsidRPr="00C214C5">
        <w:t xml:space="preserve">, </w:t>
      </w:r>
      <w:r w:rsidRPr="00C214C5">
        <w:rPr>
          <w:i/>
          <w:iCs/>
        </w:rPr>
        <w:t>The Economics of Population</w:t>
      </w:r>
      <w:r w:rsidRPr="00C214C5">
        <w:t>. Routledge, pp. 3–16. Available at: https://doi.org/10.4324/9781351291521-2.</w:t>
      </w:r>
    </w:p>
    <w:p w14:paraId="1A0472E1" w14:textId="3B72848A" w:rsidR="00F67BD3" w:rsidRPr="00C214C5" w:rsidRDefault="00F67BD3" w:rsidP="00F67BD3">
      <w:pPr>
        <w:pStyle w:val="Bibliography"/>
      </w:pPr>
      <w:r w:rsidRPr="00C214C5">
        <w:t xml:space="preserve">Storey, G.R. (1997) </w:t>
      </w:r>
      <w:r w:rsidR="00267EF7" w:rsidRPr="00C214C5">
        <w:t>‘</w:t>
      </w:r>
      <w:r w:rsidRPr="00C214C5">
        <w:t>The population of ancient Rome</w:t>
      </w:r>
      <w:r w:rsidR="00267EF7" w:rsidRPr="00C214C5">
        <w:t>’</w:t>
      </w:r>
      <w:r w:rsidRPr="00C214C5">
        <w:t xml:space="preserve">, </w:t>
      </w:r>
      <w:r w:rsidRPr="00C214C5">
        <w:rPr>
          <w:i/>
          <w:iCs/>
        </w:rPr>
        <w:t>Antiquity</w:t>
      </w:r>
      <w:r w:rsidRPr="00C214C5">
        <w:t>, 71(274), pp. 966–978. Available at: https://doi.org/10.1017/S0003598X00085859.</w:t>
      </w:r>
    </w:p>
    <w:p w14:paraId="37B7D810" w14:textId="77777777" w:rsidR="00F67BD3" w:rsidRPr="00C214C5" w:rsidRDefault="00F67BD3" w:rsidP="00F67BD3">
      <w:pPr>
        <w:pStyle w:val="Bibliography"/>
      </w:pPr>
      <w:r w:rsidRPr="00C214C5">
        <w:t xml:space="preserve">Tacoma, L.E. (2016) </w:t>
      </w:r>
      <w:r w:rsidRPr="00C214C5">
        <w:rPr>
          <w:i/>
          <w:iCs/>
        </w:rPr>
        <w:t>Moving Romans: migration to Rome in the principate</w:t>
      </w:r>
      <w:r w:rsidRPr="00C214C5">
        <w:t>. First edition. Oxford: Oxford University Press.</w:t>
      </w:r>
    </w:p>
    <w:p w14:paraId="22E8ABBD" w14:textId="0D0B65B3" w:rsidR="00F67BD3" w:rsidRPr="00C214C5" w:rsidRDefault="00F67BD3" w:rsidP="00F67BD3">
      <w:pPr>
        <w:pStyle w:val="Bibliography"/>
      </w:pPr>
      <w:r w:rsidRPr="00C214C5">
        <w:t xml:space="preserve">Taylor, M.J. (2020) </w:t>
      </w:r>
      <w:r w:rsidRPr="00C214C5">
        <w:rPr>
          <w:i/>
          <w:iCs/>
        </w:rPr>
        <w:t>Soldiers and Silver: Mobili</w:t>
      </w:r>
      <w:r w:rsidR="0098625D" w:rsidRPr="00C214C5">
        <w:rPr>
          <w:i/>
          <w:iCs/>
        </w:rPr>
        <w:t>sing</w:t>
      </w:r>
      <w:r w:rsidRPr="00C214C5">
        <w:rPr>
          <w:i/>
          <w:iCs/>
        </w:rPr>
        <w:t xml:space="preserve"> Resources in the Age of Roman Conquest</w:t>
      </w:r>
      <w:r w:rsidRPr="00C214C5">
        <w:t>. University of Texas Press.</w:t>
      </w:r>
    </w:p>
    <w:p w14:paraId="531147E7" w14:textId="2C7AAB6E" w:rsidR="00F67BD3" w:rsidRPr="00C214C5" w:rsidRDefault="00F67BD3" w:rsidP="00F67BD3">
      <w:pPr>
        <w:pStyle w:val="Bibliography"/>
      </w:pPr>
      <w:r w:rsidRPr="00C214C5">
        <w:t xml:space="preserve">Tinker, A. (2002) </w:t>
      </w:r>
      <w:r w:rsidR="00267EF7" w:rsidRPr="00C214C5">
        <w:t>‘</w:t>
      </w:r>
      <w:r w:rsidRPr="00C214C5">
        <w:t>The social implications of an ageing population</w:t>
      </w:r>
      <w:r w:rsidR="00267EF7" w:rsidRPr="00C214C5">
        <w:t>’</w:t>
      </w:r>
      <w:r w:rsidRPr="00C214C5">
        <w:t xml:space="preserve">, </w:t>
      </w:r>
      <w:r w:rsidRPr="00C214C5">
        <w:rPr>
          <w:i/>
          <w:iCs/>
        </w:rPr>
        <w:t>Mechanisms of Ageing and Development</w:t>
      </w:r>
      <w:r w:rsidRPr="00C214C5">
        <w:t>, 123(7), pp. 729–735. Available at: https://doi.org/10.1016/S0047-6374(01)00418-3.</w:t>
      </w:r>
    </w:p>
    <w:p w14:paraId="59004561" w14:textId="7D2AEA29" w:rsidR="00F67BD3" w:rsidRPr="00C214C5" w:rsidRDefault="00F67BD3" w:rsidP="00F67BD3">
      <w:pPr>
        <w:pStyle w:val="Bibliography"/>
      </w:pPr>
      <w:r w:rsidRPr="00C214C5">
        <w:t xml:space="preserve">Verhagen, P. (2022) </w:t>
      </w:r>
      <w:r w:rsidR="00267EF7" w:rsidRPr="00C214C5">
        <w:t>‘</w:t>
      </w:r>
      <w:r w:rsidRPr="00C214C5">
        <w:t>Modelling the Basics of Roman Demography</w:t>
      </w:r>
      <w:r w:rsidR="00267EF7" w:rsidRPr="00C214C5">
        <w:t>’</w:t>
      </w:r>
      <w:r w:rsidRPr="00C214C5">
        <w:t xml:space="preserve">, </w:t>
      </w:r>
      <w:r w:rsidRPr="00C214C5">
        <w:rPr>
          <w:i/>
          <w:iCs/>
        </w:rPr>
        <w:t>Simulating Roman Economies: Theories, Methods, and Computational Models</w:t>
      </w:r>
      <w:r w:rsidRPr="00C214C5">
        <w:t>, p. 271.</w:t>
      </w:r>
    </w:p>
    <w:p w14:paraId="7A72799E" w14:textId="6BE1B3B9" w:rsidR="00F67BD3" w:rsidRPr="00C214C5" w:rsidRDefault="00F67BD3" w:rsidP="00F67BD3">
      <w:pPr>
        <w:pStyle w:val="Bibliography"/>
      </w:pPr>
      <w:r w:rsidRPr="00C214C5">
        <w:t xml:space="preserve">Verhagen, P., de Kleijn, M. and Joyce, J. (2021) </w:t>
      </w:r>
      <w:r w:rsidR="00267EF7" w:rsidRPr="00C214C5">
        <w:t>‘</w:t>
      </w:r>
      <w:r w:rsidRPr="00C214C5">
        <w:t xml:space="preserve">Different models, different outcomes? A comparison of approaches to land use </w:t>
      </w:r>
      <w:r w:rsidR="0098625D" w:rsidRPr="00C214C5">
        <w:t>modelling</w:t>
      </w:r>
      <w:r w:rsidRPr="00C214C5">
        <w:t xml:space="preserve"> in the Dutch limes</w:t>
      </w:r>
      <w:r w:rsidR="00C96D41" w:rsidRPr="00C214C5">
        <w:t>,</w:t>
      </w:r>
      <w:r w:rsidR="00267EF7" w:rsidRPr="00C214C5">
        <w:t>’</w:t>
      </w:r>
      <w:r w:rsidRPr="00C214C5">
        <w:t xml:space="preserve"> </w:t>
      </w:r>
      <w:r w:rsidRPr="00C214C5">
        <w:rPr>
          <w:i/>
          <w:iCs/>
        </w:rPr>
        <w:t>Heritage</w:t>
      </w:r>
      <w:r w:rsidRPr="00C214C5">
        <w:t>, 4(3), pp. 2081–2104.</w:t>
      </w:r>
    </w:p>
    <w:p w14:paraId="14B0AB5F" w14:textId="77777777" w:rsidR="00F67BD3" w:rsidRPr="00C214C5" w:rsidRDefault="00F67BD3" w:rsidP="00F67BD3">
      <w:pPr>
        <w:pStyle w:val="Bibliography"/>
      </w:pPr>
      <w:r w:rsidRPr="00C214C5">
        <w:t xml:space="preserve">Weber, P. and Simon, C. (2016) </w:t>
      </w:r>
      <w:r w:rsidRPr="00C214C5">
        <w:rPr>
          <w:i/>
          <w:iCs/>
        </w:rPr>
        <w:t>Benefits of Bayesian Network Models</w:t>
      </w:r>
      <w:r w:rsidRPr="00C214C5">
        <w:t>. John Wiley &amp; Sons.</w:t>
      </w:r>
    </w:p>
    <w:p w14:paraId="7D895965" w14:textId="1DCF5E66" w:rsidR="002C0F53" w:rsidRPr="00C214C5" w:rsidRDefault="00F67BD3" w:rsidP="00822E5C">
      <w:pPr>
        <w:pStyle w:val="Bibliography"/>
      </w:pPr>
      <w:r w:rsidRPr="00C214C5">
        <w:lastRenderedPageBreak/>
        <w:t xml:space="preserve">Willet, R. (2019) </w:t>
      </w:r>
      <w:r w:rsidRPr="00C214C5">
        <w:rPr>
          <w:i/>
          <w:iCs/>
        </w:rPr>
        <w:t>Regional Perspectives on Urbanism and Settlement Patterns in Roman Asia Minor</w:t>
      </w:r>
      <w:r w:rsidRPr="00C214C5">
        <w:t xml:space="preserve">. Brill, pp. 482–533. Available at: </w:t>
      </w:r>
      <w:hyperlink r:id="rId21" w:history="1">
        <w:r w:rsidR="002C0F53" w:rsidRPr="00C214C5">
          <w:rPr>
            <w:rStyle w:val="Hyperlink"/>
          </w:rPr>
          <w:t>https://doi.org/10.1163/9789004414365_016</w:t>
        </w:r>
      </w:hyperlink>
      <w:r w:rsidRPr="00C214C5">
        <w:t>.</w:t>
      </w:r>
    </w:p>
    <w:p w14:paraId="777C4523" w14:textId="79F9E603" w:rsidR="002C0F53" w:rsidRPr="00C214C5" w:rsidRDefault="002C0F53" w:rsidP="002C0F53">
      <w:pPr>
        <w:pStyle w:val="Heading2"/>
        <w:ind w:firstLine="0"/>
      </w:pPr>
      <w:bookmarkStart w:id="143" w:name="_Toc182111114"/>
      <w:r w:rsidRPr="00C214C5">
        <w:t>Primary Sources</w:t>
      </w:r>
      <w:bookmarkEnd w:id="143"/>
    </w:p>
    <w:p w14:paraId="05FA11C4" w14:textId="77777777" w:rsidR="002C0F53" w:rsidRPr="00C214C5" w:rsidRDefault="002C0F53" w:rsidP="002C0F53">
      <w:r w:rsidRPr="00C214C5">
        <w:t xml:space="preserve">- Ausonius, (1919) </w:t>
      </w:r>
      <w:r w:rsidRPr="00C214C5">
        <w:rPr>
          <w:i/>
          <w:iCs/>
        </w:rPr>
        <w:t>Mosella and Parentalia</w:t>
      </w:r>
      <w:r w:rsidRPr="00C214C5">
        <w:t>. Harvard University Press.</w:t>
      </w:r>
    </w:p>
    <w:p w14:paraId="6588522F" w14:textId="77777777" w:rsidR="002C0F53" w:rsidRPr="00C214C5" w:rsidRDefault="002C0F53" w:rsidP="002C0F53">
      <w:r w:rsidRPr="00C214C5">
        <w:t xml:space="preserve">- Eusebius, (1989) </w:t>
      </w:r>
      <w:r w:rsidRPr="00C214C5">
        <w:rPr>
          <w:i/>
          <w:iCs/>
        </w:rPr>
        <w:t>Church History</w:t>
      </w:r>
      <w:r w:rsidRPr="00C214C5">
        <w:t>. Penguin Classics.</w:t>
      </w:r>
    </w:p>
    <w:p w14:paraId="39C5C7F1" w14:textId="77777777" w:rsidR="002C0F53" w:rsidRPr="00C214C5" w:rsidRDefault="002C0F53" w:rsidP="002C0F53">
      <w:r w:rsidRPr="00C214C5">
        <w:t xml:space="preserve">- Julian, (1980) </w:t>
      </w:r>
      <w:r w:rsidRPr="00C214C5">
        <w:rPr>
          <w:i/>
          <w:iCs/>
        </w:rPr>
        <w:t>Letters</w:t>
      </w:r>
      <w:r w:rsidRPr="00C214C5">
        <w:t>. Loeb Classical Library.</w:t>
      </w:r>
    </w:p>
    <w:p w14:paraId="73942D7B" w14:textId="77777777" w:rsidR="002C0F53" w:rsidRPr="00C214C5" w:rsidRDefault="002C0F53" w:rsidP="002C0F53">
      <w:r w:rsidRPr="00C214C5">
        <w:t xml:space="preserve">- Libanius, (2000) </w:t>
      </w:r>
      <w:r w:rsidRPr="00C214C5">
        <w:rPr>
          <w:i/>
          <w:iCs/>
        </w:rPr>
        <w:t>Orations and Letters</w:t>
      </w:r>
      <w:r w:rsidRPr="00C214C5">
        <w:t>. Harvard University Press.</w:t>
      </w:r>
    </w:p>
    <w:p w14:paraId="16A1CC16" w14:textId="77777777" w:rsidR="002C0F53" w:rsidRPr="00C214C5" w:rsidRDefault="002C0F53" w:rsidP="002C0F53">
      <w:r w:rsidRPr="00C214C5">
        <w:t xml:space="preserve">- Marcellinus, A., (2007) </w:t>
      </w:r>
      <w:r w:rsidRPr="00C214C5">
        <w:rPr>
          <w:i/>
          <w:iCs/>
        </w:rPr>
        <w:t>Res Gestae</w:t>
      </w:r>
      <w:r w:rsidRPr="00C214C5">
        <w:t>. Penguin Classics.</w:t>
      </w:r>
    </w:p>
    <w:p w14:paraId="581F19F8" w14:textId="77777777" w:rsidR="002C0F53" w:rsidRPr="00C214C5" w:rsidRDefault="002C0F53" w:rsidP="002C0F53">
      <w:r w:rsidRPr="00C214C5">
        <w:t xml:space="preserve">- Themistius, (2014) </w:t>
      </w:r>
      <w:r w:rsidRPr="00C214C5">
        <w:rPr>
          <w:i/>
          <w:iCs/>
        </w:rPr>
        <w:t>Orations</w:t>
      </w:r>
      <w:r w:rsidRPr="00C214C5">
        <w:t>. Translated by Robert J. Penella, University of California Press.</w:t>
      </w:r>
    </w:p>
    <w:p w14:paraId="2F0C4D31" w14:textId="77777777" w:rsidR="002C0F53" w:rsidRPr="00C214C5" w:rsidRDefault="002C0F53" w:rsidP="002C0F53"/>
    <w:p w14:paraId="390E7B27" w14:textId="2DB77299" w:rsidR="00794974" w:rsidRPr="00C214C5" w:rsidRDefault="00794974" w:rsidP="00EB5271"/>
    <w:p w14:paraId="1F06A00D" w14:textId="77777777" w:rsidR="002C0F53" w:rsidRPr="00C214C5" w:rsidRDefault="002C0F53" w:rsidP="00EB5271"/>
    <w:p w14:paraId="3D5B58D2" w14:textId="77777777" w:rsidR="002C0F53" w:rsidRPr="00C214C5" w:rsidRDefault="002C0F53" w:rsidP="00EB5271"/>
    <w:p w14:paraId="505B8470" w14:textId="77777777" w:rsidR="002C0F53" w:rsidRPr="00C214C5" w:rsidRDefault="002C0F53" w:rsidP="00EB5271"/>
    <w:p w14:paraId="783DC93C" w14:textId="77777777" w:rsidR="00794974" w:rsidRPr="00C214C5" w:rsidRDefault="00794974" w:rsidP="00EB5271"/>
    <w:p w14:paraId="2FAF0AE4" w14:textId="77777777" w:rsidR="00794974" w:rsidRPr="00C214C5" w:rsidRDefault="00794974" w:rsidP="00EB5271"/>
    <w:p w14:paraId="6458AA7E" w14:textId="77777777" w:rsidR="00794974" w:rsidRPr="00C214C5" w:rsidRDefault="00794974" w:rsidP="00EB5271"/>
    <w:p w14:paraId="58445BD0" w14:textId="77777777" w:rsidR="00794974" w:rsidRPr="00C214C5" w:rsidRDefault="00794974" w:rsidP="00EB5271"/>
    <w:p w14:paraId="2FC90187" w14:textId="36F298D3" w:rsidR="00794974" w:rsidRPr="00C214C5" w:rsidRDefault="00C04E9F" w:rsidP="00C04E9F">
      <w:pPr>
        <w:pStyle w:val="Heading1"/>
        <w:rPr>
          <w:lang w:val="en-GB"/>
        </w:rPr>
      </w:pPr>
      <w:bookmarkStart w:id="144" w:name="_Toc182111115"/>
      <w:r w:rsidRPr="00C214C5">
        <w:rPr>
          <w:lang w:val="en-GB"/>
        </w:rPr>
        <w:lastRenderedPageBreak/>
        <w:t xml:space="preserve">Appendix </w:t>
      </w:r>
      <w:r w:rsidR="00B8213E">
        <w:rPr>
          <w:lang w:val="en-GB"/>
        </w:rPr>
        <w:t>A</w:t>
      </w:r>
      <w:bookmarkEnd w:id="144"/>
    </w:p>
    <w:p w14:paraId="17BD453F" w14:textId="77777777" w:rsidR="00C04E9F" w:rsidRPr="00C214C5" w:rsidRDefault="00C04E9F" w:rsidP="00C04E9F">
      <w:pPr>
        <w:pStyle w:val="NormalWeb"/>
        <w:spacing w:line="480" w:lineRule="auto"/>
      </w:pPr>
      <w:r w:rsidRPr="00C214C5">
        <w:t>Migration to Constantinople from 300 to 600 AD was driven by several interrelated factors, reflecting the city's political, economic, and cultural prominence. Below are the key drivers:</w:t>
      </w:r>
    </w:p>
    <w:p w14:paraId="180F6B2E" w14:textId="77777777" w:rsidR="00C04E9F" w:rsidRPr="00C214C5" w:rsidRDefault="00C04E9F" w:rsidP="00C04E9F">
      <w:pPr>
        <w:pStyle w:val="Heading2"/>
      </w:pPr>
      <w:bookmarkStart w:id="145" w:name="_Toc182111116"/>
      <w:r w:rsidRPr="00C214C5">
        <w:rPr>
          <w:rStyle w:val="Strong"/>
          <w:b w:val="0"/>
          <w:bCs w:val="0"/>
        </w:rPr>
        <w:t>1. Political Centrality</w:t>
      </w:r>
      <w:bookmarkEnd w:id="145"/>
    </w:p>
    <w:p w14:paraId="228F9037" w14:textId="77777777" w:rsidR="00C04E9F" w:rsidRPr="00C214C5" w:rsidRDefault="00C04E9F" w:rsidP="00C04E9F">
      <w:pPr>
        <w:numPr>
          <w:ilvl w:val="0"/>
          <w:numId w:val="12"/>
        </w:numPr>
        <w:spacing w:before="100" w:beforeAutospacing="1" w:after="100" w:afterAutospacing="1"/>
        <w:jc w:val="left"/>
      </w:pPr>
      <w:r w:rsidRPr="00C214C5">
        <w:rPr>
          <w:rStyle w:val="Strong"/>
        </w:rPr>
        <w:t>Establishment as the Capital</w:t>
      </w:r>
      <w:r w:rsidRPr="00C214C5">
        <w:t>: In 330 AD, Emperor Constantine made Constantinople the capital of the Roman Empire. This brought a surge of administrative, military, and aristocratic migration as officials and their families relocated to be near the imperial court.</w:t>
      </w:r>
    </w:p>
    <w:p w14:paraId="789C52E9" w14:textId="77777777" w:rsidR="00C04E9F" w:rsidRPr="00C214C5" w:rsidRDefault="00C04E9F" w:rsidP="00C04E9F">
      <w:pPr>
        <w:numPr>
          <w:ilvl w:val="0"/>
          <w:numId w:val="12"/>
        </w:numPr>
        <w:spacing w:before="100" w:beforeAutospacing="1" w:after="100" w:afterAutospacing="1"/>
        <w:jc w:val="left"/>
      </w:pPr>
      <w:r w:rsidRPr="00C214C5">
        <w:rPr>
          <w:rStyle w:val="Strong"/>
        </w:rPr>
        <w:t>Defense and Security</w:t>
      </w:r>
      <w:r w:rsidRPr="00C214C5">
        <w:t>: Constantinople's strategic location on the Bosporus Strait and its formidable Theodosian Walls provided safety from barbarian invasions. This made it a refuge for populations fleeing the instability in the Western Roman Empire.</w:t>
      </w:r>
    </w:p>
    <w:p w14:paraId="6238B356" w14:textId="77777777" w:rsidR="00C04E9F" w:rsidRPr="00C214C5" w:rsidRDefault="00C04E9F" w:rsidP="00C04E9F">
      <w:pPr>
        <w:pStyle w:val="Heading2"/>
      </w:pPr>
      <w:bookmarkStart w:id="146" w:name="_Toc182111117"/>
      <w:r w:rsidRPr="00C214C5">
        <w:rPr>
          <w:rStyle w:val="Strong"/>
          <w:b w:val="0"/>
          <w:bCs w:val="0"/>
        </w:rPr>
        <w:t>2. Economic Opportunities</w:t>
      </w:r>
      <w:bookmarkEnd w:id="146"/>
    </w:p>
    <w:p w14:paraId="3444CA00" w14:textId="0A7C38B1" w:rsidR="00C04E9F" w:rsidRPr="00C214C5" w:rsidRDefault="00C04E9F" w:rsidP="00C04E9F">
      <w:pPr>
        <w:numPr>
          <w:ilvl w:val="0"/>
          <w:numId w:val="13"/>
        </w:numPr>
        <w:spacing w:before="100" w:beforeAutospacing="1" w:after="100" w:afterAutospacing="1"/>
        <w:jc w:val="left"/>
      </w:pPr>
      <w:r w:rsidRPr="00C214C5">
        <w:rPr>
          <w:rStyle w:val="Strong"/>
        </w:rPr>
        <w:t>Trade Hub</w:t>
      </w:r>
      <w:r w:rsidRPr="00C214C5">
        <w:t>: Positioned at the crossroads of Europe and Asia, Constantinople became a vital centre for trade. Merchants, artisans, and labourers migrated to benefit from its bustling markets, wealth, and job opportunities.</w:t>
      </w:r>
    </w:p>
    <w:p w14:paraId="4E064115" w14:textId="77777777" w:rsidR="00C04E9F" w:rsidRPr="00C214C5" w:rsidRDefault="00C04E9F" w:rsidP="00C04E9F">
      <w:pPr>
        <w:numPr>
          <w:ilvl w:val="0"/>
          <w:numId w:val="13"/>
        </w:numPr>
        <w:spacing w:before="100" w:beforeAutospacing="1" w:after="100" w:afterAutospacing="1"/>
        <w:jc w:val="left"/>
      </w:pPr>
      <w:r w:rsidRPr="00C214C5">
        <w:rPr>
          <w:rStyle w:val="Strong"/>
        </w:rPr>
        <w:t>Public Works Projects</w:t>
      </w:r>
      <w:r w:rsidRPr="00C214C5">
        <w:t>: Major construction projects, such as the Hagia Sophia, aqueducts, and walls, attracted workers, engineers, and architects from across the empire.</w:t>
      </w:r>
    </w:p>
    <w:p w14:paraId="32913808" w14:textId="77777777" w:rsidR="00C04E9F" w:rsidRPr="00C214C5" w:rsidRDefault="00C04E9F" w:rsidP="00C04E9F">
      <w:pPr>
        <w:pStyle w:val="Heading2"/>
      </w:pPr>
      <w:bookmarkStart w:id="147" w:name="_Toc182111118"/>
      <w:r w:rsidRPr="00C214C5">
        <w:rPr>
          <w:rStyle w:val="Strong"/>
          <w:b w:val="0"/>
          <w:bCs w:val="0"/>
        </w:rPr>
        <w:lastRenderedPageBreak/>
        <w:t>3. Religious Significance</w:t>
      </w:r>
      <w:bookmarkEnd w:id="147"/>
    </w:p>
    <w:p w14:paraId="081F4CFF" w14:textId="0660F2B5" w:rsidR="00C04E9F" w:rsidRPr="00C214C5" w:rsidRDefault="00C04E9F" w:rsidP="00C04E9F">
      <w:pPr>
        <w:numPr>
          <w:ilvl w:val="0"/>
          <w:numId w:val="14"/>
        </w:numPr>
        <w:spacing w:before="100" w:beforeAutospacing="1" w:after="100" w:afterAutospacing="1"/>
        <w:jc w:val="left"/>
      </w:pPr>
      <w:r w:rsidRPr="00C214C5">
        <w:rPr>
          <w:rStyle w:val="Strong"/>
        </w:rPr>
        <w:t>Christian Centre</w:t>
      </w:r>
      <w:r w:rsidRPr="00C214C5">
        <w:t>: As Christianity became the state religion, Constantinople emerged as a religious hub, home to patriarchs, theologians, and scholars. Pilgrims and clergy migrated to participate in its ecclesiastical life and debates.</w:t>
      </w:r>
    </w:p>
    <w:p w14:paraId="33D98E0E" w14:textId="77777777" w:rsidR="00C04E9F" w:rsidRPr="00C214C5" w:rsidRDefault="00C04E9F" w:rsidP="00C04E9F">
      <w:pPr>
        <w:numPr>
          <w:ilvl w:val="0"/>
          <w:numId w:val="14"/>
        </w:numPr>
        <w:spacing w:before="100" w:beforeAutospacing="1" w:after="100" w:afterAutospacing="1"/>
        <w:jc w:val="left"/>
      </w:pPr>
      <w:r w:rsidRPr="00C214C5">
        <w:rPr>
          <w:rStyle w:val="Strong"/>
        </w:rPr>
        <w:t>Religious Institutions</w:t>
      </w:r>
      <w:r w:rsidRPr="00C214C5">
        <w:t>: Churches, monasteries, and charitable institutions created an environment that drew both the devout and those seeking social support.</w:t>
      </w:r>
    </w:p>
    <w:p w14:paraId="6D6D1B0D" w14:textId="77777777" w:rsidR="00C04E9F" w:rsidRPr="00C214C5" w:rsidRDefault="00C04E9F" w:rsidP="00C04E9F">
      <w:pPr>
        <w:pStyle w:val="Heading2"/>
      </w:pPr>
      <w:bookmarkStart w:id="148" w:name="_Toc182111119"/>
      <w:r w:rsidRPr="00C214C5">
        <w:rPr>
          <w:rStyle w:val="Strong"/>
          <w:b w:val="0"/>
          <w:bCs w:val="0"/>
        </w:rPr>
        <w:t>4. Refuge from the Western Roman Empire</w:t>
      </w:r>
      <w:bookmarkEnd w:id="148"/>
    </w:p>
    <w:p w14:paraId="0DB3B7AA" w14:textId="77777777" w:rsidR="00C04E9F" w:rsidRPr="00C214C5" w:rsidRDefault="00C04E9F" w:rsidP="00C04E9F">
      <w:pPr>
        <w:numPr>
          <w:ilvl w:val="0"/>
          <w:numId w:val="15"/>
        </w:numPr>
        <w:spacing w:before="100" w:beforeAutospacing="1" w:after="100" w:afterAutospacing="1"/>
        <w:jc w:val="left"/>
      </w:pPr>
      <w:r w:rsidRPr="00C214C5">
        <w:rPr>
          <w:rStyle w:val="Strong"/>
        </w:rPr>
        <w:t>Barbarian Invasions</w:t>
      </w:r>
      <w:r w:rsidRPr="00C214C5">
        <w:t>: As Rome and other western cities were sacked by Visigoths (410 AD), Vandals (455 AD), and other groups, many elites and commoners fled to Constantinople, seeking stability and safety.</w:t>
      </w:r>
    </w:p>
    <w:p w14:paraId="4299A4A3" w14:textId="2061EFFB" w:rsidR="00C04E9F" w:rsidRPr="00C214C5" w:rsidRDefault="00C04E9F" w:rsidP="00C04E9F">
      <w:pPr>
        <w:numPr>
          <w:ilvl w:val="0"/>
          <w:numId w:val="15"/>
        </w:numPr>
        <w:spacing w:before="100" w:beforeAutospacing="1" w:after="100" w:afterAutospacing="1"/>
        <w:jc w:val="left"/>
      </w:pPr>
      <w:r w:rsidRPr="00C214C5">
        <w:rPr>
          <w:rStyle w:val="Strong"/>
        </w:rPr>
        <w:t>Decline of Rome</w:t>
      </w:r>
      <w:r w:rsidRPr="00C214C5">
        <w:t>: The waning administrative, economic, and military functions of Rome made Constantinople more attractive as the centre of imperial governance.</w:t>
      </w:r>
    </w:p>
    <w:p w14:paraId="153E153C" w14:textId="77777777" w:rsidR="00C04E9F" w:rsidRPr="00C214C5" w:rsidRDefault="00C04E9F" w:rsidP="00C04E9F">
      <w:pPr>
        <w:pStyle w:val="Heading2"/>
      </w:pPr>
      <w:bookmarkStart w:id="149" w:name="_Toc182111120"/>
      <w:r w:rsidRPr="00C214C5">
        <w:rPr>
          <w:rStyle w:val="Strong"/>
          <w:b w:val="0"/>
          <w:bCs w:val="0"/>
        </w:rPr>
        <w:t>5. Plague and Recovery</w:t>
      </w:r>
      <w:bookmarkEnd w:id="149"/>
    </w:p>
    <w:p w14:paraId="09C15B0B" w14:textId="77777777" w:rsidR="00C04E9F" w:rsidRPr="00C214C5" w:rsidRDefault="00C04E9F" w:rsidP="00C04E9F">
      <w:pPr>
        <w:numPr>
          <w:ilvl w:val="0"/>
          <w:numId w:val="16"/>
        </w:numPr>
        <w:spacing w:before="100" w:beforeAutospacing="1" w:after="100" w:afterAutospacing="1"/>
        <w:jc w:val="left"/>
      </w:pPr>
      <w:r w:rsidRPr="00C214C5">
        <w:rPr>
          <w:rStyle w:val="Strong"/>
        </w:rPr>
        <w:t>Plague of Justinian (541–542 AD)</w:t>
      </w:r>
      <w:r w:rsidRPr="00C214C5">
        <w:t>: Although Constantinople suffered heavily, its strategic importance and recovery efforts drew people back to the city after the epidemic.</w:t>
      </w:r>
    </w:p>
    <w:p w14:paraId="59CE69F8" w14:textId="77777777" w:rsidR="00C04E9F" w:rsidRPr="00C214C5" w:rsidRDefault="00C04E9F" w:rsidP="00C04E9F">
      <w:pPr>
        <w:numPr>
          <w:ilvl w:val="0"/>
          <w:numId w:val="16"/>
        </w:numPr>
        <w:spacing w:before="100" w:beforeAutospacing="1" w:after="100" w:afterAutospacing="1"/>
        <w:jc w:val="left"/>
      </w:pPr>
      <w:r w:rsidRPr="00C214C5">
        <w:rPr>
          <w:rStyle w:val="Strong"/>
        </w:rPr>
        <w:t>Rural-to-Urban Migration</w:t>
      </w:r>
      <w:r w:rsidRPr="00C214C5">
        <w:t>: After the plague, depopulated rural areas pushed people into cities like Constantinople, where resources and opportunities were concentrated.</w:t>
      </w:r>
    </w:p>
    <w:p w14:paraId="28CD2EB1" w14:textId="77777777" w:rsidR="00C04E9F" w:rsidRPr="00C214C5" w:rsidRDefault="00C04E9F" w:rsidP="00C04E9F">
      <w:pPr>
        <w:pStyle w:val="Heading2"/>
      </w:pPr>
      <w:bookmarkStart w:id="150" w:name="_Toc182111121"/>
      <w:r w:rsidRPr="00C214C5">
        <w:rPr>
          <w:rStyle w:val="Strong"/>
          <w:b w:val="0"/>
          <w:bCs w:val="0"/>
        </w:rPr>
        <w:lastRenderedPageBreak/>
        <w:t>6. Strategic Geographic Location</w:t>
      </w:r>
      <w:bookmarkEnd w:id="150"/>
    </w:p>
    <w:p w14:paraId="62851204" w14:textId="77777777" w:rsidR="00C04E9F" w:rsidRPr="00C214C5" w:rsidRDefault="00C04E9F" w:rsidP="00C04E9F">
      <w:pPr>
        <w:numPr>
          <w:ilvl w:val="0"/>
          <w:numId w:val="17"/>
        </w:numPr>
        <w:spacing w:before="100" w:beforeAutospacing="1" w:after="100" w:afterAutospacing="1"/>
        <w:jc w:val="left"/>
      </w:pPr>
      <w:r w:rsidRPr="00C214C5">
        <w:rPr>
          <w:rStyle w:val="Strong"/>
        </w:rPr>
        <w:t>Gateway Between Continents</w:t>
      </w:r>
      <w:r w:rsidRPr="00C214C5">
        <w:t>: Constantinople's position on the Bosporus Strait made it a vital node for movement between Europe, Asia, and the Mediterranean. This drew settlers from across the empire and beyond.</w:t>
      </w:r>
    </w:p>
    <w:p w14:paraId="26111BDD" w14:textId="4F454571" w:rsidR="00C04E9F" w:rsidRPr="00C214C5" w:rsidRDefault="00C04E9F" w:rsidP="00C04E9F">
      <w:pPr>
        <w:numPr>
          <w:ilvl w:val="0"/>
          <w:numId w:val="17"/>
        </w:numPr>
        <w:spacing w:before="100" w:beforeAutospacing="1" w:after="100" w:afterAutospacing="1"/>
        <w:jc w:val="left"/>
      </w:pPr>
      <w:r w:rsidRPr="00C214C5">
        <w:rPr>
          <w:rStyle w:val="Strong"/>
        </w:rPr>
        <w:t>Natural Harbors</w:t>
      </w:r>
      <w:r w:rsidRPr="00C214C5">
        <w:t>: The Golden Horn and access to the Aegean Sea enabled Constantinople to thrive as a naval and trade centre, attracting maritime workers and traders.</w:t>
      </w:r>
    </w:p>
    <w:p w14:paraId="76598F26" w14:textId="77777777" w:rsidR="00C04E9F" w:rsidRPr="00C214C5" w:rsidRDefault="00C04E9F" w:rsidP="00C04E9F">
      <w:pPr>
        <w:pStyle w:val="Heading2"/>
      </w:pPr>
      <w:bookmarkStart w:id="151" w:name="_Toc182111122"/>
      <w:r w:rsidRPr="00C214C5">
        <w:rPr>
          <w:rStyle w:val="Strong"/>
          <w:b w:val="0"/>
          <w:bCs w:val="0"/>
        </w:rPr>
        <w:t>7. Imperial Incentives</w:t>
      </w:r>
      <w:bookmarkEnd w:id="151"/>
    </w:p>
    <w:p w14:paraId="64D598DE" w14:textId="77777777" w:rsidR="00C04E9F" w:rsidRPr="00C214C5" w:rsidRDefault="00C04E9F" w:rsidP="00C04E9F">
      <w:pPr>
        <w:numPr>
          <w:ilvl w:val="0"/>
          <w:numId w:val="18"/>
        </w:numPr>
        <w:spacing w:before="100" w:beforeAutospacing="1" w:after="100" w:afterAutospacing="1"/>
        <w:jc w:val="left"/>
      </w:pPr>
      <w:r w:rsidRPr="00C214C5">
        <w:rPr>
          <w:rStyle w:val="Strong"/>
        </w:rPr>
        <w:t>Tax Relief and Land Grants</w:t>
      </w:r>
      <w:r w:rsidRPr="00C214C5">
        <w:t>: To populate the city, emperors offered incentives such as tax breaks, land, and grain subsidies for settlers, particularly under Constantine and his successors.</w:t>
      </w:r>
    </w:p>
    <w:p w14:paraId="7156646C" w14:textId="64332F76" w:rsidR="00C04E9F" w:rsidRPr="00C214C5" w:rsidRDefault="00C04E9F" w:rsidP="00C04E9F">
      <w:pPr>
        <w:numPr>
          <w:ilvl w:val="0"/>
          <w:numId w:val="18"/>
        </w:numPr>
        <w:spacing w:before="100" w:beforeAutospacing="1" w:after="100" w:afterAutospacing="1"/>
        <w:jc w:val="left"/>
      </w:pPr>
      <w:r w:rsidRPr="00C214C5">
        <w:rPr>
          <w:rStyle w:val="Strong"/>
        </w:rPr>
        <w:t>Relocation of Elites</w:t>
      </w:r>
      <w:r w:rsidRPr="00C214C5">
        <w:t>: Nobles, artisans, and military personnel were often encouraged or required to move to Constantinople to bolster its infrastructure and defences.</w:t>
      </w:r>
    </w:p>
    <w:p w14:paraId="27E4ADAF" w14:textId="77777777" w:rsidR="00C04E9F" w:rsidRPr="00C214C5" w:rsidRDefault="00C04E9F" w:rsidP="00C04E9F">
      <w:pPr>
        <w:pStyle w:val="Heading2"/>
      </w:pPr>
      <w:bookmarkStart w:id="152" w:name="_Toc182111123"/>
      <w:r w:rsidRPr="00C214C5">
        <w:rPr>
          <w:rStyle w:val="Strong"/>
          <w:b w:val="0"/>
          <w:bCs w:val="0"/>
        </w:rPr>
        <w:t>8. Cultural and Educational Opportunities</w:t>
      </w:r>
      <w:bookmarkEnd w:id="152"/>
    </w:p>
    <w:p w14:paraId="0AE7D9C2" w14:textId="77777777" w:rsidR="00C04E9F" w:rsidRPr="00C214C5" w:rsidRDefault="00C04E9F" w:rsidP="00C04E9F">
      <w:pPr>
        <w:numPr>
          <w:ilvl w:val="0"/>
          <w:numId w:val="19"/>
        </w:numPr>
        <w:spacing w:before="100" w:beforeAutospacing="1" w:after="100" w:afterAutospacing="1"/>
        <w:jc w:val="left"/>
      </w:pPr>
      <w:r w:rsidRPr="00C214C5">
        <w:rPr>
          <w:rStyle w:val="Strong"/>
        </w:rPr>
        <w:t>Cosmopolitan Appeal</w:t>
      </w:r>
      <w:r w:rsidRPr="00C214C5">
        <w:t>: Constantinople's status as a cultural melting pot made it attractive to scholars, artists, and intellectuals. Its libraries and educational institutions drew students and academics.</w:t>
      </w:r>
    </w:p>
    <w:p w14:paraId="7B99B061" w14:textId="77777777" w:rsidR="00C04E9F" w:rsidRPr="00C214C5" w:rsidRDefault="00C04E9F" w:rsidP="00C04E9F">
      <w:pPr>
        <w:numPr>
          <w:ilvl w:val="0"/>
          <w:numId w:val="19"/>
        </w:numPr>
        <w:spacing w:before="100" w:beforeAutospacing="1" w:after="100" w:afterAutospacing="1"/>
        <w:jc w:val="left"/>
      </w:pPr>
      <w:r w:rsidRPr="00C214C5">
        <w:rPr>
          <w:rStyle w:val="Strong"/>
        </w:rPr>
        <w:t>Imperial Patronage</w:t>
      </w:r>
      <w:r w:rsidRPr="00C214C5">
        <w:t>: The presence of the imperial court provided funding and opportunities for art, architecture, and literature, drawing creatives to the city.</w:t>
      </w:r>
    </w:p>
    <w:p w14:paraId="5B8BA72E" w14:textId="77777777" w:rsidR="00C04E9F" w:rsidRPr="00C214C5" w:rsidRDefault="00C04E9F" w:rsidP="00C04E9F">
      <w:pPr>
        <w:pStyle w:val="Heading2"/>
      </w:pPr>
      <w:bookmarkStart w:id="153" w:name="_Toc182111124"/>
      <w:r w:rsidRPr="00C214C5">
        <w:rPr>
          <w:rStyle w:val="Strong"/>
          <w:b w:val="0"/>
          <w:bCs w:val="0"/>
        </w:rPr>
        <w:lastRenderedPageBreak/>
        <w:t>Summary</w:t>
      </w:r>
      <w:bookmarkEnd w:id="153"/>
    </w:p>
    <w:p w14:paraId="17997C5C" w14:textId="77777777" w:rsidR="00C04E9F" w:rsidRPr="00C214C5" w:rsidRDefault="00C04E9F" w:rsidP="00C04E9F">
      <w:pPr>
        <w:pStyle w:val="NormalWeb"/>
        <w:spacing w:line="480" w:lineRule="auto"/>
      </w:pPr>
      <w:r w:rsidRPr="00C214C5">
        <w:t>The migration to Constantinople was driven by its status as the political, economic, and religious heart of the Eastern Roman Empire, combined with incentives, stability, and opportunities unavailable elsewhere. These factors transformed Constantinople into one of the largest and most significant cities in the ancient world.</w:t>
      </w:r>
    </w:p>
    <w:p w14:paraId="2EA24C28" w14:textId="77777777" w:rsidR="00C04E9F" w:rsidRPr="00C214C5" w:rsidRDefault="00C04E9F" w:rsidP="00C04E9F"/>
    <w:p w14:paraId="058C4160" w14:textId="13DDA482" w:rsidR="00B8213E" w:rsidRDefault="00B8213E">
      <w:pPr>
        <w:spacing w:line="259" w:lineRule="auto"/>
        <w:ind w:firstLine="0"/>
        <w:jc w:val="left"/>
      </w:pPr>
      <w:r>
        <w:br w:type="page"/>
      </w:r>
    </w:p>
    <w:p w14:paraId="0CD8ABE9" w14:textId="7CB47D7B" w:rsidR="00B8213E" w:rsidRPr="00B8213E" w:rsidRDefault="00B8213E" w:rsidP="00B8213E">
      <w:pPr>
        <w:pStyle w:val="Heading1"/>
      </w:pPr>
      <w:bookmarkStart w:id="154" w:name="_Toc182111125"/>
      <w:r>
        <w:lastRenderedPageBreak/>
        <w:t>Appendix B:</w:t>
      </w:r>
      <w:r w:rsidRPr="00B8213E">
        <w:t xml:space="preserve"> Evidence for Birth Rates in the Roman Empire</w:t>
      </w:r>
      <w:bookmarkEnd w:id="154"/>
    </w:p>
    <w:p w14:paraId="6F47BED7" w14:textId="77777777" w:rsidR="00B8213E" w:rsidRPr="00B8213E" w:rsidRDefault="00B8213E" w:rsidP="00B8213E">
      <w:r w:rsidRPr="00B8213E">
        <w:t>The arrival of migrants, including younger individuals and families, infused many regions of the Roman Empire with a younger demographic profile, contrasting with the declining birth rates observed among the native Roman populace. However, it is essential to recognise the limitations of our evidence when discussing birth rates in antiquity. Direct data, such as census records or comprehensive birth registries, do not survive from the Roman Empire, leaving researchers reliant on indirect evidence to reconstruct patterns of reproduction and family size.</w:t>
      </w:r>
    </w:p>
    <w:p w14:paraId="2E713CF6" w14:textId="77777777" w:rsidR="00B8213E" w:rsidRPr="00B8213E" w:rsidRDefault="00B8213E" w:rsidP="00B8213E">
      <w:r w:rsidRPr="00B8213E">
        <w:t>Epigraphic evidence, such as tomb inscriptions, provides a significant yet partial window into birth rates. Inscriptions often list family members, including children, offering insights into the prevalence of large or small families. However, these records are inherently biased, reflecting primarily the lives of individuals wealthy enough to afford monumental inscriptions. For example, inscriptions from Roman North Africa suggest relatively high fertility among rural populations, but these cannot be extrapolated universally across the Empire without considering regional, social, and economic contexts (Scheidel, 2017).</w:t>
      </w:r>
    </w:p>
    <w:p w14:paraId="493C70C6" w14:textId="77777777" w:rsidR="00B8213E" w:rsidRPr="00B8213E" w:rsidRDefault="00B8213E" w:rsidP="00B8213E">
      <w:r w:rsidRPr="00B8213E">
        <w:t>Osteoarchaeological studies of skeletal remains further contribute to our understanding of demographic structures. Age distribution in cemeteries, for instance, can reveal whether a population included a significant proportion of children, potentially indicating higher birth rates. Yet, such evidence must be carefully interpreted, as factors such as infant mortality, disease, and local burial practices can skew the data. For example, the absence of young children in some burial sites may reflect differential burial traditions rather than low birth rates (Redfern, 2010).</w:t>
      </w:r>
    </w:p>
    <w:p w14:paraId="2EBF39BE" w14:textId="77777777" w:rsidR="00B8213E" w:rsidRPr="00B8213E" w:rsidRDefault="00B8213E" w:rsidP="00B8213E">
      <w:r w:rsidRPr="00B8213E">
        <w:t xml:space="preserve">Settlement patterns and household sizes, discerned from archaeological evidence, offer another perspective. The distribution and size of domestic structures can indicate whether a </w:t>
      </w:r>
      <w:r w:rsidRPr="00B8213E">
        <w:lastRenderedPageBreak/>
        <w:t>region supported growing, family-based populations or primarily consisted of smaller households dominated by older individuals. For example, excavations in the Eastern Mediterranean reveal densely packed urban housing that could have accommodated young, expanding families, while rural estates in Italy often reflect declining populations dependent on tenant labourers (</w:t>
      </w:r>
      <w:r w:rsidRPr="00B8213E">
        <w:rPr>
          <w:i/>
          <w:iCs/>
        </w:rPr>
        <w:t>coloni</w:t>
      </w:r>
      <w:r w:rsidRPr="00B8213E">
        <w:t>) rather than reproducing family units (Séguy, 2019).</w:t>
      </w:r>
    </w:p>
    <w:p w14:paraId="7916F161" w14:textId="77777777" w:rsidR="00B8213E" w:rsidRPr="00B8213E" w:rsidRDefault="00B8213E" w:rsidP="00B8213E">
      <w:r w:rsidRPr="00B8213E">
        <w:t>These caveats underscore the challenges of drawing definitive conclusions about birth rates in the Roman Empire. While indirect evidence suggests regional variations—such as potentially higher birth rates in economically stable regions like the Eastern provinces—our understanding remains constrained by the fragmentary nature of the evidence. By integrating multiple sources, including inscriptions, skeletal data, and archaeological evidence, it is possible to build a nuanced picture of demographic patterns, but the interpretation of birth rates must always account for these methodological limitations. This underscores the complexity of demographic studies in antiquity and the need for cautious, context-sensitive analysis.</w:t>
      </w:r>
    </w:p>
    <w:p w14:paraId="38FCB823" w14:textId="41D765FD" w:rsidR="00794974" w:rsidRDefault="006B54E3" w:rsidP="006B54E3">
      <w:pPr>
        <w:pStyle w:val="Heading2"/>
      </w:pPr>
      <w:bookmarkStart w:id="155" w:name="_Toc182111126"/>
      <w:r>
        <w:t>Defining The Native</w:t>
      </w:r>
      <w:bookmarkEnd w:id="155"/>
    </w:p>
    <w:p w14:paraId="3506C131" w14:textId="77777777" w:rsidR="006B54E3" w:rsidRPr="006B54E3" w:rsidRDefault="006B54E3" w:rsidP="006B54E3">
      <w:r w:rsidRPr="006B54E3">
        <w:t xml:space="preserve">In this context, "native" refers broadly to the free inhabitants of the Roman Empire, but this term requires further clarification and contextualisation. The demographic, cultural, and socio-economic conditions across the Empire were highly heterogeneous, resulting in significant regional variations. For instance, the population in </w:t>
      </w:r>
      <w:r w:rsidRPr="006B54E3">
        <w:rPr>
          <w:b/>
          <w:bCs/>
        </w:rPr>
        <w:t>North Africa</w:t>
      </w:r>
      <w:r w:rsidRPr="006B54E3">
        <w:t xml:space="preserve"> included a mix of Roman settlers, indigenous Berber groups, and Punic communities, each with distinct reproductive and settlement patterns. In </w:t>
      </w:r>
      <w:r w:rsidRPr="006B54E3">
        <w:rPr>
          <w:b/>
          <w:bCs/>
        </w:rPr>
        <w:t>Sicily</w:t>
      </w:r>
      <w:r w:rsidRPr="006B54E3">
        <w:t xml:space="preserve"> and </w:t>
      </w:r>
      <w:r w:rsidRPr="006B54E3">
        <w:rPr>
          <w:b/>
          <w:bCs/>
        </w:rPr>
        <w:t>southern Gaul</w:t>
      </w:r>
      <w:r w:rsidRPr="006B54E3">
        <w:t>, Romanisation was more pronounced, with populations more closely integrated into Roman economic and cultural systems, often aligning their demographic behaviours with broader imperial norms.</w:t>
      </w:r>
    </w:p>
    <w:p w14:paraId="5F2E559B" w14:textId="77777777" w:rsidR="006B54E3" w:rsidRPr="006B54E3" w:rsidRDefault="006B54E3" w:rsidP="006B54E3">
      <w:r w:rsidRPr="006B54E3">
        <w:t xml:space="preserve">In contrast, </w:t>
      </w:r>
      <w:r w:rsidRPr="006B54E3">
        <w:rPr>
          <w:b/>
          <w:bCs/>
        </w:rPr>
        <w:t>northern Gaul</w:t>
      </w:r>
      <w:r w:rsidRPr="006B54E3">
        <w:t xml:space="preserve"> exhibited a hybridised population of Romanised locals and recently settled barbarian groups, particularly after the migration period, which brought </w:t>
      </w:r>
      <w:r w:rsidRPr="006B54E3">
        <w:lastRenderedPageBreak/>
        <w:t xml:space="preserve">additional diversity to its demographic structure. </w:t>
      </w:r>
      <w:r w:rsidRPr="006B54E3">
        <w:rPr>
          <w:b/>
          <w:bCs/>
        </w:rPr>
        <w:t>Spain</w:t>
      </w:r>
      <w:r w:rsidRPr="006B54E3">
        <w:t>, with its mix of Roman colonists, indigenous Iberians, and later Visigothic settlements, similarly illustrates how “native” populations cannot be treated as a monolith. These regions also varied significantly in their exposure to Roman law, agricultural practices, and imperial taxation, further shaping local demographic trends.</w:t>
      </w:r>
    </w:p>
    <w:p w14:paraId="212530F3" w14:textId="4B541BB4" w:rsidR="006B54E3" w:rsidRDefault="006B54E3" w:rsidP="00EB5271">
      <w:r w:rsidRPr="006B54E3">
        <w:t>Thus, while the term “native” might suggest a unified population, it obscures the diversity inherent in the Empire’s vast territories. A more accurate analysis would consider the regional complexities of identity, including local traditions, degrees of Romanisation, and socio-political contexts, which all influenced demographic behaviour differently across the provinces. The reproductive patterns and population dynamics of an agricultural community in North Africa would differ markedly from those of an urban artisan class in Sicily or a frontier settlement in northern Gaul. Recognising these distinctions is essential to understanding the true demographic landscape of the Roman Empire.</w:t>
      </w:r>
    </w:p>
    <w:p w14:paraId="150847B7" w14:textId="7F589B98" w:rsidR="003B6826" w:rsidRDefault="003B6826">
      <w:pPr>
        <w:spacing w:line="259" w:lineRule="auto"/>
        <w:ind w:firstLine="0"/>
        <w:jc w:val="left"/>
      </w:pPr>
      <w:r>
        <w:br w:type="page"/>
      </w:r>
    </w:p>
    <w:p w14:paraId="213A20AC" w14:textId="6AF284DF" w:rsidR="003B6826" w:rsidRPr="003B6826" w:rsidRDefault="003B6826" w:rsidP="003B6826">
      <w:pPr>
        <w:pStyle w:val="Heading1"/>
      </w:pPr>
      <w:bookmarkStart w:id="156" w:name="_Toc182111127"/>
      <w:r w:rsidRPr="003B6826">
        <w:lastRenderedPageBreak/>
        <w:t>Appendix</w:t>
      </w:r>
      <w:r>
        <w:t xml:space="preserve"> C</w:t>
      </w:r>
      <w:r w:rsidRPr="003B6826">
        <w:t>: Statistical Analysis and Insights into Socioeconomic Variables Influencing Population Dynamics in Rome (3rd–4th Centuries)</w:t>
      </w:r>
      <w:bookmarkEnd w:id="156"/>
    </w:p>
    <w:p w14:paraId="4E04365B" w14:textId="77777777" w:rsidR="003B6826" w:rsidRPr="003B6826" w:rsidRDefault="003B6826" w:rsidP="003B6826">
      <w:r w:rsidRPr="003B6826">
        <w:t>Statistical analysis provides a robust quantitative framework for investigating the interplay between socioeconomic variables and population dynamics in Rome during the 3rd and 4th centuries. This approach, leveraging modern computational and empirical methods, enables researchers to uncover patterns, correlations, and causal relationships that would otherwise remain obscured in historical and archaeological records. By integrating statistical techniques with epigraphic, osteoarchaeological, and settlement data, new insights have emerged into the demographic and economic trends that shaped Roman society during this transformative period.</w:t>
      </w:r>
    </w:p>
    <w:p w14:paraId="0D005196" w14:textId="77777777" w:rsidR="003B6826" w:rsidRPr="003B6826" w:rsidRDefault="003B6826" w:rsidP="003B6826">
      <w:pPr>
        <w:pStyle w:val="Heading2"/>
      </w:pPr>
      <w:bookmarkStart w:id="157" w:name="_Toc182111128"/>
      <w:r w:rsidRPr="003B6826">
        <w:t>1. Methodology: Statistical Approaches</w:t>
      </w:r>
      <w:bookmarkEnd w:id="157"/>
    </w:p>
    <w:p w14:paraId="6046AA40" w14:textId="77777777" w:rsidR="003B6826" w:rsidRPr="003B6826" w:rsidRDefault="003B6826" w:rsidP="003B6826">
      <w:r w:rsidRPr="003B6826">
        <w:t>Statistical analysis of Roman population data typically involves the following methods:</w:t>
      </w:r>
    </w:p>
    <w:p w14:paraId="11FE5363" w14:textId="77777777" w:rsidR="003B6826" w:rsidRPr="003B6826" w:rsidRDefault="003B6826" w:rsidP="003B6826">
      <w:pPr>
        <w:numPr>
          <w:ilvl w:val="0"/>
          <w:numId w:val="28"/>
        </w:numPr>
      </w:pPr>
      <w:r w:rsidRPr="003B6826">
        <w:rPr>
          <w:b/>
          <w:bCs/>
        </w:rPr>
        <w:t>Demographic Modelling</w:t>
      </w:r>
      <w:r w:rsidRPr="003B6826">
        <w:t>: Researchers utilise probabilistic models to estimate birth rates, mortality rates, and life expectancy based on limited skeletal and epigraphic data (Scheidel, 2017). These models allow for the reconstruction of population structures and the identification of shifts in age distribution over time.</w:t>
      </w:r>
    </w:p>
    <w:p w14:paraId="64D1B349" w14:textId="77777777" w:rsidR="003B6826" w:rsidRPr="003B6826" w:rsidRDefault="003B6826" w:rsidP="003B6826">
      <w:pPr>
        <w:numPr>
          <w:ilvl w:val="0"/>
          <w:numId w:val="28"/>
        </w:numPr>
      </w:pPr>
      <w:r w:rsidRPr="003B6826">
        <w:rPr>
          <w:b/>
          <w:bCs/>
        </w:rPr>
        <w:t>Spatial Analysis</w:t>
      </w:r>
      <w:r w:rsidRPr="003B6826">
        <w:t>: Geographic Information Systems (GIS) and spatial statistics are used to map settlement patterns, revealing correlations between population density and factors such as proximity to trade routes, agricultural productivity, or imperial infrastructure (Verhagen, 2022).</w:t>
      </w:r>
    </w:p>
    <w:p w14:paraId="5BD7EBCF" w14:textId="77777777" w:rsidR="003B6826" w:rsidRPr="003B6826" w:rsidRDefault="003B6826" w:rsidP="003B6826">
      <w:pPr>
        <w:numPr>
          <w:ilvl w:val="0"/>
          <w:numId w:val="28"/>
        </w:numPr>
      </w:pPr>
      <w:r w:rsidRPr="003B6826">
        <w:rPr>
          <w:b/>
          <w:bCs/>
        </w:rPr>
        <w:t>Economic Correlations</w:t>
      </w:r>
      <w:r w:rsidRPr="003B6826">
        <w:t xml:space="preserve">: Statistical regression analyses link indicators like tax records, grain shipments, and production outputs to population changes, providing insights into </w:t>
      </w:r>
      <w:r w:rsidRPr="003B6826">
        <w:lastRenderedPageBreak/>
        <w:t>how economic variables influenced migration, settlement, and urban growth (Brughmans and Wilson, 2022).</w:t>
      </w:r>
    </w:p>
    <w:p w14:paraId="5694DD83" w14:textId="77777777" w:rsidR="003B6826" w:rsidRPr="003B6826" w:rsidRDefault="003B6826" w:rsidP="003B6826">
      <w:pPr>
        <w:pStyle w:val="Heading2"/>
      </w:pPr>
      <w:bookmarkStart w:id="158" w:name="_Toc182111129"/>
      <w:r w:rsidRPr="003B6826">
        <w:t>2. Key Findings from Statistical Research</w:t>
      </w:r>
      <w:bookmarkEnd w:id="158"/>
    </w:p>
    <w:p w14:paraId="2802C9FA" w14:textId="77777777" w:rsidR="003B6826" w:rsidRPr="003B6826" w:rsidRDefault="003B6826" w:rsidP="003B6826">
      <w:pPr>
        <w:numPr>
          <w:ilvl w:val="0"/>
          <w:numId w:val="29"/>
        </w:numPr>
      </w:pPr>
      <w:r w:rsidRPr="003B6826">
        <w:rPr>
          <w:b/>
          <w:bCs/>
        </w:rPr>
        <w:t>Population Redistribution vs. Decline</w:t>
      </w:r>
      <w:r w:rsidRPr="003B6826">
        <w:t>: Statistical studies challenge the traditional narrative of demographic collapse during Late Antiquity. Instead, they highlight the redistribution of populations from the Western provinces to economically stable Eastern regions. For example, modelling based on epigraphic data and settlement patterns demonstrates significant population growth in Constantinople and Asia Minor, juxtaposed with the decline of urban centres like Rome (Lavan, 2019).</w:t>
      </w:r>
    </w:p>
    <w:p w14:paraId="0E0B3811" w14:textId="77777777" w:rsidR="003B6826" w:rsidRPr="003B6826" w:rsidRDefault="003B6826" w:rsidP="003B6826">
      <w:pPr>
        <w:numPr>
          <w:ilvl w:val="0"/>
          <w:numId w:val="29"/>
        </w:numPr>
      </w:pPr>
      <w:r w:rsidRPr="003B6826">
        <w:rPr>
          <w:b/>
          <w:bCs/>
        </w:rPr>
        <w:t>Impact of Wealth Concentration</w:t>
      </w:r>
      <w:r w:rsidRPr="003B6826">
        <w:t>: Statistical analysis has revealed how the concentration of wealth among elites influenced regional demographic trends. Regression models indicate that regions dominated by large estates, such as North Africa and central Italy, experienced population stagnation or decline as smaller landholders were absorbed into estate economies. Conversely, areas with diversified economic activities, such as Asia Minor, maintained more stable population levels due to a balance of rural and urban employment opportunities (Scheidel, 2017).</w:t>
      </w:r>
    </w:p>
    <w:p w14:paraId="5F729926" w14:textId="77777777" w:rsidR="003B6826" w:rsidRPr="003B6826" w:rsidRDefault="003B6826" w:rsidP="003B6826">
      <w:pPr>
        <w:numPr>
          <w:ilvl w:val="0"/>
          <w:numId w:val="29"/>
        </w:numPr>
      </w:pPr>
      <w:r w:rsidRPr="003B6826">
        <w:rPr>
          <w:b/>
          <w:bCs/>
        </w:rPr>
        <w:t>Labour Mobility and Migration</w:t>
      </w:r>
      <w:r w:rsidRPr="003B6826">
        <w:t>: Spatial analyses have identified migration corridors driven by economic incentives, such as proximity to trade routes or construction projects. For instance, GIS mapping of settlement patterns in northern Italy and Asia Minor shows labour movement toward urban centres with imperial investment, such as Brixia and Sardis (Heather, 2005). This migration reshaped population densities, with urban areas experiencing growth at the expense of rural hinterlands.</w:t>
      </w:r>
    </w:p>
    <w:p w14:paraId="4A6A30C1" w14:textId="77777777" w:rsidR="003B6826" w:rsidRPr="003B6826" w:rsidRDefault="003B6826" w:rsidP="003B6826">
      <w:pPr>
        <w:numPr>
          <w:ilvl w:val="0"/>
          <w:numId w:val="29"/>
        </w:numPr>
      </w:pPr>
      <w:r w:rsidRPr="003B6826">
        <w:rPr>
          <w:b/>
          <w:bCs/>
        </w:rPr>
        <w:t>Changing Age Profiles</w:t>
      </w:r>
      <w:r w:rsidRPr="003B6826">
        <w:t xml:space="preserve">: Demographic models based on tomb inscriptions and skeletal remains suggest shifts in age distribution, with some regions showing higher </w:t>
      </w:r>
      <w:r w:rsidRPr="003B6826">
        <w:lastRenderedPageBreak/>
        <w:t>proportions of older populations. This pattern correlates with economic stagnation and declining birth rates in certain Western provinces, while Eastern provinces sustained younger, economically active populations due to migration and imperial policies (Redfern, 2010).</w:t>
      </w:r>
    </w:p>
    <w:p w14:paraId="4E7FEDEB" w14:textId="77777777" w:rsidR="003B6826" w:rsidRPr="003B6826" w:rsidRDefault="003B6826" w:rsidP="003B6826">
      <w:pPr>
        <w:pStyle w:val="Heading2"/>
      </w:pPr>
      <w:bookmarkStart w:id="159" w:name="_Toc182111130"/>
      <w:r w:rsidRPr="003B6826">
        <w:t>3. New Insights from Statistical Research</w:t>
      </w:r>
      <w:bookmarkEnd w:id="159"/>
    </w:p>
    <w:p w14:paraId="1CD7226C" w14:textId="77777777" w:rsidR="003B6826" w:rsidRPr="003B6826" w:rsidRDefault="003B6826" w:rsidP="003B6826">
      <w:pPr>
        <w:numPr>
          <w:ilvl w:val="0"/>
          <w:numId w:val="30"/>
        </w:numPr>
      </w:pPr>
      <w:r w:rsidRPr="003B6826">
        <w:rPr>
          <w:b/>
          <w:bCs/>
        </w:rPr>
        <w:t>Urban Resilience</w:t>
      </w:r>
      <w:r w:rsidRPr="003B6826">
        <w:t>: Statistical data reveal that cities like Constantinople, Antioch, and Alexandria acted as demographic stabilisers, absorbing populations displaced from less prosperous regions. Their growth was underpinned by imperial investment, robust trade networks, and economic diversification (Kelly, 2004).</w:t>
      </w:r>
    </w:p>
    <w:p w14:paraId="045038BE" w14:textId="77777777" w:rsidR="003B6826" w:rsidRPr="003B6826" w:rsidRDefault="003B6826" w:rsidP="003B6826">
      <w:pPr>
        <w:numPr>
          <w:ilvl w:val="0"/>
          <w:numId w:val="30"/>
        </w:numPr>
      </w:pPr>
      <w:r w:rsidRPr="003B6826">
        <w:rPr>
          <w:b/>
          <w:bCs/>
        </w:rPr>
        <w:t>Economic and Environmental Interactions</w:t>
      </w:r>
      <w:r w:rsidRPr="003B6826">
        <w:t>: Statistical models integrating environmental data demonstrate how climate anomalies, such as the Late Antique Little Ice Age, influenced agricultural productivity and, consequently, rural depopulation. This highlights the interconnectedness of environmental and economic factors in shaping demographic trends (Séguy, 2019).</w:t>
      </w:r>
    </w:p>
    <w:p w14:paraId="149D8AA5" w14:textId="77777777" w:rsidR="003B6826" w:rsidRPr="003B6826" w:rsidRDefault="003B6826" w:rsidP="003B6826">
      <w:pPr>
        <w:numPr>
          <w:ilvl w:val="0"/>
          <w:numId w:val="30"/>
        </w:numPr>
      </w:pPr>
      <w:r w:rsidRPr="003B6826">
        <w:rPr>
          <w:b/>
          <w:bCs/>
        </w:rPr>
        <w:t>Disparities in Population Recovery</w:t>
      </w:r>
      <w:r w:rsidRPr="003B6826">
        <w:t>: Statistical comparisons indicate that regions with sustained imperial support, such as Asia Minor and the Eastern Mediterranean, recovered more effectively from shocks like the Plague of Cyprian, compared to the fragmented and resource-depleted Western provinces (Scheidel, 2017).</w:t>
      </w:r>
    </w:p>
    <w:p w14:paraId="7E620068" w14:textId="77777777" w:rsidR="003B6826" w:rsidRPr="003B6826" w:rsidRDefault="003B6826" w:rsidP="003B6826">
      <w:pPr>
        <w:pStyle w:val="Heading2"/>
      </w:pPr>
      <w:bookmarkStart w:id="160" w:name="_Toc182111131"/>
      <w:r w:rsidRPr="003B6826">
        <w:t>4. Limitations and Future Directions</w:t>
      </w:r>
      <w:bookmarkEnd w:id="160"/>
    </w:p>
    <w:p w14:paraId="44C4D767" w14:textId="004B19D5" w:rsidR="003B6826" w:rsidRPr="003B6826" w:rsidRDefault="003B6826" w:rsidP="003B6826">
      <w:r w:rsidRPr="003B6826">
        <w:t>While statistical analysis offers valuable insights, it is constrained by the fragmentary nature of ancient data. Epigraphic records and skeletal samples are geographically and temporally uneven, potentially biasing results. Future research could benefit from expanding datasets through collaborative digitisation efforts and applying machine learning techniques to identify previously unrecognised patterns.</w:t>
      </w:r>
    </w:p>
    <w:p w14:paraId="4E885798" w14:textId="77777777" w:rsidR="003B6826" w:rsidRPr="003B6826" w:rsidRDefault="003B6826" w:rsidP="003B6826">
      <w:pPr>
        <w:pStyle w:val="Heading2"/>
      </w:pPr>
      <w:bookmarkStart w:id="161" w:name="_Toc182111132"/>
      <w:r w:rsidRPr="003B6826">
        <w:lastRenderedPageBreak/>
        <w:t>Conclusion</w:t>
      </w:r>
      <w:bookmarkEnd w:id="161"/>
    </w:p>
    <w:p w14:paraId="5F953F81" w14:textId="77777777" w:rsidR="003B6826" w:rsidRPr="003B6826" w:rsidRDefault="003B6826" w:rsidP="003B6826">
      <w:r w:rsidRPr="003B6826">
        <w:t>Statistical analysis has transformed our understanding of Roman population dynamics during the 3rd and 4th centuries. By integrating quantitative methods with archaeological and historical data, researchers have uncovered nuanced patterns of migration, economic adaptation, and demographic redistribution. These findings challenge older narratives of universal decline, emphasising the resilience and adaptability of certain regions and the critical role of socioeconomic variables in shaping the Empire’s demographic landscape.</w:t>
      </w:r>
    </w:p>
    <w:p w14:paraId="055607BD" w14:textId="18816A2D" w:rsidR="00970997" w:rsidRDefault="00970997">
      <w:pPr>
        <w:spacing w:line="259" w:lineRule="auto"/>
        <w:ind w:firstLine="0"/>
        <w:jc w:val="left"/>
      </w:pPr>
      <w:r>
        <w:br w:type="page"/>
      </w:r>
    </w:p>
    <w:p w14:paraId="2FE7A5AF" w14:textId="77777777" w:rsidR="00970997" w:rsidRPr="00970997" w:rsidRDefault="00970997" w:rsidP="00970997">
      <w:pPr>
        <w:pStyle w:val="Heading1"/>
        <w:rPr>
          <w:rFonts w:eastAsiaTheme="minorHAnsi"/>
        </w:rPr>
      </w:pPr>
      <w:bookmarkStart w:id="162" w:name="_Toc182111133"/>
      <w:r>
        <w:lastRenderedPageBreak/>
        <w:t xml:space="preserve">Appendix D: </w:t>
      </w:r>
      <w:r w:rsidRPr="00970997">
        <w:rPr>
          <w:rFonts w:eastAsiaTheme="minorHAnsi"/>
        </w:rPr>
        <w:t>Detailed Case Study of Sardis in Lydia</w:t>
      </w:r>
      <w:bookmarkEnd w:id="162"/>
    </w:p>
    <w:p w14:paraId="64CBF6A0" w14:textId="77777777" w:rsidR="00970997" w:rsidRPr="00970997" w:rsidRDefault="00970997" w:rsidP="00970997">
      <w:r w:rsidRPr="00970997">
        <w:t>Case studies provide a systematic and in-depth approach to understanding the unique socio-economic and demographic conditions within specific regions or communities of the Roman Empire during the 3rd and 4th centuries. By examining a particular settlement, such as Sardis in Lydia, researchers can uncover localised effects of socioeconomic factors on demographic trends and identify mechanisms driving population shifts. Sardis offers a compelling example of how economic activity, urban infrastructure, and migration influenced population dynamics in the Eastern provinces during Late Antiquity.</w:t>
      </w:r>
    </w:p>
    <w:p w14:paraId="7FC13FF9" w14:textId="77777777" w:rsidR="00970997" w:rsidRPr="00970997" w:rsidRDefault="00970997" w:rsidP="00970997">
      <w:pPr>
        <w:pStyle w:val="Heading2"/>
      </w:pPr>
      <w:bookmarkStart w:id="163" w:name="_Toc182111134"/>
      <w:r w:rsidRPr="00970997">
        <w:t>Sardis: Economic Hub and Demographic Growth</w:t>
      </w:r>
      <w:bookmarkEnd w:id="163"/>
    </w:p>
    <w:p w14:paraId="33C02A38" w14:textId="77777777" w:rsidR="00970997" w:rsidRPr="00970997" w:rsidRDefault="00970997" w:rsidP="00970997">
      <w:r w:rsidRPr="00970997">
        <w:t>Located in the fertile Hermus Valley, Sardis was a prominent urban centre in Asia Minor, benefitting from its position on major trade routes connecting the Eastern Mediterranean to inland regions. The city's prosperity during Late Antiquity was closely tied to its economic diversification, which supported both urban and rural populations. Imperial investment in public infrastructure, such as aqueducts and bathhouses, enhanced Sardis's appeal as a settlement for migrants seeking employment and economic stability (Lavan, 2019).</w:t>
      </w:r>
    </w:p>
    <w:p w14:paraId="6E207C6F" w14:textId="77777777" w:rsidR="00970997" w:rsidRPr="00970997" w:rsidRDefault="00970997" w:rsidP="00970997">
      <w:r w:rsidRPr="00970997">
        <w:t>Archaeological evidence from Sardis demonstrates a well-organised urban layout, including densely packed residential quarters, which reflects its capacity to sustain a growing population. Inscriptions and artefacts from the city suggest the presence of diverse occupations, including merchants, craftsmen, and agricultural labourers. The integration of enslaved individuals and tenant farmers (</w:t>
      </w:r>
      <w:r w:rsidRPr="00970997">
        <w:rPr>
          <w:i/>
          <w:iCs/>
        </w:rPr>
        <w:t>coloni</w:t>
      </w:r>
      <w:r w:rsidRPr="00970997">
        <w:t>) into the city's economy further illustrates the interplay between rural and urban demographics. Many of these labourers migrated to Sardis from less prosperous regions, driven by employment opportunities in industries such as textile production and agriculture (Scheidel, 2017).</w:t>
      </w:r>
    </w:p>
    <w:p w14:paraId="6F52A336" w14:textId="77777777" w:rsidR="00970997" w:rsidRPr="00970997" w:rsidRDefault="00970997" w:rsidP="00970997">
      <w:pPr>
        <w:pStyle w:val="Heading2"/>
      </w:pPr>
      <w:bookmarkStart w:id="164" w:name="_Toc182111135"/>
      <w:r w:rsidRPr="00970997">
        <w:lastRenderedPageBreak/>
        <w:t>Patterns of Migration and Settlement</w:t>
      </w:r>
      <w:bookmarkEnd w:id="164"/>
    </w:p>
    <w:p w14:paraId="504C363E" w14:textId="77777777" w:rsidR="00970997" w:rsidRPr="00970997" w:rsidRDefault="00970997" w:rsidP="00970997">
      <w:r w:rsidRPr="00970997">
        <w:t>One of the most striking demographic trends in Sardis is its ability to attract and integrate migrants, contrasting sharply with the depopulation of Western provinces like Italy and Gaul during the same period. Migration to Sardis was fuelled by:</w:t>
      </w:r>
    </w:p>
    <w:p w14:paraId="16C9CA75" w14:textId="77777777" w:rsidR="00970997" w:rsidRPr="00970997" w:rsidRDefault="00970997" w:rsidP="00970997">
      <w:pPr>
        <w:numPr>
          <w:ilvl w:val="0"/>
          <w:numId w:val="31"/>
        </w:numPr>
      </w:pPr>
      <w:r w:rsidRPr="00970997">
        <w:rPr>
          <w:b/>
          <w:bCs/>
        </w:rPr>
        <w:t>Economic Incentives</w:t>
      </w:r>
      <w:r w:rsidRPr="00970997">
        <w:t>: Sardis's thriving trade networks and industrial base provided stable employment for skilled and unskilled labourers. Evidence from workshop districts, including ceramic and metalworking industries, indicates a steady demand for skilled artisans (Crow, 1995).</w:t>
      </w:r>
    </w:p>
    <w:p w14:paraId="5668AD7D" w14:textId="77777777" w:rsidR="00970997" w:rsidRPr="00970997" w:rsidRDefault="00970997" w:rsidP="00970997">
      <w:pPr>
        <w:numPr>
          <w:ilvl w:val="0"/>
          <w:numId w:val="31"/>
        </w:numPr>
      </w:pPr>
      <w:r w:rsidRPr="00970997">
        <w:rPr>
          <w:b/>
          <w:bCs/>
        </w:rPr>
        <w:t>Imperial Policies</w:t>
      </w:r>
      <w:r w:rsidRPr="00970997">
        <w:t>: The Eastern Roman Empire's focus on maintaining urban centres ensured that Sardis received sustained investment in infrastructure and public amenities, enhancing its attractiveness to migrants (Kelly, 2004).</w:t>
      </w:r>
    </w:p>
    <w:p w14:paraId="08D47D17" w14:textId="77777777" w:rsidR="00970997" w:rsidRPr="00970997" w:rsidRDefault="00970997" w:rsidP="00970997">
      <w:pPr>
        <w:numPr>
          <w:ilvl w:val="0"/>
          <w:numId w:val="31"/>
        </w:numPr>
      </w:pPr>
      <w:r w:rsidRPr="00970997">
        <w:rPr>
          <w:b/>
          <w:bCs/>
        </w:rPr>
        <w:t>Environmental Stability</w:t>
      </w:r>
      <w:r w:rsidRPr="00970997">
        <w:t>: The fertile plains surrounding Sardis supported high agricultural productivity, ensuring food security for both urban and rural populations. This stability contrasted with regions in the West affected by climatic anomalies and declining agricultural output (Sinner and Carreras, 2019).</w:t>
      </w:r>
    </w:p>
    <w:p w14:paraId="5ACF8550" w14:textId="77777777" w:rsidR="00970997" w:rsidRPr="00970997" w:rsidRDefault="00970997" w:rsidP="00970997">
      <w:pPr>
        <w:pStyle w:val="Heading2"/>
      </w:pPr>
      <w:bookmarkStart w:id="165" w:name="_Toc182111136"/>
      <w:r w:rsidRPr="00970997">
        <w:t>Demographic Evidence</w:t>
      </w:r>
      <w:bookmarkEnd w:id="165"/>
    </w:p>
    <w:p w14:paraId="643B6AFF" w14:textId="0B2BC8FB" w:rsidR="00970997" w:rsidRPr="00970997" w:rsidRDefault="00970997" w:rsidP="00970997">
      <w:r w:rsidRPr="00970997">
        <w:t>The demographic profile of Sardis during the 3rd and 4th centuries reflects a relatively young and economically active population. Inscriptions from the city's necropolis indicate multi-generational households, suggesting family-based migration patterns. Additionally, osteoarchaeological evidence reveals lower rates of malnutrition and disease compared to Western provinces, supporting the notion that Sardis offered a stable environment conducive to population growth (Redfern, 2010).</w:t>
      </w:r>
    </w:p>
    <w:p w14:paraId="5684A402" w14:textId="77777777" w:rsidR="00970997" w:rsidRPr="00970997" w:rsidRDefault="00970997" w:rsidP="00970997">
      <w:pPr>
        <w:pStyle w:val="Heading2"/>
      </w:pPr>
      <w:bookmarkStart w:id="166" w:name="_Toc182111137"/>
      <w:r w:rsidRPr="00970997">
        <w:lastRenderedPageBreak/>
        <w:t>Key Insights from Sardis</w:t>
      </w:r>
      <w:bookmarkEnd w:id="166"/>
    </w:p>
    <w:p w14:paraId="3994C5BB" w14:textId="77777777" w:rsidR="00970997" w:rsidRPr="00970997" w:rsidRDefault="00970997" w:rsidP="00970997">
      <w:pPr>
        <w:numPr>
          <w:ilvl w:val="0"/>
          <w:numId w:val="32"/>
        </w:numPr>
      </w:pPr>
      <w:r w:rsidRPr="00970997">
        <w:rPr>
          <w:b/>
          <w:bCs/>
        </w:rPr>
        <w:t>Urban Growth as a Response to Economic Opportunity</w:t>
      </w:r>
      <w:r w:rsidRPr="00970997">
        <w:t>: Sardis exemplifies how economic prosperity in urban centres could offset demographic challenges faced elsewhere in the Empire. Its ability to attract and retain a diverse workforce highlights the critical role of local economies in sustaining population growth.</w:t>
      </w:r>
    </w:p>
    <w:p w14:paraId="1B726B15" w14:textId="77777777" w:rsidR="00970997" w:rsidRPr="00970997" w:rsidRDefault="00970997" w:rsidP="00970997">
      <w:pPr>
        <w:numPr>
          <w:ilvl w:val="0"/>
          <w:numId w:val="32"/>
        </w:numPr>
      </w:pPr>
      <w:r w:rsidRPr="00970997">
        <w:rPr>
          <w:b/>
          <w:bCs/>
        </w:rPr>
        <w:t>Integration of Migrants</w:t>
      </w:r>
      <w:r w:rsidRPr="00970997">
        <w:t>: The city's demographic resilience was underpinned by its capacity to integrate migrants from surrounding regions. This influx not only expanded Sardis's labour force but also reinforced its economic and social networks, ensuring long-term stability.</w:t>
      </w:r>
    </w:p>
    <w:p w14:paraId="24C3D6A5" w14:textId="52B83B9E" w:rsidR="00970997" w:rsidRPr="00970997" w:rsidRDefault="00970997" w:rsidP="00970997">
      <w:pPr>
        <w:numPr>
          <w:ilvl w:val="0"/>
          <w:numId w:val="32"/>
        </w:numPr>
      </w:pPr>
      <w:r w:rsidRPr="00970997">
        <w:rPr>
          <w:b/>
          <w:bCs/>
        </w:rPr>
        <w:t>Contrasts with the West</w:t>
      </w:r>
      <w:r w:rsidRPr="00970997">
        <w:t>: Sardis's growth underscores the stark contrast between the Eastern and Western Roman Empires during Late Antiquity. While Sardis thrived, many Western provinces suffered from depopulation and economic decline, illustrating the uneven distribution of resources and opportunities across the Empire.</w:t>
      </w:r>
    </w:p>
    <w:p w14:paraId="080E5010" w14:textId="77777777" w:rsidR="00970997" w:rsidRPr="00970997" w:rsidRDefault="00970997" w:rsidP="00970997">
      <w:pPr>
        <w:pStyle w:val="Heading2"/>
      </w:pPr>
      <w:bookmarkStart w:id="167" w:name="_Toc182111138"/>
      <w:r w:rsidRPr="00970997">
        <w:t>Conclusion</w:t>
      </w:r>
      <w:bookmarkEnd w:id="167"/>
    </w:p>
    <w:p w14:paraId="28221A4E" w14:textId="77777777" w:rsidR="00970997" w:rsidRPr="00970997" w:rsidRDefault="00970997" w:rsidP="00970997">
      <w:r w:rsidRPr="00970997">
        <w:t>Focusing on Sardis as a detailed case study enriches our understanding of the socio-economic and demographic dynamics of Late Antiquity. The city's economic stability, imperial investment, and capacity to attract migrants demonstrate how localised factors shaped broader population trends. By examining Sardis in depth, researchers can gain valuable insights into the mechanisms driving demographic redistribution and resilience within the Roman Empire.</w:t>
      </w:r>
    </w:p>
    <w:p w14:paraId="37D308CE" w14:textId="3F57E76C" w:rsidR="006B54E3" w:rsidRPr="00C214C5" w:rsidRDefault="006B54E3" w:rsidP="00EB5271"/>
    <w:sectPr w:rsidR="006B54E3" w:rsidRPr="00C214C5">
      <w:footerReference w:type="default" r:id="rId22"/>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comment w:id="133" w:author="Craig S Wright" w:date="2024-11-07T10:33:00Z" w:initials="CW">
    <w:p w14:paraId="73C162A1" w14:textId="77777777" w:rsidR="00A0092F" w:rsidRDefault="00A0092F" w:rsidP="00A0092F">
      <w:pPr>
        <w:pStyle w:val="CommentText"/>
        <w:ind w:firstLine="0"/>
        <w:jc w:val="left"/>
      </w:pPr>
      <w:r>
        <w:rPr>
          <w:rStyle w:val="CommentReference"/>
        </w:rPr>
        <w:annotationRef/>
      </w:r>
      <w:r>
        <w:t>Note - new data and graph to run and replace</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5:commentEx w15:paraId="73C162A1"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cr w16du wp14">
  <w16cex:commentExtensible w16cex:durableId="7DC0523C" w16cex:dateUtc="2024-11-07T10:33: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6cid:commentId w16cid:paraId="73C162A1" w16cid:durableId="7DC0523C"/>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5F993F6" w14:textId="77777777" w:rsidR="0032787B" w:rsidRDefault="0032787B" w:rsidP="00EB5271">
      <w:r>
        <w:separator/>
      </w:r>
    </w:p>
  </w:endnote>
  <w:endnote w:type="continuationSeparator" w:id="0">
    <w:p w14:paraId="2CE667A2" w14:textId="77777777" w:rsidR="0032787B" w:rsidRDefault="0032787B" w:rsidP="00EB5271">
      <w:r>
        <w:continuationSeparator/>
      </w:r>
    </w:p>
  </w:endnote>
  <w:endnote w:type="continuationNotice" w:id="1">
    <w:p w14:paraId="2DD75CAA" w14:textId="77777777" w:rsidR="0032787B" w:rsidRDefault="0032787B" w:rsidP="00EB527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940207828"/>
      <w:docPartObj>
        <w:docPartGallery w:val="Page Numbers (Bottom of Page)"/>
        <w:docPartUnique/>
      </w:docPartObj>
    </w:sdtPr>
    <w:sdtEndPr>
      <w:rPr>
        <w:noProof/>
      </w:rPr>
    </w:sdtEndPr>
    <w:sdtContent>
      <w:p w14:paraId="610011D7" w14:textId="00793D35" w:rsidR="00794974" w:rsidRDefault="00794974" w:rsidP="00EB5271">
        <w:pPr>
          <w:pStyle w:val="Footer"/>
        </w:pPr>
        <w:r>
          <w:fldChar w:fldCharType="begin"/>
        </w:r>
        <w:r>
          <w:instrText xml:space="preserve"> PAGE   \* MERGEFORMAT </w:instrText>
        </w:r>
        <w:r>
          <w:fldChar w:fldCharType="separate"/>
        </w:r>
        <w:r>
          <w:rPr>
            <w:noProof/>
          </w:rPr>
          <w:t>2</w:t>
        </w:r>
        <w:r>
          <w:rPr>
            <w:noProof/>
          </w:rPr>
          <w:fldChar w:fldCharType="end"/>
        </w:r>
      </w:p>
    </w:sdtContent>
  </w:sdt>
  <w:p w14:paraId="28B145D6" w14:textId="77777777" w:rsidR="00BB438E" w:rsidRDefault="00BB438E" w:rsidP="00EB527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DE7DC7B" w14:textId="77777777" w:rsidR="0032787B" w:rsidRDefault="0032787B" w:rsidP="00EB5271">
      <w:r>
        <w:separator/>
      </w:r>
    </w:p>
  </w:footnote>
  <w:footnote w:type="continuationSeparator" w:id="0">
    <w:p w14:paraId="2838383F" w14:textId="77777777" w:rsidR="0032787B" w:rsidRDefault="0032787B" w:rsidP="00EB5271">
      <w:r>
        <w:continuationSeparator/>
      </w:r>
    </w:p>
  </w:footnote>
  <w:footnote w:type="continuationNotice" w:id="1">
    <w:p w14:paraId="1E6ECE9B" w14:textId="77777777" w:rsidR="0032787B" w:rsidRDefault="0032787B" w:rsidP="00EB5271"/>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1C2B11"/>
    <w:multiLevelType w:val="multilevel"/>
    <w:tmpl w:val="D06650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57E630D"/>
    <w:multiLevelType w:val="multilevel"/>
    <w:tmpl w:val="886E62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58B65FA"/>
    <w:multiLevelType w:val="multilevel"/>
    <w:tmpl w:val="EA2AD9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6396307"/>
    <w:multiLevelType w:val="multilevel"/>
    <w:tmpl w:val="A100F2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85A1156"/>
    <w:multiLevelType w:val="multilevel"/>
    <w:tmpl w:val="6AE8DC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C597162"/>
    <w:multiLevelType w:val="multilevel"/>
    <w:tmpl w:val="1FB247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E475D2F"/>
    <w:multiLevelType w:val="multilevel"/>
    <w:tmpl w:val="2E6426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F2D5ADE"/>
    <w:multiLevelType w:val="multilevel"/>
    <w:tmpl w:val="9E12AFC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0FAE428C"/>
    <w:multiLevelType w:val="multilevel"/>
    <w:tmpl w:val="5D9237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6515C65"/>
    <w:multiLevelType w:val="multilevel"/>
    <w:tmpl w:val="92846E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6B83475"/>
    <w:multiLevelType w:val="multilevel"/>
    <w:tmpl w:val="3AB6AB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A3519E6"/>
    <w:multiLevelType w:val="multilevel"/>
    <w:tmpl w:val="A2505516"/>
    <w:lvl w:ilvl="0">
      <w:start w:val="1"/>
      <w:numFmt w:val="decimal"/>
      <w:lvlText w:val="%1."/>
      <w:lvlJc w:val="left"/>
      <w:pPr>
        <w:tabs>
          <w:tab w:val="num" w:pos="1080"/>
        </w:tabs>
        <w:ind w:left="1080" w:hanging="360"/>
      </w:pPr>
    </w:lvl>
    <w:lvl w:ilvl="1" w:tentative="1">
      <w:start w:val="1"/>
      <w:numFmt w:val="decimal"/>
      <w:lvlText w:val="%2."/>
      <w:lvlJc w:val="left"/>
      <w:pPr>
        <w:tabs>
          <w:tab w:val="num" w:pos="1800"/>
        </w:tabs>
        <w:ind w:left="1800" w:hanging="360"/>
      </w:pPr>
    </w:lvl>
    <w:lvl w:ilvl="2" w:tentative="1">
      <w:start w:val="1"/>
      <w:numFmt w:val="decimal"/>
      <w:lvlText w:val="%3."/>
      <w:lvlJc w:val="left"/>
      <w:pPr>
        <w:tabs>
          <w:tab w:val="num" w:pos="2520"/>
        </w:tabs>
        <w:ind w:left="2520" w:hanging="360"/>
      </w:pPr>
    </w:lvl>
    <w:lvl w:ilvl="3" w:tentative="1">
      <w:start w:val="1"/>
      <w:numFmt w:val="decimal"/>
      <w:lvlText w:val="%4."/>
      <w:lvlJc w:val="left"/>
      <w:pPr>
        <w:tabs>
          <w:tab w:val="num" w:pos="3240"/>
        </w:tabs>
        <w:ind w:left="3240" w:hanging="360"/>
      </w:pPr>
    </w:lvl>
    <w:lvl w:ilvl="4" w:tentative="1">
      <w:start w:val="1"/>
      <w:numFmt w:val="decimal"/>
      <w:lvlText w:val="%5."/>
      <w:lvlJc w:val="left"/>
      <w:pPr>
        <w:tabs>
          <w:tab w:val="num" w:pos="3960"/>
        </w:tabs>
        <w:ind w:left="3960" w:hanging="360"/>
      </w:pPr>
    </w:lvl>
    <w:lvl w:ilvl="5" w:tentative="1">
      <w:start w:val="1"/>
      <w:numFmt w:val="decimal"/>
      <w:lvlText w:val="%6."/>
      <w:lvlJc w:val="left"/>
      <w:pPr>
        <w:tabs>
          <w:tab w:val="num" w:pos="4680"/>
        </w:tabs>
        <w:ind w:left="4680" w:hanging="360"/>
      </w:pPr>
    </w:lvl>
    <w:lvl w:ilvl="6" w:tentative="1">
      <w:start w:val="1"/>
      <w:numFmt w:val="decimal"/>
      <w:lvlText w:val="%7."/>
      <w:lvlJc w:val="left"/>
      <w:pPr>
        <w:tabs>
          <w:tab w:val="num" w:pos="5400"/>
        </w:tabs>
        <w:ind w:left="5400" w:hanging="360"/>
      </w:pPr>
    </w:lvl>
    <w:lvl w:ilvl="7" w:tentative="1">
      <w:start w:val="1"/>
      <w:numFmt w:val="decimal"/>
      <w:lvlText w:val="%8."/>
      <w:lvlJc w:val="left"/>
      <w:pPr>
        <w:tabs>
          <w:tab w:val="num" w:pos="6120"/>
        </w:tabs>
        <w:ind w:left="6120" w:hanging="360"/>
      </w:pPr>
    </w:lvl>
    <w:lvl w:ilvl="8" w:tentative="1">
      <w:start w:val="1"/>
      <w:numFmt w:val="decimal"/>
      <w:lvlText w:val="%9."/>
      <w:lvlJc w:val="left"/>
      <w:pPr>
        <w:tabs>
          <w:tab w:val="num" w:pos="6840"/>
        </w:tabs>
        <w:ind w:left="6840" w:hanging="360"/>
      </w:pPr>
    </w:lvl>
  </w:abstractNum>
  <w:abstractNum w:abstractNumId="12" w15:restartNumberingAfterBreak="0">
    <w:nsid w:val="1DB56418"/>
    <w:multiLevelType w:val="hybridMultilevel"/>
    <w:tmpl w:val="55E0CB40"/>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13" w15:restartNumberingAfterBreak="0">
    <w:nsid w:val="22E25D9E"/>
    <w:multiLevelType w:val="multilevel"/>
    <w:tmpl w:val="A7644B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53C3249"/>
    <w:multiLevelType w:val="multilevel"/>
    <w:tmpl w:val="908AA8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69563FA"/>
    <w:multiLevelType w:val="multilevel"/>
    <w:tmpl w:val="7DCC85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27E773D8"/>
    <w:multiLevelType w:val="hybridMultilevel"/>
    <w:tmpl w:val="1BF0482E"/>
    <w:lvl w:ilvl="0" w:tplc="709C6C8E">
      <w:start w:val="1"/>
      <w:numFmt w:val="decimal"/>
      <w:lvlText w:val="%1."/>
      <w:lvlJc w:val="left"/>
      <w:pPr>
        <w:ind w:left="1080" w:hanging="720"/>
      </w:pPr>
      <w:rPr>
        <w:rFonts w:hint="default"/>
      </w:rPr>
    </w:lvl>
    <w:lvl w:ilvl="1" w:tplc="0C090019" w:tentative="1">
      <w:start w:val="1"/>
      <w:numFmt w:val="lowerLetter"/>
      <w:lvlText w:val="%2."/>
      <w:lvlJc w:val="left"/>
      <w:pPr>
        <w:ind w:left="1440" w:hanging="360"/>
      </w:pPr>
    </w:lvl>
    <w:lvl w:ilvl="2" w:tplc="0C09001B" w:tentative="1">
      <w:start w:val="1"/>
      <w:numFmt w:val="lowerRoman"/>
      <w:lvlText w:val="%3."/>
      <w:lvlJc w:val="right"/>
      <w:pPr>
        <w:ind w:left="2160" w:hanging="180"/>
      </w:pPr>
    </w:lvl>
    <w:lvl w:ilvl="3" w:tplc="0C09000F" w:tentative="1">
      <w:start w:val="1"/>
      <w:numFmt w:val="decimal"/>
      <w:lvlText w:val="%4."/>
      <w:lvlJc w:val="left"/>
      <w:pPr>
        <w:ind w:left="2880" w:hanging="360"/>
      </w:pPr>
    </w:lvl>
    <w:lvl w:ilvl="4" w:tplc="0C090019" w:tentative="1">
      <w:start w:val="1"/>
      <w:numFmt w:val="lowerLetter"/>
      <w:lvlText w:val="%5."/>
      <w:lvlJc w:val="left"/>
      <w:pPr>
        <w:ind w:left="3600" w:hanging="360"/>
      </w:pPr>
    </w:lvl>
    <w:lvl w:ilvl="5" w:tplc="0C09001B" w:tentative="1">
      <w:start w:val="1"/>
      <w:numFmt w:val="lowerRoman"/>
      <w:lvlText w:val="%6."/>
      <w:lvlJc w:val="right"/>
      <w:pPr>
        <w:ind w:left="4320" w:hanging="180"/>
      </w:pPr>
    </w:lvl>
    <w:lvl w:ilvl="6" w:tplc="0C09000F" w:tentative="1">
      <w:start w:val="1"/>
      <w:numFmt w:val="decimal"/>
      <w:lvlText w:val="%7."/>
      <w:lvlJc w:val="left"/>
      <w:pPr>
        <w:ind w:left="5040" w:hanging="360"/>
      </w:pPr>
    </w:lvl>
    <w:lvl w:ilvl="7" w:tplc="0C090019" w:tentative="1">
      <w:start w:val="1"/>
      <w:numFmt w:val="lowerLetter"/>
      <w:lvlText w:val="%8."/>
      <w:lvlJc w:val="left"/>
      <w:pPr>
        <w:ind w:left="5760" w:hanging="360"/>
      </w:pPr>
    </w:lvl>
    <w:lvl w:ilvl="8" w:tplc="0C09001B" w:tentative="1">
      <w:start w:val="1"/>
      <w:numFmt w:val="lowerRoman"/>
      <w:lvlText w:val="%9."/>
      <w:lvlJc w:val="right"/>
      <w:pPr>
        <w:ind w:left="6480" w:hanging="180"/>
      </w:pPr>
    </w:lvl>
  </w:abstractNum>
  <w:abstractNum w:abstractNumId="17" w15:restartNumberingAfterBreak="0">
    <w:nsid w:val="2FD116C4"/>
    <w:multiLevelType w:val="multilevel"/>
    <w:tmpl w:val="0DF865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04E5576"/>
    <w:multiLevelType w:val="hybridMultilevel"/>
    <w:tmpl w:val="9CDE732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367A2031"/>
    <w:multiLevelType w:val="multilevel"/>
    <w:tmpl w:val="3DB486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BDB0AF0"/>
    <w:multiLevelType w:val="multilevel"/>
    <w:tmpl w:val="804080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D89797B"/>
    <w:multiLevelType w:val="multilevel"/>
    <w:tmpl w:val="7E5E6C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ED37590"/>
    <w:multiLevelType w:val="multilevel"/>
    <w:tmpl w:val="E1844B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0B34DC7"/>
    <w:multiLevelType w:val="multilevel"/>
    <w:tmpl w:val="0E0E73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1150A13"/>
    <w:multiLevelType w:val="multilevel"/>
    <w:tmpl w:val="4FDE83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44C03022"/>
    <w:multiLevelType w:val="multilevel"/>
    <w:tmpl w:val="729681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9B868FD"/>
    <w:multiLevelType w:val="multilevel"/>
    <w:tmpl w:val="248C64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4B925964"/>
    <w:multiLevelType w:val="multilevel"/>
    <w:tmpl w:val="45985A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4F51111B"/>
    <w:multiLevelType w:val="multilevel"/>
    <w:tmpl w:val="CD282B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53800B0E"/>
    <w:multiLevelType w:val="multilevel"/>
    <w:tmpl w:val="8FCCF8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55575B2"/>
    <w:multiLevelType w:val="multilevel"/>
    <w:tmpl w:val="DF9CE8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556C5CFA"/>
    <w:multiLevelType w:val="hybridMultilevel"/>
    <w:tmpl w:val="E2020AA0"/>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2" w15:restartNumberingAfterBreak="0">
    <w:nsid w:val="57797D23"/>
    <w:multiLevelType w:val="multilevel"/>
    <w:tmpl w:val="D2F6C0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5A886970"/>
    <w:multiLevelType w:val="multilevel"/>
    <w:tmpl w:val="759A38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5F8955DD"/>
    <w:multiLevelType w:val="multilevel"/>
    <w:tmpl w:val="912A7C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61EB3CFF"/>
    <w:multiLevelType w:val="hybridMultilevel"/>
    <w:tmpl w:val="78085BFC"/>
    <w:lvl w:ilvl="0" w:tplc="0C09000F">
      <w:start w:val="1"/>
      <w:numFmt w:val="decimal"/>
      <w:lvlText w:val="%1."/>
      <w:lvlJc w:val="left"/>
      <w:pPr>
        <w:ind w:left="720" w:hanging="360"/>
      </w:pPr>
    </w:lvl>
    <w:lvl w:ilvl="1" w:tplc="0C090019" w:tentative="1">
      <w:start w:val="1"/>
      <w:numFmt w:val="lowerLetter"/>
      <w:lvlText w:val="%2."/>
      <w:lvlJc w:val="left"/>
      <w:pPr>
        <w:ind w:left="1440" w:hanging="360"/>
      </w:pPr>
    </w:lvl>
    <w:lvl w:ilvl="2" w:tplc="0C09001B" w:tentative="1">
      <w:start w:val="1"/>
      <w:numFmt w:val="lowerRoman"/>
      <w:lvlText w:val="%3."/>
      <w:lvlJc w:val="right"/>
      <w:pPr>
        <w:ind w:left="2160" w:hanging="180"/>
      </w:pPr>
    </w:lvl>
    <w:lvl w:ilvl="3" w:tplc="0C09000F" w:tentative="1">
      <w:start w:val="1"/>
      <w:numFmt w:val="decimal"/>
      <w:lvlText w:val="%4."/>
      <w:lvlJc w:val="left"/>
      <w:pPr>
        <w:ind w:left="2880" w:hanging="360"/>
      </w:pPr>
    </w:lvl>
    <w:lvl w:ilvl="4" w:tplc="0C090019" w:tentative="1">
      <w:start w:val="1"/>
      <w:numFmt w:val="lowerLetter"/>
      <w:lvlText w:val="%5."/>
      <w:lvlJc w:val="left"/>
      <w:pPr>
        <w:ind w:left="3600" w:hanging="360"/>
      </w:pPr>
    </w:lvl>
    <w:lvl w:ilvl="5" w:tplc="0C09001B" w:tentative="1">
      <w:start w:val="1"/>
      <w:numFmt w:val="lowerRoman"/>
      <w:lvlText w:val="%6."/>
      <w:lvlJc w:val="right"/>
      <w:pPr>
        <w:ind w:left="4320" w:hanging="180"/>
      </w:pPr>
    </w:lvl>
    <w:lvl w:ilvl="6" w:tplc="0C09000F" w:tentative="1">
      <w:start w:val="1"/>
      <w:numFmt w:val="decimal"/>
      <w:lvlText w:val="%7."/>
      <w:lvlJc w:val="left"/>
      <w:pPr>
        <w:ind w:left="5040" w:hanging="360"/>
      </w:pPr>
    </w:lvl>
    <w:lvl w:ilvl="7" w:tplc="0C090019" w:tentative="1">
      <w:start w:val="1"/>
      <w:numFmt w:val="lowerLetter"/>
      <w:lvlText w:val="%8."/>
      <w:lvlJc w:val="left"/>
      <w:pPr>
        <w:ind w:left="5760" w:hanging="360"/>
      </w:pPr>
    </w:lvl>
    <w:lvl w:ilvl="8" w:tplc="0C09001B" w:tentative="1">
      <w:start w:val="1"/>
      <w:numFmt w:val="lowerRoman"/>
      <w:lvlText w:val="%9."/>
      <w:lvlJc w:val="right"/>
      <w:pPr>
        <w:ind w:left="6480" w:hanging="180"/>
      </w:pPr>
    </w:lvl>
  </w:abstractNum>
  <w:abstractNum w:abstractNumId="36" w15:restartNumberingAfterBreak="0">
    <w:nsid w:val="662C742C"/>
    <w:multiLevelType w:val="multilevel"/>
    <w:tmpl w:val="F72019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682F29A9"/>
    <w:multiLevelType w:val="multilevel"/>
    <w:tmpl w:val="02D86D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6C9C6B27"/>
    <w:multiLevelType w:val="hybridMultilevel"/>
    <w:tmpl w:val="2752F4E0"/>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39" w15:restartNumberingAfterBreak="0">
    <w:nsid w:val="6D52233E"/>
    <w:multiLevelType w:val="multilevel"/>
    <w:tmpl w:val="648E39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6F22324F"/>
    <w:multiLevelType w:val="multilevel"/>
    <w:tmpl w:val="89AE57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77320B41"/>
    <w:multiLevelType w:val="multilevel"/>
    <w:tmpl w:val="B9B60F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78DF5199"/>
    <w:multiLevelType w:val="multilevel"/>
    <w:tmpl w:val="43FEE5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3" w15:restartNumberingAfterBreak="0">
    <w:nsid w:val="7ABF3424"/>
    <w:multiLevelType w:val="multilevel"/>
    <w:tmpl w:val="2FD8BC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7DA27402"/>
    <w:multiLevelType w:val="multilevel"/>
    <w:tmpl w:val="692EA9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019305277">
    <w:abstractNumId w:val="35"/>
  </w:num>
  <w:num w:numId="2" w16cid:durableId="937524576">
    <w:abstractNumId w:val="16"/>
  </w:num>
  <w:num w:numId="3" w16cid:durableId="99380868">
    <w:abstractNumId w:val="38"/>
  </w:num>
  <w:num w:numId="4" w16cid:durableId="710492436">
    <w:abstractNumId w:val="12"/>
  </w:num>
  <w:num w:numId="5" w16cid:durableId="840314240">
    <w:abstractNumId w:val="25"/>
  </w:num>
  <w:num w:numId="6" w16cid:durableId="229972531">
    <w:abstractNumId w:val="7"/>
  </w:num>
  <w:num w:numId="7" w16cid:durableId="367805551">
    <w:abstractNumId w:val="24"/>
  </w:num>
  <w:num w:numId="8" w16cid:durableId="138234705">
    <w:abstractNumId w:val="11"/>
  </w:num>
  <w:num w:numId="9" w16cid:durableId="905258414">
    <w:abstractNumId w:val="28"/>
  </w:num>
  <w:num w:numId="10" w16cid:durableId="398484397">
    <w:abstractNumId w:val="18"/>
  </w:num>
  <w:num w:numId="11" w16cid:durableId="667172149">
    <w:abstractNumId w:val="26"/>
  </w:num>
  <w:num w:numId="12" w16cid:durableId="1679624351">
    <w:abstractNumId w:val="39"/>
  </w:num>
  <w:num w:numId="13" w16cid:durableId="921524736">
    <w:abstractNumId w:val="41"/>
  </w:num>
  <w:num w:numId="14" w16cid:durableId="1023283474">
    <w:abstractNumId w:val="5"/>
  </w:num>
  <w:num w:numId="15" w16cid:durableId="712923562">
    <w:abstractNumId w:val="4"/>
  </w:num>
  <w:num w:numId="16" w16cid:durableId="141123771">
    <w:abstractNumId w:val="1"/>
  </w:num>
  <w:num w:numId="17" w16cid:durableId="1205410425">
    <w:abstractNumId w:val="23"/>
  </w:num>
  <w:num w:numId="18" w16cid:durableId="163280353">
    <w:abstractNumId w:val="20"/>
  </w:num>
  <w:num w:numId="19" w16cid:durableId="669406689">
    <w:abstractNumId w:val="43"/>
  </w:num>
  <w:num w:numId="20" w16cid:durableId="147944314">
    <w:abstractNumId w:val="6"/>
  </w:num>
  <w:num w:numId="21" w16cid:durableId="728921394">
    <w:abstractNumId w:val="29"/>
  </w:num>
  <w:num w:numId="22" w16cid:durableId="992292949">
    <w:abstractNumId w:val="32"/>
  </w:num>
  <w:num w:numId="23" w16cid:durableId="1119951015">
    <w:abstractNumId w:val="44"/>
  </w:num>
  <w:num w:numId="24" w16cid:durableId="1933195704">
    <w:abstractNumId w:val="37"/>
  </w:num>
  <w:num w:numId="25" w16cid:durableId="1402093908">
    <w:abstractNumId w:val="27"/>
  </w:num>
  <w:num w:numId="26" w16cid:durableId="1840074580">
    <w:abstractNumId w:val="33"/>
  </w:num>
  <w:num w:numId="27" w16cid:durableId="2039044788">
    <w:abstractNumId w:val="8"/>
  </w:num>
  <w:num w:numId="28" w16cid:durableId="1665889845">
    <w:abstractNumId w:val="14"/>
  </w:num>
  <w:num w:numId="29" w16cid:durableId="1280841981">
    <w:abstractNumId w:val="15"/>
  </w:num>
  <w:num w:numId="30" w16cid:durableId="957759661">
    <w:abstractNumId w:val="30"/>
  </w:num>
  <w:num w:numId="31" w16cid:durableId="1090195810">
    <w:abstractNumId w:val="42"/>
  </w:num>
  <w:num w:numId="32" w16cid:durableId="793863492">
    <w:abstractNumId w:val="0"/>
  </w:num>
  <w:num w:numId="33" w16cid:durableId="1511330410">
    <w:abstractNumId w:val="9"/>
  </w:num>
  <w:num w:numId="34" w16cid:durableId="1324352708">
    <w:abstractNumId w:val="3"/>
  </w:num>
  <w:num w:numId="35" w16cid:durableId="1637642267">
    <w:abstractNumId w:val="10"/>
  </w:num>
  <w:num w:numId="36" w16cid:durableId="273564190">
    <w:abstractNumId w:val="2"/>
  </w:num>
  <w:num w:numId="37" w16cid:durableId="342902259">
    <w:abstractNumId w:val="21"/>
  </w:num>
  <w:num w:numId="38" w16cid:durableId="20787904">
    <w:abstractNumId w:val="19"/>
  </w:num>
  <w:num w:numId="39" w16cid:durableId="79105554">
    <w:abstractNumId w:val="22"/>
  </w:num>
  <w:num w:numId="40" w16cid:durableId="1336110698">
    <w:abstractNumId w:val="40"/>
  </w:num>
  <w:num w:numId="41" w16cid:durableId="1237476151">
    <w:abstractNumId w:val="17"/>
  </w:num>
  <w:num w:numId="42" w16cid:durableId="1558472664">
    <w:abstractNumId w:val="13"/>
  </w:num>
  <w:num w:numId="43" w16cid:durableId="1164780484">
    <w:abstractNumId w:val="36"/>
  </w:num>
  <w:num w:numId="44" w16cid:durableId="698941689">
    <w:abstractNumId w:val="34"/>
  </w:num>
  <w:num w:numId="45" w16cid:durableId="1137529196">
    <w:abstractNumId w:val="31"/>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5:person w15:author="Craig S Wright">
    <w15:presenceInfo w15:providerId="Windows Live" w15:userId="68e98edce5760610"/>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DIyMTU0tDCzMDAwN7FQ0lEKTi0uzszPAykwMawFAIx5pi4tAAAA"/>
    <w:docVar w:name="dgnword-docGUID" w:val="{9DFEAC04-CD8E-4DFB-B199-239F7EC39CB0}"/>
    <w:docVar w:name="dgnword-eventsink" w:val="2375548376736"/>
  </w:docVars>
  <w:rsids>
    <w:rsidRoot w:val="000A2519"/>
    <w:rsid w:val="0000102A"/>
    <w:rsid w:val="00002109"/>
    <w:rsid w:val="00002263"/>
    <w:rsid w:val="00002433"/>
    <w:rsid w:val="0000394D"/>
    <w:rsid w:val="00003981"/>
    <w:rsid w:val="0000450E"/>
    <w:rsid w:val="00006BD9"/>
    <w:rsid w:val="00010393"/>
    <w:rsid w:val="00010FCB"/>
    <w:rsid w:val="00011AD0"/>
    <w:rsid w:val="00012994"/>
    <w:rsid w:val="00013175"/>
    <w:rsid w:val="000137A8"/>
    <w:rsid w:val="000150B1"/>
    <w:rsid w:val="000165F4"/>
    <w:rsid w:val="00016BFD"/>
    <w:rsid w:val="000170C0"/>
    <w:rsid w:val="00022A33"/>
    <w:rsid w:val="00022E2D"/>
    <w:rsid w:val="0002321B"/>
    <w:rsid w:val="000240FB"/>
    <w:rsid w:val="0002499C"/>
    <w:rsid w:val="00024F22"/>
    <w:rsid w:val="00026B08"/>
    <w:rsid w:val="00026B79"/>
    <w:rsid w:val="00027B0B"/>
    <w:rsid w:val="00027BA5"/>
    <w:rsid w:val="000302D5"/>
    <w:rsid w:val="00030352"/>
    <w:rsid w:val="000305EF"/>
    <w:rsid w:val="00031347"/>
    <w:rsid w:val="00032443"/>
    <w:rsid w:val="00032C32"/>
    <w:rsid w:val="000331BF"/>
    <w:rsid w:val="00033259"/>
    <w:rsid w:val="00034057"/>
    <w:rsid w:val="000358D9"/>
    <w:rsid w:val="00035B2B"/>
    <w:rsid w:val="0003670A"/>
    <w:rsid w:val="000373F9"/>
    <w:rsid w:val="00041433"/>
    <w:rsid w:val="00041485"/>
    <w:rsid w:val="0004216E"/>
    <w:rsid w:val="00043105"/>
    <w:rsid w:val="000431D8"/>
    <w:rsid w:val="00043EED"/>
    <w:rsid w:val="00044164"/>
    <w:rsid w:val="000446AB"/>
    <w:rsid w:val="000449BF"/>
    <w:rsid w:val="00046730"/>
    <w:rsid w:val="00046A4F"/>
    <w:rsid w:val="00046C8A"/>
    <w:rsid w:val="000473B8"/>
    <w:rsid w:val="00047F57"/>
    <w:rsid w:val="0005095B"/>
    <w:rsid w:val="0005115B"/>
    <w:rsid w:val="00051BE0"/>
    <w:rsid w:val="00052026"/>
    <w:rsid w:val="0005209B"/>
    <w:rsid w:val="00052269"/>
    <w:rsid w:val="0005268F"/>
    <w:rsid w:val="00053086"/>
    <w:rsid w:val="00053A89"/>
    <w:rsid w:val="00053CD4"/>
    <w:rsid w:val="00055A86"/>
    <w:rsid w:val="00055AB4"/>
    <w:rsid w:val="0005668A"/>
    <w:rsid w:val="00056F98"/>
    <w:rsid w:val="000576A9"/>
    <w:rsid w:val="00057C48"/>
    <w:rsid w:val="000609AF"/>
    <w:rsid w:val="000618DF"/>
    <w:rsid w:val="000637B2"/>
    <w:rsid w:val="00063E9F"/>
    <w:rsid w:val="00064A6D"/>
    <w:rsid w:val="00064B56"/>
    <w:rsid w:val="000650C0"/>
    <w:rsid w:val="000656C5"/>
    <w:rsid w:val="0006633D"/>
    <w:rsid w:val="00067539"/>
    <w:rsid w:val="00070320"/>
    <w:rsid w:val="00071B6C"/>
    <w:rsid w:val="00071C72"/>
    <w:rsid w:val="00071EB5"/>
    <w:rsid w:val="00071F25"/>
    <w:rsid w:val="00072FF6"/>
    <w:rsid w:val="00074946"/>
    <w:rsid w:val="00076BC1"/>
    <w:rsid w:val="00076D45"/>
    <w:rsid w:val="00076FD1"/>
    <w:rsid w:val="0007787D"/>
    <w:rsid w:val="000779CB"/>
    <w:rsid w:val="00077C25"/>
    <w:rsid w:val="00081F44"/>
    <w:rsid w:val="00082EE9"/>
    <w:rsid w:val="00083037"/>
    <w:rsid w:val="000832ED"/>
    <w:rsid w:val="00083399"/>
    <w:rsid w:val="00083839"/>
    <w:rsid w:val="00084310"/>
    <w:rsid w:val="00084712"/>
    <w:rsid w:val="000873F2"/>
    <w:rsid w:val="00087A5C"/>
    <w:rsid w:val="000906A2"/>
    <w:rsid w:val="00090CC9"/>
    <w:rsid w:val="000914AA"/>
    <w:rsid w:val="00091530"/>
    <w:rsid w:val="000919F3"/>
    <w:rsid w:val="00091C3F"/>
    <w:rsid w:val="00092642"/>
    <w:rsid w:val="00092C1B"/>
    <w:rsid w:val="000933CB"/>
    <w:rsid w:val="00093D19"/>
    <w:rsid w:val="00093E32"/>
    <w:rsid w:val="00094269"/>
    <w:rsid w:val="00095635"/>
    <w:rsid w:val="00095A57"/>
    <w:rsid w:val="00095BA8"/>
    <w:rsid w:val="0009626D"/>
    <w:rsid w:val="00096440"/>
    <w:rsid w:val="000969A1"/>
    <w:rsid w:val="00097965"/>
    <w:rsid w:val="000A02E6"/>
    <w:rsid w:val="000A089F"/>
    <w:rsid w:val="000A1815"/>
    <w:rsid w:val="000A1A4F"/>
    <w:rsid w:val="000A2519"/>
    <w:rsid w:val="000A27C2"/>
    <w:rsid w:val="000A3794"/>
    <w:rsid w:val="000A5A89"/>
    <w:rsid w:val="000A732E"/>
    <w:rsid w:val="000A767E"/>
    <w:rsid w:val="000A7804"/>
    <w:rsid w:val="000B0B3E"/>
    <w:rsid w:val="000B185F"/>
    <w:rsid w:val="000B28E5"/>
    <w:rsid w:val="000B4D3A"/>
    <w:rsid w:val="000B6C62"/>
    <w:rsid w:val="000B6EA0"/>
    <w:rsid w:val="000B6FA9"/>
    <w:rsid w:val="000B730E"/>
    <w:rsid w:val="000B7DC5"/>
    <w:rsid w:val="000C0221"/>
    <w:rsid w:val="000C0EA3"/>
    <w:rsid w:val="000C1B36"/>
    <w:rsid w:val="000C40A9"/>
    <w:rsid w:val="000C4180"/>
    <w:rsid w:val="000C467C"/>
    <w:rsid w:val="000C5291"/>
    <w:rsid w:val="000C5660"/>
    <w:rsid w:val="000C7146"/>
    <w:rsid w:val="000C7D83"/>
    <w:rsid w:val="000D10B9"/>
    <w:rsid w:val="000D12A8"/>
    <w:rsid w:val="000D15AE"/>
    <w:rsid w:val="000D2312"/>
    <w:rsid w:val="000D2F21"/>
    <w:rsid w:val="000D371F"/>
    <w:rsid w:val="000D39D0"/>
    <w:rsid w:val="000D3FB7"/>
    <w:rsid w:val="000D51E1"/>
    <w:rsid w:val="000D5E84"/>
    <w:rsid w:val="000D62C0"/>
    <w:rsid w:val="000D62EA"/>
    <w:rsid w:val="000D679F"/>
    <w:rsid w:val="000D687E"/>
    <w:rsid w:val="000D6914"/>
    <w:rsid w:val="000D6D3D"/>
    <w:rsid w:val="000D7A7B"/>
    <w:rsid w:val="000D7B66"/>
    <w:rsid w:val="000E0F1D"/>
    <w:rsid w:val="000E10B5"/>
    <w:rsid w:val="000E1314"/>
    <w:rsid w:val="000E1816"/>
    <w:rsid w:val="000E20D7"/>
    <w:rsid w:val="000E2203"/>
    <w:rsid w:val="000E26CE"/>
    <w:rsid w:val="000E3621"/>
    <w:rsid w:val="000E3E7A"/>
    <w:rsid w:val="000E427F"/>
    <w:rsid w:val="000E43FC"/>
    <w:rsid w:val="000E48A2"/>
    <w:rsid w:val="000E4CFC"/>
    <w:rsid w:val="000E4D19"/>
    <w:rsid w:val="000E4E6C"/>
    <w:rsid w:val="000E5EBD"/>
    <w:rsid w:val="000E61A8"/>
    <w:rsid w:val="000E6A69"/>
    <w:rsid w:val="000E761A"/>
    <w:rsid w:val="000E7F72"/>
    <w:rsid w:val="000F0668"/>
    <w:rsid w:val="000F0ABD"/>
    <w:rsid w:val="000F0CA3"/>
    <w:rsid w:val="000F1B27"/>
    <w:rsid w:val="000F26B2"/>
    <w:rsid w:val="000F3B6C"/>
    <w:rsid w:val="000F4CC0"/>
    <w:rsid w:val="000F73C0"/>
    <w:rsid w:val="0010042D"/>
    <w:rsid w:val="00100A9B"/>
    <w:rsid w:val="00101542"/>
    <w:rsid w:val="00101B17"/>
    <w:rsid w:val="00102089"/>
    <w:rsid w:val="001020B0"/>
    <w:rsid w:val="00102A83"/>
    <w:rsid w:val="00102F9D"/>
    <w:rsid w:val="001045B4"/>
    <w:rsid w:val="00104701"/>
    <w:rsid w:val="001049AB"/>
    <w:rsid w:val="0010513D"/>
    <w:rsid w:val="00105962"/>
    <w:rsid w:val="00105D34"/>
    <w:rsid w:val="001065EA"/>
    <w:rsid w:val="00106C41"/>
    <w:rsid w:val="00107FD2"/>
    <w:rsid w:val="00111767"/>
    <w:rsid w:val="0011185D"/>
    <w:rsid w:val="0011206D"/>
    <w:rsid w:val="0011277D"/>
    <w:rsid w:val="00112C76"/>
    <w:rsid w:val="00112D1A"/>
    <w:rsid w:val="00112EA4"/>
    <w:rsid w:val="00113009"/>
    <w:rsid w:val="00113D0C"/>
    <w:rsid w:val="0011547D"/>
    <w:rsid w:val="00115B70"/>
    <w:rsid w:val="0011635B"/>
    <w:rsid w:val="0011642B"/>
    <w:rsid w:val="00116C29"/>
    <w:rsid w:val="001213C8"/>
    <w:rsid w:val="0012265D"/>
    <w:rsid w:val="0012279C"/>
    <w:rsid w:val="00122C02"/>
    <w:rsid w:val="00122C54"/>
    <w:rsid w:val="00124072"/>
    <w:rsid w:val="00124EF3"/>
    <w:rsid w:val="0012572F"/>
    <w:rsid w:val="00126D38"/>
    <w:rsid w:val="00126E24"/>
    <w:rsid w:val="00127E94"/>
    <w:rsid w:val="00130832"/>
    <w:rsid w:val="00131C9E"/>
    <w:rsid w:val="00132273"/>
    <w:rsid w:val="00132966"/>
    <w:rsid w:val="0013485F"/>
    <w:rsid w:val="00134C4E"/>
    <w:rsid w:val="00135353"/>
    <w:rsid w:val="001354BB"/>
    <w:rsid w:val="0014026F"/>
    <w:rsid w:val="00140BEE"/>
    <w:rsid w:val="00141128"/>
    <w:rsid w:val="00141C4A"/>
    <w:rsid w:val="0014219C"/>
    <w:rsid w:val="001435DE"/>
    <w:rsid w:val="0014365B"/>
    <w:rsid w:val="00145A92"/>
    <w:rsid w:val="00150422"/>
    <w:rsid w:val="00150866"/>
    <w:rsid w:val="00150F72"/>
    <w:rsid w:val="00151C25"/>
    <w:rsid w:val="00152E57"/>
    <w:rsid w:val="001552A4"/>
    <w:rsid w:val="001554D7"/>
    <w:rsid w:val="0015646C"/>
    <w:rsid w:val="001567A7"/>
    <w:rsid w:val="00156EEE"/>
    <w:rsid w:val="00157724"/>
    <w:rsid w:val="00160D2C"/>
    <w:rsid w:val="0016252C"/>
    <w:rsid w:val="00162A62"/>
    <w:rsid w:val="00162BB9"/>
    <w:rsid w:val="001635F3"/>
    <w:rsid w:val="001637DB"/>
    <w:rsid w:val="00164048"/>
    <w:rsid w:val="0016640A"/>
    <w:rsid w:val="00167249"/>
    <w:rsid w:val="00167495"/>
    <w:rsid w:val="00170501"/>
    <w:rsid w:val="00170724"/>
    <w:rsid w:val="00170846"/>
    <w:rsid w:val="00171211"/>
    <w:rsid w:val="0017146D"/>
    <w:rsid w:val="001724AA"/>
    <w:rsid w:val="0017283C"/>
    <w:rsid w:val="00172CAB"/>
    <w:rsid w:val="001731D6"/>
    <w:rsid w:val="00173C0D"/>
    <w:rsid w:val="0017401E"/>
    <w:rsid w:val="001743BF"/>
    <w:rsid w:val="00175204"/>
    <w:rsid w:val="001756C5"/>
    <w:rsid w:val="00175E58"/>
    <w:rsid w:val="0017615F"/>
    <w:rsid w:val="001764C6"/>
    <w:rsid w:val="00177316"/>
    <w:rsid w:val="00177EF6"/>
    <w:rsid w:val="00180D56"/>
    <w:rsid w:val="00181631"/>
    <w:rsid w:val="00181B36"/>
    <w:rsid w:val="0018201A"/>
    <w:rsid w:val="00182A65"/>
    <w:rsid w:val="00182BD1"/>
    <w:rsid w:val="001832F0"/>
    <w:rsid w:val="0018376F"/>
    <w:rsid w:val="00183883"/>
    <w:rsid w:val="00184741"/>
    <w:rsid w:val="001856EC"/>
    <w:rsid w:val="0018686D"/>
    <w:rsid w:val="00187C29"/>
    <w:rsid w:val="00187D44"/>
    <w:rsid w:val="00191273"/>
    <w:rsid w:val="001914E4"/>
    <w:rsid w:val="00191BF4"/>
    <w:rsid w:val="001942F4"/>
    <w:rsid w:val="00194CEA"/>
    <w:rsid w:val="00195D78"/>
    <w:rsid w:val="00197892"/>
    <w:rsid w:val="00197E8A"/>
    <w:rsid w:val="001A0983"/>
    <w:rsid w:val="001A0D80"/>
    <w:rsid w:val="001A1C3A"/>
    <w:rsid w:val="001A2DE0"/>
    <w:rsid w:val="001A332D"/>
    <w:rsid w:val="001A3D61"/>
    <w:rsid w:val="001A4393"/>
    <w:rsid w:val="001A5AEF"/>
    <w:rsid w:val="001A61F2"/>
    <w:rsid w:val="001A6393"/>
    <w:rsid w:val="001A69C3"/>
    <w:rsid w:val="001A6E68"/>
    <w:rsid w:val="001A72F7"/>
    <w:rsid w:val="001A7FD3"/>
    <w:rsid w:val="001B0D47"/>
    <w:rsid w:val="001B144B"/>
    <w:rsid w:val="001B1C2F"/>
    <w:rsid w:val="001B22B0"/>
    <w:rsid w:val="001B368F"/>
    <w:rsid w:val="001B3A0E"/>
    <w:rsid w:val="001B3FEB"/>
    <w:rsid w:val="001B41BE"/>
    <w:rsid w:val="001B4357"/>
    <w:rsid w:val="001B46CD"/>
    <w:rsid w:val="001B55E3"/>
    <w:rsid w:val="001B64EF"/>
    <w:rsid w:val="001B68D8"/>
    <w:rsid w:val="001B6F8B"/>
    <w:rsid w:val="001B7672"/>
    <w:rsid w:val="001C0442"/>
    <w:rsid w:val="001C1770"/>
    <w:rsid w:val="001C2260"/>
    <w:rsid w:val="001C2354"/>
    <w:rsid w:val="001C2383"/>
    <w:rsid w:val="001C3263"/>
    <w:rsid w:val="001C42D9"/>
    <w:rsid w:val="001C4AD3"/>
    <w:rsid w:val="001C549D"/>
    <w:rsid w:val="001C5E2B"/>
    <w:rsid w:val="001C643B"/>
    <w:rsid w:val="001C6C59"/>
    <w:rsid w:val="001C6E2E"/>
    <w:rsid w:val="001C6F9F"/>
    <w:rsid w:val="001C79F7"/>
    <w:rsid w:val="001D0083"/>
    <w:rsid w:val="001D0322"/>
    <w:rsid w:val="001D0604"/>
    <w:rsid w:val="001D0650"/>
    <w:rsid w:val="001D0CA0"/>
    <w:rsid w:val="001D1002"/>
    <w:rsid w:val="001D29A5"/>
    <w:rsid w:val="001D3EF0"/>
    <w:rsid w:val="001D43A8"/>
    <w:rsid w:val="001D56C0"/>
    <w:rsid w:val="001D5C72"/>
    <w:rsid w:val="001D5EAD"/>
    <w:rsid w:val="001D6015"/>
    <w:rsid w:val="001D6C82"/>
    <w:rsid w:val="001D79BC"/>
    <w:rsid w:val="001D7B17"/>
    <w:rsid w:val="001D7DB3"/>
    <w:rsid w:val="001E083F"/>
    <w:rsid w:val="001E0DED"/>
    <w:rsid w:val="001E17BB"/>
    <w:rsid w:val="001E20F8"/>
    <w:rsid w:val="001E2356"/>
    <w:rsid w:val="001E3507"/>
    <w:rsid w:val="001E43A3"/>
    <w:rsid w:val="001E4CF8"/>
    <w:rsid w:val="001E581D"/>
    <w:rsid w:val="001E59EC"/>
    <w:rsid w:val="001E5C86"/>
    <w:rsid w:val="001E6AA8"/>
    <w:rsid w:val="001E6B99"/>
    <w:rsid w:val="001E6E8B"/>
    <w:rsid w:val="001E7A31"/>
    <w:rsid w:val="001E7FE8"/>
    <w:rsid w:val="001F070F"/>
    <w:rsid w:val="001F1583"/>
    <w:rsid w:val="001F185E"/>
    <w:rsid w:val="001F19DE"/>
    <w:rsid w:val="001F1F59"/>
    <w:rsid w:val="001F232F"/>
    <w:rsid w:val="001F2E05"/>
    <w:rsid w:val="001F2FDF"/>
    <w:rsid w:val="001F3D29"/>
    <w:rsid w:val="001F43F6"/>
    <w:rsid w:val="001F4A53"/>
    <w:rsid w:val="001F4A5F"/>
    <w:rsid w:val="001F56D7"/>
    <w:rsid w:val="001F5948"/>
    <w:rsid w:val="001F5BA9"/>
    <w:rsid w:val="001F5EDE"/>
    <w:rsid w:val="001F613F"/>
    <w:rsid w:val="001F6A30"/>
    <w:rsid w:val="001F6D67"/>
    <w:rsid w:val="001F7CFC"/>
    <w:rsid w:val="001F7E30"/>
    <w:rsid w:val="00201293"/>
    <w:rsid w:val="0020193D"/>
    <w:rsid w:val="00202B78"/>
    <w:rsid w:val="0020363D"/>
    <w:rsid w:val="00204540"/>
    <w:rsid w:val="00204BBC"/>
    <w:rsid w:val="00204E22"/>
    <w:rsid w:val="00205D62"/>
    <w:rsid w:val="00206022"/>
    <w:rsid w:val="0020604F"/>
    <w:rsid w:val="002061CA"/>
    <w:rsid w:val="00206721"/>
    <w:rsid w:val="00207A12"/>
    <w:rsid w:val="00211A1B"/>
    <w:rsid w:val="002125B1"/>
    <w:rsid w:val="00213007"/>
    <w:rsid w:val="0021318F"/>
    <w:rsid w:val="002135E6"/>
    <w:rsid w:val="00213A67"/>
    <w:rsid w:val="002149AE"/>
    <w:rsid w:val="002179CE"/>
    <w:rsid w:val="0022006B"/>
    <w:rsid w:val="00222DB5"/>
    <w:rsid w:val="0022394B"/>
    <w:rsid w:val="00223EF1"/>
    <w:rsid w:val="0022421F"/>
    <w:rsid w:val="00224931"/>
    <w:rsid w:val="00225273"/>
    <w:rsid w:val="002259B1"/>
    <w:rsid w:val="00225A45"/>
    <w:rsid w:val="0022603B"/>
    <w:rsid w:val="00226C8A"/>
    <w:rsid w:val="00227216"/>
    <w:rsid w:val="0022747D"/>
    <w:rsid w:val="00227EB6"/>
    <w:rsid w:val="00230498"/>
    <w:rsid w:val="00230B31"/>
    <w:rsid w:val="00230E44"/>
    <w:rsid w:val="002318BD"/>
    <w:rsid w:val="00231A72"/>
    <w:rsid w:val="00231AFF"/>
    <w:rsid w:val="0023262D"/>
    <w:rsid w:val="00233FD6"/>
    <w:rsid w:val="0023462B"/>
    <w:rsid w:val="00234E8E"/>
    <w:rsid w:val="00235652"/>
    <w:rsid w:val="00235E60"/>
    <w:rsid w:val="00235EA5"/>
    <w:rsid w:val="0023670C"/>
    <w:rsid w:val="00237A37"/>
    <w:rsid w:val="00240FFB"/>
    <w:rsid w:val="00241AF5"/>
    <w:rsid w:val="00242948"/>
    <w:rsid w:val="00243618"/>
    <w:rsid w:val="00244FEC"/>
    <w:rsid w:val="00245321"/>
    <w:rsid w:val="00245498"/>
    <w:rsid w:val="00246F1C"/>
    <w:rsid w:val="00246F54"/>
    <w:rsid w:val="002473C8"/>
    <w:rsid w:val="0024783F"/>
    <w:rsid w:val="00247C1B"/>
    <w:rsid w:val="00247C7C"/>
    <w:rsid w:val="00250A80"/>
    <w:rsid w:val="00250B1B"/>
    <w:rsid w:val="00250D90"/>
    <w:rsid w:val="002512D5"/>
    <w:rsid w:val="0025165C"/>
    <w:rsid w:val="00251865"/>
    <w:rsid w:val="00251CFF"/>
    <w:rsid w:val="0025395B"/>
    <w:rsid w:val="00256919"/>
    <w:rsid w:val="002569BE"/>
    <w:rsid w:val="00256DDB"/>
    <w:rsid w:val="00260651"/>
    <w:rsid w:val="0026114C"/>
    <w:rsid w:val="002617E7"/>
    <w:rsid w:val="00262D2D"/>
    <w:rsid w:val="00262E21"/>
    <w:rsid w:val="0026309E"/>
    <w:rsid w:val="002636AF"/>
    <w:rsid w:val="00264125"/>
    <w:rsid w:val="00264FFF"/>
    <w:rsid w:val="00265023"/>
    <w:rsid w:val="002655B7"/>
    <w:rsid w:val="002659B4"/>
    <w:rsid w:val="00266F79"/>
    <w:rsid w:val="002670E1"/>
    <w:rsid w:val="00267EF7"/>
    <w:rsid w:val="00270132"/>
    <w:rsid w:val="00270A8D"/>
    <w:rsid w:val="00270B84"/>
    <w:rsid w:val="00270C22"/>
    <w:rsid w:val="00270DD3"/>
    <w:rsid w:val="00271532"/>
    <w:rsid w:val="002715DA"/>
    <w:rsid w:val="002722F0"/>
    <w:rsid w:val="0027278A"/>
    <w:rsid w:val="00274206"/>
    <w:rsid w:val="0027448B"/>
    <w:rsid w:val="00274E6B"/>
    <w:rsid w:val="00275C7D"/>
    <w:rsid w:val="002776DC"/>
    <w:rsid w:val="00277A11"/>
    <w:rsid w:val="00277CC5"/>
    <w:rsid w:val="00280848"/>
    <w:rsid w:val="0028218D"/>
    <w:rsid w:val="00282274"/>
    <w:rsid w:val="0028276A"/>
    <w:rsid w:val="0028331F"/>
    <w:rsid w:val="00283D33"/>
    <w:rsid w:val="00285521"/>
    <w:rsid w:val="00286F51"/>
    <w:rsid w:val="0028730E"/>
    <w:rsid w:val="002876FD"/>
    <w:rsid w:val="002877BA"/>
    <w:rsid w:val="00287DDB"/>
    <w:rsid w:val="00290CD7"/>
    <w:rsid w:val="002919E0"/>
    <w:rsid w:val="00292D2C"/>
    <w:rsid w:val="00293218"/>
    <w:rsid w:val="0029353E"/>
    <w:rsid w:val="002941B8"/>
    <w:rsid w:val="002945B9"/>
    <w:rsid w:val="002973C9"/>
    <w:rsid w:val="002A0431"/>
    <w:rsid w:val="002A05E3"/>
    <w:rsid w:val="002A0BE3"/>
    <w:rsid w:val="002A11D2"/>
    <w:rsid w:val="002A1E9B"/>
    <w:rsid w:val="002A2372"/>
    <w:rsid w:val="002A375B"/>
    <w:rsid w:val="002A4CC5"/>
    <w:rsid w:val="002A4FAD"/>
    <w:rsid w:val="002A59DF"/>
    <w:rsid w:val="002A6735"/>
    <w:rsid w:val="002A6A07"/>
    <w:rsid w:val="002A75B0"/>
    <w:rsid w:val="002A77D5"/>
    <w:rsid w:val="002B00FE"/>
    <w:rsid w:val="002B011F"/>
    <w:rsid w:val="002B2AB8"/>
    <w:rsid w:val="002B2B71"/>
    <w:rsid w:val="002B2F45"/>
    <w:rsid w:val="002B3C3F"/>
    <w:rsid w:val="002B3DA3"/>
    <w:rsid w:val="002B5E76"/>
    <w:rsid w:val="002B6E74"/>
    <w:rsid w:val="002C07D0"/>
    <w:rsid w:val="002C0F53"/>
    <w:rsid w:val="002C17B6"/>
    <w:rsid w:val="002C2400"/>
    <w:rsid w:val="002C277C"/>
    <w:rsid w:val="002C2CEE"/>
    <w:rsid w:val="002C2D31"/>
    <w:rsid w:val="002C2D8D"/>
    <w:rsid w:val="002C35CC"/>
    <w:rsid w:val="002C36B7"/>
    <w:rsid w:val="002C3823"/>
    <w:rsid w:val="002C3BA9"/>
    <w:rsid w:val="002C4383"/>
    <w:rsid w:val="002C4AFD"/>
    <w:rsid w:val="002C56BE"/>
    <w:rsid w:val="002C5CF6"/>
    <w:rsid w:val="002C61B1"/>
    <w:rsid w:val="002C6957"/>
    <w:rsid w:val="002C79AE"/>
    <w:rsid w:val="002C7F11"/>
    <w:rsid w:val="002D0EAB"/>
    <w:rsid w:val="002D0F70"/>
    <w:rsid w:val="002D11F4"/>
    <w:rsid w:val="002D1CE4"/>
    <w:rsid w:val="002D1F4C"/>
    <w:rsid w:val="002D2D97"/>
    <w:rsid w:val="002D2F2A"/>
    <w:rsid w:val="002D323C"/>
    <w:rsid w:val="002D3382"/>
    <w:rsid w:val="002D3736"/>
    <w:rsid w:val="002D4059"/>
    <w:rsid w:val="002D4BB8"/>
    <w:rsid w:val="002D4D3B"/>
    <w:rsid w:val="002D6384"/>
    <w:rsid w:val="002D6FDE"/>
    <w:rsid w:val="002D7391"/>
    <w:rsid w:val="002E072D"/>
    <w:rsid w:val="002E0831"/>
    <w:rsid w:val="002E0D4A"/>
    <w:rsid w:val="002E11A1"/>
    <w:rsid w:val="002E1EDC"/>
    <w:rsid w:val="002E2402"/>
    <w:rsid w:val="002E3655"/>
    <w:rsid w:val="002E481D"/>
    <w:rsid w:val="002E49D5"/>
    <w:rsid w:val="002E5D5D"/>
    <w:rsid w:val="002E6C0E"/>
    <w:rsid w:val="002E77C4"/>
    <w:rsid w:val="002F0BE2"/>
    <w:rsid w:val="002F1900"/>
    <w:rsid w:val="002F27D6"/>
    <w:rsid w:val="002F52EF"/>
    <w:rsid w:val="002F55B2"/>
    <w:rsid w:val="002F5601"/>
    <w:rsid w:val="002F5BFB"/>
    <w:rsid w:val="002F687F"/>
    <w:rsid w:val="002F6FD0"/>
    <w:rsid w:val="002F768D"/>
    <w:rsid w:val="00303553"/>
    <w:rsid w:val="0030513E"/>
    <w:rsid w:val="00305227"/>
    <w:rsid w:val="003067CE"/>
    <w:rsid w:val="0031104B"/>
    <w:rsid w:val="00311BAF"/>
    <w:rsid w:val="00312ACA"/>
    <w:rsid w:val="00312C41"/>
    <w:rsid w:val="00313156"/>
    <w:rsid w:val="003138ED"/>
    <w:rsid w:val="0031399E"/>
    <w:rsid w:val="00313B3C"/>
    <w:rsid w:val="00313EF4"/>
    <w:rsid w:val="00314F8E"/>
    <w:rsid w:val="0031538B"/>
    <w:rsid w:val="00315C23"/>
    <w:rsid w:val="00320CC2"/>
    <w:rsid w:val="003214DE"/>
    <w:rsid w:val="00321629"/>
    <w:rsid w:val="00321B82"/>
    <w:rsid w:val="00321B8D"/>
    <w:rsid w:val="00323582"/>
    <w:rsid w:val="00324157"/>
    <w:rsid w:val="00326756"/>
    <w:rsid w:val="0032787B"/>
    <w:rsid w:val="00330CF4"/>
    <w:rsid w:val="00331C66"/>
    <w:rsid w:val="00332404"/>
    <w:rsid w:val="00333124"/>
    <w:rsid w:val="00334EDD"/>
    <w:rsid w:val="00335494"/>
    <w:rsid w:val="00336FD5"/>
    <w:rsid w:val="0033711F"/>
    <w:rsid w:val="00340066"/>
    <w:rsid w:val="00340139"/>
    <w:rsid w:val="0034029A"/>
    <w:rsid w:val="0034153F"/>
    <w:rsid w:val="00341DF4"/>
    <w:rsid w:val="00341E8E"/>
    <w:rsid w:val="00342E05"/>
    <w:rsid w:val="00343FB9"/>
    <w:rsid w:val="003445D8"/>
    <w:rsid w:val="00344A56"/>
    <w:rsid w:val="00345179"/>
    <w:rsid w:val="0034539A"/>
    <w:rsid w:val="003455D9"/>
    <w:rsid w:val="00350E84"/>
    <w:rsid w:val="00351058"/>
    <w:rsid w:val="003515C7"/>
    <w:rsid w:val="00352740"/>
    <w:rsid w:val="003552BE"/>
    <w:rsid w:val="003559F9"/>
    <w:rsid w:val="0035629D"/>
    <w:rsid w:val="00356B51"/>
    <w:rsid w:val="003579A1"/>
    <w:rsid w:val="00360853"/>
    <w:rsid w:val="00360B85"/>
    <w:rsid w:val="00360EE6"/>
    <w:rsid w:val="0036535E"/>
    <w:rsid w:val="0036652F"/>
    <w:rsid w:val="003668CE"/>
    <w:rsid w:val="00366DC5"/>
    <w:rsid w:val="00367B0D"/>
    <w:rsid w:val="003700A5"/>
    <w:rsid w:val="0037040D"/>
    <w:rsid w:val="00370476"/>
    <w:rsid w:val="003705E4"/>
    <w:rsid w:val="00371147"/>
    <w:rsid w:val="00371380"/>
    <w:rsid w:val="00372097"/>
    <w:rsid w:val="00373113"/>
    <w:rsid w:val="003737F3"/>
    <w:rsid w:val="00373EF2"/>
    <w:rsid w:val="00374122"/>
    <w:rsid w:val="00374F83"/>
    <w:rsid w:val="00375C91"/>
    <w:rsid w:val="003765DA"/>
    <w:rsid w:val="00381847"/>
    <w:rsid w:val="00381C7A"/>
    <w:rsid w:val="003824A5"/>
    <w:rsid w:val="00382608"/>
    <w:rsid w:val="003838DB"/>
    <w:rsid w:val="00383E9C"/>
    <w:rsid w:val="003842BE"/>
    <w:rsid w:val="0038654B"/>
    <w:rsid w:val="00386E8F"/>
    <w:rsid w:val="00390790"/>
    <w:rsid w:val="00390B62"/>
    <w:rsid w:val="003912BE"/>
    <w:rsid w:val="00391A9E"/>
    <w:rsid w:val="003920A4"/>
    <w:rsid w:val="0039244A"/>
    <w:rsid w:val="003925B5"/>
    <w:rsid w:val="00393166"/>
    <w:rsid w:val="00393975"/>
    <w:rsid w:val="0039482C"/>
    <w:rsid w:val="00394C94"/>
    <w:rsid w:val="00394E60"/>
    <w:rsid w:val="00394FBB"/>
    <w:rsid w:val="00395AD8"/>
    <w:rsid w:val="00397818"/>
    <w:rsid w:val="00397DA2"/>
    <w:rsid w:val="003A0FBA"/>
    <w:rsid w:val="003A0FC3"/>
    <w:rsid w:val="003A2073"/>
    <w:rsid w:val="003A2B25"/>
    <w:rsid w:val="003A30C3"/>
    <w:rsid w:val="003A39FA"/>
    <w:rsid w:val="003A4631"/>
    <w:rsid w:val="003A6E9F"/>
    <w:rsid w:val="003B0193"/>
    <w:rsid w:val="003B08E3"/>
    <w:rsid w:val="003B0C10"/>
    <w:rsid w:val="003B171E"/>
    <w:rsid w:val="003B32FB"/>
    <w:rsid w:val="003B4970"/>
    <w:rsid w:val="003B5370"/>
    <w:rsid w:val="003B6826"/>
    <w:rsid w:val="003B6CDC"/>
    <w:rsid w:val="003B70DA"/>
    <w:rsid w:val="003C0626"/>
    <w:rsid w:val="003C1580"/>
    <w:rsid w:val="003C1B91"/>
    <w:rsid w:val="003C20B9"/>
    <w:rsid w:val="003C3106"/>
    <w:rsid w:val="003C3167"/>
    <w:rsid w:val="003C31DC"/>
    <w:rsid w:val="003C38C0"/>
    <w:rsid w:val="003C5953"/>
    <w:rsid w:val="003C5BC4"/>
    <w:rsid w:val="003C5F99"/>
    <w:rsid w:val="003C62A2"/>
    <w:rsid w:val="003C650C"/>
    <w:rsid w:val="003C7395"/>
    <w:rsid w:val="003C74BF"/>
    <w:rsid w:val="003C7672"/>
    <w:rsid w:val="003C7B75"/>
    <w:rsid w:val="003D0C4F"/>
    <w:rsid w:val="003D0E1B"/>
    <w:rsid w:val="003D0E57"/>
    <w:rsid w:val="003D17A6"/>
    <w:rsid w:val="003D358D"/>
    <w:rsid w:val="003D38CC"/>
    <w:rsid w:val="003D3C77"/>
    <w:rsid w:val="003D4916"/>
    <w:rsid w:val="003D4A8C"/>
    <w:rsid w:val="003D5056"/>
    <w:rsid w:val="003D566E"/>
    <w:rsid w:val="003D62B6"/>
    <w:rsid w:val="003D6A38"/>
    <w:rsid w:val="003D7D4B"/>
    <w:rsid w:val="003D7E0F"/>
    <w:rsid w:val="003E1040"/>
    <w:rsid w:val="003E182E"/>
    <w:rsid w:val="003E2CF5"/>
    <w:rsid w:val="003E361A"/>
    <w:rsid w:val="003E4655"/>
    <w:rsid w:val="003E4684"/>
    <w:rsid w:val="003E4A91"/>
    <w:rsid w:val="003E4ACE"/>
    <w:rsid w:val="003E7155"/>
    <w:rsid w:val="003E7790"/>
    <w:rsid w:val="003F0507"/>
    <w:rsid w:val="003F1462"/>
    <w:rsid w:val="003F1A8A"/>
    <w:rsid w:val="003F27AA"/>
    <w:rsid w:val="003F2BD7"/>
    <w:rsid w:val="003F3F4B"/>
    <w:rsid w:val="003F4047"/>
    <w:rsid w:val="003F5117"/>
    <w:rsid w:val="003F7167"/>
    <w:rsid w:val="003F7278"/>
    <w:rsid w:val="003F744F"/>
    <w:rsid w:val="004008B5"/>
    <w:rsid w:val="00401EAB"/>
    <w:rsid w:val="004030B6"/>
    <w:rsid w:val="0040314C"/>
    <w:rsid w:val="00403A61"/>
    <w:rsid w:val="00403BDC"/>
    <w:rsid w:val="004046EC"/>
    <w:rsid w:val="00404999"/>
    <w:rsid w:val="00404A4F"/>
    <w:rsid w:val="004060F9"/>
    <w:rsid w:val="0040647F"/>
    <w:rsid w:val="00406611"/>
    <w:rsid w:val="00410F5B"/>
    <w:rsid w:val="00411310"/>
    <w:rsid w:val="004118EC"/>
    <w:rsid w:val="0041237F"/>
    <w:rsid w:val="0041291E"/>
    <w:rsid w:val="00412B34"/>
    <w:rsid w:val="00412DB3"/>
    <w:rsid w:val="00412EC7"/>
    <w:rsid w:val="00412F06"/>
    <w:rsid w:val="00413858"/>
    <w:rsid w:val="00414211"/>
    <w:rsid w:val="00415363"/>
    <w:rsid w:val="0041567C"/>
    <w:rsid w:val="0041678B"/>
    <w:rsid w:val="00416EB0"/>
    <w:rsid w:val="004173DB"/>
    <w:rsid w:val="004202FE"/>
    <w:rsid w:val="0042073B"/>
    <w:rsid w:val="0042176C"/>
    <w:rsid w:val="00421AB8"/>
    <w:rsid w:val="00421ABF"/>
    <w:rsid w:val="00421CFB"/>
    <w:rsid w:val="00422724"/>
    <w:rsid w:val="00423A5F"/>
    <w:rsid w:val="00423B01"/>
    <w:rsid w:val="004251F0"/>
    <w:rsid w:val="0042557D"/>
    <w:rsid w:val="00425AE5"/>
    <w:rsid w:val="004263E2"/>
    <w:rsid w:val="004268B0"/>
    <w:rsid w:val="0042702E"/>
    <w:rsid w:val="00427630"/>
    <w:rsid w:val="004307F6"/>
    <w:rsid w:val="00431F06"/>
    <w:rsid w:val="00433F14"/>
    <w:rsid w:val="004342E0"/>
    <w:rsid w:val="00434C9E"/>
    <w:rsid w:val="00434DA3"/>
    <w:rsid w:val="00435E05"/>
    <w:rsid w:val="00435F80"/>
    <w:rsid w:val="00436CBD"/>
    <w:rsid w:val="004405BF"/>
    <w:rsid w:val="004409F9"/>
    <w:rsid w:val="00441C8E"/>
    <w:rsid w:val="00442783"/>
    <w:rsid w:val="00444167"/>
    <w:rsid w:val="00444B11"/>
    <w:rsid w:val="004451E7"/>
    <w:rsid w:val="00445391"/>
    <w:rsid w:val="0044653D"/>
    <w:rsid w:val="00447E7F"/>
    <w:rsid w:val="00450198"/>
    <w:rsid w:val="0045022E"/>
    <w:rsid w:val="0045147D"/>
    <w:rsid w:val="00451F3A"/>
    <w:rsid w:val="00451FAA"/>
    <w:rsid w:val="0045225D"/>
    <w:rsid w:val="00453354"/>
    <w:rsid w:val="00453784"/>
    <w:rsid w:val="004544E4"/>
    <w:rsid w:val="004548AD"/>
    <w:rsid w:val="00454A8E"/>
    <w:rsid w:val="00454F5A"/>
    <w:rsid w:val="00456521"/>
    <w:rsid w:val="00456BA9"/>
    <w:rsid w:val="004570A5"/>
    <w:rsid w:val="004611B4"/>
    <w:rsid w:val="004612CD"/>
    <w:rsid w:val="00461C1B"/>
    <w:rsid w:val="00461DE9"/>
    <w:rsid w:val="00463201"/>
    <w:rsid w:val="00463571"/>
    <w:rsid w:val="00463850"/>
    <w:rsid w:val="00464EB8"/>
    <w:rsid w:val="00464F52"/>
    <w:rsid w:val="0046685B"/>
    <w:rsid w:val="00470F78"/>
    <w:rsid w:val="00472351"/>
    <w:rsid w:val="004726DE"/>
    <w:rsid w:val="00472E32"/>
    <w:rsid w:val="00472FFE"/>
    <w:rsid w:val="00473CEA"/>
    <w:rsid w:val="00474425"/>
    <w:rsid w:val="00476E42"/>
    <w:rsid w:val="004771A0"/>
    <w:rsid w:val="00477909"/>
    <w:rsid w:val="00477C5C"/>
    <w:rsid w:val="0048119A"/>
    <w:rsid w:val="004830FE"/>
    <w:rsid w:val="004833D5"/>
    <w:rsid w:val="00484AD3"/>
    <w:rsid w:val="00484E9B"/>
    <w:rsid w:val="00484EC1"/>
    <w:rsid w:val="00485F7A"/>
    <w:rsid w:val="00486020"/>
    <w:rsid w:val="0048637B"/>
    <w:rsid w:val="004867AF"/>
    <w:rsid w:val="00486A56"/>
    <w:rsid w:val="00487077"/>
    <w:rsid w:val="00487117"/>
    <w:rsid w:val="0048731B"/>
    <w:rsid w:val="00487C0C"/>
    <w:rsid w:val="00487DEA"/>
    <w:rsid w:val="00487E06"/>
    <w:rsid w:val="0049020F"/>
    <w:rsid w:val="00490501"/>
    <w:rsid w:val="0049051F"/>
    <w:rsid w:val="004915AE"/>
    <w:rsid w:val="004939B3"/>
    <w:rsid w:val="00495B4A"/>
    <w:rsid w:val="00496198"/>
    <w:rsid w:val="00496C07"/>
    <w:rsid w:val="00496CFF"/>
    <w:rsid w:val="00497AA0"/>
    <w:rsid w:val="004A07F6"/>
    <w:rsid w:val="004A0DCF"/>
    <w:rsid w:val="004A4101"/>
    <w:rsid w:val="004A4533"/>
    <w:rsid w:val="004A5967"/>
    <w:rsid w:val="004A5D99"/>
    <w:rsid w:val="004A65C2"/>
    <w:rsid w:val="004A75FD"/>
    <w:rsid w:val="004B045C"/>
    <w:rsid w:val="004B19C5"/>
    <w:rsid w:val="004B297B"/>
    <w:rsid w:val="004B2A98"/>
    <w:rsid w:val="004B331E"/>
    <w:rsid w:val="004B3ED2"/>
    <w:rsid w:val="004B4264"/>
    <w:rsid w:val="004B4F36"/>
    <w:rsid w:val="004B522B"/>
    <w:rsid w:val="004B57BB"/>
    <w:rsid w:val="004B58EF"/>
    <w:rsid w:val="004B5A0A"/>
    <w:rsid w:val="004B5C33"/>
    <w:rsid w:val="004B6BBA"/>
    <w:rsid w:val="004B6E3F"/>
    <w:rsid w:val="004B6E92"/>
    <w:rsid w:val="004C0674"/>
    <w:rsid w:val="004C16E8"/>
    <w:rsid w:val="004C267C"/>
    <w:rsid w:val="004C317D"/>
    <w:rsid w:val="004C4057"/>
    <w:rsid w:val="004C4EE7"/>
    <w:rsid w:val="004C6C1D"/>
    <w:rsid w:val="004D01B4"/>
    <w:rsid w:val="004D22FC"/>
    <w:rsid w:val="004D28F8"/>
    <w:rsid w:val="004D3282"/>
    <w:rsid w:val="004D394A"/>
    <w:rsid w:val="004D417A"/>
    <w:rsid w:val="004D49A3"/>
    <w:rsid w:val="004D60CC"/>
    <w:rsid w:val="004D6EDB"/>
    <w:rsid w:val="004E1164"/>
    <w:rsid w:val="004E1636"/>
    <w:rsid w:val="004E2D72"/>
    <w:rsid w:val="004E3736"/>
    <w:rsid w:val="004E39E3"/>
    <w:rsid w:val="004E47D1"/>
    <w:rsid w:val="004E500F"/>
    <w:rsid w:val="004E5619"/>
    <w:rsid w:val="004E576F"/>
    <w:rsid w:val="004E5C54"/>
    <w:rsid w:val="004E65F3"/>
    <w:rsid w:val="004E6858"/>
    <w:rsid w:val="004E6D89"/>
    <w:rsid w:val="004E7BC2"/>
    <w:rsid w:val="004F06AF"/>
    <w:rsid w:val="004F0F6A"/>
    <w:rsid w:val="004F4802"/>
    <w:rsid w:val="004F4A3B"/>
    <w:rsid w:val="004F4E33"/>
    <w:rsid w:val="004F5D3F"/>
    <w:rsid w:val="004F6513"/>
    <w:rsid w:val="004F67B6"/>
    <w:rsid w:val="004F70DB"/>
    <w:rsid w:val="004F7F0F"/>
    <w:rsid w:val="0050032F"/>
    <w:rsid w:val="00500D42"/>
    <w:rsid w:val="0050174A"/>
    <w:rsid w:val="005025D3"/>
    <w:rsid w:val="00502940"/>
    <w:rsid w:val="00502C2A"/>
    <w:rsid w:val="00502FFA"/>
    <w:rsid w:val="00503825"/>
    <w:rsid w:val="005039C6"/>
    <w:rsid w:val="00503D88"/>
    <w:rsid w:val="00503E81"/>
    <w:rsid w:val="00505863"/>
    <w:rsid w:val="00506F76"/>
    <w:rsid w:val="00507ABE"/>
    <w:rsid w:val="00511186"/>
    <w:rsid w:val="005121A3"/>
    <w:rsid w:val="0051245C"/>
    <w:rsid w:val="0051254F"/>
    <w:rsid w:val="00512772"/>
    <w:rsid w:val="00512B08"/>
    <w:rsid w:val="00513832"/>
    <w:rsid w:val="0051395B"/>
    <w:rsid w:val="00515BE0"/>
    <w:rsid w:val="00520CD0"/>
    <w:rsid w:val="00520D75"/>
    <w:rsid w:val="005225CC"/>
    <w:rsid w:val="00522F89"/>
    <w:rsid w:val="00522FA7"/>
    <w:rsid w:val="005230BF"/>
    <w:rsid w:val="00523D94"/>
    <w:rsid w:val="0052598F"/>
    <w:rsid w:val="00526002"/>
    <w:rsid w:val="00526DDF"/>
    <w:rsid w:val="00530F2B"/>
    <w:rsid w:val="0053170B"/>
    <w:rsid w:val="005322D9"/>
    <w:rsid w:val="00533040"/>
    <w:rsid w:val="005330DF"/>
    <w:rsid w:val="0053331B"/>
    <w:rsid w:val="005335A4"/>
    <w:rsid w:val="00533D67"/>
    <w:rsid w:val="00535244"/>
    <w:rsid w:val="005364B1"/>
    <w:rsid w:val="00536CC8"/>
    <w:rsid w:val="005375A5"/>
    <w:rsid w:val="0053782E"/>
    <w:rsid w:val="00540A41"/>
    <w:rsid w:val="005415E7"/>
    <w:rsid w:val="00541773"/>
    <w:rsid w:val="00541F9A"/>
    <w:rsid w:val="005427CD"/>
    <w:rsid w:val="00543B76"/>
    <w:rsid w:val="00543F12"/>
    <w:rsid w:val="005449ED"/>
    <w:rsid w:val="00544D50"/>
    <w:rsid w:val="005452E2"/>
    <w:rsid w:val="00545FD1"/>
    <w:rsid w:val="005466FE"/>
    <w:rsid w:val="00547BC4"/>
    <w:rsid w:val="00550A10"/>
    <w:rsid w:val="00550C3A"/>
    <w:rsid w:val="00550E71"/>
    <w:rsid w:val="005513DD"/>
    <w:rsid w:val="00553118"/>
    <w:rsid w:val="0055321A"/>
    <w:rsid w:val="005541E9"/>
    <w:rsid w:val="00554221"/>
    <w:rsid w:val="005544D5"/>
    <w:rsid w:val="005549DB"/>
    <w:rsid w:val="0055722B"/>
    <w:rsid w:val="00557EFB"/>
    <w:rsid w:val="005600A0"/>
    <w:rsid w:val="00560B38"/>
    <w:rsid w:val="00560C06"/>
    <w:rsid w:val="00561005"/>
    <w:rsid w:val="00562886"/>
    <w:rsid w:val="005628B5"/>
    <w:rsid w:val="00562FD9"/>
    <w:rsid w:val="0056350E"/>
    <w:rsid w:val="00563611"/>
    <w:rsid w:val="00564874"/>
    <w:rsid w:val="00565A21"/>
    <w:rsid w:val="00565A31"/>
    <w:rsid w:val="0056611C"/>
    <w:rsid w:val="00567202"/>
    <w:rsid w:val="005700AC"/>
    <w:rsid w:val="00570AA7"/>
    <w:rsid w:val="00570EA3"/>
    <w:rsid w:val="00570F91"/>
    <w:rsid w:val="00571994"/>
    <w:rsid w:val="00572E86"/>
    <w:rsid w:val="005743E3"/>
    <w:rsid w:val="00574B3A"/>
    <w:rsid w:val="00575E40"/>
    <w:rsid w:val="00575E59"/>
    <w:rsid w:val="00576731"/>
    <w:rsid w:val="0057758B"/>
    <w:rsid w:val="005805F9"/>
    <w:rsid w:val="00583209"/>
    <w:rsid w:val="0058345F"/>
    <w:rsid w:val="00584246"/>
    <w:rsid w:val="0058530A"/>
    <w:rsid w:val="005857FF"/>
    <w:rsid w:val="00585D9F"/>
    <w:rsid w:val="005860EA"/>
    <w:rsid w:val="0058631A"/>
    <w:rsid w:val="00591B5D"/>
    <w:rsid w:val="00592159"/>
    <w:rsid w:val="005923E5"/>
    <w:rsid w:val="005926CD"/>
    <w:rsid w:val="00592C16"/>
    <w:rsid w:val="00592C60"/>
    <w:rsid w:val="00592F22"/>
    <w:rsid w:val="00593BE8"/>
    <w:rsid w:val="00593C68"/>
    <w:rsid w:val="00593EDD"/>
    <w:rsid w:val="005949DF"/>
    <w:rsid w:val="00595C57"/>
    <w:rsid w:val="00596319"/>
    <w:rsid w:val="005963B0"/>
    <w:rsid w:val="00597EDB"/>
    <w:rsid w:val="005A0B3B"/>
    <w:rsid w:val="005A18B5"/>
    <w:rsid w:val="005A26E8"/>
    <w:rsid w:val="005A3058"/>
    <w:rsid w:val="005A3A0E"/>
    <w:rsid w:val="005A60B6"/>
    <w:rsid w:val="005A65D2"/>
    <w:rsid w:val="005A6CAC"/>
    <w:rsid w:val="005A6CB2"/>
    <w:rsid w:val="005A6E43"/>
    <w:rsid w:val="005A7887"/>
    <w:rsid w:val="005A78B9"/>
    <w:rsid w:val="005B0D6F"/>
    <w:rsid w:val="005B3F97"/>
    <w:rsid w:val="005B565E"/>
    <w:rsid w:val="005B64D6"/>
    <w:rsid w:val="005C1220"/>
    <w:rsid w:val="005C226B"/>
    <w:rsid w:val="005C24E6"/>
    <w:rsid w:val="005C2CC1"/>
    <w:rsid w:val="005C2E53"/>
    <w:rsid w:val="005C2F82"/>
    <w:rsid w:val="005C5132"/>
    <w:rsid w:val="005C5FA9"/>
    <w:rsid w:val="005C6835"/>
    <w:rsid w:val="005C7090"/>
    <w:rsid w:val="005D0A1A"/>
    <w:rsid w:val="005D4632"/>
    <w:rsid w:val="005D4ECC"/>
    <w:rsid w:val="005D4EDB"/>
    <w:rsid w:val="005D542F"/>
    <w:rsid w:val="005D5A67"/>
    <w:rsid w:val="005D5A89"/>
    <w:rsid w:val="005D61B9"/>
    <w:rsid w:val="005D6642"/>
    <w:rsid w:val="005D69C1"/>
    <w:rsid w:val="005D6D2F"/>
    <w:rsid w:val="005D716B"/>
    <w:rsid w:val="005D78A2"/>
    <w:rsid w:val="005D7BED"/>
    <w:rsid w:val="005D7E9F"/>
    <w:rsid w:val="005E1662"/>
    <w:rsid w:val="005E16D6"/>
    <w:rsid w:val="005E1FEF"/>
    <w:rsid w:val="005E2464"/>
    <w:rsid w:val="005E2633"/>
    <w:rsid w:val="005E2EE8"/>
    <w:rsid w:val="005E319A"/>
    <w:rsid w:val="005E350F"/>
    <w:rsid w:val="005E37B3"/>
    <w:rsid w:val="005E4045"/>
    <w:rsid w:val="005E411B"/>
    <w:rsid w:val="005E63F8"/>
    <w:rsid w:val="005E6D73"/>
    <w:rsid w:val="005E709B"/>
    <w:rsid w:val="005E7732"/>
    <w:rsid w:val="005E776E"/>
    <w:rsid w:val="005F0F0C"/>
    <w:rsid w:val="005F1471"/>
    <w:rsid w:val="005F1949"/>
    <w:rsid w:val="005F1E03"/>
    <w:rsid w:val="005F2C4A"/>
    <w:rsid w:val="005F321A"/>
    <w:rsid w:val="005F3695"/>
    <w:rsid w:val="005F48B2"/>
    <w:rsid w:val="005F6298"/>
    <w:rsid w:val="005F62A6"/>
    <w:rsid w:val="005F651E"/>
    <w:rsid w:val="005F6FB8"/>
    <w:rsid w:val="005F7FEF"/>
    <w:rsid w:val="00600759"/>
    <w:rsid w:val="0060089A"/>
    <w:rsid w:val="006012F6"/>
    <w:rsid w:val="00601CBF"/>
    <w:rsid w:val="00601F78"/>
    <w:rsid w:val="00602B5F"/>
    <w:rsid w:val="00602FB0"/>
    <w:rsid w:val="006036EE"/>
    <w:rsid w:val="00603CD3"/>
    <w:rsid w:val="0060431B"/>
    <w:rsid w:val="006045FA"/>
    <w:rsid w:val="00605E06"/>
    <w:rsid w:val="006061B5"/>
    <w:rsid w:val="00606BCB"/>
    <w:rsid w:val="00606D1D"/>
    <w:rsid w:val="006070E6"/>
    <w:rsid w:val="00607681"/>
    <w:rsid w:val="00607C19"/>
    <w:rsid w:val="00610641"/>
    <w:rsid w:val="00611156"/>
    <w:rsid w:val="0061152B"/>
    <w:rsid w:val="00611BDE"/>
    <w:rsid w:val="0061245F"/>
    <w:rsid w:val="006124D0"/>
    <w:rsid w:val="006125D3"/>
    <w:rsid w:val="006128FB"/>
    <w:rsid w:val="0061354E"/>
    <w:rsid w:val="0061516C"/>
    <w:rsid w:val="0061537C"/>
    <w:rsid w:val="006168A8"/>
    <w:rsid w:val="00616EA0"/>
    <w:rsid w:val="00617A4C"/>
    <w:rsid w:val="006205B0"/>
    <w:rsid w:val="006208BF"/>
    <w:rsid w:val="00621184"/>
    <w:rsid w:val="0062207E"/>
    <w:rsid w:val="00622431"/>
    <w:rsid w:val="00623E25"/>
    <w:rsid w:val="006241E5"/>
    <w:rsid w:val="00624596"/>
    <w:rsid w:val="00624624"/>
    <w:rsid w:val="006247D0"/>
    <w:rsid w:val="006257F7"/>
    <w:rsid w:val="00626B0A"/>
    <w:rsid w:val="00626DC5"/>
    <w:rsid w:val="00631617"/>
    <w:rsid w:val="006316CE"/>
    <w:rsid w:val="00632EC3"/>
    <w:rsid w:val="00632F8B"/>
    <w:rsid w:val="006333C1"/>
    <w:rsid w:val="006335E8"/>
    <w:rsid w:val="00633869"/>
    <w:rsid w:val="00634309"/>
    <w:rsid w:val="00634B53"/>
    <w:rsid w:val="00634D91"/>
    <w:rsid w:val="00635258"/>
    <w:rsid w:val="00635B8E"/>
    <w:rsid w:val="00636440"/>
    <w:rsid w:val="00636F3E"/>
    <w:rsid w:val="00637634"/>
    <w:rsid w:val="00637B46"/>
    <w:rsid w:val="00637DB3"/>
    <w:rsid w:val="0064031A"/>
    <w:rsid w:val="006407D9"/>
    <w:rsid w:val="006408E7"/>
    <w:rsid w:val="00641486"/>
    <w:rsid w:val="006414F8"/>
    <w:rsid w:val="00642106"/>
    <w:rsid w:val="00643E6C"/>
    <w:rsid w:val="00644382"/>
    <w:rsid w:val="006448D0"/>
    <w:rsid w:val="00644AD5"/>
    <w:rsid w:val="006452C5"/>
    <w:rsid w:val="006458C3"/>
    <w:rsid w:val="00645C60"/>
    <w:rsid w:val="00646C3D"/>
    <w:rsid w:val="00646DCD"/>
    <w:rsid w:val="00646F00"/>
    <w:rsid w:val="006474AC"/>
    <w:rsid w:val="00647883"/>
    <w:rsid w:val="006512C0"/>
    <w:rsid w:val="00651749"/>
    <w:rsid w:val="006519F0"/>
    <w:rsid w:val="006520A9"/>
    <w:rsid w:val="00654401"/>
    <w:rsid w:val="0065564E"/>
    <w:rsid w:val="00655789"/>
    <w:rsid w:val="00656666"/>
    <w:rsid w:val="0065704D"/>
    <w:rsid w:val="0065770D"/>
    <w:rsid w:val="006604C7"/>
    <w:rsid w:val="00661F6B"/>
    <w:rsid w:val="00662080"/>
    <w:rsid w:val="006628B5"/>
    <w:rsid w:val="006633B1"/>
    <w:rsid w:val="00663B19"/>
    <w:rsid w:val="0066445D"/>
    <w:rsid w:val="00666010"/>
    <w:rsid w:val="0066658B"/>
    <w:rsid w:val="00670741"/>
    <w:rsid w:val="006710D3"/>
    <w:rsid w:val="00671231"/>
    <w:rsid w:val="00671B69"/>
    <w:rsid w:val="00671BF6"/>
    <w:rsid w:val="00673D25"/>
    <w:rsid w:val="006741D9"/>
    <w:rsid w:val="00674338"/>
    <w:rsid w:val="00674675"/>
    <w:rsid w:val="00675BA4"/>
    <w:rsid w:val="00676E28"/>
    <w:rsid w:val="00677CCD"/>
    <w:rsid w:val="006807C9"/>
    <w:rsid w:val="00683062"/>
    <w:rsid w:val="0068362B"/>
    <w:rsid w:val="006838EC"/>
    <w:rsid w:val="006842A5"/>
    <w:rsid w:val="006853FE"/>
    <w:rsid w:val="006855E2"/>
    <w:rsid w:val="00685FD1"/>
    <w:rsid w:val="00686F3A"/>
    <w:rsid w:val="00686F91"/>
    <w:rsid w:val="00687674"/>
    <w:rsid w:val="00687F7B"/>
    <w:rsid w:val="0069194D"/>
    <w:rsid w:val="0069219C"/>
    <w:rsid w:val="0069234F"/>
    <w:rsid w:val="00693672"/>
    <w:rsid w:val="00693965"/>
    <w:rsid w:val="00694529"/>
    <w:rsid w:val="0069525E"/>
    <w:rsid w:val="00696ABF"/>
    <w:rsid w:val="00697E09"/>
    <w:rsid w:val="006A0486"/>
    <w:rsid w:val="006A157F"/>
    <w:rsid w:val="006A215F"/>
    <w:rsid w:val="006A378A"/>
    <w:rsid w:val="006A3B5B"/>
    <w:rsid w:val="006A4199"/>
    <w:rsid w:val="006A47AC"/>
    <w:rsid w:val="006A48E2"/>
    <w:rsid w:val="006A5989"/>
    <w:rsid w:val="006B0F52"/>
    <w:rsid w:val="006B140A"/>
    <w:rsid w:val="006B1E3D"/>
    <w:rsid w:val="006B2BF0"/>
    <w:rsid w:val="006B3370"/>
    <w:rsid w:val="006B467B"/>
    <w:rsid w:val="006B54E3"/>
    <w:rsid w:val="006B5C20"/>
    <w:rsid w:val="006B6181"/>
    <w:rsid w:val="006B6AD6"/>
    <w:rsid w:val="006B6C26"/>
    <w:rsid w:val="006B73C0"/>
    <w:rsid w:val="006B770E"/>
    <w:rsid w:val="006B7802"/>
    <w:rsid w:val="006C05B8"/>
    <w:rsid w:val="006C066E"/>
    <w:rsid w:val="006C125E"/>
    <w:rsid w:val="006C1866"/>
    <w:rsid w:val="006C1EBA"/>
    <w:rsid w:val="006C2081"/>
    <w:rsid w:val="006C276D"/>
    <w:rsid w:val="006C29ED"/>
    <w:rsid w:val="006C6067"/>
    <w:rsid w:val="006C72B8"/>
    <w:rsid w:val="006C7749"/>
    <w:rsid w:val="006C7814"/>
    <w:rsid w:val="006C79C0"/>
    <w:rsid w:val="006D239B"/>
    <w:rsid w:val="006D3315"/>
    <w:rsid w:val="006D3820"/>
    <w:rsid w:val="006D5677"/>
    <w:rsid w:val="006D59E3"/>
    <w:rsid w:val="006D7254"/>
    <w:rsid w:val="006D7322"/>
    <w:rsid w:val="006D7E5C"/>
    <w:rsid w:val="006D7E67"/>
    <w:rsid w:val="006E0600"/>
    <w:rsid w:val="006E0606"/>
    <w:rsid w:val="006E113E"/>
    <w:rsid w:val="006E13DA"/>
    <w:rsid w:val="006E14CB"/>
    <w:rsid w:val="006E268D"/>
    <w:rsid w:val="006E3CB6"/>
    <w:rsid w:val="006E42FC"/>
    <w:rsid w:val="006E4E25"/>
    <w:rsid w:val="006E5A87"/>
    <w:rsid w:val="006E60C4"/>
    <w:rsid w:val="006E6D6A"/>
    <w:rsid w:val="006F0615"/>
    <w:rsid w:val="006F09C4"/>
    <w:rsid w:val="006F3590"/>
    <w:rsid w:val="006F3859"/>
    <w:rsid w:val="006F4048"/>
    <w:rsid w:val="006F4356"/>
    <w:rsid w:val="006F4DFF"/>
    <w:rsid w:val="006F547D"/>
    <w:rsid w:val="006F58A2"/>
    <w:rsid w:val="006F5F50"/>
    <w:rsid w:val="006F7B9D"/>
    <w:rsid w:val="006F7C43"/>
    <w:rsid w:val="006F7E6A"/>
    <w:rsid w:val="007000D5"/>
    <w:rsid w:val="00700DA4"/>
    <w:rsid w:val="007010FC"/>
    <w:rsid w:val="00704140"/>
    <w:rsid w:val="007041D0"/>
    <w:rsid w:val="0070432F"/>
    <w:rsid w:val="0070446B"/>
    <w:rsid w:val="00704826"/>
    <w:rsid w:val="0070613D"/>
    <w:rsid w:val="0070706E"/>
    <w:rsid w:val="00707208"/>
    <w:rsid w:val="0070722E"/>
    <w:rsid w:val="00707243"/>
    <w:rsid w:val="0070741D"/>
    <w:rsid w:val="00707B10"/>
    <w:rsid w:val="00707D3A"/>
    <w:rsid w:val="00710230"/>
    <w:rsid w:val="007118A3"/>
    <w:rsid w:val="00711A0A"/>
    <w:rsid w:val="007120FE"/>
    <w:rsid w:val="00712849"/>
    <w:rsid w:val="00714515"/>
    <w:rsid w:val="00715C40"/>
    <w:rsid w:val="007163C8"/>
    <w:rsid w:val="00717A4B"/>
    <w:rsid w:val="00717F46"/>
    <w:rsid w:val="0072026F"/>
    <w:rsid w:val="00722254"/>
    <w:rsid w:val="0072347F"/>
    <w:rsid w:val="0072425E"/>
    <w:rsid w:val="00724A11"/>
    <w:rsid w:val="00724CB9"/>
    <w:rsid w:val="00724E4F"/>
    <w:rsid w:val="00725710"/>
    <w:rsid w:val="00725F78"/>
    <w:rsid w:val="0072654C"/>
    <w:rsid w:val="007269AD"/>
    <w:rsid w:val="00726A8D"/>
    <w:rsid w:val="00726C03"/>
    <w:rsid w:val="00726EEE"/>
    <w:rsid w:val="00727556"/>
    <w:rsid w:val="00727596"/>
    <w:rsid w:val="00727615"/>
    <w:rsid w:val="0072782F"/>
    <w:rsid w:val="0073019F"/>
    <w:rsid w:val="00731D96"/>
    <w:rsid w:val="00732218"/>
    <w:rsid w:val="00732AE6"/>
    <w:rsid w:val="00732B99"/>
    <w:rsid w:val="0073447E"/>
    <w:rsid w:val="00734887"/>
    <w:rsid w:val="00734A67"/>
    <w:rsid w:val="00734FA2"/>
    <w:rsid w:val="0073572A"/>
    <w:rsid w:val="00735A25"/>
    <w:rsid w:val="007362AB"/>
    <w:rsid w:val="00736441"/>
    <w:rsid w:val="007376B3"/>
    <w:rsid w:val="00737FE1"/>
    <w:rsid w:val="00741B59"/>
    <w:rsid w:val="00742C71"/>
    <w:rsid w:val="00742D1F"/>
    <w:rsid w:val="007458CE"/>
    <w:rsid w:val="007471CF"/>
    <w:rsid w:val="0075018F"/>
    <w:rsid w:val="00750740"/>
    <w:rsid w:val="00752267"/>
    <w:rsid w:val="007522F6"/>
    <w:rsid w:val="007535C7"/>
    <w:rsid w:val="00753646"/>
    <w:rsid w:val="00753693"/>
    <w:rsid w:val="00753D4B"/>
    <w:rsid w:val="007546B1"/>
    <w:rsid w:val="00755C6C"/>
    <w:rsid w:val="00756DC3"/>
    <w:rsid w:val="00757C51"/>
    <w:rsid w:val="007603A2"/>
    <w:rsid w:val="00760673"/>
    <w:rsid w:val="00760761"/>
    <w:rsid w:val="0076158A"/>
    <w:rsid w:val="00763D1B"/>
    <w:rsid w:val="00764742"/>
    <w:rsid w:val="007651A9"/>
    <w:rsid w:val="00765245"/>
    <w:rsid w:val="00765498"/>
    <w:rsid w:val="00765D1A"/>
    <w:rsid w:val="0076615A"/>
    <w:rsid w:val="007663E9"/>
    <w:rsid w:val="00766AAF"/>
    <w:rsid w:val="00767191"/>
    <w:rsid w:val="00767B9A"/>
    <w:rsid w:val="00767C14"/>
    <w:rsid w:val="00770698"/>
    <w:rsid w:val="0077078D"/>
    <w:rsid w:val="00771CC2"/>
    <w:rsid w:val="00772219"/>
    <w:rsid w:val="0077308D"/>
    <w:rsid w:val="0077355A"/>
    <w:rsid w:val="00773799"/>
    <w:rsid w:val="007744D2"/>
    <w:rsid w:val="00775362"/>
    <w:rsid w:val="0077558A"/>
    <w:rsid w:val="00775C91"/>
    <w:rsid w:val="007770EA"/>
    <w:rsid w:val="007804B0"/>
    <w:rsid w:val="00780901"/>
    <w:rsid w:val="007826D6"/>
    <w:rsid w:val="007831F3"/>
    <w:rsid w:val="00783C2A"/>
    <w:rsid w:val="00784461"/>
    <w:rsid w:val="0078454C"/>
    <w:rsid w:val="00784CA1"/>
    <w:rsid w:val="007851BD"/>
    <w:rsid w:val="0078693C"/>
    <w:rsid w:val="00787468"/>
    <w:rsid w:val="00787D44"/>
    <w:rsid w:val="00787E07"/>
    <w:rsid w:val="0079011F"/>
    <w:rsid w:val="00791682"/>
    <w:rsid w:val="00791B1E"/>
    <w:rsid w:val="007923C7"/>
    <w:rsid w:val="00793E02"/>
    <w:rsid w:val="00794974"/>
    <w:rsid w:val="00794CB7"/>
    <w:rsid w:val="00794F47"/>
    <w:rsid w:val="00794F70"/>
    <w:rsid w:val="007956E0"/>
    <w:rsid w:val="00795B07"/>
    <w:rsid w:val="007961E8"/>
    <w:rsid w:val="0079784B"/>
    <w:rsid w:val="007A0380"/>
    <w:rsid w:val="007A0486"/>
    <w:rsid w:val="007A1276"/>
    <w:rsid w:val="007A1310"/>
    <w:rsid w:val="007A24A4"/>
    <w:rsid w:val="007A4571"/>
    <w:rsid w:val="007A5670"/>
    <w:rsid w:val="007A5D5A"/>
    <w:rsid w:val="007A60D0"/>
    <w:rsid w:val="007A6BCA"/>
    <w:rsid w:val="007A6CC2"/>
    <w:rsid w:val="007A6EAA"/>
    <w:rsid w:val="007B073B"/>
    <w:rsid w:val="007B0E12"/>
    <w:rsid w:val="007B13CA"/>
    <w:rsid w:val="007B15C8"/>
    <w:rsid w:val="007B2342"/>
    <w:rsid w:val="007B25D3"/>
    <w:rsid w:val="007B3149"/>
    <w:rsid w:val="007B3DBF"/>
    <w:rsid w:val="007B5331"/>
    <w:rsid w:val="007B5478"/>
    <w:rsid w:val="007B558E"/>
    <w:rsid w:val="007B55DA"/>
    <w:rsid w:val="007B5A06"/>
    <w:rsid w:val="007B5C43"/>
    <w:rsid w:val="007B69AC"/>
    <w:rsid w:val="007C1133"/>
    <w:rsid w:val="007C2667"/>
    <w:rsid w:val="007C2ED6"/>
    <w:rsid w:val="007C3640"/>
    <w:rsid w:val="007C3736"/>
    <w:rsid w:val="007C45E4"/>
    <w:rsid w:val="007C4AA4"/>
    <w:rsid w:val="007C5287"/>
    <w:rsid w:val="007C53A9"/>
    <w:rsid w:val="007C5629"/>
    <w:rsid w:val="007C5691"/>
    <w:rsid w:val="007C571B"/>
    <w:rsid w:val="007C5CBB"/>
    <w:rsid w:val="007C680C"/>
    <w:rsid w:val="007C6C42"/>
    <w:rsid w:val="007D0233"/>
    <w:rsid w:val="007D0ABA"/>
    <w:rsid w:val="007D24F1"/>
    <w:rsid w:val="007D2867"/>
    <w:rsid w:val="007D2F7F"/>
    <w:rsid w:val="007D36C6"/>
    <w:rsid w:val="007D4B67"/>
    <w:rsid w:val="007D5020"/>
    <w:rsid w:val="007D5EB0"/>
    <w:rsid w:val="007D70F3"/>
    <w:rsid w:val="007E0BD4"/>
    <w:rsid w:val="007E137A"/>
    <w:rsid w:val="007E2485"/>
    <w:rsid w:val="007E3F97"/>
    <w:rsid w:val="007E6B15"/>
    <w:rsid w:val="007E7B5A"/>
    <w:rsid w:val="007F02BB"/>
    <w:rsid w:val="007F0715"/>
    <w:rsid w:val="007F24FF"/>
    <w:rsid w:val="007F517F"/>
    <w:rsid w:val="007F51D9"/>
    <w:rsid w:val="007F57B6"/>
    <w:rsid w:val="007F5ADA"/>
    <w:rsid w:val="007F6667"/>
    <w:rsid w:val="007F6700"/>
    <w:rsid w:val="007F704D"/>
    <w:rsid w:val="007F7CF6"/>
    <w:rsid w:val="0080074B"/>
    <w:rsid w:val="008028A5"/>
    <w:rsid w:val="00802FEB"/>
    <w:rsid w:val="00804ADC"/>
    <w:rsid w:val="00805715"/>
    <w:rsid w:val="0080759C"/>
    <w:rsid w:val="0080768D"/>
    <w:rsid w:val="008076B7"/>
    <w:rsid w:val="0081120A"/>
    <w:rsid w:val="0081195F"/>
    <w:rsid w:val="00814137"/>
    <w:rsid w:val="00814458"/>
    <w:rsid w:val="00815DCF"/>
    <w:rsid w:val="008165D2"/>
    <w:rsid w:val="00816DD8"/>
    <w:rsid w:val="00817020"/>
    <w:rsid w:val="00817412"/>
    <w:rsid w:val="008177BE"/>
    <w:rsid w:val="00820931"/>
    <w:rsid w:val="00820BE9"/>
    <w:rsid w:val="0082210F"/>
    <w:rsid w:val="00822E5C"/>
    <w:rsid w:val="00824924"/>
    <w:rsid w:val="00824B97"/>
    <w:rsid w:val="00824DB0"/>
    <w:rsid w:val="00825279"/>
    <w:rsid w:val="008308B0"/>
    <w:rsid w:val="008315D9"/>
    <w:rsid w:val="00832DB9"/>
    <w:rsid w:val="0083395D"/>
    <w:rsid w:val="0083474E"/>
    <w:rsid w:val="00834884"/>
    <w:rsid w:val="00835711"/>
    <w:rsid w:val="00835905"/>
    <w:rsid w:val="00835A7D"/>
    <w:rsid w:val="00835BA4"/>
    <w:rsid w:val="00835C27"/>
    <w:rsid w:val="008369FE"/>
    <w:rsid w:val="00836B22"/>
    <w:rsid w:val="0083773C"/>
    <w:rsid w:val="0084099F"/>
    <w:rsid w:val="00840AC6"/>
    <w:rsid w:val="0084107E"/>
    <w:rsid w:val="008428E6"/>
    <w:rsid w:val="00842FC2"/>
    <w:rsid w:val="00843B2C"/>
    <w:rsid w:val="008444B7"/>
    <w:rsid w:val="00845393"/>
    <w:rsid w:val="00845475"/>
    <w:rsid w:val="00845B2F"/>
    <w:rsid w:val="00846CB0"/>
    <w:rsid w:val="00850EEB"/>
    <w:rsid w:val="008512B8"/>
    <w:rsid w:val="00851EA4"/>
    <w:rsid w:val="00852B5F"/>
    <w:rsid w:val="00852E6D"/>
    <w:rsid w:val="00853C16"/>
    <w:rsid w:val="00853DC4"/>
    <w:rsid w:val="00854921"/>
    <w:rsid w:val="008555D8"/>
    <w:rsid w:val="008557B3"/>
    <w:rsid w:val="00856AEE"/>
    <w:rsid w:val="00856E2A"/>
    <w:rsid w:val="00861CCB"/>
    <w:rsid w:val="00862259"/>
    <w:rsid w:val="00863122"/>
    <w:rsid w:val="00864537"/>
    <w:rsid w:val="0086573D"/>
    <w:rsid w:val="00865971"/>
    <w:rsid w:val="008661C5"/>
    <w:rsid w:val="008662A6"/>
    <w:rsid w:val="00870EBA"/>
    <w:rsid w:val="00871429"/>
    <w:rsid w:val="00872091"/>
    <w:rsid w:val="00873054"/>
    <w:rsid w:val="00873EC7"/>
    <w:rsid w:val="0087408B"/>
    <w:rsid w:val="008741EF"/>
    <w:rsid w:val="00874BA3"/>
    <w:rsid w:val="00874ED9"/>
    <w:rsid w:val="0087594B"/>
    <w:rsid w:val="00875A43"/>
    <w:rsid w:val="00875DAD"/>
    <w:rsid w:val="008762C1"/>
    <w:rsid w:val="00877EDF"/>
    <w:rsid w:val="00880264"/>
    <w:rsid w:val="0088056F"/>
    <w:rsid w:val="0088079E"/>
    <w:rsid w:val="008816CE"/>
    <w:rsid w:val="00881820"/>
    <w:rsid w:val="00881D46"/>
    <w:rsid w:val="008829A7"/>
    <w:rsid w:val="00882B04"/>
    <w:rsid w:val="008835F1"/>
    <w:rsid w:val="008840D3"/>
    <w:rsid w:val="0088416A"/>
    <w:rsid w:val="008850E6"/>
    <w:rsid w:val="008853E2"/>
    <w:rsid w:val="00885648"/>
    <w:rsid w:val="00885E86"/>
    <w:rsid w:val="00885F2C"/>
    <w:rsid w:val="00886540"/>
    <w:rsid w:val="00886E22"/>
    <w:rsid w:val="00890EF9"/>
    <w:rsid w:val="0089368E"/>
    <w:rsid w:val="00893866"/>
    <w:rsid w:val="00893A38"/>
    <w:rsid w:val="00893F77"/>
    <w:rsid w:val="008946AD"/>
    <w:rsid w:val="008947F1"/>
    <w:rsid w:val="00895822"/>
    <w:rsid w:val="00896447"/>
    <w:rsid w:val="00897176"/>
    <w:rsid w:val="00897560"/>
    <w:rsid w:val="00897A42"/>
    <w:rsid w:val="008A05BE"/>
    <w:rsid w:val="008A10E7"/>
    <w:rsid w:val="008A14BC"/>
    <w:rsid w:val="008A1817"/>
    <w:rsid w:val="008A2C5F"/>
    <w:rsid w:val="008A3694"/>
    <w:rsid w:val="008A398C"/>
    <w:rsid w:val="008A40AE"/>
    <w:rsid w:val="008A4154"/>
    <w:rsid w:val="008A5460"/>
    <w:rsid w:val="008A5A80"/>
    <w:rsid w:val="008A6231"/>
    <w:rsid w:val="008A62E2"/>
    <w:rsid w:val="008A658E"/>
    <w:rsid w:val="008A69F6"/>
    <w:rsid w:val="008A6B18"/>
    <w:rsid w:val="008A76CB"/>
    <w:rsid w:val="008A76D3"/>
    <w:rsid w:val="008B0BF9"/>
    <w:rsid w:val="008B1F20"/>
    <w:rsid w:val="008B2252"/>
    <w:rsid w:val="008B26F4"/>
    <w:rsid w:val="008B2F22"/>
    <w:rsid w:val="008B3D03"/>
    <w:rsid w:val="008B4739"/>
    <w:rsid w:val="008B49BC"/>
    <w:rsid w:val="008B51A1"/>
    <w:rsid w:val="008B5F88"/>
    <w:rsid w:val="008B6212"/>
    <w:rsid w:val="008B62D1"/>
    <w:rsid w:val="008B63EA"/>
    <w:rsid w:val="008B66AC"/>
    <w:rsid w:val="008B66EE"/>
    <w:rsid w:val="008B6ED2"/>
    <w:rsid w:val="008B6FFA"/>
    <w:rsid w:val="008B7082"/>
    <w:rsid w:val="008B76F8"/>
    <w:rsid w:val="008C055B"/>
    <w:rsid w:val="008C0DCD"/>
    <w:rsid w:val="008C198C"/>
    <w:rsid w:val="008C1D4B"/>
    <w:rsid w:val="008C31DA"/>
    <w:rsid w:val="008C3521"/>
    <w:rsid w:val="008C522F"/>
    <w:rsid w:val="008C534E"/>
    <w:rsid w:val="008C643B"/>
    <w:rsid w:val="008C7A8B"/>
    <w:rsid w:val="008D00F4"/>
    <w:rsid w:val="008D069A"/>
    <w:rsid w:val="008D0809"/>
    <w:rsid w:val="008D13B3"/>
    <w:rsid w:val="008D18AB"/>
    <w:rsid w:val="008D2496"/>
    <w:rsid w:val="008D37F3"/>
    <w:rsid w:val="008D39DF"/>
    <w:rsid w:val="008D3AC1"/>
    <w:rsid w:val="008D4499"/>
    <w:rsid w:val="008D44CC"/>
    <w:rsid w:val="008D4518"/>
    <w:rsid w:val="008D4ADD"/>
    <w:rsid w:val="008D5C15"/>
    <w:rsid w:val="008D5E06"/>
    <w:rsid w:val="008E0F6B"/>
    <w:rsid w:val="008E2732"/>
    <w:rsid w:val="008E2D09"/>
    <w:rsid w:val="008E3A49"/>
    <w:rsid w:val="008E4165"/>
    <w:rsid w:val="008E4DEC"/>
    <w:rsid w:val="008E51F5"/>
    <w:rsid w:val="008E65C3"/>
    <w:rsid w:val="008E7F21"/>
    <w:rsid w:val="008F02AD"/>
    <w:rsid w:val="008F05C6"/>
    <w:rsid w:val="008F0989"/>
    <w:rsid w:val="008F0BC5"/>
    <w:rsid w:val="008F1DEA"/>
    <w:rsid w:val="008F50C4"/>
    <w:rsid w:val="008F52AB"/>
    <w:rsid w:val="008F5448"/>
    <w:rsid w:val="008F5B4F"/>
    <w:rsid w:val="008F6539"/>
    <w:rsid w:val="008F68C0"/>
    <w:rsid w:val="008F7900"/>
    <w:rsid w:val="008F7A82"/>
    <w:rsid w:val="008F7C5A"/>
    <w:rsid w:val="008F7E59"/>
    <w:rsid w:val="0090023C"/>
    <w:rsid w:val="009006DD"/>
    <w:rsid w:val="0090101E"/>
    <w:rsid w:val="009014A6"/>
    <w:rsid w:val="009014ED"/>
    <w:rsid w:val="00901C65"/>
    <w:rsid w:val="00902C70"/>
    <w:rsid w:val="009030D3"/>
    <w:rsid w:val="0090354D"/>
    <w:rsid w:val="009044DE"/>
    <w:rsid w:val="00904B04"/>
    <w:rsid w:val="00904B1A"/>
    <w:rsid w:val="00905771"/>
    <w:rsid w:val="00905862"/>
    <w:rsid w:val="0090599F"/>
    <w:rsid w:val="00905FCF"/>
    <w:rsid w:val="009061CC"/>
    <w:rsid w:val="00906A37"/>
    <w:rsid w:val="00906A87"/>
    <w:rsid w:val="0090751D"/>
    <w:rsid w:val="0091157C"/>
    <w:rsid w:val="00911AA7"/>
    <w:rsid w:val="00911F1B"/>
    <w:rsid w:val="0091260B"/>
    <w:rsid w:val="00912B61"/>
    <w:rsid w:val="009135C8"/>
    <w:rsid w:val="00913C00"/>
    <w:rsid w:val="009141F2"/>
    <w:rsid w:val="00914B2B"/>
    <w:rsid w:val="00915976"/>
    <w:rsid w:val="00917B4C"/>
    <w:rsid w:val="00920227"/>
    <w:rsid w:val="0092193E"/>
    <w:rsid w:val="009229D4"/>
    <w:rsid w:val="009245C9"/>
    <w:rsid w:val="00925187"/>
    <w:rsid w:val="00925A6E"/>
    <w:rsid w:val="00925FB6"/>
    <w:rsid w:val="00927522"/>
    <w:rsid w:val="00930645"/>
    <w:rsid w:val="00931618"/>
    <w:rsid w:val="00931D2A"/>
    <w:rsid w:val="0093213B"/>
    <w:rsid w:val="00932D78"/>
    <w:rsid w:val="009335A6"/>
    <w:rsid w:val="009335BA"/>
    <w:rsid w:val="009338C0"/>
    <w:rsid w:val="009339EA"/>
    <w:rsid w:val="00933B58"/>
    <w:rsid w:val="00933ECD"/>
    <w:rsid w:val="009340E3"/>
    <w:rsid w:val="009344B1"/>
    <w:rsid w:val="00935781"/>
    <w:rsid w:val="00935BAB"/>
    <w:rsid w:val="0093752D"/>
    <w:rsid w:val="00940609"/>
    <w:rsid w:val="009409E5"/>
    <w:rsid w:val="0094115B"/>
    <w:rsid w:val="009417F2"/>
    <w:rsid w:val="00941D78"/>
    <w:rsid w:val="00941FDC"/>
    <w:rsid w:val="00942329"/>
    <w:rsid w:val="00942D23"/>
    <w:rsid w:val="00944CAE"/>
    <w:rsid w:val="00944F6B"/>
    <w:rsid w:val="0094514E"/>
    <w:rsid w:val="00946211"/>
    <w:rsid w:val="0094625C"/>
    <w:rsid w:val="00946C3A"/>
    <w:rsid w:val="009473AD"/>
    <w:rsid w:val="00947578"/>
    <w:rsid w:val="009478C6"/>
    <w:rsid w:val="00947B5F"/>
    <w:rsid w:val="00947DA7"/>
    <w:rsid w:val="00947E8E"/>
    <w:rsid w:val="009500CE"/>
    <w:rsid w:val="00950326"/>
    <w:rsid w:val="00950651"/>
    <w:rsid w:val="0095098B"/>
    <w:rsid w:val="009510E8"/>
    <w:rsid w:val="009517A0"/>
    <w:rsid w:val="00952802"/>
    <w:rsid w:val="009532E5"/>
    <w:rsid w:val="009539F9"/>
    <w:rsid w:val="00953BEC"/>
    <w:rsid w:val="00954433"/>
    <w:rsid w:val="00954D0C"/>
    <w:rsid w:val="009553C9"/>
    <w:rsid w:val="009559A3"/>
    <w:rsid w:val="00956AB3"/>
    <w:rsid w:val="00956E42"/>
    <w:rsid w:val="00960156"/>
    <w:rsid w:val="0096078E"/>
    <w:rsid w:val="009608AC"/>
    <w:rsid w:val="00960AE9"/>
    <w:rsid w:val="00960B8F"/>
    <w:rsid w:val="0096154B"/>
    <w:rsid w:val="0096166F"/>
    <w:rsid w:val="00962382"/>
    <w:rsid w:val="0096345A"/>
    <w:rsid w:val="0096355C"/>
    <w:rsid w:val="009643D7"/>
    <w:rsid w:val="0096482C"/>
    <w:rsid w:val="009649AA"/>
    <w:rsid w:val="00964B5D"/>
    <w:rsid w:val="00964C14"/>
    <w:rsid w:val="00966358"/>
    <w:rsid w:val="009669D8"/>
    <w:rsid w:val="00970997"/>
    <w:rsid w:val="00970BC2"/>
    <w:rsid w:val="00970BD3"/>
    <w:rsid w:val="00971825"/>
    <w:rsid w:val="0097191F"/>
    <w:rsid w:val="00971EA9"/>
    <w:rsid w:val="009734C8"/>
    <w:rsid w:val="00973BBF"/>
    <w:rsid w:val="00974679"/>
    <w:rsid w:val="00974919"/>
    <w:rsid w:val="00974FA5"/>
    <w:rsid w:val="00975AE1"/>
    <w:rsid w:val="00975EAE"/>
    <w:rsid w:val="009760ED"/>
    <w:rsid w:val="0097662B"/>
    <w:rsid w:val="00977015"/>
    <w:rsid w:val="009801B6"/>
    <w:rsid w:val="00980E0B"/>
    <w:rsid w:val="009825A1"/>
    <w:rsid w:val="00983900"/>
    <w:rsid w:val="00983DE7"/>
    <w:rsid w:val="00983E8C"/>
    <w:rsid w:val="009843CA"/>
    <w:rsid w:val="00984DA7"/>
    <w:rsid w:val="009861A6"/>
    <w:rsid w:val="0098625D"/>
    <w:rsid w:val="00986C06"/>
    <w:rsid w:val="00986F5B"/>
    <w:rsid w:val="00987DF3"/>
    <w:rsid w:val="00991399"/>
    <w:rsid w:val="00992859"/>
    <w:rsid w:val="009930EC"/>
    <w:rsid w:val="009946B2"/>
    <w:rsid w:val="00994908"/>
    <w:rsid w:val="00994C82"/>
    <w:rsid w:val="0099526D"/>
    <w:rsid w:val="00996FEF"/>
    <w:rsid w:val="009A0570"/>
    <w:rsid w:val="009A101F"/>
    <w:rsid w:val="009A168F"/>
    <w:rsid w:val="009A16F5"/>
    <w:rsid w:val="009A17AE"/>
    <w:rsid w:val="009A27A8"/>
    <w:rsid w:val="009A2883"/>
    <w:rsid w:val="009A525F"/>
    <w:rsid w:val="009A6387"/>
    <w:rsid w:val="009A7D10"/>
    <w:rsid w:val="009B0DFC"/>
    <w:rsid w:val="009B14F5"/>
    <w:rsid w:val="009B26D2"/>
    <w:rsid w:val="009B27FE"/>
    <w:rsid w:val="009B3143"/>
    <w:rsid w:val="009B59F2"/>
    <w:rsid w:val="009B6077"/>
    <w:rsid w:val="009B7A0A"/>
    <w:rsid w:val="009B7DD8"/>
    <w:rsid w:val="009C0C3B"/>
    <w:rsid w:val="009C1241"/>
    <w:rsid w:val="009C1850"/>
    <w:rsid w:val="009C308F"/>
    <w:rsid w:val="009C3618"/>
    <w:rsid w:val="009C366F"/>
    <w:rsid w:val="009C48D7"/>
    <w:rsid w:val="009C4DA5"/>
    <w:rsid w:val="009C5090"/>
    <w:rsid w:val="009C530E"/>
    <w:rsid w:val="009C5368"/>
    <w:rsid w:val="009C5C69"/>
    <w:rsid w:val="009C6BCD"/>
    <w:rsid w:val="009C6C44"/>
    <w:rsid w:val="009D1829"/>
    <w:rsid w:val="009D40C6"/>
    <w:rsid w:val="009D4B6E"/>
    <w:rsid w:val="009D60F7"/>
    <w:rsid w:val="009E0001"/>
    <w:rsid w:val="009E0023"/>
    <w:rsid w:val="009E04D9"/>
    <w:rsid w:val="009E0E97"/>
    <w:rsid w:val="009E1AA4"/>
    <w:rsid w:val="009E2178"/>
    <w:rsid w:val="009E2513"/>
    <w:rsid w:val="009E32E7"/>
    <w:rsid w:val="009E4131"/>
    <w:rsid w:val="009E4ABB"/>
    <w:rsid w:val="009E4CC1"/>
    <w:rsid w:val="009E540B"/>
    <w:rsid w:val="009E5D89"/>
    <w:rsid w:val="009E619A"/>
    <w:rsid w:val="009E6FE3"/>
    <w:rsid w:val="009E7608"/>
    <w:rsid w:val="009F035D"/>
    <w:rsid w:val="009F0900"/>
    <w:rsid w:val="009F0CF2"/>
    <w:rsid w:val="009F0FBC"/>
    <w:rsid w:val="009F157B"/>
    <w:rsid w:val="009F1A3C"/>
    <w:rsid w:val="009F4B9B"/>
    <w:rsid w:val="009F4C3A"/>
    <w:rsid w:val="009F4C81"/>
    <w:rsid w:val="009F4F79"/>
    <w:rsid w:val="009F598E"/>
    <w:rsid w:val="009F63CD"/>
    <w:rsid w:val="009F6797"/>
    <w:rsid w:val="009F7BEB"/>
    <w:rsid w:val="009F7CA1"/>
    <w:rsid w:val="00A0092F"/>
    <w:rsid w:val="00A0167E"/>
    <w:rsid w:val="00A021CA"/>
    <w:rsid w:val="00A02880"/>
    <w:rsid w:val="00A0530A"/>
    <w:rsid w:val="00A054EC"/>
    <w:rsid w:val="00A05C6B"/>
    <w:rsid w:val="00A062B8"/>
    <w:rsid w:val="00A07B0E"/>
    <w:rsid w:val="00A10AA7"/>
    <w:rsid w:val="00A10EF9"/>
    <w:rsid w:val="00A11B90"/>
    <w:rsid w:val="00A12150"/>
    <w:rsid w:val="00A12C83"/>
    <w:rsid w:val="00A134B9"/>
    <w:rsid w:val="00A14786"/>
    <w:rsid w:val="00A14B74"/>
    <w:rsid w:val="00A15995"/>
    <w:rsid w:val="00A15DD7"/>
    <w:rsid w:val="00A16967"/>
    <w:rsid w:val="00A1702C"/>
    <w:rsid w:val="00A17044"/>
    <w:rsid w:val="00A1716C"/>
    <w:rsid w:val="00A17CEB"/>
    <w:rsid w:val="00A2001D"/>
    <w:rsid w:val="00A20591"/>
    <w:rsid w:val="00A21233"/>
    <w:rsid w:val="00A216AE"/>
    <w:rsid w:val="00A227A2"/>
    <w:rsid w:val="00A22D38"/>
    <w:rsid w:val="00A22FD5"/>
    <w:rsid w:val="00A236F2"/>
    <w:rsid w:val="00A23F9B"/>
    <w:rsid w:val="00A26000"/>
    <w:rsid w:val="00A268A9"/>
    <w:rsid w:val="00A26E9E"/>
    <w:rsid w:val="00A30329"/>
    <w:rsid w:val="00A30B56"/>
    <w:rsid w:val="00A3108F"/>
    <w:rsid w:val="00A31343"/>
    <w:rsid w:val="00A321B2"/>
    <w:rsid w:val="00A32339"/>
    <w:rsid w:val="00A32639"/>
    <w:rsid w:val="00A34050"/>
    <w:rsid w:val="00A35045"/>
    <w:rsid w:val="00A35357"/>
    <w:rsid w:val="00A358E3"/>
    <w:rsid w:val="00A37D04"/>
    <w:rsid w:val="00A412F9"/>
    <w:rsid w:val="00A415ED"/>
    <w:rsid w:val="00A4191A"/>
    <w:rsid w:val="00A426DD"/>
    <w:rsid w:val="00A42F58"/>
    <w:rsid w:val="00A43B62"/>
    <w:rsid w:val="00A4405A"/>
    <w:rsid w:val="00A44888"/>
    <w:rsid w:val="00A44CFD"/>
    <w:rsid w:val="00A4592B"/>
    <w:rsid w:val="00A462FE"/>
    <w:rsid w:val="00A467D2"/>
    <w:rsid w:val="00A46EA3"/>
    <w:rsid w:val="00A478DE"/>
    <w:rsid w:val="00A51CB3"/>
    <w:rsid w:val="00A51DB6"/>
    <w:rsid w:val="00A535C3"/>
    <w:rsid w:val="00A53813"/>
    <w:rsid w:val="00A53EF5"/>
    <w:rsid w:val="00A55155"/>
    <w:rsid w:val="00A557CF"/>
    <w:rsid w:val="00A55ED7"/>
    <w:rsid w:val="00A560B1"/>
    <w:rsid w:val="00A56941"/>
    <w:rsid w:val="00A60692"/>
    <w:rsid w:val="00A628D5"/>
    <w:rsid w:val="00A63AD0"/>
    <w:rsid w:val="00A6435A"/>
    <w:rsid w:val="00A643C4"/>
    <w:rsid w:val="00A65ED1"/>
    <w:rsid w:val="00A66523"/>
    <w:rsid w:val="00A66CB7"/>
    <w:rsid w:val="00A7059C"/>
    <w:rsid w:val="00A71046"/>
    <w:rsid w:val="00A71985"/>
    <w:rsid w:val="00A72AE2"/>
    <w:rsid w:val="00A72D76"/>
    <w:rsid w:val="00A73915"/>
    <w:rsid w:val="00A73A3F"/>
    <w:rsid w:val="00A745DB"/>
    <w:rsid w:val="00A74F77"/>
    <w:rsid w:val="00A758DC"/>
    <w:rsid w:val="00A75BE0"/>
    <w:rsid w:val="00A76177"/>
    <w:rsid w:val="00A76C1A"/>
    <w:rsid w:val="00A77252"/>
    <w:rsid w:val="00A77439"/>
    <w:rsid w:val="00A803FE"/>
    <w:rsid w:val="00A80802"/>
    <w:rsid w:val="00A81B80"/>
    <w:rsid w:val="00A829BC"/>
    <w:rsid w:val="00A82D17"/>
    <w:rsid w:val="00A83177"/>
    <w:rsid w:val="00A83D37"/>
    <w:rsid w:val="00A8572E"/>
    <w:rsid w:val="00A86554"/>
    <w:rsid w:val="00A9004B"/>
    <w:rsid w:val="00A912C4"/>
    <w:rsid w:val="00A91EF6"/>
    <w:rsid w:val="00A92259"/>
    <w:rsid w:val="00A928C9"/>
    <w:rsid w:val="00A93F80"/>
    <w:rsid w:val="00A94148"/>
    <w:rsid w:val="00A95B4D"/>
    <w:rsid w:val="00A97E3B"/>
    <w:rsid w:val="00AA02A1"/>
    <w:rsid w:val="00AA103E"/>
    <w:rsid w:val="00AA19E0"/>
    <w:rsid w:val="00AA300F"/>
    <w:rsid w:val="00AA30D6"/>
    <w:rsid w:val="00AA3228"/>
    <w:rsid w:val="00AA35EF"/>
    <w:rsid w:val="00AA4AA6"/>
    <w:rsid w:val="00AA4AF6"/>
    <w:rsid w:val="00AA4B38"/>
    <w:rsid w:val="00AA4CC2"/>
    <w:rsid w:val="00AA5191"/>
    <w:rsid w:val="00AA612B"/>
    <w:rsid w:val="00AA66D4"/>
    <w:rsid w:val="00AA7BA5"/>
    <w:rsid w:val="00AB0603"/>
    <w:rsid w:val="00AB2A24"/>
    <w:rsid w:val="00AB2B1C"/>
    <w:rsid w:val="00AB2B82"/>
    <w:rsid w:val="00AB35B9"/>
    <w:rsid w:val="00AB3950"/>
    <w:rsid w:val="00AB3CC3"/>
    <w:rsid w:val="00AB4582"/>
    <w:rsid w:val="00AB4F91"/>
    <w:rsid w:val="00AB5946"/>
    <w:rsid w:val="00AB62A7"/>
    <w:rsid w:val="00AB6F17"/>
    <w:rsid w:val="00AB7459"/>
    <w:rsid w:val="00AB75F9"/>
    <w:rsid w:val="00AC0029"/>
    <w:rsid w:val="00AC0231"/>
    <w:rsid w:val="00AC26CF"/>
    <w:rsid w:val="00AC2A62"/>
    <w:rsid w:val="00AC3DC2"/>
    <w:rsid w:val="00AC48D2"/>
    <w:rsid w:val="00AC580E"/>
    <w:rsid w:val="00AC5992"/>
    <w:rsid w:val="00AC6F55"/>
    <w:rsid w:val="00AD12EE"/>
    <w:rsid w:val="00AD1BB3"/>
    <w:rsid w:val="00AD2C5D"/>
    <w:rsid w:val="00AD389C"/>
    <w:rsid w:val="00AD42BD"/>
    <w:rsid w:val="00AD4411"/>
    <w:rsid w:val="00AD4576"/>
    <w:rsid w:val="00AD4B78"/>
    <w:rsid w:val="00AD4E32"/>
    <w:rsid w:val="00AD55A5"/>
    <w:rsid w:val="00AD63E3"/>
    <w:rsid w:val="00AE01C8"/>
    <w:rsid w:val="00AE0396"/>
    <w:rsid w:val="00AE05B7"/>
    <w:rsid w:val="00AE1C32"/>
    <w:rsid w:val="00AE2960"/>
    <w:rsid w:val="00AE3A0C"/>
    <w:rsid w:val="00AE466E"/>
    <w:rsid w:val="00AE53CA"/>
    <w:rsid w:val="00AE598F"/>
    <w:rsid w:val="00AE6222"/>
    <w:rsid w:val="00AE6BB8"/>
    <w:rsid w:val="00AE751E"/>
    <w:rsid w:val="00AF0223"/>
    <w:rsid w:val="00AF02F3"/>
    <w:rsid w:val="00AF126F"/>
    <w:rsid w:val="00AF1F71"/>
    <w:rsid w:val="00AF234B"/>
    <w:rsid w:val="00AF2BAA"/>
    <w:rsid w:val="00AF34B5"/>
    <w:rsid w:val="00AF49CA"/>
    <w:rsid w:val="00AF6492"/>
    <w:rsid w:val="00AF714D"/>
    <w:rsid w:val="00B0073B"/>
    <w:rsid w:val="00B010F5"/>
    <w:rsid w:val="00B01686"/>
    <w:rsid w:val="00B020F7"/>
    <w:rsid w:val="00B03299"/>
    <w:rsid w:val="00B033FA"/>
    <w:rsid w:val="00B03CFB"/>
    <w:rsid w:val="00B0477F"/>
    <w:rsid w:val="00B04831"/>
    <w:rsid w:val="00B06705"/>
    <w:rsid w:val="00B067FB"/>
    <w:rsid w:val="00B072F0"/>
    <w:rsid w:val="00B0753A"/>
    <w:rsid w:val="00B101CF"/>
    <w:rsid w:val="00B111E5"/>
    <w:rsid w:val="00B11321"/>
    <w:rsid w:val="00B11B3E"/>
    <w:rsid w:val="00B11C02"/>
    <w:rsid w:val="00B11F9E"/>
    <w:rsid w:val="00B12D6F"/>
    <w:rsid w:val="00B12DD8"/>
    <w:rsid w:val="00B1325D"/>
    <w:rsid w:val="00B133D8"/>
    <w:rsid w:val="00B13ECF"/>
    <w:rsid w:val="00B14F6E"/>
    <w:rsid w:val="00B15C71"/>
    <w:rsid w:val="00B17455"/>
    <w:rsid w:val="00B20D39"/>
    <w:rsid w:val="00B20DD5"/>
    <w:rsid w:val="00B21391"/>
    <w:rsid w:val="00B21C24"/>
    <w:rsid w:val="00B2202D"/>
    <w:rsid w:val="00B22B66"/>
    <w:rsid w:val="00B2449A"/>
    <w:rsid w:val="00B249EF"/>
    <w:rsid w:val="00B24F4A"/>
    <w:rsid w:val="00B25701"/>
    <w:rsid w:val="00B25C79"/>
    <w:rsid w:val="00B2624B"/>
    <w:rsid w:val="00B26A06"/>
    <w:rsid w:val="00B2779B"/>
    <w:rsid w:val="00B30A57"/>
    <w:rsid w:val="00B31944"/>
    <w:rsid w:val="00B31F6C"/>
    <w:rsid w:val="00B32248"/>
    <w:rsid w:val="00B328A0"/>
    <w:rsid w:val="00B3429C"/>
    <w:rsid w:val="00B34DBD"/>
    <w:rsid w:val="00B35A87"/>
    <w:rsid w:val="00B35C73"/>
    <w:rsid w:val="00B379D8"/>
    <w:rsid w:val="00B40941"/>
    <w:rsid w:val="00B4173C"/>
    <w:rsid w:val="00B44F27"/>
    <w:rsid w:val="00B46382"/>
    <w:rsid w:val="00B46BA4"/>
    <w:rsid w:val="00B47F16"/>
    <w:rsid w:val="00B50830"/>
    <w:rsid w:val="00B511B7"/>
    <w:rsid w:val="00B51A39"/>
    <w:rsid w:val="00B52B70"/>
    <w:rsid w:val="00B52D4A"/>
    <w:rsid w:val="00B539D1"/>
    <w:rsid w:val="00B53B43"/>
    <w:rsid w:val="00B54E12"/>
    <w:rsid w:val="00B557AF"/>
    <w:rsid w:val="00B5675E"/>
    <w:rsid w:val="00B571A3"/>
    <w:rsid w:val="00B57D06"/>
    <w:rsid w:val="00B60400"/>
    <w:rsid w:val="00B60D9B"/>
    <w:rsid w:val="00B61270"/>
    <w:rsid w:val="00B62100"/>
    <w:rsid w:val="00B63039"/>
    <w:rsid w:val="00B640C2"/>
    <w:rsid w:val="00B65087"/>
    <w:rsid w:val="00B652AA"/>
    <w:rsid w:val="00B652B6"/>
    <w:rsid w:val="00B676DD"/>
    <w:rsid w:val="00B67940"/>
    <w:rsid w:val="00B71198"/>
    <w:rsid w:val="00B71B8A"/>
    <w:rsid w:val="00B732B5"/>
    <w:rsid w:val="00B73591"/>
    <w:rsid w:val="00B7567F"/>
    <w:rsid w:val="00B76647"/>
    <w:rsid w:val="00B8028F"/>
    <w:rsid w:val="00B8033F"/>
    <w:rsid w:val="00B809D2"/>
    <w:rsid w:val="00B80F77"/>
    <w:rsid w:val="00B81C6E"/>
    <w:rsid w:val="00B8213E"/>
    <w:rsid w:val="00B828D2"/>
    <w:rsid w:val="00B8297D"/>
    <w:rsid w:val="00B83DDA"/>
    <w:rsid w:val="00B841EA"/>
    <w:rsid w:val="00B846E4"/>
    <w:rsid w:val="00B84C77"/>
    <w:rsid w:val="00B85B6B"/>
    <w:rsid w:val="00B86044"/>
    <w:rsid w:val="00B86697"/>
    <w:rsid w:val="00B900D5"/>
    <w:rsid w:val="00B91404"/>
    <w:rsid w:val="00B9278C"/>
    <w:rsid w:val="00B93053"/>
    <w:rsid w:val="00B942AA"/>
    <w:rsid w:val="00B946E7"/>
    <w:rsid w:val="00B94BBC"/>
    <w:rsid w:val="00B9554A"/>
    <w:rsid w:val="00B9577E"/>
    <w:rsid w:val="00B95D6C"/>
    <w:rsid w:val="00B9615E"/>
    <w:rsid w:val="00B963AB"/>
    <w:rsid w:val="00B96C4E"/>
    <w:rsid w:val="00B96CE1"/>
    <w:rsid w:val="00B96CE5"/>
    <w:rsid w:val="00B9732B"/>
    <w:rsid w:val="00B97879"/>
    <w:rsid w:val="00BA016D"/>
    <w:rsid w:val="00BA0309"/>
    <w:rsid w:val="00BA0485"/>
    <w:rsid w:val="00BA0739"/>
    <w:rsid w:val="00BA091B"/>
    <w:rsid w:val="00BA111A"/>
    <w:rsid w:val="00BA2278"/>
    <w:rsid w:val="00BA2E86"/>
    <w:rsid w:val="00BA467B"/>
    <w:rsid w:val="00BA5A92"/>
    <w:rsid w:val="00BA5E0E"/>
    <w:rsid w:val="00BA5FF3"/>
    <w:rsid w:val="00BA6615"/>
    <w:rsid w:val="00BA7C34"/>
    <w:rsid w:val="00BB02DD"/>
    <w:rsid w:val="00BB0DDC"/>
    <w:rsid w:val="00BB19F4"/>
    <w:rsid w:val="00BB2625"/>
    <w:rsid w:val="00BB3340"/>
    <w:rsid w:val="00BB3A8F"/>
    <w:rsid w:val="00BB3D12"/>
    <w:rsid w:val="00BB438E"/>
    <w:rsid w:val="00BB598E"/>
    <w:rsid w:val="00BB69A4"/>
    <w:rsid w:val="00BB71D7"/>
    <w:rsid w:val="00BB7EDF"/>
    <w:rsid w:val="00BC097A"/>
    <w:rsid w:val="00BC0B49"/>
    <w:rsid w:val="00BC217B"/>
    <w:rsid w:val="00BC297E"/>
    <w:rsid w:val="00BC37CD"/>
    <w:rsid w:val="00BC550A"/>
    <w:rsid w:val="00BC5617"/>
    <w:rsid w:val="00BC5C23"/>
    <w:rsid w:val="00BC5E22"/>
    <w:rsid w:val="00BC60DD"/>
    <w:rsid w:val="00BC6581"/>
    <w:rsid w:val="00BC7FC2"/>
    <w:rsid w:val="00BD1516"/>
    <w:rsid w:val="00BD31D1"/>
    <w:rsid w:val="00BD3524"/>
    <w:rsid w:val="00BD3803"/>
    <w:rsid w:val="00BD4D30"/>
    <w:rsid w:val="00BD6BE6"/>
    <w:rsid w:val="00BD6DB9"/>
    <w:rsid w:val="00BD7459"/>
    <w:rsid w:val="00BE05F8"/>
    <w:rsid w:val="00BE3512"/>
    <w:rsid w:val="00BE3F11"/>
    <w:rsid w:val="00BE4706"/>
    <w:rsid w:val="00BE621E"/>
    <w:rsid w:val="00BE6419"/>
    <w:rsid w:val="00BE6769"/>
    <w:rsid w:val="00BE6AFA"/>
    <w:rsid w:val="00BF026C"/>
    <w:rsid w:val="00BF05EC"/>
    <w:rsid w:val="00BF0745"/>
    <w:rsid w:val="00BF0C08"/>
    <w:rsid w:val="00BF0C88"/>
    <w:rsid w:val="00BF1095"/>
    <w:rsid w:val="00BF1714"/>
    <w:rsid w:val="00BF1AEA"/>
    <w:rsid w:val="00BF36AC"/>
    <w:rsid w:val="00BF44EA"/>
    <w:rsid w:val="00BF4501"/>
    <w:rsid w:val="00BF5027"/>
    <w:rsid w:val="00BF52C2"/>
    <w:rsid w:val="00BF53DD"/>
    <w:rsid w:val="00BF5A87"/>
    <w:rsid w:val="00BF5C9B"/>
    <w:rsid w:val="00BF5FAC"/>
    <w:rsid w:val="00BF608D"/>
    <w:rsid w:val="00BF65B7"/>
    <w:rsid w:val="00BF66A1"/>
    <w:rsid w:val="00BF6867"/>
    <w:rsid w:val="00BF7929"/>
    <w:rsid w:val="00C0143F"/>
    <w:rsid w:val="00C03F9E"/>
    <w:rsid w:val="00C043EB"/>
    <w:rsid w:val="00C048A1"/>
    <w:rsid w:val="00C04B08"/>
    <w:rsid w:val="00C04E9F"/>
    <w:rsid w:val="00C04EE6"/>
    <w:rsid w:val="00C05531"/>
    <w:rsid w:val="00C0555F"/>
    <w:rsid w:val="00C11021"/>
    <w:rsid w:val="00C11DC8"/>
    <w:rsid w:val="00C12ED2"/>
    <w:rsid w:val="00C133AC"/>
    <w:rsid w:val="00C14625"/>
    <w:rsid w:val="00C153D7"/>
    <w:rsid w:val="00C15DF0"/>
    <w:rsid w:val="00C16774"/>
    <w:rsid w:val="00C20088"/>
    <w:rsid w:val="00C20281"/>
    <w:rsid w:val="00C20D89"/>
    <w:rsid w:val="00C214C5"/>
    <w:rsid w:val="00C215C6"/>
    <w:rsid w:val="00C216BB"/>
    <w:rsid w:val="00C21E07"/>
    <w:rsid w:val="00C221D1"/>
    <w:rsid w:val="00C272FA"/>
    <w:rsid w:val="00C328CB"/>
    <w:rsid w:val="00C33398"/>
    <w:rsid w:val="00C334B4"/>
    <w:rsid w:val="00C341E3"/>
    <w:rsid w:val="00C34EDB"/>
    <w:rsid w:val="00C3502A"/>
    <w:rsid w:val="00C3591A"/>
    <w:rsid w:val="00C35A8D"/>
    <w:rsid w:val="00C35E69"/>
    <w:rsid w:val="00C3610C"/>
    <w:rsid w:val="00C36AFF"/>
    <w:rsid w:val="00C36D8B"/>
    <w:rsid w:val="00C376CE"/>
    <w:rsid w:val="00C413E0"/>
    <w:rsid w:val="00C4149B"/>
    <w:rsid w:val="00C4209B"/>
    <w:rsid w:val="00C420FF"/>
    <w:rsid w:val="00C42AE1"/>
    <w:rsid w:val="00C43592"/>
    <w:rsid w:val="00C43ED8"/>
    <w:rsid w:val="00C4569F"/>
    <w:rsid w:val="00C47076"/>
    <w:rsid w:val="00C47469"/>
    <w:rsid w:val="00C50096"/>
    <w:rsid w:val="00C50892"/>
    <w:rsid w:val="00C50D3F"/>
    <w:rsid w:val="00C515C1"/>
    <w:rsid w:val="00C51DDC"/>
    <w:rsid w:val="00C52D2A"/>
    <w:rsid w:val="00C52F92"/>
    <w:rsid w:val="00C53678"/>
    <w:rsid w:val="00C536CB"/>
    <w:rsid w:val="00C53A87"/>
    <w:rsid w:val="00C55FC8"/>
    <w:rsid w:val="00C56A5E"/>
    <w:rsid w:val="00C56F6F"/>
    <w:rsid w:val="00C57835"/>
    <w:rsid w:val="00C57C56"/>
    <w:rsid w:val="00C6054E"/>
    <w:rsid w:val="00C60E91"/>
    <w:rsid w:val="00C61693"/>
    <w:rsid w:val="00C63433"/>
    <w:rsid w:val="00C63A69"/>
    <w:rsid w:val="00C63EF1"/>
    <w:rsid w:val="00C64703"/>
    <w:rsid w:val="00C65C23"/>
    <w:rsid w:val="00C65F1C"/>
    <w:rsid w:val="00C65FBB"/>
    <w:rsid w:val="00C66D2C"/>
    <w:rsid w:val="00C71D3B"/>
    <w:rsid w:val="00C722C0"/>
    <w:rsid w:val="00C72A68"/>
    <w:rsid w:val="00C72ECB"/>
    <w:rsid w:val="00C73521"/>
    <w:rsid w:val="00C75728"/>
    <w:rsid w:val="00C76BF9"/>
    <w:rsid w:val="00C77117"/>
    <w:rsid w:val="00C776CE"/>
    <w:rsid w:val="00C80724"/>
    <w:rsid w:val="00C81F2D"/>
    <w:rsid w:val="00C8222C"/>
    <w:rsid w:val="00C83DC6"/>
    <w:rsid w:val="00C83F36"/>
    <w:rsid w:val="00C8491A"/>
    <w:rsid w:val="00C853D7"/>
    <w:rsid w:val="00C85524"/>
    <w:rsid w:val="00C85BA7"/>
    <w:rsid w:val="00C86114"/>
    <w:rsid w:val="00C86812"/>
    <w:rsid w:val="00C86D20"/>
    <w:rsid w:val="00C873E6"/>
    <w:rsid w:val="00C874F7"/>
    <w:rsid w:val="00C90524"/>
    <w:rsid w:val="00C9067A"/>
    <w:rsid w:val="00C90754"/>
    <w:rsid w:val="00C90767"/>
    <w:rsid w:val="00C9096E"/>
    <w:rsid w:val="00C90A15"/>
    <w:rsid w:val="00C91025"/>
    <w:rsid w:val="00C91D1F"/>
    <w:rsid w:val="00C92197"/>
    <w:rsid w:val="00C93292"/>
    <w:rsid w:val="00C94706"/>
    <w:rsid w:val="00C94AEB"/>
    <w:rsid w:val="00C94F23"/>
    <w:rsid w:val="00C95227"/>
    <w:rsid w:val="00C96251"/>
    <w:rsid w:val="00C96D41"/>
    <w:rsid w:val="00C96EB5"/>
    <w:rsid w:val="00C97583"/>
    <w:rsid w:val="00C97686"/>
    <w:rsid w:val="00CA0309"/>
    <w:rsid w:val="00CA0DFA"/>
    <w:rsid w:val="00CA3705"/>
    <w:rsid w:val="00CA3C8E"/>
    <w:rsid w:val="00CA504F"/>
    <w:rsid w:val="00CA5226"/>
    <w:rsid w:val="00CA560E"/>
    <w:rsid w:val="00CA580B"/>
    <w:rsid w:val="00CA5BAF"/>
    <w:rsid w:val="00CA5E15"/>
    <w:rsid w:val="00CA621E"/>
    <w:rsid w:val="00CA7BBF"/>
    <w:rsid w:val="00CB176F"/>
    <w:rsid w:val="00CB19CE"/>
    <w:rsid w:val="00CB1F6B"/>
    <w:rsid w:val="00CB2431"/>
    <w:rsid w:val="00CB2896"/>
    <w:rsid w:val="00CB3609"/>
    <w:rsid w:val="00CB3B15"/>
    <w:rsid w:val="00CB3D61"/>
    <w:rsid w:val="00CB55A3"/>
    <w:rsid w:val="00CB5706"/>
    <w:rsid w:val="00CB68B1"/>
    <w:rsid w:val="00CB6D3A"/>
    <w:rsid w:val="00CB6F1E"/>
    <w:rsid w:val="00CB7521"/>
    <w:rsid w:val="00CB7874"/>
    <w:rsid w:val="00CB7A3D"/>
    <w:rsid w:val="00CC0078"/>
    <w:rsid w:val="00CC050C"/>
    <w:rsid w:val="00CC0622"/>
    <w:rsid w:val="00CC068D"/>
    <w:rsid w:val="00CC0AD4"/>
    <w:rsid w:val="00CC0B93"/>
    <w:rsid w:val="00CC2003"/>
    <w:rsid w:val="00CC2D02"/>
    <w:rsid w:val="00CC37E9"/>
    <w:rsid w:val="00CC3A84"/>
    <w:rsid w:val="00CC43E1"/>
    <w:rsid w:val="00CC4654"/>
    <w:rsid w:val="00CC4950"/>
    <w:rsid w:val="00CC6448"/>
    <w:rsid w:val="00CC6C59"/>
    <w:rsid w:val="00CC7680"/>
    <w:rsid w:val="00CD0925"/>
    <w:rsid w:val="00CD2C43"/>
    <w:rsid w:val="00CD2CE3"/>
    <w:rsid w:val="00CD34A5"/>
    <w:rsid w:val="00CD38DC"/>
    <w:rsid w:val="00CD41E3"/>
    <w:rsid w:val="00CD4331"/>
    <w:rsid w:val="00CD5258"/>
    <w:rsid w:val="00CD5DE0"/>
    <w:rsid w:val="00CD61B0"/>
    <w:rsid w:val="00CD623E"/>
    <w:rsid w:val="00CD765B"/>
    <w:rsid w:val="00CD79D7"/>
    <w:rsid w:val="00CD79E6"/>
    <w:rsid w:val="00CE00F5"/>
    <w:rsid w:val="00CE099A"/>
    <w:rsid w:val="00CE1565"/>
    <w:rsid w:val="00CE39A2"/>
    <w:rsid w:val="00CE3B08"/>
    <w:rsid w:val="00CE48FB"/>
    <w:rsid w:val="00CE5965"/>
    <w:rsid w:val="00CE5B91"/>
    <w:rsid w:val="00CE670B"/>
    <w:rsid w:val="00CE6CC4"/>
    <w:rsid w:val="00CE6E89"/>
    <w:rsid w:val="00CE7339"/>
    <w:rsid w:val="00CE7877"/>
    <w:rsid w:val="00CE7AB1"/>
    <w:rsid w:val="00CF0304"/>
    <w:rsid w:val="00CF06EC"/>
    <w:rsid w:val="00CF1038"/>
    <w:rsid w:val="00CF18BD"/>
    <w:rsid w:val="00CF2D27"/>
    <w:rsid w:val="00CF31C5"/>
    <w:rsid w:val="00CF3F93"/>
    <w:rsid w:val="00CF450D"/>
    <w:rsid w:val="00CF4DCE"/>
    <w:rsid w:val="00CF5DBF"/>
    <w:rsid w:val="00CF5F4A"/>
    <w:rsid w:val="00CF6036"/>
    <w:rsid w:val="00CF6DEE"/>
    <w:rsid w:val="00CF6EDA"/>
    <w:rsid w:val="00CF7712"/>
    <w:rsid w:val="00D00433"/>
    <w:rsid w:val="00D0060F"/>
    <w:rsid w:val="00D0151E"/>
    <w:rsid w:val="00D0348E"/>
    <w:rsid w:val="00D03FFD"/>
    <w:rsid w:val="00D04748"/>
    <w:rsid w:val="00D04A65"/>
    <w:rsid w:val="00D050BE"/>
    <w:rsid w:val="00D05779"/>
    <w:rsid w:val="00D05925"/>
    <w:rsid w:val="00D061E9"/>
    <w:rsid w:val="00D06F11"/>
    <w:rsid w:val="00D072BF"/>
    <w:rsid w:val="00D0767E"/>
    <w:rsid w:val="00D079C3"/>
    <w:rsid w:val="00D07A46"/>
    <w:rsid w:val="00D07FB1"/>
    <w:rsid w:val="00D10135"/>
    <w:rsid w:val="00D1024C"/>
    <w:rsid w:val="00D10386"/>
    <w:rsid w:val="00D109B1"/>
    <w:rsid w:val="00D12116"/>
    <w:rsid w:val="00D12136"/>
    <w:rsid w:val="00D14101"/>
    <w:rsid w:val="00D141AE"/>
    <w:rsid w:val="00D146AA"/>
    <w:rsid w:val="00D14B38"/>
    <w:rsid w:val="00D14ED9"/>
    <w:rsid w:val="00D15483"/>
    <w:rsid w:val="00D15555"/>
    <w:rsid w:val="00D169B7"/>
    <w:rsid w:val="00D16FB1"/>
    <w:rsid w:val="00D1741C"/>
    <w:rsid w:val="00D174C4"/>
    <w:rsid w:val="00D207CC"/>
    <w:rsid w:val="00D2137E"/>
    <w:rsid w:val="00D213FC"/>
    <w:rsid w:val="00D22F29"/>
    <w:rsid w:val="00D23F62"/>
    <w:rsid w:val="00D24AF7"/>
    <w:rsid w:val="00D25BE3"/>
    <w:rsid w:val="00D25DC7"/>
    <w:rsid w:val="00D267A8"/>
    <w:rsid w:val="00D26C59"/>
    <w:rsid w:val="00D26E2B"/>
    <w:rsid w:val="00D30035"/>
    <w:rsid w:val="00D31122"/>
    <w:rsid w:val="00D31552"/>
    <w:rsid w:val="00D31BD7"/>
    <w:rsid w:val="00D32588"/>
    <w:rsid w:val="00D332FE"/>
    <w:rsid w:val="00D33853"/>
    <w:rsid w:val="00D33A87"/>
    <w:rsid w:val="00D33D50"/>
    <w:rsid w:val="00D34ACF"/>
    <w:rsid w:val="00D3678A"/>
    <w:rsid w:val="00D36C0A"/>
    <w:rsid w:val="00D36CA2"/>
    <w:rsid w:val="00D400D1"/>
    <w:rsid w:val="00D40767"/>
    <w:rsid w:val="00D409CB"/>
    <w:rsid w:val="00D41C76"/>
    <w:rsid w:val="00D427B2"/>
    <w:rsid w:val="00D43740"/>
    <w:rsid w:val="00D4454F"/>
    <w:rsid w:val="00D4475D"/>
    <w:rsid w:val="00D448D9"/>
    <w:rsid w:val="00D460A6"/>
    <w:rsid w:val="00D466A2"/>
    <w:rsid w:val="00D47293"/>
    <w:rsid w:val="00D4767D"/>
    <w:rsid w:val="00D47A91"/>
    <w:rsid w:val="00D5037B"/>
    <w:rsid w:val="00D50D12"/>
    <w:rsid w:val="00D50F37"/>
    <w:rsid w:val="00D524E6"/>
    <w:rsid w:val="00D52DFE"/>
    <w:rsid w:val="00D531A2"/>
    <w:rsid w:val="00D535D6"/>
    <w:rsid w:val="00D54ACD"/>
    <w:rsid w:val="00D560CA"/>
    <w:rsid w:val="00D561FC"/>
    <w:rsid w:val="00D572C6"/>
    <w:rsid w:val="00D603F6"/>
    <w:rsid w:val="00D60D7A"/>
    <w:rsid w:val="00D62643"/>
    <w:rsid w:val="00D62922"/>
    <w:rsid w:val="00D6309B"/>
    <w:rsid w:val="00D642E8"/>
    <w:rsid w:val="00D65442"/>
    <w:rsid w:val="00D657AA"/>
    <w:rsid w:val="00D65E9F"/>
    <w:rsid w:val="00D660A2"/>
    <w:rsid w:val="00D66603"/>
    <w:rsid w:val="00D66B92"/>
    <w:rsid w:val="00D71997"/>
    <w:rsid w:val="00D72080"/>
    <w:rsid w:val="00D7249E"/>
    <w:rsid w:val="00D734A7"/>
    <w:rsid w:val="00D7427F"/>
    <w:rsid w:val="00D7528F"/>
    <w:rsid w:val="00D80435"/>
    <w:rsid w:val="00D80FF0"/>
    <w:rsid w:val="00D8250E"/>
    <w:rsid w:val="00D82910"/>
    <w:rsid w:val="00D82BB1"/>
    <w:rsid w:val="00D8304D"/>
    <w:rsid w:val="00D836AF"/>
    <w:rsid w:val="00D836FA"/>
    <w:rsid w:val="00D83861"/>
    <w:rsid w:val="00D854A5"/>
    <w:rsid w:val="00D86954"/>
    <w:rsid w:val="00D8698A"/>
    <w:rsid w:val="00D86EA3"/>
    <w:rsid w:val="00D87522"/>
    <w:rsid w:val="00D900EA"/>
    <w:rsid w:val="00D90DEB"/>
    <w:rsid w:val="00D90E6C"/>
    <w:rsid w:val="00D91618"/>
    <w:rsid w:val="00D934FE"/>
    <w:rsid w:val="00D93631"/>
    <w:rsid w:val="00D951EF"/>
    <w:rsid w:val="00D95477"/>
    <w:rsid w:val="00D96D8D"/>
    <w:rsid w:val="00D97689"/>
    <w:rsid w:val="00DA0F42"/>
    <w:rsid w:val="00DA14D5"/>
    <w:rsid w:val="00DA4F56"/>
    <w:rsid w:val="00DA51DF"/>
    <w:rsid w:val="00DA57F9"/>
    <w:rsid w:val="00DA6026"/>
    <w:rsid w:val="00DA63EB"/>
    <w:rsid w:val="00DA6835"/>
    <w:rsid w:val="00DB106C"/>
    <w:rsid w:val="00DB13C2"/>
    <w:rsid w:val="00DB18EC"/>
    <w:rsid w:val="00DB2D86"/>
    <w:rsid w:val="00DB33E2"/>
    <w:rsid w:val="00DB3AE8"/>
    <w:rsid w:val="00DB4823"/>
    <w:rsid w:val="00DB5104"/>
    <w:rsid w:val="00DB59CA"/>
    <w:rsid w:val="00DB6F28"/>
    <w:rsid w:val="00DB733F"/>
    <w:rsid w:val="00DB7737"/>
    <w:rsid w:val="00DB7B91"/>
    <w:rsid w:val="00DC0686"/>
    <w:rsid w:val="00DC09BC"/>
    <w:rsid w:val="00DC0D4A"/>
    <w:rsid w:val="00DC28A4"/>
    <w:rsid w:val="00DC4A64"/>
    <w:rsid w:val="00DC4FAE"/>
    <w:rsid w:val="00DC62A2"/>
    <w:rsid w:val="00DC6419"/>
    <w:rsid w:val="00DC66D9"/>
    <w:rsid w:val="00DC6C50"/>
    <w:rsid w:val="00DC7732"/>
    <w:rsid w:val="00DC7B9B"/>
    <w:rsid w:val="00DC7D42"/>
    <w:rsid w:val="00DD0402"/>
    <w:rsid w:val="00DD0725"/>
    <w:rsid w:val="00DD12BE"/>
    <w:rsid w:val="00DD20CF"/>
    <w:rsid w:val="00DD294E"/>
    <w:rsid w:val="00DD2A4A"/>
    <w:rsid w:val="00DD2BFE"/>
    <w:rsid w:val="00DD339E"/>
    <w:rsid w:val="00DD4796"/>
    <w:rsid w:val="00DD55A3"/>
    <w:rsid w:val="00DD5A1B"/>
    <w:rsid w:val="00DD6064"/>
    <w:rsid w:val="00DD6633"/>
    <w:rsid w:val="00DD6700"/>
    <w:rsid w:val="00DD790D"/>
    <w:rsid w:val="00DD7F50"/>
    <w:rsid w:val="00DD7FC2"/>
    <w:rsid w:val="00DE242E"/>
    <w:rsid w:val="00DE2C2A"/>
    <w:rsid w:val="00DE3217"/>
    <w:rsid w:val="00DE4347"/>
    <w:rsid w:val="00DE4CCF"/>
    <w:rsid w:val="00DE5880"/>
    <w:rsid w:val="00DF0BB5"/>
    <w:rsid w:val="00DF1FFB"/>
    <w:rsid w:val="00DF5EB8"/>
    <w:rsid w:val="00DF6BC0"/>
    <w:rsid w:val="00DF6BE9"/>
    <w:rsid w:val="00DF6D45"/>
    <w:rsid w:val="00E005CD"/>
    <w:rsid w:val="00E01671"/>
    <w:rsid w:val="00E06AD3"/>
    <w:rsid w:val="00E06DFD"/>
    <w:rsid w:val="00E07989"/>
    <w:rsid w:val="00E07CE6"/>
    <w:rsid w:val="00E07F6B"/>
    <w:rsid w:val="00E10614"/>
    <w:rsid w:val="00E1063D"/>
    <w:rsid w:val="00E11761"/>
    <w:rsid w:val="00E138D8"/>
    <w:rsid w:val="00E158FB"/>
    <w:rsid w:val="00E15DA0"/>
    <w:rsid w:val="00E203D0"/>
    <w:rsid w:val="00E2191F"/>
    <w:rsid w:val="00E21C2F"/>
    <w:rsid w:val="00E23960"/>
    <w:rsid w:val="00E24DA4"/>
    <w:rsid w:val="00E25ABB"/>
    <w:rsid w:val="00E26B9B"/>
    <w:rsid w:val="00E26EE4"/>
    <w:rsid w:val="00E27274"/>
    <w:rsid w:val="00E302B3"/>
    <w:rsid w:val="00E30B7A"/>
    <w:rsid w:val="00E30D47"/>
    <w:rsid w:val="00E31515"/>
    <w:rsid w:val="00E32527"/>
    <w:rsid w:val="00E328D6"/>
    <w:rsid w:val="00E3411D"/>
    <w:rsid w:val="00E34189"/>
    <w:rsid w:val="00E34C16"/>
    <w:rsid w:val="00E353C6"/>
    <w:rsid w:val="00E36C79"/>
    <w:rsid w:val="00E3735B"/>
    <w:rsid w:val="00E37959"/>
    <w:rsid w:val="00E40057"/>
    <w:rsid w:val="00E4010A"/>
    <w:rsid w:val="00E405C4"/>
    <w:rsid w:val="00E4131E"/>
    <w:rsid w:val="00E4274C"/>
    <w:rsid w:val="00E44CE1"/>
    <w:rsid w:val="00E4621D"/>
    <w:rsid w:val="00E472B2"/>
    <w:rsid w:val="00E472EF"/>
    <w:rsid w:val="00E50353"/>
    <w:rsid w:val="00E503A5"/>
    <w:rsid w:val="00E51041"/>
    <w:rsid w:val="00E517EE"/>
    <w:rsid w:val="00E52D9C"/>
    <w:rsid w:val="00E53202"/>
    <w:rsid w:val="00E53B28"/>
    <w:rsid w:val="00E53BB9"/>
    <w:rsid w:val="00E555EF"/>
    <w:rsid w:val="00E5615A"/>
    <w:rsid w:val="00E564A8"/>
    <w:rsid w:val="00E5752E"/>
    <w:rsid w:val="00E57C0C"/>
    <w:rsid w:val="00E57C1E"/>
    <w:rsid w:val="00E6100D"/>
    <w:rsid w:val="00E61470"/>
    <w:rsid w:val="00E61D7C"/>
    <w:rsid w:val="00E624F8"/>
    <w:rsid w:val="00E62709"/>
    <w:rsid w:val="00E62942"/>
    <w:rsid w:val="00E62ACE"/>
    <w:rsid w:val="00E63B48"/>
    <w:rsid w:val="00E64257"/>
    <w:rsid w:val="00E64DBE"/>
    <w:rsid w:val="00E65585"/>
    <w:rsid w:val="00E67C6C"/>
    <w:rsid w:val="00E705E3"/>
    <w:rsid w:val="00E714D4"/>
    <w:rsid w:val="00E75488"/>
    <w:rsid w:val="00E82FBD"/>
    <w:rsid w:val="00E839C8"/>
    <w:rsid w:val="00E84B1A"/>
    <w:rsid w:val="00E85491"/>
    <w:rsid w:val="00E86949"/>
    <w:rsid w:val="00E86C83"/>
    <w:rsid w:val="00E87465"/>
    <w:rsid w:val="00E87E12"/>
    <w:rsid w:val="00E87F38"/>
    <w:rsid w:val="00E87F82"/>
    <w:rsid w:val="00E87F83"/>
    <w:rsid w:val="00E90E7D"/>
    <w:rsid w:val="00E91CE0"/>
    <w:rsid w:val="00E92B33"/>
    <w:rsid w:val="00E93276"/>
    <w:rsid w:val="00E93B51"/>
    <w:rsid w:val="00E93CBA"/>
    <w:rsid w:val="00E94366"/>
    <w:rsid w:val="00E94DD2"/>
    <w:rsid w:val="00E96F94"/>
    <w:rsid w:val="00E97167"/>
    <w:rsid w:val="00E975CF"/>
    <w:rsid w:val="00E97AC0"/>
    <w:rsid w:val="00E97CFA"/>
    <w:rsid w:val="00EA0486"/>
    <w:rsid w:val="00EA0916"/>
    <w:rsid w:val="00EA259F"/>
    <w:rsid w:val="00EA27C0"/>
    <w:rsid w:val="00EA293D"/>
    <w:rsid w:val="00EA33A8"/>
    <w:rsid w:val="00EA3B04"/>
    <w:rsid w:val="00EA465C"/>
    <w:rsid w:val="00EA48A9"/>
    <w:rsid w:val="00EA657D"/>
    <w:rsid w:val="00EB0173"/>
    <w:rsid w:val="00EB0774"/>
    <w:rsid w:val="00EB0DA6"/>
    <w:rsid w:val="00EB1035"/>
    <w:rsid w:val="00EB116E"/>
    <w:rsid w:val="00EB290D"/>
    <w:rsid w:val="00EB4970"/>
    <w:rsid w:val="00EB5271"/>
    <w:rsid w:val="00EB54AC"/>
    <w:rsid w:val="00EB5708"/>
    <w:rsid w:val="00EB7725"/>
    <w:rsid w:val="00EC1750"/>
    <w:rsid w:val="00EC1BFC"/>
    <w:rsid w:val="00EC1EDC"/>
    <w:rsid w:val="00EC284B"/>
    <w:rsid w:val="00EC2C4F"/>
    <w:rsid w:val="00EC2D92"/>
    <w:rsid w:val="00EC2FFC"/>
    <w:rsid w:val="00EC37BF"/>
    <w:rsid w:val="00EC3D81"/>
    <w:rsid w:val="00EC4777"/>
    <w:rsid w:val="00EC5B5F"/>
    <w:rsid w:val="00EC60EA"/>
    <w:rsid w:val="00EC659C"/>
    <w:rsid w:val="00EC7B22"/>
    <w:rsid w:val="00EC7BAE"/>
    <w:rsid w:val="00ED0696"/>
    <w:rsid w:val="00ED09B8"/>
    <w:rsid w:val="00ED0E90"/>
    <w:rsid w:val="00ED254C"/>
    <w:rsid w:val="00ED2A38"/>
    <w:rsid w:val="00ED31B5"/>
    <w:rsid w:val="00ED3415"/>
    <w:rsid w:val="00ED3AC3"/>
    <w:rsid w:val="00ED4249"/>
    <w:rsid w:val="00ED4DB0"/>
    <w:rsid w:val="00ED5FD8"/>
    <w:rsid w:val="00ED664B"/>
    <w:rsid w:val="00ED692B"/>
    <w:rsid w:val="00ED7298"/>
    <w:rsid w:val="00ED7E57"/>
    <w:rsid w:val="00EE1A6D"/>
    <w:rsid w:val="00EE30EB"/>
    <w:rsid w:val="00EE58EE"/>
    <w:rsid w:val="00EE735C"/>
    <w:rsid w:val="00EF0935"/>
    <w:rsid w:val="00EF3230"/>
    <w:rsid w:val="00EF46DA"/>
    <w:rsid w:val="00EF6A52"/>
    <w:rsid w:val="00F00342"/>
    <w:rsid w:val="00F00CB5"/>
    <w:rsid w:val="00F00CC5"/>
    <w:rsid w:val="00F00CE8"/>
    <w:rsid w:val="00F01743"/>
    <w:rsid w:val="00F02862"/>
    <w:rsid w:val="00F03298"/>
    <w:rsid w:val="00F034BA"/>
    <w:rsid w:val="00F03B30"/>
    <w:rsid w:val="00F0483E"/>
    <w:rsid w:val="00F04A7E"/>
    <w:rsid w:val="00F05622"/>
    <w:rsid w:val="00F062CC"/>
    <w:rsid w:val="00F06F39"/>
    <w:rsid w:val="00F073C8"/>
    <w:rsid w:val="00F10AAD"/>
    <w:rsid w:val="00F114B2"/>
    <w:rsid w:val="00F11E59"/>
    <w:rsid w:val="00F1229B"/>
    <w:rsid w:val="00F13439"/>
    <w:rsid w:val="00F13E8B"/>
    <w:rsid w:val="00F141E5"/>
    <w:rsid w:val="00F1633A"/>
    <w:rsid w:val="00F16881"/>
    <w:rsid w:val="00F169A5"/>
    <w:rsid w:val="00F16BB7"/>
    <w:rsid w:val="00F200F0"/>
    <w:rsid w:val="00F213CF"/>
    <w:rsid w:val="00F217E2"/>
    <w:rsid w:val="00F21AF2"/>
    <w:rsid w:val="00F21C3F"/>
    <w:rsid w:val="00F21EE1"/>
    <w:rsid w:val="00F2237D"/>
    <w:rsid w:val="00F23F3B"/>
    <w:rsid w:val="00F24242"/>
    <w:rsid w:val="00F2500C"/>
    <w:rsid w:val="00F2542F"/>
    <w:rsid w:val="00F2614A"/>
    <w:rsid w:val="00F261C5"/>
    <w:rsid w:val="00F264E9"/>
    <w:rsid w:val="00F2657A"/>
    <w:rsid w:val="00F26EAD"/>
    <w:rsid w:val="00F27876"/>
    <w:rsid w:val="00F30653"/>
    <w:rsid w:val="00F30C37"/>
    <w:rsid w:val="00F30E11"/>
    <w:rsid w:val="00F31BB8"/>
    <w:rsid w:val="00F31E7F"/>
    <w:rsid w:val="00F3318C"/>
    <w:rsid w:val="00F33E92"/>
    <w:rsid w:val="00F34A9F"/>
    <w:rsid w:val="00F35569"/>
    <w:rsid w:val="00F35901"/>
    <w:rsid w:val="00F360B4"/>
    <w:rsid w:val="00F36B41"/>
    <w:rsid w:val="00F371AF"/>
    <w:rsid w:val="00F3744B"/>
    <w:rsid w:val="00F404F6"/>
    <w:rsid w:val="00F40875"/>
    <w:rsid w:val="00F40CD3"/>
    <w:rsid w:val="00F422B2"/>
    <w:rsid w:val="00F42F84"/>
    <w:rsid w:val="00F4313D"/>
    <w:rsid w:val="00F435B4"/>
    <w:rsid w:val="00F44205"/>
    <w:rsid w:val="00F4425F"/>
    <w:rsid w:val="00F447DA"/>
    <w:rsid w:val="00F45132"/>
    <w:rsid w:val="00F453AB"/>
    <w:rsid w:val="00F45EF4"/>
    <w:rsid w:val="00F4643A"/>
    <w:rsid w:val="00F50E92"/>
    <w:rsid w:val="00F541EF"/>
    <w:rsid w:val="00F54677"/>
    <w:rsid w:val="00F5508A"/>
    <w:rsid w:val="00F56D03"/>
    <w:rsid w:val="00F571E0"/>
    <w:rsid w:val="00F5788A"/>
    <w:rsid w:val="00F6094A"/>
    <w:rsid w:val="00F60A88"/>
    <w:rsid w:val="00F6215E"/>
    <w:rsid w:val="00F62BA9"/>
    <w:rsid w:val="00F63716"/>
    <w:rsid w:val="00F63B81"/>
    <w:rsid w:val="00F6509B"/>
    <w:rsid w:val="00F65422"/>
    <w:rsid w:val="00F66B8C"/>
    <w:rsid w:val="00F67BD3"/>
    <w:rsid w:val="00F70A84"/>
    <w:rsid w:val="00F70ED3"/>
    <w:rsid w:val="00F726DA"/>
    <w:rsid w:val="00F72760"/>
    <w:rsid w:val="00F72E24"/>
    <w:rsid w:val="00F73471"/>
    <w:rsid w:val="00F748D8"/>
    <w:rsid w:val="00F74C00"/>
    <w:rsid w:val="00F75077"/>
    <w:rsid w:val="00F75B7D"/>
    <w:rsid w:val="00F761DE"/>
    <w:rsid w:val="00F763FA"/>
    <w:rsid w:val="00F8083F"/>
    <w:rsid w:val="00F80C98"/>
    <w:rsid w:val="00F812AA"/>
    <w:rsid w:val="00F81D22"/>
    <w:rsid w:val="00F81E7B"/>
    <w:rsid w:val="00F81E7F"/>
    <w:rsid w:val="00F8212F"/>
    <w:rsid w:val="00F82552"/>
    <w:rsid w:val="00F8350F"/>
    <w:rsid w:val="00F8361F"/>
    <w:rsid w:val="00F83EFD"/>
    <w:rsid w:val="00F844C7"/>
    <w:rsid w:val="00F8489B"/>
    <w:rsid w:val="00F85FFA"/>
    <w:rsid w:val="00F86002"/>
    <w:rsid w:val="00F86108"/>
    <w:rsid w:val="00F86B73"/>
    <w:rsid w:val="00F87A7A"/>
    <w:rsid w:val="00F90B5E"/>
    <w:rsid w:val="00F91811"/>
    <w:rsid w:val="00F92CEC"/>
    <w:rsid w:val="00F93974"/>
    <w:rsid w:val="00F93D4E"/>
    <w:rsid w:val="00F95134"/>
    <w:rsid w:val="00F952E6"/>
    <w:rsid w:val="00F95634"/>
    <w:rsid w:val="00F95840"/>
    <w:rsid w:val="00F95A3A"/>
    <w:rsid w:val="00F962D5"/>
    <w:rsid w:val="00F96AB4"/>
    <w:rsid w:val="00F976E7"/>
    <w:rsid w:val="00F97C99"/>
    <w:rsid w:val="00FA0E4A"/>
    <w:rsid w:val="00FA243C"/>
    <w:rsid w:val="00FA288E"/>
    <w:rsid w:val="00FA3692"/>
    <w:rsid w:val="00FA369A"/>
    <w:rsid w:val="00FA6F31"/>
    <w:rsid w:val="00FB00C7"/>
    <w:rsid w:val="00FB0C57"/>
    <w:rsid w:val="00FB1273"/>
    <w:rsid w:val="00FB190B"/>
    <w:rsid w:val="00FB21BB"/>
    <w:rsid w:val="00FB2475"/>
    <w:rsid w:val="00FB2841"/>
    <w:rsid w:val="00FB2CDB"/>
    <w:rsid w:val="00FB31F5"/>
    <w:rsid w:val="00FB3828"/>
    <w:rsid w:val="00FB3B3F"/>
    <w:rsid w:val="00FB54CD"/>
    <w:rsid w:val="00FB5539"/>
    <w:rsid w:val="00FB66E8"/>
    <w:rsid w:val="00FB74A5"/>
    <w:rsid w:val="00FC0746"/>
    <w:rsid w:val="00FC07B7"/>
    <w:rsid w:val="00FC2F99"/>
    <w:rsid w:val="00FC4A53"/>
    <w:rsid w:val="00FC59E8"/>
    <w:rsid w:val="00FC5B96"/>
    <w:rsid w:val="00FC5B9D"/>
    <w:rsid w:val="00FC6FEE"/>
    <w:rsid w:val="00FD0A41"/>
    <w:rsid w:val="00FD14E7"/>
    <w:rsid w:val="00FD1656"/>
    <w:rsid w:val="00FD20BD"/>
    <w:rsid w:val="00FD4029"/>
    <w:rsid w:val="00FD463C"/>
    <w:rsid w:val="00FD4F7F"/>
    <w:rsid w:val="00FD4FF8"/>
    <w:rsid w:val="00FD5877"/>
    <w:rsid w:val="00FD6346"/>
    <w:rsid w:val="00FD6E35"/>
    <w:rsid w:val="00FD6FB5"/>
    <w:rsid w:val="00FE1E3D"/>
    <w:rsid w:val="00FE1F7E"/>
    <w:rsid w:val="00FE2B16"/>
    <w:rsid w:val="00FE412D"/>
    <w:rsid w:val="00FE41B1"/>
    <w:rsid w:val="00FE49CF"/>
    <w:rsid w:val="00FE576E"/>
    <w:rsid w:val="00FE58FC"/>
    <w:rsid w:val="00FE71E2"/>
    <w:rsid w:val="00FF03BD"/>
    <w:rsid w:val="00FF0F5A"/>
    <w:rsid w:val="00FF10C2"/>
    <w:rsid w:val="00FF1318"/>
    <w:rsid w:val="00FF155E"/>
    <w:rsid w:val="00FF344A"/>
    <w:rsid w:val="00FF3BD6"/>
    <w:rsid w:val="00FF47E7"/>
    <w:rsid w:val="00FF6539"/>
    <w:rsid w:val="00FF6A6E"/>
    <w:rsid w:val="00FF6D6B"/>
    <w:rsid w:val="00FF7398"/>
    <w:rsid w:val="00FF73B0"/>
    <w:rsid w:val="00FF7B6E"/>
    <w:rsid w:val="00FF7C50"/>
  </w:rsids>
  <m:mathPr>
    <m:mathFont m:val="Cambria Math"/>
    <m:brkBin m:val="before"/>
    <m:brkBinSub m:val="--"/>
    <m:smallFrac m:val="0"/>
    <m:dispDef/>
    <m:lMargin m:val="0"/>
    <m:rMargin m:val="0"/>
    <m:defJc m:val="centerGroup"/>
    <m:wrapIndent m:val="1440"/>
    <m:intLim m:val="subSup"/>
    <m:naryLim m:val="undOvr"/>
  </m:mathPr>
  <w:themeFontLang w:val="en-AU"/>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5C84A95"/>
  <w15:chartTrackingRefBased/>
  <w15:docId w15:val="{7BD1C09E-1039-4F30-8AF5-D20B2D9DB3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AU"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B5271"/>
    <w:pPr>
      <w:spacing w:line="480" w:lineRule="auto"/>
      <w:ind w:firstLine="720"/>
      <w:jc w:val="both"/>
    </w:pPr>
    <w:rPr>
      <w:rFonts w:ascii="Times New Roman" w:hAnsi="Times New Roman" w:cs="Times New Roman"/>
      <w:sz w:val="24"/>
      <w:szCs w:val="24"/>
      <w:lang w:val="en-GB"/>
    </w:rPr>
  </w:style>
  <w:style w:type="paragraph" w:styleId="Heading1">
    <w:name w:val="heading 1"/>
    <w:basedOn w:val="Normal"/>
    <w:next w:val="Normal"/>
    <w:link w:val="Heading1Char"/>
    <w:uiPriority w:val="9"/>
    <w:qFormat/>
    <w:rsid w:val="00B47F16"/>
    <w:pPr>
      <w:keepNext/>
      <w:keepLines/>
      <w:spacing w:before="240" w:after="0"/>
      <w:ind w:firstLine="0"/>
      <w:jc w:val="center"/>
      <w:outlineLvl w:val="0"/>
    </w:pPr>
    <w:rPr>
      <w:rFonts w:eastAsiaTheme="majorEastAsia"/>
      <w:sz w:val="32"/>
      <w:szCs w:val="32"/>
      <w:lang w:val="en-US"/>
    </w:rPr>
  </w:style>
  <w:style w:type="paragraph" w:styleId="Heading2">
    <w:name w:val="heading 2"/>
    <w:basedOn w:val="Normal"/>
    <w:next w:val="Normal"/>
    <w:link w:val="Heading2Char"/>
    <w:uiPriority w:val="9"/>
    <w:unhideWhenUsed/>
    <w:qFormat/>
    <w:rsid w:val="000A2519"/>
    <w:pPr>
      <w:keepNext/>
      <w:keepLines/>
      <w:spacing w:before="40" w:after="0"/>
      <w:outlineLvl w:val="1"/>
    </w:pPr>
    <w:rPr>
      <w:rFonts w:eastAsiaTheme="majorEastAsia"/>
      <w:sz w:val="26"/>
      <w:szCs w:val="26"/>
    </w:rPr>
  </w:style>
  <w:style w:type="paragraph" w:styleId="Heading3">
    <w:name w:val="heading 3"/>
    <w:basedOn w:val="Normal"/>
    <w:next w:val="Normal"/>
    <w:link w:val="Heading3Char"/>
    <w:uiPriority w:val="9"/>
    <w:unhideWhenUsed/>
    <w:qFormat/>
    <w:rsid w:val="00E3735B"/>
    <w:pPr>
      <w:keepNext/>
      <w:keepLines/>
      <w:spacing w:before="40" w:after="0"/>
      <w:outlineLvl w:val="2"/>
    </w:pPr>
    <w:rPr>
      <w:rFonts w:eastAsiaTheme="majorEastAsia"/>
      <w:b/>
      <w:bCs/>
    </w:rPr>
  </w:style>
  <w:style w:type="paragraph" w:styleId="Heading4">
    <w:name w:val="heading 4"/>
    <w:basedOn w:val="Normal"/>
    <w:next w:val="Normal"/>
    <w:link w:val="Heading4Char"/>
    <w:uiPriority w:val="9"/>
    <w:unhideWhenUsed/>
    <w:qFormat/>
    <w:rsid w:val="000A2519"/>
    <w:pPr>
      <w:keepNext/>
      <w:keepLines/>
      <w:spacing w:before="40" w:after="0"/>
      <w:outlineLvl w:val="3"/>
    </w:pPr>
    <w:rPr>
      <w:rFonts w:eastAsiaTheme="majorEastAsia"/>
      <w:i/>
      <w:iCs/>
    </w:rPr>
  </w:style>
  <w:style w:type="paragraph" w:styleId="Heading5">
    <w:name w:val="heading 5"/>
    <w:basedOn w:val="Normal"/>
    <w:next w:val="Normal"/>
    <w:link w:val="Heading5Char"/>
    <w:uiPriority w:val="9"/>
    <w:unhideWhenUsed/>
    <w:qFormat/>
    <w:rsid w:val="00F33E92"/>
    <w:pPr>
      <w:keepNext/>
      <w:keepLines/>
      <w:spacing w:before="40" w:after="0"/>
      <w:outlineLvl w:val="4"/>
    </w:pPr>
    <w:rPr>
      <w:rFonts w:asciiTheme="majorHAnsi" w:eastAsiaTheme="majorEastAsia" w:hAnsiTheme="majorHAnsi" w:cstheme="majorBidi"/>
    </w:rPr>
  </w:style>
  <w:style w:type="paragraph" w:styleId="Heading6">
    <w:name w:val="heading 6"/>
    <w:basedOn w:val="Normal"/>
    <w:next w:val="Normal"/>
    <w:link w:val="Heading6Char"/>
    <w:uiPriority w:val="9"/>
    <w:unhideWhenUsed/>
    <w:qFormat/>
    <w:rsid w:val="00F33E92"/>
    <w:pPr>
      <w:keepNext/>
      <w:keepLines/>
      <w:spacing w:before="40" w:after="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47F16"/>
    <w:rPr>
      <w:rFonts w:ascii="Times New Roman" w:eastAsiaTheme="majorEastAsia" w:hAnsi="Times New Roman" w:cs="Times New Roman"/>
      <w:sz w:val="32"/>
      <w:szCs w:val="32"/>
      <w:lang w:val="en-US"/>
    </w:rPr>
  </w:style>
  <w:style w:type="character" w:customStyle="1" w:styleId="Heading2Char">
    <w:name w:val="Heading 2 Char"/>
    <w:basedOn w:val="DefaultParagraphFont"/>
    <w:link w:val="Heading2"/>
    <w:uiPriority w:val="9"/>
    <w:rsid w:val="000A2519"/>
    <w:rPr>
      <w:rFonts w:ascii="Times New Roman" w:eastAsiaTheme="majorEastAsia" w:hAnsi="Times New Roman" w:cs="Times New Roman"/>
      <w:sz w:val="26"/>
      <w:szCs w:val="26"/>
    </w:rPr>
  </w:style>
  <w:style w:type="character" w:customStyle="1" w:styleId="Heading3Char">
    <w:name w:val="Heading 3 Char"/>
    <w:basedOn w:val="DefaultParagraphFont"/>
    <w:link w:val="Heading3"/>
    <w:uiPriority w:val="9"/>
    <w:rsid w:val="00E3735B"/>
    <w:rPr>
      <w:rFonts w:ascii="Times New Roman" w:eastAsiaTheme="majorEastAsia" w:hAnsi="Times New Roman" w:cs="Times New Roman"/>
      <w:b/>
      <w:bCs/>
      <w:sz w:val="24"/>
      <w:szCs w:val="24"/>
      <w:lang w:val="en-GB"/>
    </w:rPr>
  </w:style>
  <w:style w:type="character" w:customStyle="1" w:styleId="Heading4Char">
    <w:name w:val="Heading 4 Char"/>
    <w:basedOn w:val="DefaultParagraphFont"/>
    <w:link w:val="Heading4"/>
    <w:uiPriority w:val="9"/>
    <w:rsid w:val="000A2519"/>
    <w:rPr>
      <w:rFonts w:ascii="Times New Roman" w:eastAsiaTheme="majorEastAsia" w:hAnsi="Times New Roman" w:cs="Times New Roman"/>
      <w:i/>
      <w:iCs/>
    </w:rPr>
  </w:style>
  <w:style w:type="paragraph" w:styleId="ListParagraph">
    <w:name w:val="List Paragraph"/>
    <w:basedOn w:val="Normal"/>
    <w:uiPriority w:val="34"/>
    <w:qFormat/>
    <w:rsid w:val="00055AB4"/>
    <w:pPr>
      <w:ind w:left="720"/>
      <w:contextualSpacing/>
    </w:pPr>
  </w:style>
  <w:style w:type="character" w:styleId="Hyperlink">
    <w:name w:val="Hyperlink"/>
    <w:basedOn w:val="DefaultParagraphFont"/>
    <w:uiPriority w:val="99"/>
    <w:unhideWhenUsed/>
    <w:rsid w:val="001731D6"/>
    <w:rPr>
      <w:color w:val="0563C1" w:themeColor="hyperlink"/>
      <w:u w:val="single"/>
    </w:rPr>
  </w:style>
  <w:style w:type="character" w:styleId="UnresolvedMention">
    <w:name w:val="Unresolved Mention"/>
    <w:basedOn w:val="DefaultParagraphFont"/>
    <w:uiPriority w:val="99"/>
    <w:semiHidden/>
    <w:unhideWhenUsed/>
    <w:rsid w:val="001731D6"/>
    <w:rPr>
      <w:color w:val="605E5C"/>
      <w:shd w:val="clear" w:color="auto" w:fill="E1DFDD"/>
    </w:rPr>
  </w:style>
  <w:style w:type="paragraph" w:customStyle="1" w:styleId="graf">
    <w:name w:val="graf"/>
    <w:basedOn w:val="Normal"/>
    <w:rsid w:val="00AB2B1C"/>
    <w:pPr>
      <w:spacing w:before="100" w:beforeAutospacing="1" w:after="100" w:afterAutospacing="1" w:line="240" w:lineRule="auto"/>
      <w:jc w:val="left"/>
    </w:pPr>
    <w:rPr>
      <w:rFonts w:eastAsia="Times New Roman"/>
      <w:lang w:eastAsia="en-AU"/>
    </w:rPr>
  </w:style>
  <w:style w:type="character" w:styleId="Strong">
    <w:name w:val="Strong"/>
    <w:basedOn w:val="DefaultParagraphFont"/>
    <w:uiPriority w:val="22"/>
    <w:qFormat/>
    <w:rsid w:val="00AB2B1C"/>
    <w:rPr>
      <w:b/>
      <w:bCs/>
    </w:rPr>
  </w:style>
  <w:style w:type="character" w:styleId="FootnoteReference">
    <w:name w:val="footnote reference"/>
    <w:basedOn w:val="DefaultParagraphFont"/>
    <w:uiPriority w:val="99"/>
    <w:semiHidden/>
    <w:unhideWhenUsed/>
    <w:rsid w:val="00634B53"/>
    <w:rPr>
      <w:vertAlign w:val="superscript"/>
    </w:rPr>
  </w:style>
  <w:style w:type="paragraph" w:styleId="BalloonText">
    <w:name w:val="Balloon Text"/>
    <w:basedOn w:val="Normal"/>
    <w:link w:val="BalloonTextChar"/>
    <w:uiPriority w:val="99"/>
    <w:semiHidden/>
    <w:unhideWhenUsed/>
    <w:rsid w:val="0012572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2572F"/>
    <w:rPr>
      <w:rFonts w:ascii="Segoe UI" w:hAnsi="Segoe UI" w:cs="Segoe UI"/>
      <w:sz w:val="18"/>
      <w:szCs w:val="18"/>
    </w:rPr>
  </w:style>
  <w:style w:type="paragraph" w:styleId="Header">
    <w:name w:val="header"/>
    <w:basedOn w:val="Normal"/>
    <w:link w:val="HeaderChar"/>
    <w:uiPriority w:val="99"/>
    <w:unhideWhenUsed/>
    <w:rsid w:val="00C65FBB"/>
    <w:pPr>
      <w:tabs>
        <w:tab w:val="center" w:pos="4513"/>
        <w:tab w:val="right" w:pos="9026"/>
      </w:tabs>
      <w:spacing w:after="0" w:line="240" w:lineRule="auto"/>
    </w:pPr>
  </w:style>
  <w:style w:type="character" w:customStyle="1" w:styleId="HeaderChar">
    <w:name w:val="Header Char"/>
    <w:basedOn w:val="DefaultParagraphFont"/>
    <w:link w:val="Header"/>
    <w:uiPriority w:val="99"/>
    <w:rsid w:val="00C65FBB"/>
    <w:rPr>
      <w:rFonts w:ascii="Times New Roman" w:hAnsi="Times New Roman" w:cs="Times New Roman"/>
    </w:rPr>
  </w:style>
  <w:style w:type="paragraph" w:styleId="Footer">
    <w:name w:val="footer"/>
    <w:basedOn w:val="Normal"/>
    <w:link w:val="FooterChar"/>
    <w:uiPriority w:val="99"/>
    <w:unhideWhenUsed/>
    <w:rsid w:val="00C65FBB"/>
    <w:pPr>
      <w:tabs>
        <w:tab w:val="center" w:pos="4513"/>
        <w:tab w:val="right" w:pos="9026"/>
      </w:tabs>
      <w:spacing w:after="0" w:line="240" w:lineRule="auto"/>
    </w:pPr>
  </w:style>
  <w:style w:type="character" w:customStyle="1" w:styleId="FooterChar">
    <w:name w:val="Footer Char"/>
    <w:basedOn w:val="DefaultParagraphFont"/>
    <w:link w:val="Footer"/>
    <w:uiPriority w:val="99"/>
    <w:rsid w:val="00C65FBB"/>
    <w:rPr>
      <w:rFonts w:ascii="Times New Roman" w:hAnsi="Times New Roman" w:cs="Times New Roman"/>
    </w:rPr>
  </w:style>
  <w:style w:type="paragraph" w:styleId="FootnoteText">
    <w:name w:val="footnote text"/>
    <w:basedOn w:val="Normal"/>
    <w:link w:val="FootnoteTextChar"/>
    <w:uiPriority w:val="99"/>
    <w:semiHidden/>
    <w:unhideWhenUsed/>
    <w:rsid w:val="00F95134"/>
    <w:pPr>
      <w:spacing w:after="0" w:line="240" w:lineRule="auto"/>
      <w:jc w:val="left"/>
    </w:pPr>
    <w:rPr>
      <w:sz w:val="20"/>
      <w:szCs w:val="20"/>
    </w:rPr>
  </w:style>
  <w:style w:type="character" w:customStyle="1" w:styleId="FootnoteTextChar">
    <w:name w:val="Footnote Text Char"/>
    <w:basedOn w:val="DefaultParagraphFont"/>
    <w:link w:val="FootnoteText"/>
    <w:uiPriority w:val="99"/>
    <w:semiHidden/>
    <w:rsid w:val="00F95134"/>
    <w:rPr>
      <w:rFonts w:ascii="Times New Roman" w:hAnsi="Times New Roman" w:cs="Times New Roman"/>
      <w:sz w:val="20"/>
      <w:szCs w:val="20"/>
    </w:rPr>
  </w:style>
  <w:style w:type="paragraph" w:styleId="Bibliography">
    <w:name w:val="Bibliography"/>
    <w:basedOn w:val="Normal"/>
    <w:next w:val="Normal"/>
    <w:uiPriority w:val="37"/>
    <w:unhideWhenUsed/>
    <w:rsid w:val="00611BDE"/>
    <w:pPr>
      <w:spacing w:after="240" w:line="240" w:lineRule="auto"/>
      <w:ind w:firstLine="0"/>
    </w:pPr>
  </w:style>
  <w:style w:type="paragraph" w:styleId="NormalWeb">
    <w:name w:val="Normal (Web)"/>
    <w:basedOn w:val="Normal"/>
    <w:uiPriority w:val="99"/>
    <w:semiHidden/>
    <w:unhideWhenUsed/>
    <w:rsid w:val="008661C5"/>
    <w:pPr>
      <w:spacing w:before="100" w:beforeAutospacing="1" w:after="100" w:afterAutospacing="1" w:line="240" w:lineRule="auto"/>
      <w:jc w:val="left"/>
    </w:pPr>
    <w:rPr>
      <w:rFonts w:eastAsia="Times New Roman"/>
      <w:lang w:eastAsia="en-GB"/>
    </w:rPr>
  </w:style>
  <w:style w:type="paragraph" w:styleId="TOCHeading">
    <w:name w:val="TOC Heading"/>
    <w:basedOn w:val="Heading1"/>
    <w:next w:val="Normal"/>
    <w:uiPriority w:val="39"/>
    <w:unhideWhenUsed/>
    <w:qFormat/>
    <w:rsid w:val="00946211"/>
    <w:pPr>
      <w:spacing w:line="259" w:lineRule="auto"/>
      <w:jc w:val="left"/>
      <w:outlineLvl w:val="9"/>
    </w:pPr>
  </w:style>
  <w:style w:type="paragraph" w:styleId="TOC1">
    <w:name w:val="toc 1"/>
    <w:basedOn w:val="Normal"/>
    <w:next w:val="Normal"/>
    <w:autoRedefine/>
    <w:uiPriority w:val="39"/>
    <w:unhideWhenUsed/>
    <w:rsid w:val="00946211"/>
    <w:pPr>
      <w:spacing w:after="100"/>
    </w:pPr>
  </w:style>
  <w:style w:type="paragraph" w:styleId="TOC2">
    <w:name w:val="toc 2"/>
    <w:basedOn w:val="Normal"/>
    <w:next w:val="Normal"/>
    <w:autoRedefine/>
    <w:uiPriority w:val="39"/>
    <w:unhideWhenUsed/>
    <w:rsid w:val="00393975"/>
    <w:pPr>
      <w:spacing w:after="100"/>
      <w:ind w:left="240"/>
    </w:pPr>
  </w:style>
  <w:style w:type="character" w:styleId="CommentReference">
    <w:name w:val="annotation reference"/>
    <w:basedOn w:val="DefaultParagraphFont"/>
    <w:uiPriority w:val="99"/>
    <w:semiHidden/>
    <w:unhideWhenUsed/>
    <w:rsid w:val="00435F80"/>
    <w:rPr>
      <w:sz w:val="16"/>
      <w:szCs w:val="16"/>
    </w:rPr>
  </w:style>
  <w:style w:type="paragraph" w:styleId="CommentText">
    <w:name w:val="annotation text"/>
    <w:basedOn w:val="Normal"/>
    <w:link w:val="CommentTextChar"/>
    <w:uiPriority w:val="99"/>
    <w:unhideWhenUsed/>
    <w:rsid w:val="00435F80"/>
    <w:pPr>
      <w:spacing w:line="240" w:lineRule="auto"/>
    </w:pPr>
    <w:rPr>
      <w:sz w:val="20"/>
      <w:szCs w:val="20"/>
    </w:rPr>
  </w:style>
  <w:style w:type="character" w:customStyle="1" w:styleId="CommentTextChar">
    <w:name w:val="Comment Text Char"/>
    <w:basedOn w:val="DefaultParagraphFont"/>
    <w:link w:val="CommentText"/>
    <w:uiPriority w:val="99"/>
    <w:rsid w:val="00435F80"/>
    <w:rPr>
      <w:rFonts w:ascii="Times New Roman" w:hAnsi="Times New Roman" w:cs="Times New Roman"/>
      <w:sz w:val="20"/>
      <w:szCs w:val="20"/>
      <w:lang w:val="en-GB"/>
    </w:rPr>
  </w:style>
  <w:style w:type="paragraph" w:styleId="CommentSubject">
    <w:name w:val="annotation subject"/>
    <w:basedOn w:val="CommentText"/>
    <w:next w:val="CommentText"/>
    <w:link w:val="CommentSubjectChar"/>
    <w:uiPriority w:val="99"/>
    <w:semiHidden/>
    <w:unhideWhenUsed/>
    <w:rsid w:val="00435F80"/>
    <w:rPr>
      <w:b/>
      <w:bCs/>
    </w:rPr>
  </w:style>
  <w:style w:type="character" w:customStyle="1" w:styleId="CommentSubjectChar">
    <w:name w:val="Comment Subject Char"/>
    <w:basedOn w:val="CommentTextChar"/>
    <w:link w:val="CommentSubject"/>
    <w:uiPriority w:val="99"/>
    <w:semiHidden/>
    <w:rsid w:val="00435F80"/>
    <w:rPr>
      <w:rFonts w:ascii="Times New Roman" w:hAnsi="Times New Roman" w:cs="Times New Roman"/>
      <w:b/>
      <w:bCs/>
      <w:sz w:val="20"/>
      <w:szCs w:val="20"/>
      <w:lang w:val="en-GB"/>
    </w:rPr>
  </w:style>
  <w:style w:type="paragraph" w:styleId="Caption">
    <w:name w:val="caption"/>
    <w:basedOn w:val="Normal"/>
    <w:next w:val="Normal"/>
    <w:uiPriority w:val="35"/>
    <w:unhideWhenUsed/>
    <w:qFormat/>
    <w:rsid w:val="00637DB3"/>
    <w:pPr>
      <w:spacing w:after="200" w:line="240" w:lineRule="auto"/>
    </w:pPr>
    <w:rPr>
      <w:i/>
      <w:iCs/>
      <w:color w:val="44546A" w:themeColor="text2"/>
      <w:sz w:val="18"/>
      <w:szCs w:val="18"/>
    </w:rPr>
  </w:style>
  <w:style w:type="character" w:customStyle="1" w:styleId="Heading5Char">
    <w:name w:val="Heading 5 Char"/>
    <w:basedOn w:val="DefaultParagraphFont"/>
    <w:link w:val="Heading5"/>
    <w:uiPriority w:val="9"/>
    <w:rsid w:val="00F33E92"/>
    <w:rPr>
      <w:rFonts w:asciiTheme="majorHAnsi" w:eastAsiaTheme="majorEastAsia" w:hAnsiTheme="majorHAnsi" w:cstheme="majorBidi"/>
      <w:sz w:val="24"/>
      <w:szCs w:val="24"/>
      <w:lang w:val="en-GB"/>
    </w:rPr>
  </w:style>
  <w:style w:type="character" w:customStyle="1" w:styleId="Heading6Char">
    <w:name w:val="Heading 6 Char"/>
    <w:basedOn w:val="DefaultParagraphFont"/>
    <w:link w:val="Heading6"/>
    <w:uiPriority w:val="9"/>
    <w:rsid w:val="00F33E92"/>
    <w:rPr>
      <w:rFonts w:asciiTheme="majorHAnsi" w:eastAsiaTheme="majorEastAsia" w:hAnsiTheme="majorHAnsi" w:cstheme="majorBidi"/>
      <w:color w:val="1F3763" w:themeColor="accent1" w:themeShade="7F"/>
      <w:sz w:val="24"/>
      <w:szCs w:val="24"/>
      <w:lang w:val="en-GB"/>
    </w:rPr>
  </w:style>
  <w:style w:type="paragraph" w:styleId="TOC3">
    <w:name w:val="toc 3"/>
    <w:basedOn w:val="Normal"/>
    <w:next w:val="Normal"/>
    <w:autoRedefine/>
    <w:uiPriority w:val="39"/>
    <w:unhideWhenUsed/>
    <w:rsid w:val="008850E6"/>
    <w:pPr>
      <w:spacing w:after="100"/>
      <w:ind w:left="480"/>
    </w:pPr>
  </w:style>
  <w:style w:type="paragraph" w:styleId="TOC4">
    <w:name w:val="toc 4"/>
    <w:basedOn w:val="Normal"/>
    <w:next w:val="Normal"/>
    <w:autoRedefine/>
    <w:uiPriority w:val="39"/>
    <w:unhideWhenUsed/>
    <w:rsid w:val="008850E6"/>
    <w:pPr>
      <w:spacing w:after="100" w:line="278" w:lineRule="auto"/>
      <w:ind w:left="720" w:firstLine="0"/>
      <w:jc w:val="left"/>
    </w:pPr>
    <w:rPr>
      <w:rFonts w:asciiTheme="minorHAnsi" w:eastAsiaTheme="minorEastAsia" w:hAnsiTheme="minorHAnsi" w:cstheme="minorBidi"/>
      <w:kern w:val="2"/>
      <w:lang w:eastAsia="en-GB"/>
      <w14:ligatures w14:val="standardContextual"/>
    </w:rPr>
  </w:style>
  <w:style w:type="paragraph" w:styleId="TOC5">
    <w:name w:val="toc 5"/>
    <w:basedOn w:val="Normal"/>
    <w:next w:val="Normal"/>
    <w:autoRedefine/>
    <w:uiPriority w:val="39"/>
    <w:unhideWhenUsed/>
    <w:rsid w:val="008850E6"/>
    <w:pPr>
      <w:spacing w:after="100" w:line="278" w:lineRule="auto"/>
      <w:ind w:left="960" w:firstLine="0"/>
      <w:jc w:val="left"/>
    </w:pPr>
    <w:rPr>
      <w:rFonts w:asciiTheme="minorHAnsi" w:eastAsiaTheme="minorEastAsia" w:hAnsiTheme="minorHAnsi" w:cstheme="minorBidi"/>
      <w:kern w:val="2"/>
      <w:lang w:eastAsia="en-GB"/>
      <w14:ligatures w14:val="standardContextual"/>
    </w:rPr>
  </w:style>
  <w:style w:type="paragraph" w:styleId="TOC6">
    <w:name w:val="toc 6"/>
    <w:basedOn w:val="Normal"/>
    <w:next w:val="Normal"/>
    <w:autoRedefine/>
    <w:uiPriority w:val="39"/>
    <w:unhideWhenUsed/>
    <w:rsid w:val="008850E6"/>
    <w:pPr>
      <w:spacing w:after="100" w:line="278" w:lineRule="auto"/>
      <w:ind w:left="1200" w:firstLine="0"/>
      <w:jc w:val="left"/>
    </w:pPr>
    <w:rPr>
      <w:rFonts w:asciiTheme="minorHAnsi" w:eastAsiaTheme="minorEastAsia" w:hAnsiTheme="minorHAnsi" w:cstheme="minorBidi"/>
      <w:kern w:val="2"/>
      <w:lang w:eastAsia="en-GB"/>
      <w14:ligatures w14:val="standardContextual"/>
    </w:rPr>
  </w:style>
  <w:style w:type="paragraph" w:styleId="TOC7">
    <w:name w:val="toc 7"/>
    <w:basedOn w:val="Normal"/>
    <w:next w:val="Normal"/>
    <w:autoRedefine/>
    <w:uiPriority w:val="39"/>
    <w:unhideWhenUsed/>
    <w:rsid w:val="008850E6"/>
    <w:pPr>
      <w:spacing w:after="100" w:line="278" w:lineRule="auto"/>
      <w:ind w:left="1440" w:firstLine="0"/>
      <w:jc w:val="left"/>
    </w:pPr>
    <w:rPr>
      <w:rFonts w:asciiTheme="minorHAnsi" w:eastAsiaTheme="minorEastAsia" w:hAnsiTheme="minorHAnsi" w:cstheme="minorBidi"/>
      <w:kern w:val="2"/>
      <w:lang w:eastAsia="en-GB"/>
      <w14:ligatures w14:val="standardContextual"/>
    </w:rPr>
  </w:style>
  <w:style w:type="paragraph" w:styleId="TOC8">
    <w:name w:val="toc 8"/>
    <w:basedOn w:val="Normal"/>
    <w:next w:val="Normal"/>
    <w:autoRedefine/>
    <w:uiPriority w:val="39"/>
    <w:unhideWhenUsed/>
    <w:rsid w:val="008850E6"/>
    <w:pPr>
      <w:spacing w:after="100" w:line="278" w:lineRule="auto"/>
      <w:ind w:left="1680" w:firstLine="0"/>
      <w:jc w:val="left"/>
    </w:pPr>
    <w:rPr>
      <w:rFonts w:asciiTheme="minorHAnsi" w:eastAsiaTheme="minorEastAsia" w:hAnsiTheme="minorHAnsi" w:cstheme="minorBidi"/>
      <w:kern w:val="2"/>
      <w:lang w:eastAsia="en-GB"/>
      <w14:ligatures w14:val="standardContextual"/>
    </w:rPr>
  </w:style>
  <w:style w:type="paragraph" w:styleId="TOC9">
    <w:name w:val="toc 9"/>
    <w:basedOn w:val="Normal"/>
    <w:next w:val="Normal"/>
    <w:autoRedefine/>
    <w:uiPriority w:val="39"/>
    <w:unhideWhenUsed/>
    <w:rsid w:val="008850E6"/>
    <w:pPr>
      <w:spacing w:after="100" w:line="278" w:lineRule="auto"/>
      <w:ind w:left="1920" w:firstLine="0"/>
      <w:jc w:val="left"/>
    </w:pPr>
    <w:rPr>
      <w:rFonts w:asciiTheme="minorHAnsi" w:eastAsiaTheme="minorEastAsia" w:hAnsiTheme="minorHAnsi" w:cstheme="minorBidi"/>
      <w:kern w:val="2"/>
      <w:lang w:eastAsia="en-GB"/>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637464">
      <w:bodyDiv w:val="1"/>
      <w:marLeft w:val="0"/>
      <w:marRight w:val="0"/>
      <w:marTop w:val="0"/>
      <w:marBottom w:val="0"/>
      <w:divBdr>
        <w:top w:val="none" w:sz="0" w:space="0" w:color="auto"/>
        <w:left w:val="none" w:sz="0" w:space="0" w:color="auto"/>
        <w:bottom w:val="none" w:sz="0" w:space="0" w:color="auto"/>
        <w:right w:val="none" w:sz="0" w:space="0" w:color="auto"/>
      </w:divBdr>
    </w:div>
    <w:div w:id="18048744">
      <w:bodyDiv w:val="1"/>
      <w:marLeft w:val="0"/>
      <w:marRight w:val="0"/>
      <w:marTop w:val="0"/>
      <w:marBottom w:val="0"/>
      <w:divBdr>
        <w:top w:val="none" w:sz="0" w:space="0" w:color="auto"/>
        <w:left w:val="none" w:sz="0" w:space="0" w:color="auto"/>
        <w:bottom w:val="none" w:sz="0" w:space="0" w:color="auto"/>
        <w:right w:val="none" w:sz="0" w:space="0" w:color="auto"/>
      </w:divBdr>
    </w:div>
    <w:div w:id="41710115">
      <w:bodyDiv w:val="1"/>
      <w:marLeft w:val="0"/>
      <w:marRight w:val="0"/>
      <w:marTop w:val="0"/>
      <w:marBottom w:val="0"/>
      <w:divBdr>
        <w:top w:val="none" w:sz="0" w:space="0" w:color="auto"/>
        <w:left w:val="none" w:sz="0" w:space="0" w:color="auto"/>
        <w:bottom w:val="none" w:sz="0" w:space="0" w:color="auto"/>
        <w:right w:val="none" w:sz="0" w:space="0" w:color="auto"/>
      </w:divBdr>
    </w:div>
    <w:div w:id="57018441">
      <w:bodyDiv w:val="1"/>
      <w:marLeft w:val="0"/>
      <w:marRight w:val="0"/>
      <w:marTop w:val="0"/>
      <w:marBottom w:val="0"/>
      <w:divBdr>
        <w:top w:val="none" w:sz="0" w:space="0" w:color="auto"/>
        <w:left w:val="none" w:sz="0" w:space="0" w:color="auto"/>
        <w:bottom w:val="none" w:sz="0" w:space="0" w:color="auto"/>
        <w:right w:val="none" w:sz="0" w:space="0" w:color="auto"/>
      </w:divBdr>
    </w:div>
    <w:div w:id="71053866">
      <w:bodyDiv w:val="1"/>
      <w:marLeft w:val="0"/>
      <w:marRight w:val="0"/>
      <w:marTop w:val="0"/>
      <w:marBottom w:val="0"/>
      <w:divBdr>
        <w:top w:val="none" w:sz="0" w:space="0" w:color="auto"/>
        <w:left w:val="none" w:sz="0" w:space="0" w:color="auto"/>
        <w:bottom w:val="none" w:sz="0" w:space="0" w:color="auto"/>
        <w:right w:val="none" w:sz="0" w:space="0" w:color="auto"/>
      </w:divBdr>
    </w:div>
    <w:div w:id="76366575">
      <w:bodyDiv w:val="1"/>
      <w:marLeft w:val="0"/>
      <w:marRight w:val="0"/>
      <w:marTop w:val="0"/>
      <w:marBottom w:val="0"/>
      <w:divBdr>
        <w:top w:val="none" w:sz="0" w:space="0" w:color="auto"/>
        <w:left w:val="none" w:sz="0" w:space="0" w:color="auto"/>
        <w:bottom w:val="none" w:sz="0" w:space="0" w:color="auto"/>
        <w:right w:val="none" w:sz="0" w:space="0" w:color="auto"/>
      </w:divBdr>
    </w:div>
    <w:div w:id="131023697">
      <w:bodyDiv w:val="1"/>
      <w:marLeft w:val="0"/>
      <w:marRight w:val="0"/>
      <w:marTop w:val="0"/>
      <w:marBottom w:val="0"/>
      <w:divBdr>
        <w:top w:val="none" w:sz="0" w:space="0" w:color="auto"/>
        <w:left w:val="none" w:sz="0" w:space="0" w:color="auto"/>
        <w:bottom w:val="none" w:sz="0" w:space="0" w:color="auto"/>
        <w:right w:val="none" w:sz="0" w:space="0" w:color="auto"/>
      </w:divBdr>
    </w:div>
    <w:div w:id="158079660">
      <w:bodyDiv w:val="1"/>
      <w:marLeft w:val="0"/>
      <w:marRight w:val="0"/>
      <w:marTop w:val="0"/>
      <w:marBottom w:val="0"/>
      <w:divBdr>
        <w:top w:val="none" w:sz="0" w:space="0" w:color="auto"/>
        <w:left w:val="none" w:sz="0" w:space="0" w:color="auto"/>
        <w:bottom w:val="none" w:sz="0" w:space="0" w:color="auto"/>
        <w:right w:val="none" w:sz="0" w:space="0" w:color="auto"/>
      </w:divBdr>
      <w:divsChild>
        <w:div w:id="1243564411">
          <w:marLeft w:val="0"/>
          <w:marRight w:val="0"/>
          <w:marTop w:val="0"/>
          <w:marBottom w:val="0"/>
          <w:divBdr>
            <w:top w:val="none" w:sz="0" w:space="0" w:color="auto"/>
            <w:left w:val="none" w:sz="0" w:space="0" w:color="auto"/>
            <w:bottom w:val="none" w:sz="0" w:space="0" w:color="auto"/>
            <w:right w:val="none" w:sz="0" w:space="0" w:color="auto"/>
          </w:divBdr>
          <w:divsChild>
            <w:div w:id="216933817">
              <w:marLeft w:val="0"/>
              <w:marRight w:val="0"/>
              <w:marTop w:val="0"/>
              <w:marBottom w:val="0"/>
              <w:divBdr>
                <w:top w:val="none" w:sz="0" w:space="0" w:color="auto"/>
                <w:left w:val="none" w:sz="0" w:space="0" w:color="auto"/>
                <w:bottom w:val="none" w:sz="0" w:space="0" w:color="auto"/>
                <w:right w:val="none" w:sz="0" w:space="0" w:color="auto"/>
              </w:divBdr>
              <w:divsChild>
                <w:div w:id="627206105">
                  <w:marLeft w:val="0"/>
                  <w:marRight w:val="0"/>
                  <w:marTop w:val="0"/>
                  <w:marBottom w:val="0"/>
                  <w:divBdr>
                    <w:top w:val="none" w:sz="0" w:space="0" w:color="auto"/>
                    <w:left w:val="none" w:sz="0" w:space="0" w:color="auto"/>
                    <w:bottom w:val="none" w:sz="0" w:space="0" w:color="auto"/>
                    <w:right w:val="none" w:sz="0" w:space="0" w:color="auto"/>
                  </w:divBdr>
                  <w:divsChild>
                    <w:div w:id="4010972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2091366">
      <w:bodyDiv w:val="1"/>
      <w:marLeft w:val="0"/>
      <w:marRight w:val="0"/>
      <w:marTop w:val="0"/>
      <w:marBottom w:val="0"/>
      <w:divBdr>
        <w:top w:val="none" w:sz="0" w:space="0" w:color="auto"/>
        <w:left w:val="none" w:sz="0" w:space="0" w:color="auto"/>
        <w:bottom w:val="none" w:sz="0" w:space="0" w:color="auto"/>
        <w:right w:val="none" w:sz="0" w:space="0" w:color="auto"/>
      </w:divBdr>
    </w:div>
    <w:div w:id="202600644">
      <w:bodyDiv w:val="1"/>
      <w:marLeft w:val="0"/>
      <w:marRight w:val="0"/>
      <w:marTop w:val="0"/>
      <w:marBottom w:val="0"/>
      <w:divBdr>
        <w:top w:val="none" w:sz="0" w:space="0" w:color="auto"/>
        <w:left w:val="none" w:sz="0" w:space="0" w:color="auto"/>
        <w:bottom w:val="none" w:sz="0" w:space="0" w:color="auto"/>
        <w:right w:val="none" w:sz="0" w:space="0" w:color="auto"/>
      </w:divBdr>
    </w:div>
    <w:div w:id="252906402">
      <w:bodyDiv w:val="1"/>
      <w:marLeft w:val="0"/>
      <w:marRight w:val="0"/>
      <w:marTop w:val="0"/>
      <w:marBottom w:val="0"/>
      <w:divBdr>
        <w:top w:val="none" w:sz="0" w:space="0" w:color="auto"/>
        <w:left w:val="none" w:sz="0" w:space="0" w:color="auto"/>
        <w:bottom w:val="none" w:sz="0" w:space="0" w:color="auto"/>
        <w:right w:val="none" w:sz="0" w:space="0" w:color="auto"/>
      </w:divBdr>
    </w:div>
    <w:div w:id="256715154">
      <w:bodyDiv w:val="1"/>
      <w:marLeft w:val="0"/>
      <w:marRight w:val="0"/>
      <w:marTop w:val="0"/>
      <w:marBottom w:val="0"/>
      <w:divBdr>
        <w:top w:val="none" w:sz="0" w:space="0" w:color="auto"/>
        <w:left w:val="none" w:sz="0" w:space="0" w:color="auto"/>
        <w:bottom w:val="none" w:sz="0" w:space="0" w:color="auto"/>
        <w:right w:val="none" w:sz="0" w:space="0" w:color="auto"/>
      </w:divBdr>
    </w:div>
    <w:div w:id="267125420">
      <w:bodyDiv w:val="1"/>
      <w:marLeft w:val="0"/>
      <w:marRight w:val="0"/>
      <w:marTop w:val="0"/>
      <w:marBottom w:val="0"/>
      <w:divBdr>
        <w:top w:val="none" w:sz="0" w:space="0" w:color="auto"/>
        <w:left w:val="none" w:sz="0" w:space="0" w:color="auto"/>
        <w:bottom w:val="none" w:sz="0" w:space="0" w:color="auto"/>
        <w:right w:val="none" w:sz="0" w:space="0" w:color="auto"/>
      </w:divBdr>
      <w:divsChild>
        <w:div w:id="1880242789">
          <w:marLeft w:val="0"/>
          <w:marRight w:val="0"/>
          <w:marTop w:val="0"/>
          <w:marBottom w:val="0"/>
          <w:divBdr>
            <w:top w:val="none" w:sz="0" w:space="0" w:color="auto"/>
            <w:left w:val="none" w:sz="0" w:space="0" w:color="auto"/>
            <w:bottom w:val="none" w:sz="0" w:space="0" w:color="auto"/>
            <w:right w:val="none" w:sz="0" w:space="0" w:color="auto"/>
          </w:divBdr>
        </w:div>
      </w:divsChild>
    </w:div>
    <w:div w:id="269823675">
      <w:bodyDiv w:val="1"/>
      <w:marLeft w:val="0"/>
      <w:marRight w:val="0"/>
      <w:marTop w:val="0"/>
      <w:marBottom w:val="0"/>
      <w:divBdr>
        <w:top w:val="none" w:sz="0" w:space="0" w:color="auto"/>
        <w:left w:val="none" w:sz="0" w:space="0" w:color="auto"/>
        <w:bottom w:val="none" w:sz="0" w:space="0" w:color="auto"/>
        <w:right w:val="none" w:sz="0" w:space="0" w:color="auto"/>
      </w:divBdr>
    </w:div>
    <w:div w:id="303971372">
      <w:bodyDiv w:val="1"/>
      <w:marLeft w:val="0"/>
      <w:marRight w:val="0"/>
      <w:marTop w:val="0"/>
      <w:marBottom w:val="0"/>
      <w:divBdr>
        <w:top w:val="none" w:sz="0" w:space="0" w:color="auto"/>
        <w:left w:val="none" w:sz="0" w:space="0" w:color="auto"/>
        <w:bottom w:val="none" w:sz="0" w:space="0" w:color="auto"/>
        <w:right w:val="none" w:sz="0" w:space="0" w:color="auto"/>
      </w:divBdr>
      <w:divsChild>
        <w:div w:id="1381321603">
          <w:marLeft w:val="0"/>
          <w:marRight w:val="0"/>
          <w:marTop w:val="0"/>
          <w:marBottom w:val="0"/>
          <w:divBdr>
            <w:top w:val="none" w:sz="0" w:space="0" w:color="auto"/>
            <w:left w:val="none" w:sz="0" w:space="0" w:color="auto"/>
            <w:bottom w:val="none" w:sz="0" w:space="0" w:color="auto"/>
            <w:right w:val="none" w:sz="0" w:space="0" w:color="auto"/>
          </w:divBdr>
          <w:divsChild>
            <w:div w:id="861824182">
              <w:marLeft w:val="0"/>
              <w:marRight w:val="0"/>
              <w:marTop w:val="0"/>
              <w:marBottom w:val="0"/>
              <w:divBdr>
                <w:top w:val="none" w:sz="0" w:space="0" w:color="auto"/>
                <w:left w:val="none" w:sz="0" w:space="0" w:color="auto"/>
                <w:bottom w:val="none" w:sz="0" w:space="0" w:color="auto"/>
                <w:right w:val="none" w:sz="0" w:space="0" w:color="auto"/>
              </w:divBdr>
              <w:divsChild>
                <w:div w:id="574126463">
                  <w:marLeft w:val="0"/>
                  <w:marRight w:val="0"/>
                  <w:marTop w:val="0"/>
                  <w:marBottom w:val="0"/>
                  <w:divBdr>
                    <w:top w:val="none" w:sz="0" w:space="0" w:color="auto"/>
                    <w:left w:val="none" w:sz="0" w:space="0" w:color="auto"/>
                    <w:bottom w:val="none" w:sz="0" w:space="0" w:color="auto"/>
                    <w:right w:val="none" w:sz="0" w:space="0" w:color="auto"/>
                  </w:divBdr>
                  <w:divsChild>
                    <w:div w:id="7974502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45519934">
      <w:bodyDiv w:val="1"/>
      <w:marLeft w:val="0"/>
      <w:marRight w:val="0"/>
      <w:marTop w:val="0"/>
      <w:marBottom w:val="0"/>
      <w:divBdr>
        <w:top w:val="none" w:sz="0" w:space="0" w:color="auto"/>
        <w:left w:val="none" w:sz="0" w:space="0" w:color="auto"/>
        <w:bottom w:val="none" w:sz="0" w:space="0" w:color="auto"/>
        <w:right w:val="none" w:sz="0" w:space="0" w:color="auto"/>
      </w:divBdr>
    </w:div>
    <w:div w:id="358167870">
      <w:bodyDiv w:val="1"/>
      <w:marLeft w:val="0"/>
      <w:marRight w:val="0"/>
      <w:marTop w:val="0"/>
      <w:marBottom w:val="0"/>
      <w:divBdr>
        <w:top w:val="none" w:sz="0" w:space="0" w:color="auto"/>
        <w:left w:val="none" w:sz="0" w:space="0" w:color="auto"/>
        <w:bottom w:val="none" w:sz="0" w:space="0" w:color="auto"/>
        <w:right w:val="none" w:sz="0" w:space="0" w:color="auto"/>
      </w:divBdr>
    </w:div>
    <w:div w:id="375129775">
      <w:bodyDiv w:val="1"/>
      <w:marLeft w:val="0"/>
      <w:marRight w:val="0"/>
      <w:marTop w:val="0"/>
      <w:marBottom w:val="0"/>
      <w:divBdr>
        <w:top w:val="none" w:sz="0" w:space="0" w:color="auto"/>
        <w:left w:val="none" w:sz="0" w:space="0" w:color="auto"/>
        <w:bottom w:val="none" w:sz="0" w:space="0" w:color="auto"/>
        <w:right w:val="none" w:sz="0" w:space="0" w:color="auto"/>
      </w:divBdr>
    </w:div>
    <w:div w:id="389354500">
      <w:bodyDiv w:val="1"/>
      <w:marLeft w:val="0"/>
      <w:marRight w:val="0"/>
      <w:marTop w:val="0"/>
      <w:marBottom w:val="0"/>
      <w:divBdr>
        <w:top w:val="none" w:sz="0" w:space="0" w:color="auto"/>
        <w:left w:val="none" w:sz="0" w:space="0" w:color="auto"/>
        <w:bottom w:val="none" w:sz="0" w:space="0" w:color="auto"/>
        <w:right w:val="none" w:sz="0" w:space="0" w:color="auto"/>
      </w:divBdr>
    </w:div>
    <w:div w:id="391082157">
      <w:bodyDiv w:val="1"/>
      <w:marLeft w:val="0"/>
      <w:marRight w:val="0"/>
      <w:marTop w:val="0"/>
      <w:marBottom w:val="0"/>
      <w:divBdr>
        <w:top w:val="none" w:sz="0" w:space="0" w:color="auto"/>
        <w:left w:val="none" w:sz="0" w:space="0" w:color="auto"/>
        <w:bottom w:val="none" w:sz="0" w:space="0" w:color="auto"/>
        <w:right w:val="none" w:sz="0" w:space="0" w:color="auto"/>
      </w:divBdr>
    </w:div>
    <w:div w:id="392973303">
      <w:bodyDiv w:val="1"/>
      <w:marLeft w:val="0"/>
      <w:marRight w:val="0"/>
      <w:marTop w:val="0"/>
      <w:marBottom w:val="0"/>
      <w:divBdr>
        <w:top w:val="none" w:sz="0" w:space="0" w:color="auto"/>
        <w:left w:val="none" w:sz="0" w:space="0" w:color="auto"/>
        <w:bottom w:val="none" w:sz="0" w:space="0" w:color="auto"/>
        <w:right w:val="none" w:sz="0" w:space="0" w:color="auto"/>
      </w:divBdr>
    </w:div>
    <w:div w:id="397410564">
      <w:bodyDiv w:val="1"/>
      <w:marLeft w:val="0"/>
      <w:marRight w:val="0"/>
      <w:marTop w:val="0"/>
      <w:marBottom w:val="0"/>
      <w:divBdr>
        <w:top w:val="none" w:sz="0" w:space="0" w:color="auto"/>
        <w:left w:val="none" w:sz="0" w:space="0" w:color="auto"/>
        <w:bottom w:val="none" w:sz="0" w:space="0" w:color="auto"/>
        <w:right w:val="none" w:sz="0" w:space="0" w:color="auto"/>
      </w:divBdr>
    </w:div>
    <w:div w:id="459956688">
      <w:bodyDiv w:val="1"/>
      <w:marLeft w:val="0"/>
      <w:marRight w:val="0"/>
      <w:marTop w:val="0"/>
      <w:marBottom w:val="0"/>
      <w:divBdr>
        <w:top w:val="none" w:sz="0" w:space="0" w:color="auto"/>
        <w:left w:val="none" w:sz="0" w:space="0" w:color="auto"/>
        <w:bottom w:val="none" w:sz="0" w:space="0" w:color="auto"/>
        <w:right w:val="none" w:sz="0" w:space="0" w:color="auto"/>
      </w:divBdr>
    </w:div>
    <w:div w:id="471482889">
      <w:bodyDiv w:val="1"/>
      <w:marLeft w:val="0"/>
      <w:marRight w:val="0"/>
      <w:marTop w:val="0"/>
      <w:marBottom w:val="0"/>
      <w:divBdr>
        <w:top w:val="none" w:sz="0" w:space="0" w:color="auto"/>
        <w:left w:val="none" w:sz="0" w:space="0" w:color="auto"/>
        <w:bottom w:val="none" w:sz="0" w:space="0" w:color="auto"/>
        <w:right w:val="none" w:sz="0" w:space="0" w:color="auto"/>
      </w:divBdr>
    </w:div>
    <w:div w:id="475343070">
      <w:bodyDiv w:val="1"/>
      <w:marLeft w:val="0"/>
      <w:marRight w:val="0"/>
      <w:marTop w:val="0"/>
      <w:marBottom w:val="0"/>
      <w:divBdr>
        <w:top w:val="none" w:sz="0" w:space="0" w:color="auto"/>
        <w:left w:val="none" w:sz="0" w:space="0" w:color="auto"/>
        <w:bottom w:val="none" w:sz="0" w:space="0" w:color="auto"/>
        <w:right w:val="none" w:sz="0" w:space="0" w:color="auto"/>
      </w:divBdr>
    </w:div>
    <w:div w:id="509372033">
      <w:bodyDiv w:val="1"/>
      <w:marLeft w:val="0"/>
      <w:marRight w:val="0"/>
      <w:marTop w:val="0"/>
      <w:marBottom w:val="0"/>
      <w:divBdr>
        <w:top w:val="none" w:sz="0" w:space="0" w:color="auto"/>
        <w:left w:val="none" w:sz="0" w:space="0" w:color="auto"/>
        <w:bottom w:val="none" w:sz="0" w:space="0" w:color="auto"/>
        <w:right w:val="none" w:sz="0" w:space="0" w:color="auto"/>
      </w:divBdr>
    </w:div>
    <w:div w:id="509831748">
      <w:bodyDiv w:val="1"/>
      <w:marLeft w:val="0"/>
      <w:marRight w:val="0"/>
      <w:marTop w:val="0"/>
      <w:marBottom w:val="0"/>
      <w:divBdr>
        <w:top w:val="none" w:sz="0" w:space="0" w:color="auto"/>
        <w:left w:val="none" w:sz="0" w:space="0" w:color="auto"/>
        <w:bottom w:val="none" w:sz="0" w:space="0" w:color="auto"/>
        <w:right w:val="none" w:sz="0" w:space="0" w:color="auto"/>
      </w:divBdr>
    </w:div>
    <w:div w:id="519589667">
      <w:bodyDiv w:val="1"/>
      <w:marLeft w:val="0"/>
      <w:marRight w:val="0"/>
      <w:marTop w:val="0"/>
      <w:marBottom w:val="0"/>
      <w:divBdr>
        <w:top w:val="none" w:sz="0" w:space="0" w:color="auto"/>
        <w:left w:val="none" w:sz="0" w:space="0" w:color="auto"/>
        <w:bottom w:val="none" w:sz="0" w:space="0" w:color="auto"/>
        <w:right w:val="none" w:sz="0" w:space="0" w:color="auto"/>
      </w:divBdr>
    </w:div>
    <w:div w:id="532615391">
      <w:bodyDiv w:val="1"/>
      <w:marLeft w:val="0"/>
      <w:marRight w:val="0"/>
      <w:marTop w:val="0"/>
      <w:marBottom w:val="0"/>
      <w:divBdr>
        <w:top w:val="none" w:sz="0" w:space="0" w:color="auto"/>
        <w:left w:val="none" w:sz="0" w:space="0" w:color="auto"/>
        <w:bottom w:val="none" w:sz="0" w:space="0" w:color="auto"/>
        <w:right w:val="none" w:sz="0" w:space="0" w:color="auto"/>
      </w:divBdr>
    </w:div>
    <w:div w:id="598833748">
      <w:bodyDiv w:val="1"/>
      <w:marLeft w:val="0"/>
      <w:marRight w:val="0"/>
      <w:marTop w:val="0"/>
      <w:marBottom w:val="0"/>
      <w:divBdr>
        <w:top w:val="none" w:sz="0" w:space="0" w:color="auto"/>
        <w:left w:val="none" w:sz="0" w:space="0" w:color="auto"/>
        <w:bottom w:val="none" w:sz="0" w:space="0" w:color="auto"/>
        <w:right w:val="none" w:sz="0" w:space="0" w:color="auto"/>
      </w:divBdr>
    </w:div>
    <w:div w:id="637337957">
      <w:bodyDiv w:val="1"/>
      <w:marLeft w:val="0"/>
      <w:marRight w:val="0"/>
      <w:marTop w:val="0"/>
      <w:marBottom w:val="0"/>
      <w:divBdr>
        <w:top w:val="none" w:sz="0" w:space="0" w:color="auto"/>
        <w:left w:val="none" w:sz="0" w:space="0" w:color="auto"/>
        <w:bottom w:val="none" w:sz="0" w:space="0" w:color="auto"/>
        <w:right w:val="none" w:sz="0" w:space="0" w:color="auto"/>
      </w:divBdr>
    </w:div>
    <w:div w:id="647787391">
      <w:bodyDiv w:val="1"/>
      <w:marLeft w:val="0"/>
      <w:marRight w:val="0"/>
      <w:marTop w:val="0"/>
      <w:marBottom w:val="0"/>
      <w:divBdr>
        <w:top w:val="none" w:sz="0" w:space="0" w:color="auto"/>
        <w:left w:val="none" w:sz="0" w:space="0" w:color="auto"/>
        <w:bottom w:val="none" w:sz="0" w:space="0" w:color="auto"/>
        <w:right w:val="none" w:sz="0" w:space="0" w:color="auto"/>
      </w:divBdr>
      <w:divsChild>
        <w:div w:id="28456519">
          <w:marLeft w:val="0"/>
          <w:marRight w:val="0"/>
          <w:marTop w:val="0"/>
          <w:marBottom w:val="0"/>
          <w:divBdr>
            <w:top w:val="single" w:sz="2" w:space="0" w:color="D9D9E3"/>
            <w:left w:val="single" w:sz="2" w:space="0" w:color="D9D9E3"/>
            <w:bottom w:val="single" w:sz="2" w:space="0" w:color="D9D9E3"/>
            <w:right w:val="single" w:sz="2" w:space="0" w:color="D9D9E3"/>
          </w:divBdr>
          <w:divsChild>
            <w:div w:id="1125658100">
              <w:marLeft w:val="0"/>
              <w:marRight w:val="0"/>
              <w:marTop w:val="0"/>
              <w:marBottom w:val="0"/>
              <w:divBdr>
                <w:top w:val="single" w:sz="2" w:space="0" w:color="D9D9E3"/>
                <w:left w:val="single" w:sz="2" w:space="0" w:color="D9D9E3"/>
                <w:bottom w:val="single" w:sz="2" w:space="0" w:color="D9D9E3"/>
                <w:right w:val="single" w:sz="2" w:space="0" w:color="D9D9E3"/>
              </w:divBdr>
              <w:divsChild>
                <w:div w:id="1003708234">
                  <w:marLeft w:val="0"/>
                  <w:marRight w:val="0"/>
                  <w:marTop w:val="0"/>
                  <w:marBottom w:val="0"/>
                  <w:divBdr>
                    <w:top w:val="single" w:sz="2" w:space="0" w:color="D9D9E3"/>
                    <w:left w:val="single" w:sz="2" w:space="0" w:color="D9D9E3"/>
                    <w:bottom w:val="single" w:sz="2" w:space="0" w:color="D9D9E3"/>
                    <w:right w:val="single" w:sz="2" w:space="0" w:color="D9D9E3"/>
                  </w:divBdr>
                  <w:divsChild>
                    <w:div w:id="744258387">
                      <w:marLeft w:val="0"/>
                      <w:marRight w:val="0"/>
                      <w:marTop w:val="0"/>
                      <w:marBottom w:val="0"/>
                      <w:divBdr>
                        <w:top w:val="single" w:sz="2" w:space="0" w:color="D9D9E3"/>
                        <w:left w:val="single" w:sz="2" w:space="0" w:color="D9D9E3"/>
                        <w:bottom w:val="single" w:sz="2" w:space="0" w:color="D9D9E3"/>
                        <w:right w:val="single" w:sz="2" w:space="0" w:color="D9D9E3"/>
                      </w:divBdr>
                      <w:divsChild>
                        <w:div w:id="1402094057">
                          <w:marLeft w:val="0"/>
                          <w:marRight w:val="0"/>
                          <w:marTop w:val="0"/>
                          <w:marBottom w:val="0"/>
                          <w:divBdr>
                            <w:top w:val="single" w:sz="2" w:space="0" w:color="D9D9E3"/>
                            <w:left w:val="single" w:sz="2" w:space="0" w:color="D9D9E3"/>
                            <w:bottom w:val="single" w:sz="2" w:space="0" w:color="D9D9E3"/>
                            <w:right w:val="single" w:sz="2" w:space="0" w:color="D9D9E3"/>
                          </w:divBdr>
                          <w:divsChild>
                            <w:div w:id="1876846705">
                              <w:marLeft w:val="0"/>
                              <w:marRight w:val="0"/>
                              <w:marTop w:val="100"/>
                              <w:marBottom w:val="100"/>
                              <w:divBdr>
                                <w:top w:val="single" w:sz="2" w:space="0" w:color="D9D9E3"/>
                                <w:left w:val="single" w:sz="2" w:space="0" w:color="D9D9E3"/>
                                <w:bottom w:val="single" w:sz="2" w:space="0" w:color="D9D9E3"/>
                                <w:right w:val="single" w:sz="2" w:space="0" w:color="D9D9E3"/>
                              </w:divBdr>
                              <w:divsChild>
                                <w:div w:id="545678519">
                                  <w:marLeft w:val="0"/>
                                  <w:marRight w:val="0"/>
                                  <w:marTop w:val="0"/>
                                  <w:marBottom w:val="0"/>
                                  <w:divBdr>
                                    <w:top w:val="single" w:sz="2" w:space="0" w:color="D9D9E3"/>
                                    <w:left w:val="single" w:sz="2" w:space="0" w:color="D9D9E3"/>
                                    <w:bottom w:val="single" w:sz="2" w:space="0" w:color="D9D9E3"/>
                                    <w:right w:val="single" w:sz="2" w:space="0" w:color="D9D9E3"/>
                                  </w:divBdr>
                                  <w:divsChild>
                                    <w:div w:id="1424178912">
                                      <w:marLeft w:val="0"/>
                                      <w:marRight w:val="0"/>
                                      <w:marTop w:val="0"/>
                                      <w:marBottom w:val="0"/>
                                      <w:divBdr>
                                        <w:top w:val="single" w:sz="2" w:space="0" w:color="D9D9E3"/>
                                        <w:left w:val="single" w:sz="2" w:space="0" w:color="D9D9E3"/>
                                        <w:bottom w:val="single" w:sz="2" w:space="0" w:color="D9D9E3"/>
                                        <w:right w:val="single" w:sz="2" w:space="0" w:color="D9D9E3"/>
                                      </w:divBdr>
                                      <w:divsChild>
                                        <w:div w:id="357395312">
                                          <w:marLeft w:val="0"/>
                                          <w:marRight w:val="0"/>
                                          <w:marTop w:val="0"/>
                                          <w:marBottom w:val="0"/>
                                          <w:divBdr>
                                            <w:top w:val="single" w:sz="2" w:space="0" w:color="D9D9E3"/>
                                            <w:left w:val="single" w:sz="2" w:space="0" w:color="D9D9E3"/>
                                            <w:bottom w:val="single" w:sz="2" w:space="0" w:color="D9D9E3"/>
                                            <w:right w:val="single" w:sz="2" w:space="0" w:color="D9D9E3"/>
                                          </w:divBdr>
                                          <w:divsChild>
                                            <w:div w:id="1001009433">
                                              <w:marLeft w:val="0"/>
                                              <w:marRight w:val="0"/>
                                              <w:marTop w:val="0"/>
                                              <w:marBottom w:val="0"/>
                                              <w:divBdr>
                                                <w:top w:val="single" w:sz="2" w:space="0" w:color="D9D9E3"/>
                                                <w:left w:val="single" w:sz="2" w:space="0" w:color="D9D9E3"/>
                                                <w:bottom w:val="single" w:sz="2" w:space="0" w:color="D9D9E3"/>
                                                <w:right w:val="single" w:sz="2" w:space="0" w:color="D9D9E3"/>
                                              </w:divBdr>
                                              <w:divsChild>
                                                <w:div w:id="1380781876">
                                                  <w:marLeft w:val="0"/>
                                                  <w:marRight w:val="0"/>
                                                  <w:marTop w:val="0"/>
                                                  <w:marBottom w:val="0"/>
                                                  <w:divBdr>
                                                    <w:top w:val="single" w:sz="2" w:space="0" w:color="D9D9E3"/>
                                                    <w:left w:val="single" w:sz="2" w:space="0" w:color="D9D9E3"/>
                                                    <w:bottom w:val="single" w:sz="2" w:space="0" w:color="D9D9E3"/>
                                                    <w:right w:val="single" w:sz="2" w:space="0" w:color="D9D9E3"/>
                                                  </w:divBdr>
                                                  <w:divsChild>
                                                    <w:div w:id="37843693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882518323">
          <w:marLeft w:val="0"/>
          <w:marRight w:val="0"/>
          <w:marTop w:val="0"/>
          <w:marBottom w:val="0"/>
          <w:divBdr>
            <w:top w:val="none" w:sz="0" w:space="0" w:color="auto"/>
            <w:left w:val="none" w:sz="0" w:space="0" w:color="auto"/>
            <w:bottom w:val="none" w:sz="0" w:space="0" w:color="auto"/>
            <w:right w:val="none" w:sz="0" w:space="0" w:color="auto"/>
          </w:divBdr>
        </w:div>
      </w:divsChild>
    </w:div>
    <w:div w:id="663708378">
      <w:bodyDiv w:val="1"/>
      <w:marLeft w:val="0"/>
      <w:marRight w:val="0"/>
      <w:marTop w:val="0"/>
      <w:marBottom w:val="0"/>
      <w:divBdr>
        <w:top w:val="none" w:sz="0" w:space="0" w:color="auto"/>
        <w:left w:val="none" w:sz="0" w:space="0" w:color="auto"/>
        <w:bottom w:val="none" w:sz="0" w:space="0" w:color="auto"/>
        <w:right w:val="none" w:sz="0" w:space="0" w:color="auto"/>
      </w:divBdr>
    </w:div>
    <w:div w:id="677344517">
      <w:bodyDiv w:val="1"/>
      <w:marLeft w:val="0"/>
      <w:marRight w:val="0"/>
      <w:marTop w:val="0"/>
      <w:marBottom w:val="0"/>
      <w:divBdr>
        <w:top w:val="none" w:sz="0" w:space="0" w:color="auto"/>
        <w:left w:val="none" w:sz="0" w:space="0" w:color="auto"/>
        <w:bottom w:val="none" w:sz="0" w:space="0" w:color="auto"/>
        <w:right w:val="none" w:sz="0" w:space="0" w:color="auto"/>
      </w:divBdr>
    </w:div>
    <w:div w:id="687175642">
      <w:bodyDiv w:val="1"/>
      <w:marLeft w:val="0"/>
      <w:marRight w:val="0"/>
      <w:marTop w:val="0"/>
      <w:marBottom w:val="0"/>
      <w:divBdr>
        <w:top w:val="none" w:sz="0" w:space="0" w:color="auto"/>
        <w:left w:val="none" w:sz="0" w:space="0" w:color="auto"/>
        <w:bottom w:val="none" w:sz="0" w:space="0" w:color="auto"/>
        <w:right w:val="none" w:sz="0" w:space="0" w:color="auto"/>
      </w:divBdr>
    </w:div>
    <w:div w:id="706877689">
      <w:bodyDiv w:val="1"/>
      <w:marLeft w:val="0"/>
      <w:marRight w:val="0"/>
      <w:marTop w:val="0"/>
      <w:marBottom w:val="0"/>
      <w:divBdr>
        <w:top w:val="none" w:sz="0" w:space="0" w:color="auto"/>
        <w:left w:val="none" w:sz="0" w:space="0" w:color="auto"/>
        <w:bottom w:val="none" w:sz="0" w:space="0" w:color="auto"/>
        <w:right w:val="none" w:sz="0" w:space="0" w:color="auto"/>
      </w:divBdr>
    </w:div>
    <w:div w:id="713427326">
      <w:bodyDiv w:val="1"/>
      <w:marLeft w:val="0"/>
      <w:marRight w:val="0"/>
      <w:marTop w:val="0"/>
      <w:marBottom w:val="0"/>
      <w:divBdr>
        <w:top w:val="none" w:sz="0" w:space="0" w:color="auto"/>
        <w:left w:val="none" w:sz="0" w:space="0" w:color="auto"/>
        <w:bottom w:val="none" w:sz="0" w:space="0" w:color="auto"/>
        <w:right w:val="none" w:sz="0" w:space="0" w:color="auto"/>
      </w:divBdr>
    </w:div>
    <w:div w:id="719548222">
      <w:bodyDiv w:val="1"/>
      <w:marLeft w:val="0"/>
      <w:marRight w:val="0"/>
      <w:marTop w:val="0"/>
      <w:marBottom w:val="0"/>
      <w:divBdr>
        <w:top w:val="none" w:sz="0" w:space="0" w:color="auto"/>
        <w:left w:val="none" w:sz="0" w:space="0" w:color="auto"/>
        <w:bottom w:val="none" w:sz="0" w:space="0" w:color="auto"/>
        <w:right w:val="none" w:sz="0" w:space="0" w:color="auto"/>
      </w:divBdr>
      <w:divsChild>
        <w:div w:id="1237015866">
          <w:marLeft w:val="0"/>
          <w:marRight w:val="0"/>
          <w:marTop w:val="0"/>
          <w:marBottom w:val="0"/>
          <w:divBdr>
            <w:top w:val="none" w:sz="0" w:space="0" w:color="auto"/>
            <w:left w:val="none" w:sz="0" w:space="0" w:color="auto"/>
            <w:bottom w:val="none" w:sz="0" w:space="0" w:color="auto"/>
            <w:right w:val="none" w:sz="0" w:space="0" w:color="auto"/>
          </w:divBdr>
        </w:div>
      </w:divsChild>
    </w:div>
    <w:div w:id="723483933">
      <w:bodyDiv w:val="1"/>
      <w:marLeft w:val="0"/>
      <w:marRight w:val="0"/>
      <w:marTop w:val="0"/>
      <w:marBottom w:val="0"/>
      <w:divBdr>
        <w:top w:val="none" w:sz="0" w:space="0" w:color="auto"/>
        <w:left w:val="none" w:sz="0" w:space="0" w:color="auto"/>
        <w:bottom w:val="none" w:sz="0" w:space="0" w:color="auto"/>
        <w:right w:val="none" w:sz="0" w:space="0" w:color="auto"/>
      </w:divBdr>
    </w:div>
    <w:div w:id="731273296">
      <w:bodyDiv w:val="1"/>
      <w:marLeft w:val="0"/>
      <w:marRight w:val="0"/>
      <w:marTop w:val="0"/>
      <w:marBottom w:val="0"/>
      <w:divBdr>
        <w:top w:val="none" w:sz="0" w:space="0" w:color="auto"/>
        <w:left w:val="none" w:sz="0" w:space="0" w:color="auto"/>
        <w:bottom w:val="none" w:sz="0" w:space="0" w:color="auto"/>
        <w:right w:val="none" w:sz="0" w:space="0" w:color="auto"/>
      </w:divBdr>
    </w:div>
    <w:div w:id="768308035">
      <w:bodyDiv w:val="1"/>
      <w:marLeft w:val="0"/>
      <w:marRight w:val="0"/>
      <w:marTop w:val="0"/>
      <w:marBottom w:val="0"/>
      <w:divBdr>
        <w:top w:val="none" w:sz="0" w:space="0" w:color="auto"/>
        <w:left w:val="none" w:sz="0" w:space="0" w:color="auto"/>
        <w:bottom w:val="none" w:sz="0" w:space="0" w:color="auto"/>
        <w:right w:val="none" w:sz="0" w:space="0" w:color="auto"/>
      </w:divBdr>
    </w:div>
    <w:div w:id="805052828">
      <w:bodyDiv w:val="1"/>
      <w:marLeft w:val="0"/>
      <w:marRight w:val="0"/>
      <w:marTop w:val="0"/>
      <w:marBottom w:val="0"/>
      <w:divBdr>
        <w:top w:val="none" w:sz="0" w:space="0" w:color="auto"/>
        <w:left w:val="none" w:sz="0" w:space="0" w:color="auto"/>
        <w:bottom w:val="none" w:sz="0" w:space="0" w:color="auto"/>
        <w:right w:val="none" w:sz="0" w:space="0" w:color="auto"/>
      </w:divBdr>
    </w:div>
    <w:div w:id="819075412">
      <w:bodyDiv w:val="1"/>
      <w:marLeft w:val="0"/>
      <w:marRight w:val="0"/>
      <w:marTop w:val="0"/>
      <w:marBottom w:val="0"/>
      <w:divBdr>
        <w:top w:val="none" w:sz="0" w:space="0" w:color="auto"/>
        <w:left w:val="none" w:sz="0" w:space="0" w:color="auto"/>
        <w:bottom w:val="none" w:sz="0" w:space="0" w:color="auto"/>
        <w:right w:val="none" w:sz="0" w:space="0" w:color="auto"/>
      </w:divBdr>
    </w:div>
    <w:div w:id="839585251">
      <w:bodyDiv w:val="1"/>
      <w:marLeft w:val="0"/>
      <w:marRight w:val="0"/>
      <w:marTop w:val="0"/>
      <w:marBottom w:val="0"/>
      <w:divBdr>
        <w:top w:val="none" w:sz="0" w:space="0" w:color="auto"/>
        <w:left w:val="none" w:sz="0" w:space="0" w:color="auto"/>
        <w:bottom w:val="none" w:sz="0" w:space="0" w:color="auto"/>
        <w:right w:val="none" w:sz="0" w:space="0" w:color="auto"/>
      </w:divBdr>
    </w:div>
    <w:div w:id="846478480">
      <w:bodyDiv w:val="1"/>
      <w:marLeft w:val="0"/>
      <w:marRight w:val="0"/>
      <w:marTop w:val="0"/>
      <w:marBottom w:val="0"/>
      <w:divBdr>
        <w:top w:val="none" w:sz="0" w:space="0" w:color="auto"/>
        <w:left w:val="none" w:sz="0" w:space="0" w:color="auto"/>
        <w:bottom w:val="none" w:sz="0" w:space="0" w:color="auto"/>
        <w:right w:val="none" w:sz="0" w:space="0" w:color="auto"/>
      </w:divBdr>
    </w:div>
    <w:div w:id="866220082">
      <w:bodyDiv w:val="1"/>
      <w:marLeft w:val="0"/>
      <w:marRight w:val="0"/>
      <w:marTop w:val="0"/>
      <w:marBottom w:val="0"/>
      <w:divBdr>
        <w:top w:val="none" w:sz="0" w:space="0" w:color="auto"/>
        <w:left w:val="none" w:sz="0" w:space="0" w:color="auto"/>
        <w:bottom w:val="none" w:sz="0" w:space="0" w:color="auto"/>
        <w:right w:val="none" w:sz="0" w:space="0" w:color="auto"/>
      </w:divBdr>
    </w:div>
    <w:div w:id="866261159">
      <w:bodyDiv w:val="1"/>
      <w:marLeft w:val="0"/>
      <w:marRight w:val="0"/>
      <w:marTop w:val="0"/>
      <w:marBottom w:val="0"/>
      <w:divBdr>
        <w:top w:val="none" w:sz="0" w:space="0" w:color="auto"/>
        <w:left w:val="none" w:sz="0" w:space="0" w:color="auto"/>
        <w:bottom w:val="none" w:sz="0" w:space="0" w:color="auto"/>
        <w:right w:val="none" w:sz="0" w:space="0" w:color="auto"/>
      </w:divBdr>
      <w:divsChild>
        <w:div w:id="462433268">
          <w:marLeft w:val="0"/>
          <w:marRight w:val="0"/>
          <w:marTop w:val="0"/>
          <w:marBottom w:val="0"/>
          <w:divBdr>
            <w:top w:val="none" w:sz="0" w:space="0" w:color="auto"/>
            <w:left w:val="none" w:sz="0" w:space="0" w:color="auto"/>
            <w:bottom w:val="none" w:sz="0" w:space="0" w:color="auto"/>
            <w:right w:val="none" w:sz="0" w:space="0" w:color="auto"/>
          </w:divBdr>
          <w:divsChild>
            <w:div w:id="669061415">
              <w:marLeft w:val="0"/>
              <w:marRight w:val="0"/>
              <w:marTop w:val="0"/>
              <w:marBottom w:val="0"/>
              <w:divBdr>
                <w:top w:val="none" w:sz="0" w:space="0" w:color="auto"/>
                <w:left w:val="none" w:sz="0" w:space="0" w:color="auto"/>
                <w:bottom w:val="none" w:sz="0" w:space="0" w:color="auto"/>
                <w:right w:val="none" w:sz="0" w:space="0" w:color="auto"/>
              </w:divBdr>
              <w:divsChild>
                <w:div w:id="812526035">
                  <w:marLeft w:val="0"/>
                  <w:marRight w:val="0"/>
                  <w:marTop w:val="0"/>
                  <w:marBottom w:val="0"/>
                  <w:divBdr>
                    <w:top w:val="none" w:sz="0" w:space="0" w:color="auto"/>
                    <w:left w:val="none" w:sz="0" w:space="0" w:color="auto"/>
                    <w:bottom w:val="none" w:sz="0" w:space="0" w:color="auto"/>
                    <w:right w:val="none" w:sz="0" w:space="0" w:color="auto"/>
                  </w:divBdr>
                  <w:divsChild>
                    <w:div w:id="13823618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1209866">
          <w:marLeft w:val="0"/>
          <w:marRight w:val="0"/>
          <w:marTop w:val="0"/>
          <w:marBottom w:val="0"/>
          <w:divBdr>
            <w:top w:val="none" w:sz="0" w:space="0" w:color="auto"/>
            <w:left w:val="none" w:sz="0" w:space="0" w:color="auto"/>
            <w:bottom w:val="none" w:sz="0" w:space="0" w:color="auto"/>
            <w:right w:val="none" w:sz="0" w:space="0" w:color="auto"/>
          </w:divBdr>
          <w:divsChild>
            <w:div w:id="527722740">
              <w:marLeft w:val="0"/>
              <w:marRight w:val="0"/>
              <w:marTop w:val="0"/>
              <w:marBottom w:val="0"/>
              <w:divBdr>
                <w:top w:val="none" w:sz="0" w:space="0" w:color="auto"/>
                <w:left w:val="none" w:sz="0" w:space="0" w:color="auto"/>
                <w:bottom w:val="none" w:sz="0" w:space="0" w:color="auto"/>
                <w:right w:val="none" w:sz="0" w:space="0" w:color="auto"/>
              </w:divBdr>
              <w:divsChild>
                <w:div w:id="555163691">
                  <w:marLeft w:val="0"/>
                  <w:marRight w:val="0"/>
                  <w:marTop w:val="0"/>
                  <w:marBottom w:val="0"/>
                  <w:divBdr>
                    <w:top w:val="none" w:sz="0" w:space="0" w:color="auto"/>
                    <w:left w:val="none" w:sz="0" w:space="0" w:color="auto"/>
                    <w:bottom w:val="none" w:sz="0" w:space="0" w:color="auto"/>
                    <w:right w:val="none" w:sz="0" w:space="0" w:color="auto"/>
                  </w:divBdr>
                  <w:divsChild>
                    <w:div w:id="13805906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96360483">
      <w:bodyDiv w:val="1"/>
      <w:marLeft w:val="0"/>
      <w:marRight w:val="0"/>
      <w:marTop w:val="0"/>
      <w:marBottom w:val="0"/>
      <w:divBdr>
        <w:top w:val="none" w:sz="0" w:space="0" w:color="auto"/>
        <w:left w:val="none" w:sz="0" w:space="0" w:color="auto"/>
        <w:bottom w:val="none" w:sz="0" w:space="0" w:color="auto"/>
        <w:right w:val="none" w:sz="0" w:space="0" w:color="auto"/>
      </w:divBdr>
    </w:div>
    <w:div w:id="949819673">
      <w:bodyDiv w:val="1"/>
      <w:marLeft w:val="0"/>
      <w:marRight w:val="0"/>
      <w:marTop w:val="0"/>
      <w:marBottom w:val="0"/>
      <w:divBdr>
        <w:top w:val="none" w:sz="0" w:space="0" w:color="auto"/>
        <w:left w:val="none" w:sz="0" w:space="0" w:color="auto"/>
        <w:bottom w:val="none" w:sz="0" w:space="0" w:color="auto"/>
        <w:right w:val="none" w:sz="0" w:space="0" w:color="auto"/>
      </w:divBdr>
    </w:div>
    <w:div w:id="966354702">
      <w:bodyDiv w:val="1"/>
      <w:marLeft w:val="0"/>
      <w:marRight w:val="0"/>
      <w:marTop w:val="0"/>
      <w:marBottom w:val="0"/>
      <w:divBdr>
        <w:top w:val="none" w:sz="0" w:space="0" w:color="auto"/>
        <w:left w:val="none" w:sz="0" w:space="0" w:color="auto"/>
        <w:bottom w:val="none" w:sz="0" w:space="0" w:color="auto"/>
        <w:right w:val="none" w:sz="0" w:space="0" w:color="auto"/>
      </w:divBdr>
    </w:div>
    <w:div w:id="983243155">
      <w:bodyDiv w:val="1"/>
      <w:marLeft w:val="0"/>
      <w:marRight w:val="0"/>
      <w:marTop w:val="0"/>
      <w:marBottom w:val="0"/>
      <w:divBdr>
        <w:top w:val="none" w:sz="0" w:space="0" w:color="auto"/>
        <w:left w:val="none" w:sz="0" w:space="0" w:color="auto"/>
        <w:bottom w:val="none" w:sz="0" w:space="0" w:color="auto"/>
        <w:right w:val="none" w:sz="0" w:space="0" w:color="auto"/>
      </w:divBdr>
    </w:div>
    <w:div w:id="993023245">
      <w:bodyDiv w:val="1"/>
      <w:marLeft w:val="0"/>
      <w:marRight w:val="0"/>
      <w:marTop w:val="0"/>
      <w:marBottom w:val="0"/>
      <w:divBdr>
        <w:top w:val="none" w:sz="0" w:space="0" w:color="auto"/>
        <w:left w:val="none" w:sz="0" w:space="0" w:color="auto"/>
        <w:bottom w:val="none" w:sz="0" w:space="0" w:color="auto"/>
        <w:right w:val="none" w:sz="0" w:space="0" w:color="auto"/>
      </w:divBdr>
    </w:div>
    <w:div w:id="993140168">
      <w:bodyDiv w:val="1"/>
      <w:marLeft w:val="0"/>
      <w:marRight w:val="0"/>
      <w:marTop w:val="0"/>
      <w:marBottom w:val="0"/>
      <w:divBdr>
        <w:top w:val="none" w:sz="0" w:space="0" w:color="auto"/>
        <w:left w:val="none" w:sz="0" w:space="0" w:color="auto"/>
        <w:bottom w:val="none" w:sz="0" w:space="0" w:color="auto"/>
        <w:right w:val="none" w:sz="0" w:space="0" w:color="auto"/>
      </w:divBdr>
    </w:div>
    <w:div w:id="998263961">
      <w:bodyDiv w:val="1"/>
      <w:marLeft w:val="0"/>
      <w:marRight w:val="0"/>
      <w:marTop w:val="0"/>
      <w:marBottom w:val="0"/>
      <w:divBdr>
        <w:top w:val="none" w:sz="0" w:space="0" w:color="auto"/>
        <w:left w:val="none" w:sz="0" w:space="0" w:color="auto"/>
        <w:bottom w:val="none" w:sz="0" w:space="0" w:color="auto"/>
        <w:right w:val="none" w:sz="0" w:space="0" w:color="auto"/>
      </w:divBdr>
    </w:div>
    <w:div w:id="1017460917">
      <w:bodyDiv w:val="1"/>
      <w:marLeft w:val="0"/>
      <w:marRight w:val="0"/>
      <w:marTop w:val="0"/>
      <w:marBottom w:val="0"/>
      <w:divBdr>
        <w:top w:val="none" w:sz="0" w:space="0" w:color="auto"/>
        <w:left w:val="none" w:sz="0" w:space="0" w:color="auto"/>
        <w:bottom w:val="none" w:sz="0" w:space="0" w:color="auto"/>
        <w:right w:val="none" w:sz="0" w:space="0" w:color="auto"/>
      </w:divBdr>
    </w:div>
    <w:div w:id="1030187137">
      <w:bodyDiv w:val="1"/>
      <w:marLeft w:val="0"/>
      <w:marRight w:val="0"/>
      <w:marTop w:val="0"/>
      <w:marBottom w:val="0"/>
      <w:divBdr>
        <w:top w:val="none" w:sz="0" w:space="0" w:color="auto"/>
        <w:left w:val="none" w:sz="0" w:space="0" w:color="auto"/>
        <w:bottom w:val="none" w:sz="0" w:space="0" w:color="auto"/>
        <w:right w:val="none" w:sz="0" w:space="0" w:color="auto"/>
      </w:divBdr>
      <w:divsChild>
        <w:div w:id="524095977">
          <w:blockQuote w:val="1"/>
          <w:marLeft w:val="720"/>
          <w:marRight w:val="720"/>
          <w:marTop w:val="100"/>
          <w:marBottom w:val="100"/>
          <w:divBdr>
            <w:top w:val="single" w:sz="24" w:space="0" w:color="FFFFFF"/>
            <w:left w:val="single" w:sz="24" w:space="0" w:color="FFFFFF"/>
            <w:bottom w:val="single" w:sz="24" w:space="0" w:color="FFFFFF"/>
            <w:right w:val="single" w:sz="24" w:space="0" w:color="FFFFFF"/>
          </w:divBdr>
        </w:div>
        <w:div w:id="1647902968">
          <w:marLeft w:val="0"/>
          <w:marRight w:val="0"/>
          <w:marTop w:val="0"/>
          <w:marBottom w:val="0"/>
          <w:divBdr>
            <w:top w:val="none" w:sz="0" w:space="0" w:color="auto"/>
            <w:left w:val="none" w:sz="0" w:space="0" w:color="auto"/>
            <w:bottom w:val="none" w:sz="0" w:space="0" w:color="auto"/>
            <w:right w:val="none" w:sz="0" w:space="0" w:color="auto"/>
          </w:divBdr>
          <w:divsChild>
            <w:div w:id="720248193">
              <w:marLeft w:val="0"/>
              <w:marRight w:val="0"/>
              <w:marTop w:val="0"/>
              <w:marBottom w:val="0"/>
              <w:divBdr>
                <w:top w:val="none" w:sz="0" w:space="0" w:color="auto"/>
                <w:left w:val="none" w:sz="0" w:space="0" w:color="auto"/>
                <w:bottom w:val="none" w:sz="0" w:space="0" w:color="auto"/>
                <w:right w:val="none" w:sz="0" w:space="0" w:color="auto"/>
              </w:divBdr>
              <w:divsChild>
                <w:div w:id="445972801">
                  <w:blockQuote w:val="1"/>
                  <w:marLeft w:val="720"/>
                  <w:marRight w:val="720"/>
                  <w:marTop w:val="100"/>
                  <w:marBottom w:val="100"/>
                  <w:divBdr>
                    <w:top w:val="single" w:sz="24" w:space="0" w:color="FFFFFF"/>
                    <w:left w:val="single" w:sz="24" w:space="0" w:color="FFFFFF"/>
                    <w:bottom w:val="single" w:sz="24" w:space="0" w:color="FFFFFF"/>
                    <w:right w:val="single" w:sz="24" w:space="0" w:color="FFFFFF"/>
                  </w:divBdr>
                </w:div>
              </w:divsChild>
            </w:div>
          </w:divsChild>
        </w:div>
      </w:divsChild>
    </w:div>
    <w:div w:id="1037894050">
      <w:bodyDiv w:val="1"/>
      <w:marLeft w:val="0"/>
      <w:marRight w:val="0"/>
      <w:marTop w:val="0"/>
      <w:marBottom w:val="0"/>
      <w:divBdr>
        <w:top w:val="none" w:sz="0" w:space="0" w:color="auto"/>
        <w:left w:val="none" w:sz="0" w:space="0" w:color="auto"/>
        <w:bottom w:val="none" w:sz="0" w:space="0" w:color="auto"/>
        <w:right w:val="none" w:sz="0" w:space="0" w:color="auto"/>
      </w:divBdr>
    </w:div>
    <w:div w:id="1045371470">
      <w:bodyDiv w:val="1"/>
      <w:marLeft w:val="0"/>
      <w:marRight w:val="0"/>
      <w:marTop w:val="0"/>
      <w:marBottom w:val="0"/>
      <w:divBdr>
        <w:top w:val="none" w:sz="0" w:space="0" w:color="auto"/>
        <w:left w:val="none" w:sz="0" w:space="0" w:color="auto"/>
        <w:bottom w:val="none" w:sz="0" w:space="0" w:color="auto"/>
        <w:right w:val="none" w:sz="0" w:space="0" w:color="auto"/>
      </w:divBdr>
    </w:div>
    <w:div w:id="1048916020">
      <w:bodyDiv w:val="1"/>
      <w:marLeft w:val="0"/>
      <w:marRight w:val="0"/>
      <w:marTop w:val="0"/>
      <w:marBottom w:val="0"/>
      <w:divBdr>
        <w:top w:val="none" w:sz="0" w:space="0" w:color="auto"/>
        <w:left w:val="none" w:sz="0" w:space="0" w:color="auto"/>
        <w:bottom w:val="none" w:sz="0" w:space="0" w:color="auto"/>
        <w:right w:val="none" w:sz="0" w:space="0" w:color="auto"/>
      </w:divBdr>
    </w:div>
    <w:div w:id="1053625240">
      <w:bodyDiv w:val="1"/>
      <w:marLeft w:val="0"/>
      <w:marRight w:val="0"/>
      <w:marTop w:val="0"/>
      <w:marBottom w:val="0"/>
      <w:divBdr>
        <w:top w:val="none" w:sz="0" w:space="0" w:color="auto"/>
        <w:left w:val="none" w:sz="0" w:space="0" w:color="auto"/>
        <w:bottom w:val="none" w:sz="0" w:space="0" w:color="auto"/>
        <w:right w:val="none" w:sz="0" w:space="0" w:color="auto"/>
      </w:divBdr>
      <w:divsChild>
        <w:div w:id="1383938968">
          <w:marLeft w:val="0"/>
          <w:marRight w:val="0"/>
          <w:marTop w:val="0"/>
          <w:marBottom w:val="0"/>
          <w:divBdr>
            <w:top w:val="none" w:sz="0" w:space="0" w:color="auto"/>
            <w:left w:val="none" w:sz="0" w:space="0" w:color="auto"/>
            <w:bottom w:val="none" w:sz="0" w:space="0" w:color="auto"/>
            <w:right w:val="none" w:sz="0" w:space="0" w:color="auto"/>
          </w:divBdr>
          <w:divsChild>
            <w:div w:id="190189414">
              <w:marLeft w:val="0"/>
              <w:marRight w:val="0"/>
              <w:marTop w:val="0"/>
              <w:marBottom w:val="0"/>
              <w:divBdr>
                <w:top w:val="none" w:sz="0" w:space="0" w:color="auto"/>
                <w:left w:val="none" w:sz="0" w:space="0" w:color="auto"/>
                <w:bottom w:val="none" w:sz="0" w:space="0" w:color="auto"/>
                <w:right w:val="none" w:sz="0" w:space="0" w:color="auto"/>
              </w:divBdr>
              <w:divsChild>
                <w:div w:id="310329515">
                  <w:marLeft w:val="0"/>
                  <w:marRight w:val="0"/>
                  <w:marTop w:val="0"/>
                  <w:marBottom w:val="0"/>
                  <w:divBdr>
                    <w:top w:val="none" w:sz="0" w:space="0" w:color="auto"/>
                    <w:left w:val="none" w:sz="0" w:space="0" w:color="auto"/>
                    <w:bottom w:val="none" w:sz="0" w:space="0" w:color="auto"/>
                    <w:right w:val="none" w:sz="0" w:space="0" w:color="auto"/>
                  </w:divBdr>
                  <w:divsChild>
                    <w:div w:id="2061975884">
                      <w:marLeft w:val="0"/>
                      <w:marRight w:val="0"/>
                      <w:marTop w:val="0"/>
                      <w:marBottom w:val="0"/>
                      <w:divBdr>
                        <w:top w:val="none" w:sz="0" w:space="0" w:color="auto"/>
                        <w:left w:val="none" w:sz="0" w:space="0" w:color="auto"/>
                        <w:bottom w:val="none" w:sz="0" w:space="0" w:color="auto"/>
                        <w:right w:val="none" w:sz="0" w:space="0" w:color="auto"/>
                      </w:divBdr>
                      <w:divsChild>
                        <w:div w:id="1530600897">
                          <w:marLeft w:val="0"/>
                          <w:marRight w:val="0"/>
                          <w:marTop w:val="0"/>
                          <w:marBottom w:val="0"/>
                          <w:divBdr>
                            <w:top w:val="none" w:sz="0" w:space="0" w:color="auto"/>
                            <w:left w:val="none" w:sz="0" w:space="0" w:color="auto"/>
                            <w:bottom w:val="none" w:sz="0" w:space="0" w:color="auto"/>
                            <w:right w:val="none" w:sz="0" w:space="0" w:color="auto"/>
                          </w:divBdr>
                          <w:divsChild>
                            <w:div w:id="2376365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72629436">
      <w:bodyDiv w:val="1"/>
      <w:marLeft w:val="0"/>
      <w:marRight w:val="0"/>
      <w:marTop w:val="0"/>
      <w:marBottom w:val="0"/>
      <w:divBdr>
        <w:top w:val="none" w:sz="0" w:space="0" w:color="auto"/>
        <w:left w:val="none" w:sz="0" w:space="0" w:color="auto"/>
        <w:bottom w:val="none" w:sz="0" w:space="0" w:color="auto"/>
        <w:right w:val="none" w:sz="0" w:space="0" w:color="auto"/>
      </w:divBdr>
    </w:div>
    <w:div w:id="1081294123">
      <w:bodyDiv w:val="1"/>
      <w:marLeft w:val="0"/>
      <w:marRight w:val="0"/>
      <w:marTop w:val="0"/>
      <w:marBottom w:val="0"/>
      <w:divBdr>
        <w:top w:val="none" w:sz="0" w:space="0" w:color="auto"/>
        <w:left w:val="none" w:sz="0" w:space="0" w:color="auto"/>
        <w:bottom w:val="none" w:sz="0" w:space="0" w:color="auto"/>
        <w:right w:val="none" w:sz="0" w:space="0" w:color="auto"/>
      </w:divBdr>
    </w:div>
    <w:div w:id="1119758990">
      <w:bodyDiv w:val="1"/>
      <w:marLeft w:val="0"/>
      <w:marRight w:val="0"/>
      <w:marTop w:val="0"/>
      <w:marBottom w:val="0"/>
      <w:divBdr>
        <w:top w:val="none" w:sz="0" w:space="0" w:color="auto"/>
        <w:left w:val="none" w:sz="0" w:space="0" w:color="auto"/>
        <w:bottom w:val="none" w:sz="0" w:space="0" w:color="auto"/>
        <w:right w:val="none" w:sz="0" w:space="0" w:color="auto"/>
      </w:divBdr>
    </w:div>
    <w:div w:id="1123232731">
      <w:bodyDiv w:val="1"/>
      <w:marLeft w:val="0"/>
      <w:marRight w:val="0"/>
      <w:marTop w:val="0"/>
      <w:marBottom w:val="0"/>
      <w:divBdr>
        <w:top w:val="none" w:sz="0" w:space="0" w:color="auto"/>
        <w:left w:val="none" w:sz="0" w:space="0" w:color="auto"/>
        <w:bottom w:val="none" w:sz="0" w:space="0" w:color="auto"/>
        <w:right w:val="none" w:sz="0" w:space="0" w:color="auto"/>
      </w:divBdr>
    </w:div>
    <w:div w:id="1145657978">
      <w:bodyDiv w:val="1"/>
      <w:marLeft w:val="0"/>
      <w:marRight w:val="0"/>
      <w:marTop w:val="0"/>
      <w:marBottom w:val="0"/>
      <w:divBdr>
        <w:top w:val="none" w:sz="0" w:space="0" w:color="auto"/>
        <w:left w:val="none" w:sz="0" w:space="0" w:color="auto"/>
        <w:bottom w:val="none" w:sz="0" w:space="0" w:color="auto"/>
        <w:right w:val="none" w:sz="0" w:space="0" w:color="auto"/>
      </w:divBdr>
    </w:div>
    <w:div w:id="1146967952">
      <w:bodyDiv w:val="1"/>
      <w:marLeft w:val="0"/>
      <w:marRight w:val="0"/>
      <w:marTop w:val="0"/>
      <w:marBottom w:val="0"/>
      <w:divBdr>
        <w:top w:val="none" w:sz="0" w:space="0" w:color="auto"/>
        <w:left w:val="none" w:sz="0" w:space="0" w:color="auto"/>
        <w:bottom w:val="none" w:sz="0" w:space="0" w:color="auto"/>
        <w:right w:val="none" w:sz="0" w:space="0" w:color="auto"/>
      </w:divBdr>
    </w:div>
    <w:div w:id="1165438226">
      <w:bodyDiv w:val="1"/>
      <w:marLeft w:val="0"/>
      <w:marRight w:val="0"/>
      <w:marTop w:val="0"/>
      <w:marBottom w:val="0"/>
      <w:divBdr>
        <w:top w:val="none" w:sz="0" w:space="0" w:color="auto"/>
        <w:left w:val="none" w:sz="0" w:space="0" w:color="auto"/>
        <w:bottom w:val="none" w:sz="0" w:space="0" w:color="auto"/>
        <w:right w:val="none" w:sz="0" w:space="0" w:color="auto"/>
      </w:divBdr>
    </w:div>
    <w:div w:id="1190026904">
      <w:bodyDiv w:val="1"/>
      <w:marLeft w:val="0"/>
      <w:marRight w:val="0"/>
      <w:marTop w:val="0"/>
      <w:marBottom w:val="0"/>
      <w:divBdr>
        <w:top w:val="none" w:sz="0" w:space="0" w:color="auto"/>
        <w:left w:val="none" w:sz="0" w:space="0" w:color="auto"/>
        <w:bottom w:val="none" w:sz="0" w:space="0" w:color="auto"/>
        <w:right w:val="none" w:sz="0" w:space="0" w:color="auto"/>
      </w:divBdr>
    </w:div>
    <w:div w:id="1209337280">
      <w:bodyDiv w:val="1"/>
      <w:marLeft w:val="0"/>
      <w:marRight w:val="0"/>
      <w:marTop w:val="0"/>
      <w:marBottom w:val="0"/>
      <w:divBdr>
        <w:top w:val="none" w:sz="0" w:space="0" w:color="auto"/>
        <w:left w:val="none" w:sz="0" w:space="0" w:color="auto"/>
        <w:bottom w:val="none" w:sz="0" w:space="0" w:color="auto"/>
        <w:right w:val="none" w:sz="0" w:space="0" w:color="auto"/>
      </w:divBdr>
    </w:div>
    <w:div w:id="1258833284">
      <w:bodyDiv w:val="1"/>
      <w:marLeft w:val="0"/>
      <w:marRight w:val="0"/>
      <w:marTop w:val="0"/>
      <w:marBottom w:val="0"/>
      <w:divBdr>
        <w:top w:val="none" w:sz="0" w:space="0" w:color="auto"/>
        <w:left w:val="none" w:sz="0" w:space="0" w:color="auto"/>
        <w:bottom w:val="none" w:sz="0" w:space="0" w:color="auto"/>
        <w:right w:val="none" w:sz="0" w:space="0" w:color="auto"/>
      </w:divBdr>
      <w:divsChild>
        <w:div w:id="351223186">
          <w:marLeft w:val="0"/>
          <w:marRight w:val="0"/>
          <w:marTop w:val="0"/>
          <w:marBottom w:val="0"/>
          <w:divBdr>
            <w:top w:val="none" w:sz="0" w:space="0" w:color="auto"/>
            <w:left w:val="none" w:sz="0" w:space="0" w:color="auto"/>
            <w:bottom w:val="none" w:sz="0" w:space="0" w:color="auto"/>
            <w:right w:val="none" w:sz="0" w:space="0" w:color="auto"/>
          </w:divBdr>
          <w:divsChild>
            <w:div w:id="867723762">
              <w:marLeft w:val="0"/>
              <w:marRight w:val="0"/>
              <w:marTop w:val="0"/>
              <w:marBottom w:val="0"/>
              <w:divBdr>
                <w:top w:val="none" w:sz="0" w:space="0" w:color="auto"/>
                <w:left w:val="none" w:sz="0" w:space="0" w:color="auto"/>
                <w:bottom w:val="none" w:sz="0" w:space="0" w:color="auto"/>
                <w:right w:val="none" w:sz="0" w:space="0" w:color="auto"/>
              </w:divBdr>
              <w:divsChild>
                <w:div w:id="1381436068">
                  <w:marLeft w:val="0"/>
                  <w:marRight w:val="0"/>
                  <w:marTop w:val="0"/>
                  <w:marBottom w:val="0"/>
                  <w:divBdr>
                    <w:top w:val="none" w:sz="0" w:space="0" w:color="auto"/>
                    <w:left w:val="none" w:sz="0" w:space="0" w:color="auto"/>
                    <w:bottom w:val="none" w:sz="0" w:space="0" w:color="auto"/>
                    <w:right w:val="none" w:sz="0" w:space="0" w:color="auto"/>
                  </w:divBdr>
                  <w:divsChild>
                    <w:div w:id="1512143609">
                      <w:marLeft w:val="0"/>
                      <w:marRight w:val="0"/>
                      <w:marTop w:val="0"/>
                      <w:marBottom w:val="0"/>
                      <w:divBdr>
                        <w:top w:val="none" w:sz="0" w:space="0" w:color="auto"/>
                        <w:left w:val="none" w:sz="0" w:space="0" w:color="auto"/>
                        <w:bottom w:val="none" w:sz="0" w:space="0" w:color="auto"/>
                        <w:right w:val="none" w:sz="0" w:space="0" w:color="auto"/>
                      </w:divBdr>
                      <w:divsChild>
                        <w:div w:id="1745907145">
                          <w:marLeft w:val="0"/>
                          <w:marRight w:val="0"/>
                          <w:marTop w:val="0"/>
                          <w:marBottom w:val="0"/>
                          <w:divBdr>
                            <w:top w:val="none" w:sz="0" w:space="0" w:color="auto"/>
                            <w:left w:val="none" w:sz="0" w:space="0" w:color="auto"/>
                            <w:bottom w:val="none" w:sz="0" w:space="0" w:color="auto"/>
                            <w:right w:val="none" w:sz="0" w:space="0" w:color="auto"/>
                          </w:divBdr>
                          <w:divsChild>
                            <w:div w:id="91510115">
                              <w:marLeft w:val="0"/>
                              <w:marRight w:val="0"/>
                              <w:marTop w:val="0"/>
                              <w:marBottom w:val="0"/>
                              <w:divBdr>
                                <w:top w:val="none" w:sz="0" w:space="0" w:color="auto"/>
                                <w:left w:val="none" w:sz="0" w:space="0" w:color="auto"/>
                                <w:bottom w:val="none" w:sz="0" w:space="0" w:color="auto"/>
                                <w:right w:val="none" w:sz="0" w:space="0" w:color="auto"/>
                              </w:divBdr>
                              <w:divsChild>
                                <w:div w:id="1951349047">
                                  <w:marLeft w:val="0"/>
                                  <w:marRight w:val="0"/>
                                  <w:marTop w:val="0"/>
                                  <w:marBottom w:val="0"/>
                                  <w:divBdr>
                                    <w:top w:val="none" w:sz="0" w:space="0" w:color="auto"/>
                                    <w:left w:val="none" w:sz="0" w:space="0" w:color="auto"/>
                                    <w:bottom w:val="none" w:sz="0" w:space="0" w:color="auto"/>
                                    <w:right w:val="none" w:sz="0" w:space="0" w:color="auto"/>
                                  </w:divBdr>
                                  <w:divsChild>
                                    <w:div w:id="1587836973">
                                      <w:marLeft w:val="0"/>
                                      <w:marRight w:val="0"/>
                                      <w:marTop w:val="0"/>
                                      <w:marBottom w:val="0"/>
                                      <w:divBdr>
                                        <w:top w:val="none" w:sz="0" w:space="0" w:color="auto"/>
                                        <w:left w:val="none" w:sz="0" w:space="0" w:color="auto"/>
                                        <w:bottom w:val="none" w:sz="0" w:space="0" w:color="auto"/>
                                        <w:right w:val="none" w:sz="0" w:space="0" w:color="auto"/>
                                      </w:divBdr>
                                      <w:divsChild>
                                        <w:div w:id="418988359">
                                          <w:marLeft w:val="0"/>
                                          <w:marRight w:val="0"/>
                                          <w:marTop w:val="0"/>
                                          <w:marBottom w:val="0"/>
                                          <w:divBdr>
                                            <w:top w:val="none" w:sz="0" w:space="0" w:color="auto"/>
                                            <w:left w:val="none" w:sz="0" w:space="0" w:color="auto"/>
                                            <w:bottom w:val="none" w:sz="0" w:space="0" w:color="auto"/>
                                            <w:right w:val="none" w:sz="0" w:space="0" w:color="auto"/>
                                          </w:divBdr>
                                          <w:divsChild>
                                            <w:div w:id="322508529">
                                              <w:marLeft w:val="0"/>
                                              <w:marRight w:val="0"/>
                                              <w:marTop w:val="0"/>
                                              <w:marBottom w:val="0"/>
                                              <w:divBdr>
                                                <w:top w:val="none" w:sz="0" w:space="0" w:color="auto"/>
                                                <w:left w:val="none" w:sz="0" w:space="0" w:color="auto"/>
                                                <w:bottom w:val="none" w:sz="0" w:space="0" w:color="auto"/>
                                                <w:right w:val="none" w:sz="0" w:space="0" w:color="auto"/>
                                              </w:divBdr>
                                              <w:divsChild>
                                                <w:div w:id="929000339">
                                                  <w:marLeft w:val="0"/>
                                                  <w:marRight w:val="0"/>
                                                  <w:marTop w:val="0"/>
                                                  <w:marBottom w:val="0"/>
                                                  <w:divBdr>
                                                    <w:top w:val="none" w:sz="0" w:space="0" w:color="auto"/>
                                                    <w:left w:val="none" w:sz="0" w:space="0" w:color="auto"/>
                                                    <w:bottom w:val="none" w:sz="0" w:space="0" w:color="auto"/>
                                                    <w:right w:val="none" w:sz="0" w:space="0" w:color="auto"/>
                                                  </w:divBdr>
                                                  <w:divsChild>
                                                    <w:div w:id="108668118">
                                                      <w:marLeft w:val="0"/>
                                                      <w:marRight w:val="0"/>
                                                      <w:marTop w:val="0"/>
                                                      <w:marBottom w:val="0"/>
                                                      <w:divBdr>
                                                        <w:top w:val="none" w:sz="0" w:space="0" w:color="auto"/>
                                                        <w:left w:val="none" w:sz="0" w:space="0" w:color="auto"/>
                                                        <w:bottom w:val="none" w:sz="0" w:space="0" w:color="auto"/>
                                                        <w:right w:val="none" w:sz="0" w:space="0" w:color="auto"/>
                                                      </w:divBdr>
                                                      <w:divsChild>
                                                        <w:div w:id="17149624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889534490">
          <w:marLeft w:val="0"/>
          <w:marRight w:val="0"/>
          <w:marTop w:val="0"/>
          <w:marBottom w:val="0"/>
          <w:divBdr>
            <w:top w:val="none" w:sz="0" w:space="0" w:color="auto"/>
            <w:left w:val="none" w:sz="0" w:space="0" w:color="auto"/>
            <w:bottom w:val="none" w:sz="0" w:space="0" w:color="auto"/>
            <w:right w:val="none" w:sz="0" w:space="0" w:color="auto"/>
          </w:divBdr>
          <w:divsChild>
            <w:div w:id="1726876474">
              <w:marLeft w:val="0"/>
              <w:marRight w:val="0"/>
              <w:marTop w:val="0"/>
              <w:marBottom w:val="0"/>
              <w:divBdr>
                <w:top w:val="none" w:sz="0" w:space="0" w:color="auto"/>
                <w:left w:val="none" w:sz="0" w:space="0" w:color="auto"/>
                <w:bottom w:val="none" w:sz="0" w:space="0" w:color="auto"/>
                <w:right w:val="none" w:sz="0" w:space="0" w:color="auto"/>
              </w:divBdr>
              <w:divsChild>
                <w:div w:id="1226259746">
                  <w:marLeft w:val="0"/>
                  <w:marRight w:val="0"/>
                  <w:marTop w:val="0"/>
                  <w:marBottom w:val="0"/>
                  <w:divBdr>
                    <w:top w:val="none" w:sz="0" w:space="0" w:color="auto"/>
                    <w:left w:val="none" w:sz="0" w:space="0" w:color="auto"/>
                    <w:bottom w:val="none" w:sz="0" w:space="0" w:color="auto"/>
                    <w:right w:val="none" w:sz="0" w:space="0" w:color="auto"/>
                  </w:divBdr>
                  <w:divsChild>
                    <w:div w:id="9789928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18340299">
      <w:bodyDiv w:val="1"/>
      <w:marLeft w:val="0"/>
      <w:marRight w:val="0"/>
      <w:marTop w:val="0"/>
      <w:marBottom w:val="0"/>
      <w:divBdr>
        <w:top w:val="none" w:sz="0" w:space="0" w:color="auto"/>
        <w:left w:val="none" w:sz="0" w:space="0" w:color="auto"/>
        <w:bottom w:val="none" w:sz="0" w:space="0" w:color="auto"/>
        <w:right w:val="none" w:sz="0" w:space="0" w:color="auto"/>
      </w:divBdr>
      <w:divsChild>
        <w:div w:id="401952253">
          <w:marLeft w:val="0"/>
          <w:marRight w:val="0"/>
          <w:marTop w:val="0"/>
          <w:marBottom w:val="0"/>
          <w:divBdr>
            <w:top w:val="none" w:sz="0" w:space="0" w:color="auto"/>
            <w:left w:val="none" w:sz="0" w:space="0" w:color="auto"/>
            <w:bottom w:val="none" w:sz="0" w:space="0" w:color="auto"/>
            <w:right w:val="none" w:sz="0" w:space="0" w:color="auto"/>
          </w:divBdr>
          <w:divsChild>
            <w:div w:id="959997386">
              <w:marLeft w:val="0"/>
              <w:marRight w:val="0"/>
              <w:marTop w:val="0"/>
              <w:marBottom w:val="0"/>
              <w:divBdr>
                <w:top w:val="none" w:sz="0" w:space="0" w:color="auto"/>
                <w:left w:val="none" w:sz="0" w:space="0" w:color="auto"/>
                <w:bottom w:val="none" w:sz="0" w:space="0" w:color="auto"/>
                <w:right w:val="none" w:sz="0" w:space="0" w:color="auto"/>
              </w:divBdr>
              <w:divsChild>
                <w:div w:id="1287349059">
                  <w:marLeft w:val="0"/>
                  <w:marRight w:val="0"/>
                  <w:marTop w:val="0"/>
                  <w:marBottom w:val="0"/>
                  <w:divBdr>
                    <w:top w:val="none" w:sz="0" w:space="0" w:color="auto"/>
                    <w:left w:val="none" w:sz="0" w:space="0" w:color="auto"/>
                    <w:bottom w:val="none" w:sz="0" w:space="0" w:color="auto"/>
                    <w:right w:val="none" w:sz="0" w:space="0" w:color="auto"/>
                  </w:divBdr>
                  <w:divsChild>
                    <w:div w:id="6319073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9597008">
          <w:marLeft w:val="0"/>
          <w:marRight w:val="0"/>
          <w:marTop w:val="0"/>
          <w:marBottom w:val="0"/>
          <w:divBdr>
            <w:top w:val="none" w:sz="0" w:space="0" w:color="auto"/>
            <w:left w:val="none" w:sz="0" w:space="0" w:color="auto"/>
            <w:bottom w:val="none" w:sz="0" w:space="0" w:color="auto"/>
            <w:right w:val="none" w:sz="0" w:space="0" w:color="auto"/>
          </w:divBdr>
          <w:divsChild>
            <w:div w:id="35274857">
              <w:marLeft w:val="0"/>
              <w:marRight w:val="0"/>
              <w:marTop w:val="0"/>
              <w:marBottom w:val="0"/>
              <w:divBdr>
                <w:top w:val="none" w:sz="0" w:space="0" w:color="auto"/>
                <w:left w:val="none" w:sz="0" w:space="0" w:color="auto"/>
                <w:bottom w:val="none" w:sz="0" w:space="0" w:color="auto"/>
                <w:right w:val="none" w:sz="0" w:space="0" w:color="auto"/>
              </w:divBdr>
              <w:divsChild>
                <w:div w:id="2144613907">
                  <w:marLeft w:val="0"/>
                  <w:marRight w:val="0"/>
                  <w:marTop w:val="0"/>
                  <w:marBottom w:val="0"/>
                  <w:divBdr>
                    <w:top w:val="none" w:sz="0" w:space="0" w:color="auto"/>
                    <w:left w:val="none" w:sz="0" w:space="0" w:color="auto"/>
                    <w:bottom w:val="none" w:sz="0" w:space="0" w:color="auto"/>
                    <w:right w:val="none" w:sz="0" w:space="0" w:color="auto"/>
                  </w:divBdr>
                  <w:divsChild>
                    <w:div w:id="26293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19916815">
      <w:bodyDiv w:val="1"/>
      <w:marLeft w:val="0"/>
      <w:marRight w:val="0"/>
      <w:marTop w:val="0"/>
      <w:marBottom w:val="0"/>
      <w:divBdr>
        <w:top w:val="none" w:sz="0" w:space="0" w:color="auto"/>
        <w:left w:val="none" w:sz="0" w:space="0" w:color="auto"/>
        <w:bottom w:val="none" w:sz="0" w:space="0" w:color="auto"/>
        <w:right w:val="none" w:sz="0" w:space="0" w:color="auto"/>
      </w:divBdr>
    </w:div>
    <w:div w:id="1319917230">
      <w:bodyDiv w:val="1"/>
      <w:marLeft w:val="0"/>
      <w:marRight w:val="0"/>
      <w:marTop w:val="0"/>
      <w:marBottom w:val="0"/>
      <w:divBdr>
        <w:top w:val="none" w:sz="0" w:space="0" w:color="auto"/>
        <w:left w:val="none" w:sz="0" w:space="0" w:color="auto"/>
        <w:bottom w:val="none" w:sz="0" w:space="0" w:color="auto"/>
        <w:right w:val="none" w:sz="0" w:space="0" w:color="auto"/>
      </w:divBdr>
      <w:divsChild>
        <w:div w:id="963464343">
          <w:blockQuote w:val="1"/>
          <w:marLeft w:val="720"/>
          <w:marRight w:val="720"/>
          <w:marTop w:val="100"/>
          <w:marBottom w:val="100"/>
          <w:divBdr>
            <w:top w:val="none" w:sz="0" w:space="0" w:color="auto"/>
            <w:left w:val="none" w:sz="0" w:space="0" w:color="auto"/>
            <w:bottom w:val="none" w:sz="0" w:space="0" w:color="auto"/>
            <w:right w:val="none" w:sz="0" w:space="0" w:color="auto"/>
          </w:divBdr>
        </w:div>
        <w:div w:id="1420103249">
          <w:blockQuote w:val="1"/>
          <w:marLeft w:val="720"/>
          <w:marRight w:val="720"/>
          <w:marTop w:val="100"/>
          <w:marBottom w:val="100"/>
          <w:divBdr>
            <w:top w:val="none" w:sz="0" w:space="0" w:color="auto"/>
            <w:left w:val="none" w:sz="0" w:space="0" w:color="auto"/>
            <w:bottom w:val="none" w:sz="0" w:space="0" w:color="auto"/>
            <w:right w:val="none" w:sz="0" w:space="0" w:color="auto"/>
          </w:divBdr>
        </w:div>
        <w:div w:id="171770335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382292694">
      <w:bodyDiv w:val="1"/>
      <w:marLeft w:val="0"/>
      <w:marRight w:val="0"/>
      <w:marTop w:val="0"/>
      <w:marBottom w:val="0"/>
      <w:divBdr>
        <w:top w:val="none" w:sz="0" w:space="0" w:color="auto"/>
        <w:left w:val="none" w:sz="0" w:space="0" w:color="auto"/>
        <w:bottom w:val="none" w:sz="0" w:space="0" w:color="auto"/>
        <w:right w:val="none" w:sz="0" w:space="0" w:color="auto"/>
      </w:divBdr>
    </w:div>
    <w:div w:id="1396588714">
      <w:bodyDiv w:val="1"/>
      <w:marLeft w:val="0"/>
      <w:marRight w:val="0"/>
      <w:marTop w:val="0"/>
      <w:marBottom w:val="0"/>
      <w:divBdr>
        <w:top w:val="none" w:sz="0" w:space="0" w:color="auto"/>
        <w:left w:val="none" w:sz="0" w:space="0" w:color="auto"/>
        <w:bottom w:val="none" w:sz="0" w:space="0" w:color="auto"/>
        <w:right w:val="none" w:sz="0" w:space="0" w:color="auto"/>
      </w:divBdr>
    </w:div>
    <w:div w:id="1436290309">
      <w:bodyDiv w:val="1"/>
      <w:marLeft w:val="0"/>
      <w:marRight w:val="0"/>
      <w:marTop w:val="0"/>
      <w:marBottom w:val="0"/>
      <w:divBdr>
        <w:top w:val="none" w:sz="0" w:space="0" w:color="auto"/>
        <w:left w:val="none" w:sz="0" w:space="0" w:color="auto"/>
        <w:bottom w:val="none" w:sz="0" w:space="0" w:color="auto"/>
        <w:right w:val="none" w:sz="0" w:space="0" w:color="auto"/>
      </w:divBdr>
    </w:div>
    <w:div w:id="1477722643">
      <w:bodyDiv w:val="1"/>
      <w:marLeft w:val="0"/>
      <w:marRight w:val="0"/>
      <w:marTop w:val="0"/>
      <w:marBottom w:val="0"/>
      <w:divBdr>
        <w:top w:val="none" w:sz="0" w:space="0" w:color="auto"/>
        <w:left w:val="none" w:sz="0" w:space="0" w:color="auto"/>
        <w:bottom w:val="none" w:sz="0" w:space="0" w:color="auto"/>
        <w:right w:val="none" w:sz="0" w:space="0" w:color="auto"/>
      </w:divBdr>
    </w:div>
    <w:div w:id="1485125769">
      <w:bodyDiv w:val="1"/>
      <w:marLeft w:val="0"/>
      <w:marRight w:val="0"/>
      <w:marTop w:val="0"/>
      <w:marBottom w:val="0"/>
      <w:divBdr>
        <w:top w:val="none" w:sz="0" w:space="0" w:color="auto"/>
        <w:left w:val="none" w:sz="0" w:space="0" w:color="auto"/>
        <w:bottom w:val="none" w:sz="0" w:space="0" w:color="auto"/>
        <w:right w:val="none" w:sz="0" w:space="0" w:color="auto"/>
      </w:divBdr>
    </w:div>
    <w:div w:id="1487555674">
      <w:bodyDiv w:val="1"/>
      <w:marLeft w:val="0"/>
      <w:marRight w:val="0"/>
      <w:marTop w:val="0"/>
      <w:marBottom w:val="0"/>
      <w:divBdr>
        <w:top w:val="none" w:sz="0" w:space="0" w:color="auto"/>
        <w:left w:val="none" w:sz="0" w:space="0" w:color="auto"/>
        <w:bottom w:val="none" w:sz="0" w:space="0" w:color="auto"/>
        <w:right w:val="none" w:sz="0" w:space="0" w:color="auto"/>
      </w:divBdr>
    </w:div>
    <w:div w:id="1504975767">
      <w:bodyDiv w:val="1"/>
      <w:marLeft w:val="0"/>
      <w:marRight w:val="0"/>
      <w:marTop w:val="0"/>
      <w:marBottom w:val="0"/>
      <w:divBdr>
        <w:top w:val="none" w:sz="0" w:space="0" w:color="auto"/>
        <w:left w:val="none" w:sz="0" w:space="0" w:color="auto"/>
        <w:bottom w:val="none" w:sz="0" w:space="0" w:color="auto"/>
        <w:right w:val="none" w:sz="0" w:space="0" w:color="auto"/>
      </w:divBdr>
    </w:div>
    <w:div w:id="1513227116">
      <w:bodyDiv w:val="1"/>
      <w:marLeft w:val="0"/>
      <w:marRight w:val="0"/>
      <w:marTop w:val="0"/>
      <w:marBottom w:val="0"/>
      <w:divBdr>
        <w:top w:val="none" w:sz="0" w:space="0" w:color="auto"/>
        <w:left w:val="none" w:sz="0" w:space="0" w:color="auto"/>
        <w:bottom w:val="none" w:sz="0" w:space="0" w:color="auto"/>
        <w:right w:val="none" w:sz="0" w:space="0" w:color="auto"/>
      </w:divBdr>
    </w:div>
    <w:div w:id="1538158940">
      <w:bodyDiv w:val="1"/>
      <w:marLeft w:val="0"/>
      <w:marRight w:val="0"/>
      <w:marTop w:val="0"/>
      <w:marBottom w:val="0"/>
      <w:divBdr>
        <w:top w:val="none" w:sz="0" w:space="0" w:color="auto"/>
        <w:left w:val="none" w:sz="0" w:space="0" w:color="auto"/>
        <w:bottom w:val="none" w:sz="0" w:space="0" w:color="auto"/>
        <w:right w:val="none" w:sz="0" w:space="0" w:color="auto"/>
      </w:divBdr>
    </w:div>
    <w:div w:id="1558394338">
      <w:bodyDiv w:val="1"/>
      <w:marLeft w:val="0"/>
      <w:marRight w:val="0"/>
      <w:marTop w:val="0"/>
      <w:marBottom w:val="0"/>
      <w:divBdr>
        <w:top w:val="none" w:sz="0" w:space="0" w:color="auto"/>
        <w:left w:val="none" w:sz="0" w:space="0" w:color="auto"/>
        <w:bottom w:val="none" w:sz="0" w:space="0" w:color="auto"/>
        <w:right w:val="none" w:sz="0" w:space="0" w:color="auto"/>
      </w:divBdr>
    </w:div>
    <w:div w:id="1584602089">
      <w:bodyDiv w:val="1"/>
      <w:marLeft w:val="0"/>
      <w:marRight w:val="0"/>
      <w:marTop w:val="0"/>
      <w:marBottom w:val="0"/>
      <w:divBdr>
        <w:top w:val="none" w:sz="0" w:space="0" w:color="auto"/>
        <w:left w:val="none" w:sz="0" w:space="0" w:color="auto"/>
        <w:bottom w:val="none" w:sz="0" w:space="0" w:color="auto"/>
        <w:right w:val="none" w:sz="0" w:space="0" w:color="auto"/>
      </w:divBdr>
    </w:div>
    <w:div w:id="1589846596">
      <w:bodyDiv w:val="1"/>
      <w:marLeft w:val="0"/>
      <w:marRight w:val="0"/>
      <w:marTop w:val="0"/>
      <w:marBottom w:val="0"/>
      <w:divBdr>
        <w:top w:val="none" w:sz="0" w:space="0" w:color="auto"/>
        <w:left w:val="none" w:sz="0" w:space="0" w:color="auto"/>
        <w:bottom w:val="none" w:sz="0" w:space="0" w:color="auto"/>
        <w:right w:val="none" w:sz="0" w:space="0" w:color="auto"/>
      </w:divBdr>
    </w:div>
    <w:div w:id="1620793706">
      <w:bodyDiv w:val="1"/>
      <w:marLeft w:val="0"/>
      <w:marRight w:val="0"/>
      <w:marTop w:val="0"/>
      <w:marBottom w:val="0"/>
      <w:divBdr>
        <w:top w:val="none" w:sz="0" w:space="0" w:color="auto"/>
        <w:left w:val="none" w:sz="0" w:space="0" w:color="auto"/>
        <w:bottom w:val="none" w:sz="0" w:space="0" w:color="auto"/>
        <w:right w:val="none" w:sz="0" w:space="0" w:color="auto"/>
      </w:divBdr>
    </w:div>
    <w:div w:id="1642926398">
      <w:bodyDiv w:val="1"/>
      <w:marLeft w:val="0"/>
      <w:marRight w:val="0"/>
      <w:marTop w:val="0"/>
      <w:marBottom w:val="0"/>
      <w:divBdr>
        <w:top w:val="none" w:sz="0" w:space="0" w:color="auto"/>
        <w:left w:val="none" w:sz="0" w:space="0" w:color="auto"/>
        <w:bottom w:val="none" w:sz="0" w:space="0" w:color="auto"/>
        <w:right w:val="none" w:sz="0" w:space="0" w:color="auto"/>
      </w:divBdr>
    </w:div>
    <w:div w:id="1655797509">
      <w:bodyDiv w:val="1"/>
      <w:marLeft w:val="0"/>
      <w:marRight w:val="0"/>
      <w:marTop w:val="0"/>
      <w:marBottom w:val="0"/>
      <w:divBdr>
        <w:top w:val="none" w:sz="0" w:space="0" w:color="auto"/>
        <w:left w:val="none" w:sz="0" w:space="0" w:color="auto"/>
        <w:bottom w:val="none" w:sz="0" w:space="0" w:color="auto"/>
        <w:right w:val="none" w:sz="0" w:space="0" w:color="auto"/>
      </w:divBdr>
    </w:div>
    <w:div w:id="1665546460">
      <w:bodyDiv w:val="1"/>
      <w:marLeft w:val="0"/>
      <w:marRight w:val="0"/>
      <w:marTop w:val="0"/>
      <w:marBottom w:val="0"/>
      <w:divBdr>
        <w:top w:val="none" w:sz="0" w:space="0" w:color="auto"/>
        <w:left w:val="none" w:sz="0" w:space="0" w:color="auto"/>
        <w:bottom w:val="none" w:sz="0" w:space="0" w:color="auto"/>
        <w:right w:val="none" w:sz="0" w:space="0" w:color="auto"/>
      </w:divBdr>
    </w:div>
    <w:div w:id="1679234098">
      <w:bodyDiv w:val="1"/>
      <w:marLeft w:val="0"/>
      <w:marRight w:val="0"/>
      <w:marTop w:val="0"/>
      <w:marBottom w:val="0"/>
      <w:divBdr>
        <w:top w:val="none" w:sz="0" w:space="0" w:color="auto"/>
        <w:left w:val="none" w:sz="0" w:space="0" w:color="auto"/>
        <w:bottom w:val="none" w:sz="0" w:space="0" w:color="auto"/>
        <w:right w:val="none" w:sz="0" w:space="0" w:color="auto"/>
      </w:divBdr>
    </w:div>
    <w:div w:id="1786535701">
      <w:bodyDiv w:val="1"/>
      <w:marLeft w:val="0"/>
      <w:marRight w:val="0"/>
      <w:marTop w:val="0"/>
      <w:marBottom w:val="0"/>
      <w:divBdr>
        <w:top w:val="none" w:sz="0" w:space="0" w:color="auto"/>
        <w:left w:val="none" w:sz="0" w:space="0" w:color="auto"/>
        <w:bottom w:val="none" w:sz="0" w:space="0" w:color="auto"/>
        <w:right w:val="none" w:sz="0" w:space="0" w:color="auto"/>
      </w:divBdr>
    </w:div>
    <w:div w:id="1827012624">
      <w:bodyDiv w:val="1"/>
      <w:marLeft w:val="0"/>
      <w:marRight w:val="0"/>
      <w:marTop w:val="0"/>
      <w:marBottom w:val="0"/>
      <w:divBdr>
        <w:top w:val="none" w:sz="0" w:space="0" w:color="auto"/>
        <w:left w:val="none" w:sz="0" w:space="0" w:color="auto"/>
        <w:bottom w:val="none" w:sz="0" w:space="0" w:color="auto"/>
        <w:right w:val="none" w:sz="0" w:space="0" w:color="auto"/>
      </w:divBdr>
    </w:div>
    <w:div w:id="1885558711">
      <w:bodyDiv w:val="1"/>
      <w:marLeft w:val="0"/>
      <w:marRight w:val="0"/>
      <w:marTop w:val="0"/>
      <w:marBottom w:val="0"/>
      <w:divBdr>
        <w:top w:val="none" w:sz="0" w:space="0" w:color="auto"/>
        <w:left w:val="none" w:sz="0" w:space="0" w:color="auto"/>
        <w:bottom w:val="none" w:sz="0" w:space="0" w:color="auto"/>
        <w:right w:val="none" w:sz="0" w:space="0" w:color="auto"/>
      </w:divBdr>
    </w:div>
    <w:div w:id="1909263261">
      <w:bodyDiv w:val="1"/>
      <w:marLeft w:val="0"/>
      <w:marRight w:val="0"/>
      <w:marTop w:val="0"/>
      <w:marBottom w:val="0"/>
      <w:divBdr>
        <w:top w:val="none" w:sz="0" w:space="0" w:color="auto"/>
        <w:left w:val="none" w:sz="0" w:space="0" w:color="auto"/>
        <w:bottom w:val="none" w:sz="0" w:space="0" w:color="auto"/>
        <w:right w:val="none" w:sz="0" w:space="0" w:color="auto"/>
      </w:divBdr>
    </w:div>
    <w:div w:id="1920405563">
      <w:bodyDiv w:val="1"/>
      <w:marLeft w:val="0"/>
      <w:marRight w:val="0"/>
      <w:marTop w:val="0"/>
      <w:marBottom w:val="0"/>
      <w:divBdr>
        <w:top w:val="none" w:sz="0" w:space="0" w:color="auto"/>
        <w:left w:val="none" w:sz="0" w:space="0" w:color="auto"/>
        <w:bottom w:val="none" w:sz="0" w:space="0" w:color="auto"/>
        <w:right w:val="none" w:sz="0" w:space="0" w:color="auto"/>
      </w:divBdr>
    </w:div>
    <w:div w:id="1924214549">
      <w:bodyDiv w:val="1"/>
      <w:marLeft w:val="0"/>
      <w:marRight w:val="0"/>
      <w:marTop w:val="0"/>
      <w:marBottom w:val="0"/>
      <w:divBdr>
        <w:top w:val="none" w:sz="0" w:space="0" w:color="auto"/>
        <w:left w:val="none" w:sz="0" w:space="0" w:color="auto"/>
        <w:bottom w:val="none" w:sz="0" w:space="0" w:color="auto"/>
        <w:right w:val="none" w:sz="0" w:space="0" w:color="auto"/>
      </w:divBdr>
      <w:divsChild>
        <w:div w:id="1656181879">
          <w:marLeft w:val="0"/>
          <w:marRight w:val="0"/>
          <w:marTop w:val="0"/>
          <w:marBottom w:val="0"/>
          <w:divBdr>
            <w:top w:val="none" w:sz="0" w:space="0" w:color="auto"/>
            <w:left w:val="none" w:sz="0" w:space="0" w:color="auto"/>
            <w:bottom w:val="none" w:sz="0" w:space="0" w:color="auto"/>
            <w:right w:val="none" w:sz="0" w:space="0" w:color="auto"/>
          </w:divBdr>
          <w:divsChild>
            <w:div w:id="1957986042">
              <w:marLeft w:val="0"/>
              <w:marRight w:val="0"/>
              <w:marTop w:val="0"/>
              <w:marBottom w:val="0"/>
              <w:divBdr>
                <w:top w:val="none" w:sz="0" w:space="0" w:color="auto"/>
                <w:left w:val="none" w:sz="0" w:space="0" w:color="auto"/>
                <w:bottom w:val="none" w:sz="0" w:space="0" w:color="auto"/>
                <w:right w:val="none" w:sz="0" w:space="0" w:color="auto"/>
              </w:divBdr>
              <w:divsChild>
                <w:div w:id="1046219743">
                  <w:marLeft w:val="0"/>
                  <w:marRight w:val="0"/>
                  <w:marTop w:val="0"/>
                  <w:marBottom w:val="0"/>
                  <w:divBdr>
                    <w:top w:val="none" w:sz="0" w:space="0" w:color="auto"/>
                    <w:left w:val="none" w:sz="0" w:space="0" w:color="auto"/>
                    <w:bottom w:val="none" w:sz="0" w:space="0" w:color="auto"/>
                    <w:right w:val="none" w:sz="0" w:space="0" w:color="auto"/>
                  </w:divBdr>
                  <w:divsChild>
                    <w:div w:id="212277882">
                      <w:marLeft w:val="0"/>
                      <w:marRight w:val="0"/>
                      <w:marTop w:val="0"/>
                      <w:marBottom w:val="0"/>
                      <w:divBdr>
                        <w:top w:val="none" w:sz="0" w:space="0" w:color="auto"/>
                        <w:left w:val="none" w:sz="0" w:space="0" w:color="auto"/>
                        <w:bottom w:val="none" w:sz="0" w:space="0" w:color="auto"/>
                        <w:right w:val="none" w:sz="0" w:space="0" w:color="auto"/>
                      </w:divBdr>
                      <w:divsChild>
                        <w:div w:id="216825174">
                          <w:marLeft w:val="0"/>
                          <w:marRight w:val="0"/>
                          <w:marTop w:val="0"/>
                          <w:marBottom w:val="0"/>
                          <w:divBdr>
                            <w:top w:val="none" w:sz="0" w:space="0" w:color="auto"/>
                            <w:left w:val="none" w:sz="0" w:space="0" w:color="auto"/>
                            <w:bottom w:val="none" w:sz="0" w:space="0" w:color="auto"/>
                            <w:right w:val="none" w:sz="0" w:space="0" w:color="auto"/>
                          </w:divBdr>
                          <w:divsChild>
                            <w:div w:id="15382759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25919736">
      <w:bodyDiv w:val="1"/>
      <w:marLeft w:val="0"/>
      <w:marRight w:val="0"/>
      <w:marTop w:val="0"/>
      <w:marBottom w:val="0"/>
      <w:divBdr>
        <w:top w:val="none" w:sz="0" w:space="0" w:color="auto"/>
        <w:left w:val="none" w:sz="0" w:space="0" w:color="auto"/>
        <w:bottom w:val="none" w:sz="0" w:space="0" w:color="auto"/>
        <w:right w:val="none" w:sz="0" w:space="0" w:color="auto"/>
      </w:divBdr>
    </w:div>
    <w:div w:id="1941136651">
      <w:bodyDiv w:val="1"/>
      <w:marLeft w:val="0"/>
      <w:marRight w:val="0"/>
      <w:marTop w:val="0"/>
      <w:marBottom w:val="0"/>
      <w:divBdr>
        <w:top w:val="none" w:sz="0" w:space="0" w:color="auto"/>
        <w:left w:val="none" w:sz="0" w:space="0" w:color="auto"/>
        <w:bottom w:val="none" w:sz="0" w:space="0" w:color="auto"/>
        <w:right w:val="none" w:sz="0" w:space="0" w:color="auto"/>
      </w:divBdr>
    </w:div>
    <w:div w:id="1950355955">
      <w:bodyDiv w:val="1"/>
      <w:marLeft w:val="0"/>
      <w:marRight w:val="0"/>
      <w:marTop w:val="0"/>
      <w:marBottom w:val="0"/>
      <w:divBdr>
        <w:top w:val="none" w:sz="0" w:space="0" w:color="auto"/>
        <w:left w:val="none" w:sz="0" w:space="0" w:color="auto"/>
        <w:bottom w:val="none" w:sz="0" w:space="0" w:color="auto"/>
        <w:right w:val="none" w:sz="0" w:space="0" w:color="auto"/>
      </w:divBdr>
    </w:div>
    <w:div w:id="1983465421">
      <w:bodyDiv w:val="1"/>
      <w:marLeft w:val="0"/>
      <w:marRight w:val="0"/>
      <w:marTop w:val="0"/>
      <w:marBottom w:val="0"/>
      <w:divBdr>
        <w:top w:val="none" w:sz="0" w:space="0" w:color="auto"/>
        <w:left w:val="none" w:sz="0" w:space="0" w:color="auto"/>
        <w:bottom w:val="none" w:sz="0" w:space="0" w:color="auto"/>
        <w:right w:val="none" w:sz="0" w:space="0" w:color="auto"/>
      </w:divBdr>
    </w:div>
    <w:div w:id="2001500199">
      <w:bodyDiv w:val="1"/>
      <w:marLeft w:val="0"/>
      <w:marRight w:val="0"/>
      <w:marTop w:val="0"/>
      <w:marBottom w:val="0"/>
      <w:divBdr>
        <w:top w:val="none" w:sz="0" w:space="0" w:color="auto"/>
        <w:left w:val="none" w:sz="0" w:space="0" w:color="auto"/>
        <w:bottom w:val="none" w:sz="0" w:space="0" w:color="auto"/>
        <w:right w:val="none" w:sz="0" w:space="0" w:color="auto"/>
      </w:divBdr>
    </w:div>
    <w:div w:id="2029982484">
      <w:bodyDiv w:val="1"/>
      <w:marLeft w:val="0"/>
      <w:marRight w:val="0"/>
      <w:marTop w:val="0"/>
      <w:marBottom w:val="0"/>
      <w:divBdr>
        <w:top w:val="none" w:sz="0" w:space="0" w:color="auto"/>
        <w:left w:val="none" w:sz="0" w:space="0" w:color="auto"/>
        <w:bottom w:val="none" w:sz="0" w:space="0" w:color="auto"/>
        <w:right w:val="none" w:sz="0" w:space="0" w:color="auto"/>
      </w:divBdr>
    </w:div>
    <w:div w:id="2035298986">
      <w:bodyDiv w:val="1"/>
      <w:marLeft w:val="0"/>
      <w:marRight w:val="0"/>
      <w:marTop w:val="0"/>
      <w:marBottom w:val="0"/>
      <w:divBdr>
        <w:top w:val="none" w:sz="0" w:space="0" w:color="auto"/>
        <w:left w:val="none" w:sz="0" w:space="0" w:color="auto"/>
        <w:bottom w:val="none" w:sz="0" w:space="0" w:color="auto"/>
        <w:right w:val="none" w:sz="0" w:space="0" w:color="auto"/>
      </w:divBdr>
    </w:div>
    <w:div w:id="2043364803">
      <w:bodyDiv w:val="1"/>
      <w:marLeft w:val="0"/>
      <w:marRight w:val="0"/>
      <w:marTop w:val="0"/>
      <w:marBottom w:val="0"/>
      <w:divBdr>
        <w:top w:val="none" w:sz="0" w:space="0" w:color="auto"/>
        <w:left w:val="none" w:sz="0" w:space="0" w:color="auto"/>
        <w:bottom w:val="none" w:sz="0" w:space="0" w:color="auto"/>
        <w:right w:val="none" w:sz="0" w:space="0" w:color="auto"/>
      </w:divBdr>
    </w:div>
    <w:div w:id="2056342774">
      <w:bodyDiv w:val="1"/>
      <w:marLeft w:val="0"/>
      <w:marRight w:val="0"/>
      <w:marTop w:val="0"/>
      <w:marBottom w:val="0"/>
      <w:divBdr>
        <w:top w:val="none" w:sz="0" w:space="0" w:color="auto"/>
        <w:left w:val="none" w:sz="0" w:space="0" w:color="auto"/>
        <w:bottom w:val="none" w:sz="0" w:space="0" w:color="auto"/>
        <w:right w:val="none" w:sz="0" w:space="0" w:color="auto"/>
      </w:divBdr>
    </w:div>
    <w:div w:id="2075544638">
      <w:bodyDiv w:val="1"/>
      <w:marLeft w:val="0"/>
      <w:marRight w:val="0"/>
      <w:marTop w:val="0"/>
      <w:marBottom w:val="0"/>
      <w:divBdr>
        <w:top w:val="none" w:sz="0" w:space="0" w:color="auto"/>
        <w:left w:val="none" w:sz="0" w:space="0" w:color="auto"/>
        <w:bottom w:val="none" w:sz="0" w:space="0" w:color="auto"/>
        <w:right w:val="none" w:sz="0" w:space="0" w:color="auto"/>
      </w:divBdr>
    </w:div>
    <w:div w:id="2112432963">
      <w:bodyDiv w:val="1"/>
      <w:marLeft w:val="0"/>
      <w:marRight w:val="0"/>
      <w:marTop w:val="0"/>
      <w:marBottom w:val="0"/>
      <w:divBdr>
        <w:top w:val="none" w:sz="0" w:space="0" w:color="auto"/>
        <w:left w:val="none" w:sz="0" w:space="0" w:color="auto"/>
        <w:bottom w:val="none" w:sz="0" w:space="0" w:color="auto"/>
        <w:right w:val="none" w:sz="0" w:space="0" w:color="auto"/>
      </w:divBdr>
    </w:div>
    <w:div w:id="21460024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microsoft.com/office/2011/relationships/commentsExtended" Target="commentsExtended.xml"/><Relationship Id="rId3" Type="http://schemas.openxmlformats.org/officeDocument/2006/relationships/styles" Target="styles.xml"/><Relationship Id="rId21" Type="http://schemas.openxmlformats.org/officeDocument/2006/relationships/hyperlink" Target="https://doi.org/10.1163/9789004414365_016"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comments" Target="comments.xm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png"/><Relationship Id="rId20" Type="http://schemas.microsoft.com/office/2018/08/relationships/commentsExtensible" Target="commentsExtensi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microsoft.com/office/2011/relationships/people" Target="peop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ntTable" Target="fontTable.xml"/><Relationship Id="rId10" Type="http://schemas.openxmlformats.org/officeDocument/2006/relationships/image" Target="media/image3.png"/><Relationship Id="rId19" Type="http://schemas.microsoft.com/office/2016/09/relationships/commentsIds" Target="commentsIds.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3CC7558-4A54-4631-81F8-C2A4EB86D9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TotalTime>
  <Pages>108</Pages>
  <Words>27347</Words>
  <Characters>155879</Characters>
  <Application>Microsoft Office Word</Application>
  <DocSecurity>0</DocSecurity>
  <Lines>1298</Lines>
  <Paragraphs>365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182861</CharactersWithSpaces>
  <SharedDoc>false</SharedDoc>
  <HLinks>
    <vt:vector size="192" baseType="variant">
      <vt:variant>
        <vt:i4>1114163</vt:i4>
      </vt:variant>
      <vt:variant>
        <vt:i4>188</vt:i4>
      </vt:variant>
      <vt:variant>
        <vt:i4>0</vt:i4>
      </vt:variant>
      <vt:variant>
        <vt:i4>5</vt:i4>
      </vt:variant>
      <vt:variant>
        <vt:lpwstr/>
      </vt:variant>
      <vt:variant>
        <vt:lpwstr>_Toc137461305</vt:lpwstr>
      </vt:variant>
      <vt:variant>
        <vt:i4>1114163</vt:i4>
      </vt:variant>
      <vt:variant>
        <vt:i4>182</vt:i4>
      </vt:variant>
      <vt:variant>
        <vt:i4>0</vt:i4>
      </vt:variant>
      <vt:variant>
        <vt:i4>5</vt:i4>
      </vt:variant>
      <vt:variant>
        <vt:lpwstr/>
      </vt:variant>
      <vt:variant>
        <vt:lpwstr>_Toc137461304</vt:lpwstr>
      </vt:variant>
      <vt:variant>
        <vt:i4>1114163</vt:i4>
      </vt:variant>
      <vt:variant>
        <vt:i4>176</vt:i4>
      </vt:variant>
      <vt:variant>
        <vt:i4>0</vt:i4>
      </vt:variant>
      <vt:variant>
        <vt:i4>5</vt:i4>
      </vt:variant>
      <vt:variant>
        <vt:lpwstr/>
      </vt:variant>
      <vt:variant>
        <vt:lpwstr>_Toc137461303</vt:lpwstr>
      </vt:variant>
      <vt:variant>
        <vt:i4>1114163</vt:i4>
      </vt:variant>
      <vt:variant>
        <vt:i4>170</vt:i4>
      </vt:variant>
      <vt:variant>
        <vt:i4>0</vt:i4>
      </vt:variant>
      <vt:variant>
        <vt:i4>5</vt:i4>
      </vt:variant>
      <vt:variant>
        <vt:lpwstr/>
      </vt:variant>
      <vt:variant>
        <vt:lpwstr>_Toc137461302</vt:lpwstr>
      </vt:variant>
      <vt:variant>
        <vt:i4>1114163</vt:i4>
      </vt:variant>
      <vt:variant>
        <vt:i4>164</vt:i4>
      </vt:variant>
      <vt:variant>
        <vt:i4>0</vt:i4>
      </vt:variant>
      <vt:variant>
        <vt:i4>5</vt:i4>
      </vt:variant>
      <vt:variant>
        <vt:lpwstr/>
      </vt:variant>
      <vt:variant>
        <vt:lpwstr>_Toc137461301</vt:lpwstr>
      </vt:variant>
      <vt:variant>
        <vt:i4>1114163</vt:i4>
      </vt:variant>
      <vt:variant>
        <vt:i4>158</vt:i4>
      </vt:variant>
      <vt:variant>
        <vt:i4>0</vt:i4>
      </vt:variant>
      <vt:variant>
        <vt:i4>5</vt:i4>
      </vt:variant>
      <vt:variant>
        <vt:lpwstr/>
      </vt:variant>
      <vt:variant>
        <vt:lpwstr>_Toc137461300</vt:lpwstr>
      </vt:variant>
      <vt:variant>
        <vt:i4>1572914</vt:i4>
      </vt:variant>
      <vt:variant>
        <vt:i4>152</vt:i4>
      </vt:variant>
      <vt:variant>
        <vt:i4>0</vt:i4>
      </vt:variant>
      <vt:variant>
        <vt:i4>5</vt:i4>
      </vt:variant>
      <vt:variant>
        <vt:lpwstr/>
      </vt:variant>
      <vt:variant>
        <vt:lpwstr>_Toc137461299</vt:lpwstr>
      </vt:variant>
      <vt:variant>
        <vt:i4>1572914</vt:i4>
      </vt:variant>
      <vt:variant>
        <vt:i4>146</vt:i4>
      </vt:variant>
      <vt:variant>
        <vt:i4>0</vt:i4>
      </vt:variant>
      <vt:variant>
        <vt:i4>5</vt:i4>
      </vt:variant>
      <vt:variant>
        <vt:lpwstr/>
      </vt:variant>
      <vt:variant>
        <vt:lpwstr>_Toc137461298</vt:lpwstr>
      </vt:variant>
      <vt:variant>
        <vt:i4>1572914</vt:i4>
      </vt:variant>
      <vt:variant>
        <vt:i4>140</vt:i4>
      </vt:variant>
      <vt:variant>
        <vt:i4>0</vt:i4>
      </vt:variant>
      <vt:variant>
        <vt:i4>5</vt:i4>
      </vt:variant>
      <vt:variant>
        <vt:lpwstr/>
      </vt:variant>
      <vt:variant>
        <vt:lpwstr>_Toc137461297</vt:lpwstr>
      </vt:variant>
      <vt:variant>
        <vt:i4>1572914</vt:i4>
      </vt:variant>
      <vt:variant>
        <vt:i4>134</vt:i4>
      </vt:variant>
      <vt:variant>
        <vt:i4>0</vt:i4>
      </vt:variant>
      <vt:variant>
        <vt:i4>5</vt:i4>
      </vt:variant>
      <vt:variant>
        <vt:lpwstr/>
      </vt:variant>
      <vt:variant>
        <vt:lpwstr>_Toc137461296</vt:lpwstr>
      </vt:variant>
      <vt:variant>
        <vt:i4>1572914</vt:i4>
      </vt:variant>
      <vt:variant>
        <vt:i4>128</vt:i4>
      </vt:variant>
      <vt:variant>
        <vt:i4>0</vt:i4>
      </vt:variant>
      <vt:variant>
        <vt:i4>5</vt:i4>
      </vt:variant>
      <vt:variant>
        <vt:lpwstr/>
      </vt:variant>
      <vt:variant>
        <vt:lpwstr>_Toc137461295</vt:lpwstr>
      </vt:variant>
      <vt:variant>
        <vt:i4>1572914</vt:i4>
      </vt:variant>
      <vt:variant>
        <vt:i4>122</vt:i4>
      </vt:variant>
      <vt:variant>
        <vt:i4>0</vt:i4>
      </vt:variant>
      <vt:variant>
        <vt:i4>5</vt:i4>
      </vt:variant>
      <vt:variant>
        <vt:lpwstr/>
      </vt:variant>
      <vt:variant>
        <vt:lpwstr>_Toc137461294</vt:lpwstr>
      </vt:variant>
      <vt:variant>
        <vt:i4>1572914</vt:i4>
      </vt:variant>
      <vt:variant>
        <vt:i4>116</vt:i4>
      </vt:variant>
      <vt:variant>
        <vt:i4>0</vt:i4>
      </vt:variant>
      <vt:variant>
        <vt:i4>5</vt:i4>
      </vt:variant>
      <vt:variant>
        <vt:lpwstr/>
      </vt:variant>
      <vt:variant>
        <vt:lpwstr>_Toc137461293</vt:lpwstr>
      </vt:variant>
      <vt:variant>
        <vt:i4>1572914</vt:i4>
      </vt:variant>
      <vt:variant>
        <vt:i4>110</vt:i4>
      </vt:variant>
      <vt:variant>
        <vt:i4>0</vt:i4>
      </vt:variant>
      <vt:variant>
        <vt:i4>5</vt:i4>
      </vt:variant>
      <vt:variant>
        <vt:lpwstr/>
      </vt:variant>
      <vt:variant>
        <vt:lpwstr>_Toc137461292</vt:lpwstr>
      </vt:variant>
      <vt:variant>
        <vt:i4>1572914</vt:i4>
      </vt:variant>
      <vt:variant>
        <vt:i4>104</vt:i4>
      </vt:variant>
      <vt:variant>
        <vt:i4>0</vt:i4>
      </vt:variant>
      <vt:variant>
        <vt:i4>5</vt:i4>
      </vt:variant>
      <vt:variant>
        <vt:lpwstr/>
      </vt:variant>
      <vt:variant>
        <vt:lpwstr>_Toc137461291</vt:lpwstr>
      </vt:variant>
      <vt:variant>
        <vt:i4>1572914</vt:i4>
      </vt:variant>
      <vt:variant>
        <vt:i4>98</vt:i4>
      </vt:variant>
      <vt:variant>
        <vt:i4>0</vt:i4>
      </vt:variant>
      <vt:variant>
        <vt:i4>5</vt:i4>
      </vt:variant>
      <vt:variant>
        <vt:lpwstr/>
      </vt:variant>
      <vt:variant>
        <vt:lpwstr>_Toc137461290</vt:lpwstr>
      </vt:variant>
      <vt:variant>
        <vt:i4>1638450</vt:i4>
      </vt:variant>
      <vt:variant>
        <vt:i4>92</vt:i4>
      </vt:variant>
      <vt:variant>
        <vt:i4>0</vt:i4>
      </vt:variant>
      <vt:variant>
        <vt:i4>5</vt:i4>
      </vt:variant>
      <vt:variant>
        <vt:lpwstr/>
      </vt:variant>
      <vt:variant>
        <vt:lpwstr>_Toc137461289</vt:lpwstr>
      </vt:variant>
      <vt:variant>
        <vt:i4>1638450</vt:i4>
      </vt:variant>
      <vt:variant>
        <vt:i4>86</vt:i4>
      </vt:variant>
      <vt:variant>
        <vt:i4>0</vt:i4>
      </vt:variant>
      <vt:variant>
        <vt:i4>5</vt:i4>
      </vt:variant>
      <vt:variant>
        <vt:lpwstr/>
      </vt:variant>
      <vt:variant>
        <vt:lpwstr>_Toc137461288</vt:lpwstr>
      </vt:variant>
      <vt:variant>
        <vt:i4>1638450</vt:i4>
      </vt:variant>
      <vt:variant>
        <vt:i4>80</vt:i4>
      </vt:variant>
      <vt:variant>
        <vt:i4>0</vt:i4>
      </vt:variant>
      <vt:variant>
        <vt:i4>5</vt:i4>
      </vt:variant>
      <vt:variant>
        <vt:lpwstr/>
      </vt:variant>
      <vt:variant>
        <vt:lpwstr>_Toc137461287</vt:lpwstr>
      </vt:variant>
      <vt:variant>
        <vt:i4>1638450</vt:i4>
      </vt:variant>
      <vt:variant>
        <vt:i4>74</vt:i4>
      </vt:variant>
      <vt:variant>
        <vt:i4>0</vt:i4>
      </vt:variant>
      <vt:variant>
        <vt:i4>5</vt:i4>
      </vt:variant>
      <vt:variant>
        <vt:lpwstr/>
      </vt:variant>
      <vt:variant>
        <vt:lpwstr>_Toc137461286</vt:lpwstr>
      </vt:variant>
      <vt:variant>
        <vt:i4>1638450</vt:i4>
      </vt:variant>
      <vt:variant>
        <vt:i4>68</vt:i4>
      </vt:variant>
      <vt:variant>
        <vt:i4>0</vt:i4>
      </vt:variant>
      <vt:variant>
        <vt:i4>5</vt:i4>
      </vt:variant>
      <vt:variant>
        <vt:lpwstr/>
      </vt:variant>
      <vt:variant>
        <vt:lpwstr>_Toc137461285</vt:lpwstr>
      </vt:variant>
      <vt:variant>
        <vt:i4>1638450</vt:i4>
      </vt:variant>
      <vt:variant>
        <vt:i4>62</vt:i4>
      </vt:variant>
      <vt:variant>
        <vt:i4>0</vt:i4>
      </vt:variant>
      <vt:variant>
        <vt:i4>5</vt:i4>
      </vt:variant>
      <vt:variant>
        <vt:lpwstr/>
      </vt:variant>
      <vt:variant>
        <vt:lpwstr>_Toc137461284</vt:lpwstr>
      </vt:variant>
      <vt:variant>
        <vt:i4>1638450</vt:i4>
      </vt:variant>
      <vt:variant>
        <vt:i4>56</vt:i4>
      </vt:variant>
      <vt:variant>
        <vt:i4>0</vt:i4>
      </vt:variant>
      <vt:variant>
        <vt:i4>5</vt:i4>
      </vt:variant>
      <vt:variant>
        <vt:lpwstr/>
      </vt:variant>
      <vt:variant>
        <vt:lpwstr>_Toc137461283</vt:lpwstr>
      </vt:variant>
      <vt:variant>
        <vt:i4>1638450</vt:i4>
      </vt:variant>
      <vt:variant>
        <vt:i4>50</vt:i4>
      </vt:variant>
      <vt:variant>
        <vt:i4>0</vt:i4>
      </vt:variant>
      <vt:variant>
        <vt:i4>5</vt:i4>
      </vt:variant>
      <vt:variant>
        <vt:lpwstr/>
      </vt:variant>
      <vt:variant>
        <vt:lpwstr>_Toc137461282</vt:lpwstr>
      </vt:variant>
      <vt:variant>
        <vt:i4>1638450</vt:i4>
      </vt:variant>
      <vt:variant>
        <vt:i4>44</vt:i4>
      </vt:variant>
      <vt:variant>
        <vt:i4>0</vt:i4>
      </vt:variant>
      <vt:variant>
        <vt:i4>5</vt:i4>
      </vt:variant>
      <vt:variant>
        <vt:lpwstr/>
      </vt:variant>
      <vt:variant>
        <vt:lpwstr>_Toc137461281</vt:lpwstr>
      </vt:variant>
      <vt:variant>
        <vt:i4>1638450</vt:i4>
      </vt:variant>
      <vt:variant>
        <vt:i4>38</vt:i4>
      </vt:variant>
      <vt:variant>
        <vt:i4>0</vt:i4>
      </vt:variant>
      <vt:variant>
        <vt:i4>5</vt:i4>
      </vt:variant>
      <vt:variant>
        <vt:lpwstr/>
      </vt:variant>
      <vt:variant>
        <vt:lpwstr>_Toc137461280</vt:lpwstr>
      </vt:variant>
      <vt:variant>
        <vt:i4>1441842</vt:i4>
      </vt:variant>
      <vt:variant>
        <vt:i4>32</vt:i4>
      </vt:variant>
      <vt:variant>
        <vt:i4>0</vt:i4>
      </vt:variant>
      <vt:variant>
        <vt:i4>5</vt:i4>
      </vt:variant>
      <vt:variant>
        <vt:lpwstr/>
      </vt:variant>
      <vt:variant>
        <vt:lpwstr>_Toc137461279</vt:lpwstr>
      </vt:variant>
      <vt:variant>
        <vt:i4>1441842</vt:i4>
      </vt:variant>
      <vt:variant>
        <vt:i4>26</vt:i4>
      </vt:variant>
      <vt:variant>
        <vt:i4>0</vt:i4>
      </vt:variant>
      <vt:variant>
        <vt:i4>5</vt:i4>
      </vt:variant>
      <vt:variant>
        <vt:lpwstr/>
      </vt:variant>
      <vt:variant>
        <vt:lpwstr>_Toc137461278</vt:lpwstr>
      </vt:variant>
      <vt:variant>
        <vt:i4>1441842</vt:i4>
      </vt:variant>
      <vt:variant>
        <vt:i4>20</vt:i4>
      </vt:variant>
      <vt:variant>
        <vt:i4>0</vt:i4>
      </vt:variant>
      <vt:variant>
        <vt:i4>5</vt:i4>
      </vt:variant>
      <vt:variant>
        <vt:lpwstr/>
      </vt:variant>
      <vt:variant>
        <vt:lpwstr>_Toc137461277</vt:lpwstr>
      </vt:variant>
      <vt:variant>
        <vt:i4>1441842</vt:i4>
      </vt:variant>
      <vt:variant>
        <vt:i4>14</vt:i4>
      </vt:variant>
      <vt:variant>
        <vt:i4>0</vt:i4>
      </vt:variant>
      <vt:variant>
        <vt:i4>5</vt:i4>
      </vt:variant>
      <vt:variant>
        <vt:lpwstr/>
      </vt:variant>
      <vt:variant>
        <vt:lpwstr>_Toc137461276</vt:lpwstr>
      </vt:variant>
      <vt:variant>
        <vt:i4>1441842</vt:i4>
      </vt:variant>
      <vt:variant>
        <vt:i4>8</vt:i4>
      </vt:variant>
      <vt:variant>
        <vt:i4>0</vt:i4>
      </vt:variant>
      <vt:variant>
        <vt:i4>5</vt:i4>
      </vt:variant>
      <vt:variant>
        <vt:lpwstr/>
      </vt:variant>
      <vt:variant>
        <vt:lpwstr>_Toc137461275</vt:lpwstr>
      </vt:variant>
      <vt:variant>
        <vt:i4>1441842</vt:i4>
      </vt:variant>
      <vt:variant>
        <vt:i4>2</vt:i4>
      </vt:variant>
      <vt:variant>
        <vt:i4>0</vt:i4>
      </vt:variant>
      <vt:variant>
        <vt:i4>5</vt:i4>
      </vt:variant>
      <vt:variant>
        <vt:lpwstr/>
      </vt:variant>
      <vt:variant>
        <vt:lpwstr>_Toc137461274</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Craig S Wright</dc:creator>
  <cp:keywords/>
  <dc:description/>
  <cp:lastModifiedBy>Craig S Wright</cp:lastModifiedBy>
  <cp:revision>7</cp:revision>
  <cp:lastPrinted>2020-10-04T13:51:00Z</cp:lastPrinted>
  <dcterms:created xsi:type="dcterms:W3CDTF">2024-11-10T05:49:00Z</dcterms:created>
  <dcterms:modified xsi:type="dcterms:W3CDTF">2024-11-10T06:10:00Z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zotero-version="6.0.36"&gt;&lt;session id="waKGcP5i"/&gt;&lt;style id="http://www.zotero.org/styles/harvard-cite-them-right" hasBibliography="1" bibliographyStyleHasBeenSet="1"/&gt;&lt;prefs&gt;&lt;pref name="fieldType" value="Field"/&gt;&lt;/prefs&gt;&lt;/data&gt;</vt:lpwstr>
  </property>
  <property fmtid="{D5CDD505-2E9C-101B-9397-08002B2CF9AE}" pid="3" name="GrammarlyDocumentId">
    <vt:lpwstr>5bd39c061c24ef5840d7dcc154869b5941e6185efc1cba9d86007fb17e52654a</vt:lpwstr>
  </property>
</Properties>
</file>