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CCB238A" w14:textId="77777777" w:rsidR="001F0762" w:rsidRDefault="001F0762">
      <w:pPr>
        <w:spacing w:line="480" w:lineRule="auto"/>
        <w:jc w:val="center"/>
        <w:rPr>
          <w:rFonts w:ascii="Times New Roman" w:eastAsia="Times New Roman" w:hAnsi="Times New Roman" w:cs="Times New Roman"/>
          <w:sz w:val="24"/>
          <w:szCs w:val="24"/>
        </w:rPr>
      </w:pPr>
    </w:p>
    <w:p w14:paraId="7CCB238B" w14:textId="77777777" w:rsidR="001F0762" w:rsidRDefault="001F0762">
      <w:pPr>
        <w:spacing w:line="480" w:lineRule="auto"/>
        <w:jc w:val="center"/>
        <w:rPr>
          <w:rFonts w:ascii="Times New Roman" w:eastAsia="Times New Roman" w:hAnsi="Times New Roman" w:cs="Times New Roman"/>
          <w:sz w:val="24"/>
          <w:szCs w:val="24"/>
        </w:rPr>
      </w:pPr>
    </w:p>
    <w:p w14:paraId="21624406" w14:textId="77777777" w:rsidR="008F0231" w:rsidRDefault="008F0231" w:rsidP="008F0231">
      <w:pPr>
        <w:spacing w:line="360" w:lineRule="auto"/>
        <w:jc w:val="center"/>
        <w:rPr>
          <w:b/>
          <w:color w:val="222222"/>
          <w:sz w:val="24"/>
          <w:szCs w:val="24"/>
        </w:rPr>
      </w:pPr>
    </w:p>
    <w:p w14:paraId="51D85FCA" w14:textId="77777777" w:rsidR="008F0231" w:rsidRPr="006D34DB" w:rsidRDefault="008F0231" w:rsidP="008F0231">
      <w:pPr>
        <w:pStyle w:val="Listparagraf"/>
        <w:numPr>
          <w:ilvl w:val="0"/>
          <w:numId w:val="1"/>
        </w:numPr>
        <w:spacing w:line="360" w:lineRule="auto"/>
        <w:rPr>
          <w:color w:val="222222"/>
          <w:sz w:val="28"/>
          <w:szCs w:val="28"/>
          <w:highlight w:val="white"/>
        </w:rPr>
      </w:pPr>
      <w:r w:rsidRPr="006D34DB">
        <w:rPr>
          <w:color w:val="222222"/>
          <w:sz w:val="28"/>
          <w:szCs w:val="28"/>
          <w:highlight w:val="white"/>
        </w:rPr>
        <w:t>Student Name: Alexandru-Lucian Calin</w:t>
      </w:r>
    </w:p>
    <w:p w14:paraId="74DF9867" w14:textId="77777777" w:rsidR="008F0231" w:rsidRPr="006D34DB" w:rsidRDefault="008F0231" w:rsidP="008F0231">
      <w:pPr>
        <w:pStyle w:val="Listparagraf"/>
        <w:numPr>
          <w:ilvl w:val="0"/>
          <w:numId w:val="1"/>
        </w:numPr>
        <w:spacing w:line="360" w:lineRule="auto"/>
        <w:rPr>
          <w:color w:val="222222"/>
          <w:sz w:val="28"/>
          <w:szCs w:val="28"/>
          <w:highlight w:val="white"/>
        </w:rPr>
      </w:pPr>
      <w:r w:rsidRPr="006D34DB">
        <w:rPr>
          <w:color w:val="222222"/>
          <w:sz w:val="28"/>
          <w:szCs w:val="28"/>
          <w:highlight w:val="white"/>
        </w:rPr>
        <w:t>Student Nr.:</w:t>
      </w:r>
      <w:r w:rsidRPr="006D34DB">
        <w:rPr>
          <w:sz w:val="28"/>
          <w:szCs w:val="28"/>
        </w:rPr>
        <w:t xml:space="preserve"> </w:t>
      </w:r>
      <w:r w:rsidRPr="006D34DB">
        <w:rPr>
          <w:color w:val="222222"/>
          <w:sz w:val="28"/>
          <w:szCs w:val="28"/>
        </w:rPr>
        <w:t>2121885</w:t>
      </w:r>
    </w:p>
    <w:p w14:paraId="40E6A752" w14:textId="749C2753" w:rsidR="008F0231" w:rsidRPr="006D34DB" w:rsidRDefault="008F0231" w:rsidP="008F0231">
      <w:pPr>
        <w:pStyle w:val="Listparagraf"/>
        <w:numPr>
          <w:ilvl w:val="0"/>
          <w:numId w:val="1"/>
        </w:numPr>
        <w:spacing w:line="360" w:lineRule="auto"/>
        <w:rPr>
          <w:color w:val="222222"/>
          <w:sz w:val="28"/>
          <w:szCs w:val="28"/>
          <w:highlight w:val="white"/>
        </w:rPr>
      </w:pPr>
      <w:proofErr w:type="gramStart"/>
      <w:r w:rsidRPr="006D34DB">
        <w:rPr>
          <w:color w:val="222222"/>
          <w:sz w:val="28"/>
          <w:szCs w:val="28"/>
          <w:highlight w:val="white"/>
        </w:rPr>
        <w:t>Course :</w:t>
      </w:r>
      <w:proofErr w:type="gramEnd"/>
      <w:r w:rsidRPr="006D34DB">
        <w:rPr>
          <w:color w:val="222222"/>
          <w:sz w:val="28"/>
          <w:szCs w:val="28"/>
          <w:highlight w:val="white"/>
        </w:rPr>
        <w:t xml:space="preserve"> </w:t>
      </w:r>
      <w:r w:rsidR="00043F43" w:rsidRPr="00043F43">
        <w:rPr>
          <w:sz w:val="28"/>
          <w:szCs w:val="28"/>
        </w:rPr>
        <w:t xml:space="preserve">Management &amp; </w:t>
      </w:r>
      <w:proofErr w:type="spellStart"/>
      <w:r w:rsidR="00043F43" w:rsidRPr="00043F43">
        <w:rPr>
          <w:sz w:val="28"/>
          <w:szCs w:val="28"/>
        </w:rPr>
        <w:t>Organisational</w:t>
      </w:r>
      <w:proofErr w:type="spellEnd"/>
      <w:r w:rsidR="00043F43" w:rsidRPr="00043F43">
        <w:rPr>
          <w:sz w:val="28"/>
          <w:szCs w:val="28"/>
        </w:rPr>
        <w:t xml:space="preserve"> </w:t>
      </w:r>
      <w:proofErr w:type="spellStart"/>
      <w:r w:rsidR="00043F43" w:rsidRPr="00043F43">
        <w:rPr>
          <w:sz w:val="28"/>
          <w:szCs w:val="28"/>
        </w:rPr>
        <w:t>Behaviour</w:t>
      </w:r>
      <w:proofErr w:type="spellEnd"/>
      <w:r w:rsidR="00043F43" w:rsidRPr="006D34DB">
        <w:rPr>
          <w:color w:val="222222"/>
          <w:sz w:val="28"/>
          <w:szCs w:val="28"/>
        </w:rPr>
        <w:t xml:space="preserve"> </w:t>
      </w:r>
      <w:r w:rsidRPr="006D34DB">
        <w:rPr>
          <w:color w:val="222222"/>
          <w:sz w:val="28"/>
          <w:szCs w:val="28"/>
        </w:rPr>
        <w:t>(BMIH500</w:t>
      </w:r>
      <w:r w:rsidR="00043F43">
        <w:rPr>
          <w:color w:val="222222"/>
          <w:sz w:val="28"/>
          <w:szCs w:val="28"/>
        </w:rPr>
        <w:t>4</w:t>
      </w:r>
      <w:r w:rsidRPr="006D34DB">
        <w:rPr>
          <w:color w:val="222222"/>
          <w:sz w:val="28"/>
          <w:szCs w:val="28"/>
        </w:rPr>
        <w:t>)</w:t>
      </w:r>
    </w:p>
    <w:p w14:paraId="6BADD106" w14:textId="6338C1D3" w:rsidR="008F0231" w:rsidRPr="006D34DB" w:rsidRDefault="008F0231" w:rsidP="008F0231">
      <w:pPr>
        <w:pStyle w:val="Listparagraf"/>
        <w:numPr>
          <w:ilvl w:val="0"/>
          <w:numId w:val="1"/>
        </w:numPr>
        <w:spacing w:line="360" w:lineRule="auto"/>
        <w:rPr>
          <w:color w:val="222222"/>
          <w:sz w:val="28"/>
          <w:szCs w:val="28"/>
          <w:highlight w:val="white"/>
        </w:rPr>
      </w:pPr>
      <w:r w:rsidRPr="006D34DB">
        <w:rPr>
          <w:color w:val="222222"/>
          <w:sz w:val="28"/>
          <w:szCs w:val="28"/>
          <w:highlight w:val="white"/>
        </w:rPr>
        <w:t>Lecturer:</w:t>
      </w:r>
      <w:r w:rsidRPr="006D34DB">
        <w:rPr>
          <w:sz w:val="28"/>
          <w:szCs w:val="28"/>
        </w:rPr>
        <w:t xml:space="preserve"> </w:t>
      </w:r>
      <w:r w:rsidR="00515C34" w:rsidRPr="00515C34">
        <w:rPr>
          <w:color w:val="222222"/>
          <w:sz w:val="28"/>
          <w:szCs w:val="28"/>
        </w:rPr>
        <w:t>Jaliya De Silva</w:t>
      </w:r>
    </w:p>
    <w:p w14:paraId="0638C407" w14:textId="77777777" w:rsidR="008F0231" w:rsidRDefault="008F0231" w:rsidP="008F0231">
      <w:pPr>
        <w:spacing w:line="360" w:lineRule="auto"/>
        <w:jc w:val="center"/>
        <w:rPr>
          <w:b/>
          <w:sz w:val="24"/>
          <w:szCs w:val="24"/>
        </w:rPr>
      </w:pPr>
    </w:p>
    <w:p w14:paraId="7CCB2394" w14:textId="77777777" w:rsidR="001F0762" w:rsidRDefault="001F0762">
      <w:pPr>
        <w:spacing w:line="480" w:lineRule="auto"/>
        <w:jc w:val="center"/>
        <w:rPr>
          <w:rFonts w:ascii="Times New Roman" w:eastAsia="Times New Roman" w:hAnsi="Times New Roman" w:cs="Times New Roman"/>
          <w:sz w:val="24"/>
          <w:szCs w:val="24"/>
        </w:rPr>
      </w:pPr>
    </w:p>
    <w:p w14:paraId="7CCB2395" w14:textId="77777777" w:rsidR="001F0762" w:rsidRDefault="001F0762">
      <w:pPr>
        <w:spacing w:line="480" w:lineRule="auto"/>
        <w:jc w:val="center"/>
        <w:rPr>
          <w:rFonts w:ascii="Times New Roman" w:eastAsia="Times New Roman" w:hAnsi="Times New Roman" w:cs="Times New Roman"/>
          <w:b/>
          <w:sz w:val="24"/>
          <w:szCs w:val="24"/>
        </w:rPr>
      </w:pPr>
    </w:p>
    <w:p w14:paraId="7CCB2396" w14:textId="77777777" w:rsidR="001F0762" w:rsidRDefault="001F0762">
      <w:pPr>
        <w:spacing w:line="480" w:lineRule="auto"/>
        <w:jc w:val="center"/>
        <w:rPr>
          <w:rFonts w:ascii="Times New Roman" w:eastAsia="Times New Roman" w:hAnsi="Times New Roman" w:cs="Times New Roman"/>
          <w:b/>
          <w:sz w:val="24"/>
          <w:szCs w:val="24"/>
        </w:rPr>
      </w:pPr>
    </w:p>
    <w:p w14:paraId="7CCB2397" w14:textId="77777777" w:rsidR="001F0762" w:rsidRDefault="001F0762">
      <w:pPr>
        <w:spacing w:line="480" w:lineRule="auto"/>
        <w:jc w:val="center"/>
        <w:rPr>
          <w:rFonts w:ascii="Times New Roman" w:eastAsia="Times New Roman" w:hAnsi="Times New Roman" w:cs="Times New Roman"/>
          <w:b/>
          <w:sz w:val="24"/>
          <w:szCs w:val="24"/>
        </w:rPr>
      </w:pPr>
    </w:p>
    <w:p w14:paraId="7CCB2398" w14:textId="77777777" w:rsidR="001F0762" w:rsidRDefault="001F0762">
      <w:pPr>
        <w:spacing w:line="480" w:lineRule="auto"/>
        <w:jc w:val="center"/>
        <w:rPr>
          <w:rFonts w:ascii="Times New Roman" w:eastAsia="Times New Roman" w:hAnsi="Times New Roman" w:cs="Times New Roman"/>
          <w:b/>
          <w:sz w:val="24"/>
          <w:szCs w:val="24"/>
        </w:rPr>
      </w:pPr>
    </w:p>
    <w:p w14:paraId="7CCB2399" w14:textId="77777777" w:rsidR="001F0762" w:rsidRDefault="001F0762">
      <w:pPr>
        <w:spacing w:line="480" w:lineRule="auto"/>
        <w:jc w:val="center"/>
        <w:rPr>
          <w:rFonts w:ascii="Times New Roman" w:eastAsia="Times New Roman" w:hAnsi="Times New Roman" w:cs="Times New Roman"/>
          <w:b/>
          <w:sz w:val="24"/>
          <w:szCs w:val="24"/>
        </w:rPr>
      </w:pPr>
    </w:p>
    <w:p w14:paraId="7CCB239A" w14:textId="77777777" w:rsidR="001F0762" w:rsidRDefault="001F0762">
      <w:pPr>
        <w:spacing w:line="480" w:lineRule="auto"/>
        <w:jc w:val="center"/>
        <w:rPr>
          <w:rFonts w:ascii="Times New Roman" w:eastAsia="Times New Roman" w:hAnsi="Times New Roman" w:cs="Times New Roman"/>
          <w:b/>
          <w:sz w:val="24"/>
          <w:szCs w:val="24"/>
        </w:rPr>
      </w:pPr>
    </w:p>
    <w:p w14:paraId="7CCB239B" w14:textId="77777777" w:rsidR="001F0762" w:rsidRDefault="001F0762">
      <w:pPr>
        <w:spacing w:line="480" w:lineRule="auto"/>
        <w:jc w:val="center"/>
        <w:rPr>
          <w:rFonts w:ascii="Times New Roman" w:eastAsia="Times New Roman" w:hAnsi="Times New Roman" w:cs="Times New Roman"/>
          <w:b/>
          <w:sz w:val="24"/>
          <w:szCs w:val="24"/>
        </w:rPr>
      </w:pPr>
    </w:p>
    <w:p w14:paraId="7CCB239C" w14:textId="77777777" w:rsidR="001F0762" w:rsidRDefault="001F0762">
      <w:pPr>
        <w:spacing w:line="480" w:lineRule="auto"/>
        <w:jc w:val="center"/>
        <w:rPr>
          <w:rFonts w:ascii="Times New Roman" w:eastAsia="Times New Roman" w:hAnsi="Times New Roman" w:cs="Times New Roman"/>
          <w:b/>
          <w:sz w:val="24"/>
          <w:szCs w:val="24"/>
        </w:rPr>
      </w:pPr>
    </w:p>
    <w:p w14:paraId="7CCB239D" w14:textId="77777777" w:rsidR="001F0762" w:rsidRDefault="001F0762">
      <w:pPr>
        <w:spacing w:line="480" w:lineRule="auto"/>
        <w:jc w:val="center"/>
        <w:rPr>
          <w:rFonts w:ascii="Times New Roman" w:eastAsia="Times New Roman" w:hAnsi="Times New Roman" w:cs="Times New Roman"/>
          <w:b/>
          <w:sz w:val="24"/>
          <w:szCs w:val="24"/>
        </w:rPr>
      </w:pPr>
    </w:p>
    <w:p w14:paraId="7CCB239E" w14:textId="77777777" w:rsidR="001F0762" w:rsidRDefault="001F0762">
      <w:pPr>
        <w:spacing w:line="480" w:lineRule="auto"/>
        <w:jc w:val="center"/>
        <w:rPr>
          <w:rFonts w:ascii="Times New Roman" w:eastAsia="Times New Roman" w:hAnsi="Times New Roman" w:cs="Times New Roman"/>
          <w:b/>
          <w:sz w:val="24"/>
          <w:szCs w:val="24"/>
        </w:rPr>
      </w:pPr>
    </w:p>
    <w:p w14:paraId="7CCB239F" w14:textId="77777777" w:rsidR="001F0762" w:rsidRDefault="001F0762">
      <w:pPr>
        <w:spacing w:line="480" w:lineRule="auto"/>
        <w:jc w:val="center"/>
        <w:rPr>
          <w:rFonts w:ascii="Times New Roman" w:eastAsia="Times New Roman" w:hAnsi="Times New Roman" w:cs="Times New Roman"/>
          <w:b/>
          <w:sz w:val="24"/>
          <w:szCs w:val="24"/>
        </w:rPr>
      </w:pPr>
    </w:p>
    <w:p w14:paraId="62ECDFE1" w14:textId="77777777" w:rsidR="00515C34" w:rsidRDefault="00515C34">
      <w:pPr>
        <w:spacing w:line="480" w:lineRule="auto"/>
        <w:jc w:val="center"/>
        <w:rPr>
          <w:rFonts w:ascii="Times New Roman" w:eastAsia="Times New Roman" w:hAnsi="Times New Roman" w:cs="Times New Roman"/>
          <w:b/>
          <w:sz w:val="24"/>
          <w:szCs w:val="24"/>
        </w:rPr>
      </w:pPr>
    </w:p>
    <w:p w14:paraId="576A674D" w14:textId="77777777" w:rsidR="00515C34" w:rsidRDefault="00515C34">
      <w:pPr>
        <w:spacing w:line="480" w:lineRule="auto"/>
        <w:jc w:val="center"/>
        <w:rPr>
          <w:rFonts w:ascii="Times New Roman" w:eastAsia="Times New Roman" w:hAnsi="Times New Roman" w:cs="Times New Roman"/>
          <w:b/>
          <w:sz w:val="24"/>
          <w:szCs w:val="24"/>
        </w:rPr>
      </w:pPr>
    </w:p>
    <w:p w14:paraId="1B8670C8" w14:textId="77777777" w:rsidR="00515C34" w:rsidRDefault="00515C34">
      <w:pPr>
        <w:spacing w:line="480" w:lineRule="auto"/>
        <w:jc w:val="center"/>
        <w:rPr>
          <w:rFonts w:ascii="Times New Roman" w:eastAsia="Times New Roman" w:hAnsi="Times New Roman" w:cs="Times New Roman"/>
          <w:b/>
          <w:sz w:val="24"/>
          <w:szCs w:val="24"/>
        </w:rPr>
      </w:pPr>
    </w:p>
    <w:p w14:paraId="7CCB23A0" w14:textId="77777777" w:rsidR="001F0762" w:rsidRDefault="001F0762">
      <w:pPr>
        <w:spacing w:line="480" w:lineRule="auto"/>
        <w:jc w:val="center"/>
        <w:rPr>
          <w:rFonts w:ascii="Times New Roman" w:eastAsia="Times New Roman" w:hAnsi="Times New Roman" w:cs="Times New Roman"/>
          <w:b/>
          <w:sz w:val="24"/>
          <w:szCs w:val="24"/>
        </w:rPr>
      </w:pPr>
    </w:p>
    <w:p w14:paraId="7CCB23A2" w14:textId="77777777" w:rsidR="001F0762" w:rsidRDefault="00515C34">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Introduction</w:t>
      </w:r>
    </w:p>
    <w:p w14:paraId="7CCB23A3" w14:textId="77777777" w:rsidR="001F0762" w:rsidRDefault="00515C3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scene in organizational leadership has changed, and this is what is behind the two most powerful models, which provide information about leadership efficiency. Leadership as a central discipline within the context of an organization’s achievement is a </w:t>
      </w:r>
      <w:r>
        <w:rPr>
          <w:rFonts w:ascii="Times New Roman" w:eastAsia="Times New Roman" w:hAnsi="Times New Roman" w:cs="Times New Roman"/>
          <w:sz w:val="24"/>
          <w:szCs w:val="24"/>
        </w:rPr>
        <w:t xml:space="preserve">multi-faceted and diverse construct involving obligations and responsibilities. This investigation aims to comprehensively evaluate the leadership style of Craig Poole, General Manager at Doubletree by Hilton in Reading, Pennsylvania, utilizing two robust </w:t>
      </w:r>
      <w:r>
        <w:rPr>
          <w:rFonts w:ascii="Times New Roman" w:eastAsia="Times New Roman" w:hAnsi="Times New Roman" w:cs="Times New Roman"/>
          <w:sz w:val="24"/>
          <w:szCs w:val="24"/>
        </w:rPr>
        <w:t>models: The Action-Centered Leadership Model (ACC) by John Adair and the Managerial Grid by Blake and Mouton. The ACL model of leadership of Adair’s (2019) incorporates leadership as multifaceted, and it focuses on building strong teams, fulfilling objecti</w:t>
      </w:r>
      <w:r>
        <w:rPr>
          <w:rFonts w:ascii="Times New Roman" w:eastAsia="Times New Roman" w:hAnsi="Times New Roman" w:cs="Times New Roman"/>
          <w:sz w:val="24"/>
          <w:szCs w:val="24"/>
        </w:rPr>
        <w:t>ves, and personal growth. The proposed model provides a broad-based measurement of organizational leadership performance encompassing an evaluation of people and tasks in the organization. Through this exploration, this paper will analyze Craig Poole’s lea</w:t>
      </w:r>
      <w:r>
        <w:rPr>
          <w:rFonts w:ascii="Times New Roman" w:eastAsia="Times New Roman" w:hAnsi="Times New Roman" w:cs="Times New Roman"/>
          <w:sz w:val="24"/>
          <w:szCs w:val="24"/>
        </w:rPr>
        <w:t>dership ability using this model to understand whether he fits in these fundamental management leadership roles. At the same time, the Blake and Mouton Managerial Grid is one of the best-known methods for measuring managerial effectiveness and leadership a</w:t>
      </w:r>
      <w:r>
        <w:rPr>
          <w:rFonts w:ascii="Times New Roman" w:eastAsia="Times New Roman" w:hAnsi="Times New Roman" w:cs="Times New Roman"/>
          <w:sz w:val="24"/>
          <w:szCs w:val="24"/>
        </w:rPr>
        <w:t>spects in organizations, such as personnel, planning, and decision-making. This grid defines leadership behavior along two axes: the principle of concern for people and the principle of concern for production. The purpose of analyzing Craig Pool’s leadersh</w:t>
      </w:r>
      <w:r>
        <w:rPr>
          <w:rFonts w:ascii="Times New Roman" w:eastAsia="Times New Roman" w:hAnsi="Times New Roman" w:cs="Times New Roman"/>
          <w:sz w:val="24"/>
          <w:szCs w:val="24"/>
        </w:rPr>
        <w:t>ip through this grid is to understand the dynamics of people and task-centered dimensions of leadership as applied to his leadership. This comprehensive examination is meant to reveal the total value of Craig Poole’s leadership contributions within the con</w:t>
      </w:r>
      <w:r>
        <w:rPr>
          <w:rFonts w:ascii="Times New Roman" w:eastAsia="Times New Roman" w:hAnsi="Times New Roman" w:cs="Times New Roman"/>
          <w:sz w:val="24"/>
          <w:szCs w:val="24"/>
        </w:rPr>
        <w:t>fines of both models. This essay will present two complementary perspectives Adair’s Action-</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Leadership (ACL) model and the Blake and Mouton </w:t>
      </w:r>
      <w:r>
        <w:rPr>
          <w:rFonts w:ascii="Times New Roman" w:eastAsia="Times New Roman" w:hAnsi="Times New Roman" w:cs="Times New Roman"/>
          <w:sz w:val="24"/>
          <w:szCs w:val="24"/>
        </w:rPr>
        <w:lastRenderedPageBreak/>
        <w:t>managerial grid, which will describe Craig Poole’s leadership style and how it affects the organization's di</w:t>
      </w:r>
      <w:r>
        <w:rPr>
          <w:rFonts w:ascii="Times New Roman" w:eastAsia="Times New Roman" w:hAnsi="Times New Roman" w:cs="Times New Roman"/>
          <w:sz w:val="24"/>
          <w:szCs w:val="24"/>
        </w:rPr>
        <w:t>rection toward its goals.</w:t>
      </w:r>
    </w:p>
    <w:p w14:paraId="634822CA" w14:textId="77777777" w:rsidR="00515C34" w:rsidRDefault="00515C34">
      <w:pPr>
        <w:spacing w:line="480" w:lineRule="auto"/>
        <w:rPr>
          <w:rFonts w:ascii="Times New Roman" w:eastAsia="Times New Roman" w:hAnsi="Times New Roman" w:cs="Times New Roman"/>
          <w:sz w:val="24"/>
          <w:szCs w:val="24"/>
        </w:rPr>
      </w:pPr>
    </w:p>
    <w:p w14:paraId="7CCB23A4" w14:textId="77777777" w:rsidR="001F0762" w:rsidRDefault="00515C34">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Blake and Mouton Managerial Grid: An Analytical Tool</w:t>
      </w:r>
    </w:p>
    <w:p w14:paraId="7CCB23A5" w14:textId="77777777" w:rsidR="001F0762" w:rsidRDefault="00515C3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critically reflect on Poole’s managerial style, we will place him on Blake and Mouton's Managerial Grid. This grid will identify a manager’s leadership style and performa</w:t>
      </w:r>
      <w:r>
        <w:rPr>
          <w:rFonts w:ascii="Times New Roman" w:eastAsia="Times New Roman" w:hAnsi="Times New Roman" w:cs="Times New Roman"/>
          <w:sz w:val="24"/>
          <w:szCs w:val="24"/>
        </w:rPr>
        <w:t xml:space="preserve">nce well. It primarily focuses on two critical dimensions: person-centeredness and action-centeredness. According to this grid, managers can adopt various leadership styles from five possible combinations: Team, Country Club, Task, Middle-of-the-Road, and </w:t>
      </w:r>
      <w:r>
        <w:rPr>
          <w:rFonts w:ascii="Times New Roman" w:eastAsia="Times New Roman" w:hAnsi="Times New Roman" w:cs="Times New Roman"/>
          <w:sz w:val="24"/>
          <w:szCs w:val="24"/>
        </w:rPr>
        <w:t>Penniless Management (</w:t>
      </w:r>
      <w:proofErr w:type="spellStart"/>
      <w:r>
        <w:rPr>
          <w:rFonts w:ascii="Times New Roman" w:eastAsia="Times New Roman" w:hAnsi="Times New Roman" w:cs="Times New Roman"/>
          <w:sz w:val="24"/>
          <w:szCs w:val="24"/>
        </w:rPr>
        <w:t>Todarita</w:t>
      </w:r>
      <w:proofErr w:type="spellEnd"/>
      <w:r>
        <w:rPr>
          <w:rFonts w:ascii="Times New Roman" w:eastAsia="Times New Roman" w:hAnsi="Times New Roman" w:cs="Times New Roman"/>
          <w:sz w:val="24"/>
          <w:szCs w:val="24"/>
        </w:rPr>
        <w:t xml:space="preserve">, 2021). As far as Doubletree by Hilton is concerned, Craig has proven himself </w:t>
      </w:r>
      <w:proofErr w:type="gramStart"/>
      <w:r>
        <w:rPr>
          <w:rFonts w:ascii="Times New Roman" w:eastAsia="Times New Roman" w:hAnsi="Times New Roman" w:cs="Times New Roman"/>
          <w:sz w:val="24"/>
          <w:szCs w:val="24"/>
        </w:rPr>
        <w:t>with regard to</w:t>
      </w:r>
      <w:proofErr w:type="gramEnd"/>
      <w:r>
        <w:rPr>
          <w:rFonts w:ascii="Times New Roman" w:eastAsia="Times New Roman" w:hAnsi="Times New Roman" w:cs="Times New Roman"/>
          <w:sz w:val="24"/>
          <w:szCs w:val="24"/>
        </w:rPr>
        <w:t xml:space="preserve"> the qualities of task-</w:t>
      </w:r>
      <w:proofErr w:type="spellStart"/>
      <w:r>
        <w:rPr>
          <w:rFonts w:ascii="Times New Roman" w:eastAsia="Times New Roman" w:hAnsi="Times New Roman" w:cs="Times New Roman"/>
          <w:sz w:val="24"/>
          <w:szCs w:val="24"/>
        </w:rPr>
        <w:t>centredness</w:t>
      </w:r>
      <w:proofErr w:type="spellEnd"/>
      <w:r>
        <w:rPr>
          <w:rFonts w:ascii="Times New Roman" w:eastAsia="Times New Roman" w:hAnsi="Times New Roman" w:cs="Times New Roman"/>
          <w:sz w:val="24"/>
          <w:szCs w:val="24"/>
        </w:rPr>
        <w:t xml:space="preserve"> and action-</w:t>
      </w:r>
      <w:proofErr w:type="spellStart"/>
      <w:r>
        <w:rPr>
          <w:rFonts w:ascii="Times New Roman" w:eastAsia="Times New Roman" w:hAnsi="Times New Roman" w:cs="Times New Roman"/>
          <w:sz w:val="24"/>
          <w:szCs w:val="24"/>
        </w:rPr>
        <w:t>centredness</w:t>
      </w:r>
      <w:proofErr w:type="spellEnd"/>
      <w:r>
        <w:rPr>
          <w:rFonts w:ascii="Times New Roman" w:eastAsia="Times New Roman" w:hAnsi="Times New Roman" w:cs="Times New Roman"/>
          <w:sz w:val="24"/>
          <w:szCs w:val="24"/>
        </w:rPr>
        <w:t>, which are important aspects of managerial performance. Poole, Craig can ba</w:t>
      </w:r>
      <w:r>
        <w:rPr>
          <w:rFonts w:ascii="Times New Roman" w:eastAsia="Times New Roman" w:hAnsi="Times New Roman" w:cs="Times New Roman"/>
          <w:sz w:val="24"/>
          <w:szCs w:val="24"/>
        </w:rPr>
        <w:t>lance his humanitarian inclinations and motivation to succeed, understanding that both are needed for triumph. In this regard, he strongly advocates for forming solid relationships with his team members, which Molloy (1998) values as it promotes frank comm</w:t>
      </w:r>
      <w:r>
        <w:rPr>
          <w:rFonts w:ascii="Times New Roman" w:eastAsia="Times New Roman" w:hAnsi="Times New Roman" w:cs="Times New Roman"/>
          <w:sz w:val="24"/>
          <w:szCs w:val="24"/>
        </w:rPr>
        <w:t>unication. In addition, Craig Poole has created a working environment that promotes employee involvement and a sense of job satisfaction. He feeds a great deal of input, needs, and potential into his team with the intention of maximizing output. This is ev</w:t>
      </w:r>
      <w:r>
        <w:rPr>
          <w:rFonts w:ascii="Times New Roman" w:eastAsia="Times New Roman" w:hAnsi="Times New Roman" w:cs="Times New Roman"/>
          <w:sz w:val="24"/>
          <w:szCs w:val="24"/>
        </w:rPr>
        <w:t xml:space="preserve">ident in the fact that he maintains personnel even when there is a need for continual workplace upgrades (Mullins, 2013). For instance, he offers a high level of dedication that ensures that the clients are taken care of in Doubletree by Hilton, and their </w:t>
      </w:r>
      <w:r>
        <w:rPr>
          <w:rFonts w:ascii="Times New Roman" w:eastAsia="Times New Roman" w:hAnsi="Times New Roman" w:cs="Times New Roman"/>
          <w:sz w:val="24"/>
          <w:szCs w:val="24"/>
        </w:rPr>
        <w:t xml:space="preserve">comfort is highly prioritized during his leadership. Craig Poole’s style of leadership is an example that confirms the effectiveness of Blake and Mouton’s Managerial Grid. The man’s eagerness to establish a thriving environment </w:t>
      </w:r>
      <w:r>
        <w:rPr>
          <w:rFonts w:ascii="Times New Roman" w:eastAsia="Times New Roman" w:hAnsi="Times New Roman" w:cs="Times New Roman"/>
          <w:sz w:val="24"/>
          <w:szCs w:val="24"/>
        </w:rPr>
        <w:lastRenderedPageBreak/>
        <w:t>for his staff and meticulous</w:t>
      </w:r>
      <w:r>
        <w:rPr>
          <w:rFonts w:ascii="Times New Roman" w:eastAsia="Times New Roman" w:hAnsi="Times New Roman" w:cs="Times New Roman"/>
          <w:sz w:val="24"/>
          <w:szCs w:val="24"/>
        </w:rPr>
        <w:t xml:space="preserve"> attention given to the minutest needs of the workforce is one of a kind (Burchell &amp; Robin, 2011).</w:t>
      </w:r>
    </w:p>
    <w:p w14:paraId="7CCB23A6" w14:textId="77777777" w:rsidR="001F0762" w:rsidRDefault="00515C3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Craig Poole, the most important thing is that the organization can discharge its liabilities while at the same time ensuring good results of the organization. His leadership approach appears robust, as revealed by his strong relationships with his assoc</w:t>
      </w:r>
      <w:r>
        <w:rPr>
          <w:rFonts w:ascii="Times New Roman" w:eastAsia="Times New Roman" w:hAnsi="Times New Roman" w:cs="Times New Roman"/>
          <w:sz w:val="24"/>
          <w:szCs w:val="24"/>
        </w:rPr>
        <w:t xml:space="preserve">iates. During an honest interview, he underscored the importance of equipping his staff with essential tools that guarantee the company’s outstanding performance that aligns with Wireman (2005). Consequently, Craig Poole has created an environment of free </w:t>
      </w:r>
      <w:r>
        <w:rPr>
          <w:rFonts w:ascii="Times New Roman" w:eastAsia="Times New Roman" w:hAnsi="Times New Roman" w:cs="Times New Roman"/>
          <w:sz w:val="24"/>
          <w:szCs w:val="24"/>
        </w:rPr>
        <w:t xml:space="preserve">communication in the company, where new problems are discussed, and potential for personal growth is cultivated. Craig Poole’s skilled leadership had greatly favored Doubletree by Hilton. As a result, many awards have been earned by this hotel </w:t>
      </w:r>
      <w:proofErr w:type="gramStart"/>
      <w:r>
        <w:rPr>
          <w:rFonts w:ascii="Times New Roman" w:eastAsia="Times New Roman" w:hAnsi="Times New Roman" w:cs="Times New Roman"/>
          <w:sz w:val="24"/>
          <w:szCs w:val="24"/>
        </w:rPr>
        <w:t xml:space="preserve">as a result </w:t>
      </w:r>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the guests’ and patrons’ unprecedented enthusiasm towards the leadership, in turn causing an increase in overall revenues. Additionally, Craig Poole's leadership skills have increased team spirit and performance. The Blake and Mouton Managerial Grid per</w:t>
      </w:r>
      <w:r>
        <w:rPr>
          <w:rFonts w:ascii="Times New Roman" w:eastAsia="Times New Roman" w:hAnsi="Times New Roman" w:cs="Times New Roman"/>
          <w:sz w:val="24"/>
          <w:szCs w:val="24"/>
        </w:rPr>
        <w:t>fectly fits his leadership style as per Robertson (2005), signifying his effectiveness in leadership. Poole, Craig achieves a balance that favors cooperation and results.</w:t>
      </w:r>
    </w:p>
    <w:p w14:paraId="7CCB23A7" w14:textId="77777777" w:rsidR="001F0762" w:rsidRDefault="00515C3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Contented employees mean improved performance, which is the basis of good leadership </w:t>
      </w:r>
      <w:r>
        <w:rPr>
          <w:rFonts w:ascii="Times New Roman" w:eastAsia="Times New Roman" w:hAnsi="Times New Roman" w:cs="Times New Roman"/>
          <w:sz w:val="24"/>
          <w:szCs w:val="24"/>
        </w:rPr>
        <w:t xml:space="preserve">in team management (Dziuba et al., 2020). Working closely with the team, Craig Poole ensures that the organization attains its objectives, contributing to the business's long-term success. This is because he leads the employees with an open mind, ensuring </w:t>
      </w:r>
      <w:r>
        <w:rPr>
          <w:rFonts w:ascii="Times New Roman" w:eastAsia="Times New Roman" w:hAnsi="Times New Roman" w:cs="Times New Roman"/>
          <w:sz w:val="24"/>
          <w:szCs w:val="24"/>
        </w:rPr>
        <w:t>a smooth communication flow in the company and hence more success. Craig’s leadership style recognizes that to get the best out of the employees at all levels, as Mansaray (2019) states, it would be necessary to develop relationships with them. The Blake a</w:t>
      </w:r>
      <w:r>
        <w:rPr>
          <w:rFonts w:ascii="Times New Roman" w:eastAsia="Times New Roman" w:hAnsi="Times New Roman" w:cs="Times New Roman"/>
          <w:sz w:val="24"/>
          <w:szCs w:val="24"/>
        </w:rPr>
        <w:t>nd Mouton Managerial Grid focuses on people and production capabilities (</w:t>
      </w:r>
      <w:proofErr w:type="spellStart"/>
      <w:r>
        <w:rPr>
          <w:rFonts w:ascii="Times New Roman" w:eastAsia="Times New Roman" w:hAnsi="Times New Roman" w:cs="Times New Roman"/>
          <w:sz w:val="24"/>
          <w:szCs w:val="24"/>
        </w:rPr>
        <w:t>Vidyakala</w:t>
      </w:r>
      <w:proofErr w:type="spellEnd"/>
      <w:r>
        <w:rPr>
          <w:rFonts w:ascii="Times New Roman" w:eastAsia="Times New Roman" w:hAnsi="Times New Roman" w:cs="Times New Roman"/>
          <w:sz w:val="24"/>
          <w:szCs w:val="24"/>
        </w:rPr>
        <w:t xml:space="preserve">, 2020). As an effective manager, Craig Poole puts the task </w:t>
      </w:r>
      <w:r>
        <w:rPr>
          <w:rFonts w:ascii="Times New Roman" w:eastAsia="Times New Roman" w:hAnsi="Times New Roman" w:cs="Times New Roman"/>
          <w:sz w:val="24"/>
          <w:szCs w:val="24"/>
        </w:rPr>
        <w:lastRenderedPageBreak/>
        <w:t>and the people first to keep leadership high. In addition to focusing on results, the leader should sincerely love</w:t>
      </w:r>
      <w:r>
        <w:rPr>
          <w:rFonts w:ascii="Times New Roman" w:eastAsia="Times New Roman" w:hAnsi="Times New Roman" w:cs="Times New Roman"/>
          <w:sz w:val="24"/>
          <w:szCs w:val="24"/>
        </w:rPr>
        <w:t xml:space="preserve"> his people. Craig shows how connected teamwork and results truly are. He promotes a friendly working environment that raises productivity and employee morale (Belias &amp; </w:t>
      </w:r>
      <w:proofErr w:type="spellStart"/>
      <w:r>
        <w:rPr>
          <w:rFonts w:ascii="Times New Roman" w:eastAsia="Times New Roman" w:hAnsi="Times New Roman" w:cs="Times New Roman"/>
          <w:sz w:val="24"/>
          <w:szCs w:val="24"/>
        </w:rPr>
        <w:t>Koustelios</w:t>
      </w:r>
      <w:proofErr w:type="spellEnd"/>
      <w:r>
        <w:rPr>
          <w:rFonts w:ascii="Times New Roman" w:eastAsia="Times New Roman" w:hAnsi="Times New Roman" w:cs="Times New Roman"/>
          <w:sz w:val="24"/>
          <w:szCs w:val="24"/>
        </w:rPr>
        <w:t>, 2014). He promotes employee teamwork and stresses the important relationshi</w:t>
      </w:r>
      <w:r>
        <w:rPr>
          <w:rFonts w:ascii="Times New Roman" w:eastAsia="Times New Roman" w:hAnsi="Times New Roman" w:cs="Times New Roman"/>
          <w:sz w:val="24"/>
          <w:szCs w:val="24"/>
        </w:rPr>
        <w:t>p between employees and customers. Consumers attain maximum results with the balanced leadership states of the Blake and Mouton Managerial Grid (</w:t>
      </w:r>
      <w:proofErr w:type="spellStart"/>
      <w:r>
        <w:rPr>
          <w:rFonts w:ascii="Times New Roman" w:eastAsia="Times New Roman" w:hAnsi="Times New Roman" w:cs="Times New Roman"/>
          <w:sz w:val="24"/>
          <w:szCs w:val="24"/>
        </w:rPr>
        <w:t>Mindapa</w:t>
      </w:r>
      <w:proofErr w:type="spellEnd"/>
      <w:r>
        <w:rPr>
          <w:rFonts w:ascii="Times New Roman" w:eastAsia="Times New Roman" w:hAnsi="Times New Roman" w:cs="Times New Roman"/>
          <w:sz w:val="24"/>
          <w:szCs w:val="24"/>
        </w:rPr>
        <w:t>, 2022). One should admit that leadership traits emerge due to organizational dynamics, culture, and org</w:t>
      </w:r>
      <w:r>
        <w:rPr>
          <w:rFonts w:ascii="Times New Roman" w:eastAsia="Times New Roman" w:hAnsi="Times New Roman" w:cs="Times New Roman"/>
          <w:sz w:val="24"/>
          <w:szCs w:val="24"/>
        </w:rPr>
        <w:t>anizational history. Leadership changes may be affected by the internal environment and varying the work environment. Organizational structure and culture contribute to a certain extent to leadership attributes (</w:t>
      </w:r>
      <w:proofErr w:type="spellStart"/>
      <w:r>
        <w:rPr>
          <w:rFonts w:ascii="Times New Roman" w:eastAsia="Times New Roman" w:hAnsi="Times New Roman" w:cs="Times New Roman"/>
          <w:sz w:val="24"/>
          <w:szCs w:val="24"/>
        </w:rPr>
        <w:t>Kafashpoor</w:t>
      </w:r>
      <w:proofErr w:type="spellEnd"/>
      <w:r>
        <w:rPr>
          <w:rFonts w:ascii="Times New Roman" w:eastAsia="Times New Roman" w:hAnsi="Times New Roman" w:cs="Times New Roman"/>
          <w:sz w:val="24"/>
          <w:szCs w:val="24"/>
        </w:rPr>
        <w:t xml:space="preserve"> et al., 2013). The Blake and Mout</w:t>
      </w:r>
      <w:r>
        <w:rPr>
          <w:rFonts w:ascii="Times New Roman" w:eastAsia="Times New Roman" w:hAnsi="Times New Roman" w:cs="Times New Roman"/>
          <w:sz w:val="24"/>
          <w:szCs w:val="24"/>
        </w:rPr>
        <w:t>on Managerial Grid indicates that Craig Poole’s leadership style works best in a team-oriented environment where the contextual environment supports production and People. Such an adaptive approach aligns with Craig Poole's ability to adjust how he leads t</w:t>
      </w:r>
      <w:r>
        <w:rPr>
          <w:rFonts w:ascii="Times New Roman" w:eastAsia="Times New Roman" w:hAnsi="Times New Roman" w:cs="Times New Roman"/>
          <w:sz w:val="24"/>
          <w:szCs w:val="24"/>
        </w:rPr>
        <w:t>o meet the company's particular requirements. Craig Poole is a good leader who has led to the achievements of DoubleTree by Hilton as he always values both the well-being of his team members and the realization of organizational goals. His leadership philo</w:t>
      </w:r>
      <w:r>
        <w:rPr>
          <w:rFonts w:ascii="Times New Roman" w:eastAsia="Times New Roman" w:hAnsi="Times New Roman" w:cs="Times New Roman"/>
          <w:sz w:val="24"/>
          <w:szCs w:val="24"/>
        </w:rPr>
        <w:t>sophy involves developing good relationships with his team members and fostering open communication that fosters an effective, positive team environment. The appropriateness and effectiveness of Craig Poole’s leadership according to the Blake and Mouton Ma</w:t>
      </w:r>
      <w:r>
        <w:rPr>
          <w:rFonts w:ascii="Times New Roman" w:eastAsia="Times New Roman" w:hAnsi="Times New Roman" w:cs="Times New Roman"/>
          <w:sz w:val="24"/>
          <w:szCs w:val="24"/>
        </w:rPr>
        <w:t>nagerial Grid assessment in the context of the organization are validated.</w:t>
      </w:r>
    </w:p>
    <w:p w14:paraId="73BA4102" w14:textId="77777777" w:rsidR="00515C34" w:rsidRDefault="00515C34">
      <w:pPr>
        <w:spacing w:line="480" w:lineRule="auto"/>
        <w:rPr>
          <w:rFonts w:ascii="Times New Roman" w:eastAsia="Times New Roman" w:hAnsi="Times New Roman" w:cs="Times New Roman"/>
          <w:sz w:val="24"/>
          <w:szCs w:val="24"/>
        </w:rPr>
      </w:pPr>
    </w:p>
    <w:p w14:paraId="7CCB23A8" w14:textId="77777777" w:rsidR="001F0762" w:rsidRDefault="00515C34">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 of Craig Poole using Adair’s ACL Model</w:t>
      </w:r>
    </w:p>
    <w:p w14:paraId="7CCB23A9" w14:textId="77777777" w:rsidR="001F0762" w:rsidRDefault="00515C3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Poole is an exemplary hotel manager with remarkable managerial capability in executing tasks. The effectiveness of each of the three </w:t>
      </w:r>
      <w:r>
        <w:rPr>
          <w:rFonts w:ascii="Times New Roman" w:eastAsia="Times New Roman" w:hAnsi="Times New Roman" w:cs="Times New Roman"/>
          <w:sz w:val="24"/>
          <w:szCs w:val="24"/>
        </w:rPr>
        <w:t xml:space="preserve">components included in Adair’s model, including task </w:t>
      </w:r>
      <w:r>
        <w:rPr>
          <w:rFonts w:ascii="Times New Roman" w:eastAsia="Times New Roman" w:hAnsi="Times New Roman" w:cs="Times New Roman"/>
          <w:sz w:val="24"/>
          <w:szCs w:val="24"/>
        </w:rPr>
        <w:lastRenderedPageBreak/>
        <w:t>completion, team leadership, and individual growth, is perceived differently according to the level of competence attained by the person in determining the importance of these components (Pelkonen, 2019)</w:t>
      </w:r>
      <w:r>
        <w:rPr>
          <w:rFonts w:ascii="Times New Roman" w:eastAsia="Times New Roman" w:hAnsi="Times New Roman" w:cs="Times New Roman"/>
          <w:sz w:val="24"/>
          <w:szCs w:val="24"/>
        </w:rPr>
        <w:t>. The ability of Craig to balance them has had positive effects like increased confidence, enhanced team effectiveness, better outcomes, and finally, increased productivity. A great leader and manager, the manager can attain these results with a balanced a</w:t>
      </w:r>
      <w:r>
        <w:rPr>
          <w:rFonts w:ascii="Times New Roman" w:eastAsia="Times New Roman" w:hAnsi="Times New Roman" w:cs="Times New Roman"/>
          <w:sz w:val="24"/>
          <w:szCs w:val="24"/>
        </w:rPr>
        <w:t>pproach that makes the whole organization more efficient (Adair, 2007). Poole successfully implements all three elements of Adair’s model, indicating his belief in a delicate balance of all three elements. The person mentioned is a dynamic manager and regi</w:t>
      </w:r>
      <w:r>
        <w:rPr>
          <w:rFonts w:ascii="Times New Roman" w:eastAsia="Times New Roman" w:hAnsi="Times New Roman" w:cs="Times New Roman"/>
          <w:sz w:val="24"/>
          <w:szCs w:val="24"/>
        </w:rPr>
        <w:t>onal director of marketing in the hotel business and understands the importance of balancing accomplishing tasks, creating a harmonious team, and fostering personal growth (Al-</w:t>
      </w:r>
      <w:proofErr w:type="spellStart"/>
      <w:r>
        <w:rPr>
          <w:rFonts w:ascii="Times New Roman" w:eastAsia="Times New Roman" w:hAnsi="Times New Roman" w:cs="Times New Roman"/>
          <w:sz w:val="24"/>
          <w:szCs w:val="24"/>
        </w:rPr>
        <w:t>Janabi</w:t>
      </w:r>
      <w:proofErr w:type="spellEnd"/>
      <w:r>
        <w:rPr>
          <w:rFonts w:ascii="Times New Roman" w:eastAsia="Times New Roman" w:hAnsi="Times New Roman" w:cs="Times New Roman"/>
          <w:sz w:val="24"/>
          <w:szCs w:val="24"/>
        </w:rPr>
        <w:t xml:space="preserve"> et al., 2023). The person’s strategic leadership approach that involves t</w:t>
      </w:r>
      <w:r>
        <w:rPr>
          <w:rFonts w:ascii="Times New Roman" w:eastAsia="Times New Roman" w:hAnsi="Times New Roman" w:cs="Times New Roman"/>
          <w:sz w:val="24"/>
          <w:szCs w:val="24"/>
        </w:rPr>
        <w:t xml:space="preserve">he growth of strong relationships and the building of consensus allows for better financial and operational progress (Lear, 2012). Craig’s view of leadership is </w:t>
      </w: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John Adair’s mission paradigm, focuses on action, and is very helpful for today’s ex</w:t>
      </w:r>
      <w:r>
        <w:rPr>
          <w:rFonts w:ascii="Times New Roman" w:eastAsia="Times New Roman" w:hAnsi="Times New Roman" w:cs="Times New Roman"/>
          <w:sz w:val="24"/>
          <w:szCs w:val="24"/>
        </w:rPr>
        <w:t>ecutive leadership. In this case, the person looks at various performance aspects in the environment, adjusting their strategy in view of the factors specific to the area aimed at an achievement (</w:t>
      </w:r>
      <w:proofErr w:type="spellStart"/>
      <w:r>
        <w:rPr>
          <w:rFonts w:ascii="Times New Roman" w:eastAsia="Times New Roman" w:hAnsi="Times New Roman" w:cs="Times New Roman"/>
          <w:sz w:val="24"/>
          <w:szCs w:val="24"/>
        </w:rPr>
        <w:t>Jumady</w:t>
      </w:r>
      <w:proofErr w:type="spellEnd"/>
      <w:r>
        <w:rPr>
          <w:rFonts w:ascii="Times New Roman" w:eastAsia="Times New Roman" w:hAnsi="Times New Roman" w:cs="Times New Roman"/>
          <w:sz w:val="24"/>
          <w:szCs w:val="24"/>
        </w:rPr>
        <w:t xml:space="preserve"> &amp; Lila, 2021).</w:t>
      </w:r>
    </w:p>
    <w:p w14:paraId="7CCB23AA" w14:textId="77777777" w:rsidR="001F0762" w:rsidRDefault="00515C3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Craig Poole is indeed exemplary in the</w:t>
      </w:r>
      <w:r>
        <w:rPr>
          <w:rFonts w:ascii="Times New Roman" w:eastAsia="Times New Roman" w:hAnsi="Times New Roman" w:cs="Times New Roman"/>
          <w:sz w:val="24"/>
          <w:szCs w:val="24"/>
        </w:rPr>
        <w:t xml:space="preserve"> way tasks are accomplished. His planning is detailed, precise, goal-setting, and strict task execution. As a result, his daily communication involves providing clearly expressed goals and organized plans like a guide to the team. This shows how careful he</w:t>
      </w:r>
      <w:r>
        <w:rPr>
          <w:rFonts w:ascii="Times New Roman" w:eastAsia="Times New Roman" w:hAnsi="Times New Roman" w:cs="Times New Roman"/>
          <w:sz w:val="24"/>
          <w:szCs w:val="24"/>
        </w:rPr>
        <w:t xml:space="preserve"> is in sharing and managing the available resources ensuring their optimal utilization. One instance where his resource management abilities were essential was a notoriously difficult job. The project was completed in line with the schedule and the allocat</w:t>
      </w:r>
      <w:r>
        <w:rPr>
          <w:rFonts w:ascii="Times New Roman" w:eastAsia="Times New Roman" w:hAnsi="Times New Roman" w:cs="Times New Roman"/>
          <w:sz w:val="24"/>
          <w:szCs w:val="24"/>
        </w:rPr>
        <w:t>ed funds. This record of meeting targets promptly proves that Poole ensured that the company always kept delivering.</w:t>
      </w:r>
    </w:p>
    <w:p w14:paraId="7CCB23AB" w14:textId="77777777" w:rsidR="001F0762" w:rsidRDefault="00515C3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is why Poole’s approach to team building significantly impacts team dynamics. He has created a teamwork-conducive environment that pro</w:t>
      </w:r>
      <w:r>
        <w:rPr>
          <w:rFonts w:ascii="Times New Roman" w:eastAsia="Times New Roman" w:hAnsi="Times New Roman" w:cs="Times New Roman"/>
          <w:sz w:val="24"/>
          <w:szCs w:val="24"/>
        </w:rPr>
        <w:t xml:space="preserve">motes inclusion. Due to this, team members feel more connected with each other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have trust in each other, which are key issues in successful teams. Poole’s transparency is demonstrated by his open-door policy that supports free communication betwee</w:t>
      </w:r>
      <w:r>
        <w:rPr>
          <w:rFonts w:ascii="Times New Roman" w:eastAsia="Times New Roman" w:hAnsi="Times New Roman" w:cs="Times New Roman"/>
          <w:sz w:val="24"/>
          <w:szCs w:val="24"/>
        </w:rPr>
        <w:t>n the team members. Such culture fosters trust between the managers and subordinates and among every worker. Poole has also led the team through a recent team-building workshop as a concrete expression of his efforts toward improving teamwork. He also achi</w:t>
      </w:r>
      <w:r>
        <w:rPr>
          <w:rFonts w:ascii="Times New Roman" w:eastAsia="Times New Roman" w:hAnsi="Times New Roman" w:cs="Times New Roman"/>
          <w:sz w:val="24"/>
          <w:szCs w:val="24"/>
        </w:rPr>
        <w:t>eved positive effects by motivating and uniting the teams through the workshop.</w:t>
      </w:r>
    </w:p>
    <w:p w14:paraId="7CCB23AC" w14:textId="77777777" w:rsidR="001F0762" w:rsidRDefault="00515C3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Poole’s approach to individual growth is based on developing his team members’ personal and professional lives. He often creates opportunities for skill building a</w:t>
      </w:r>
      <w:r>
        <w:rPr>
          <w:rFonts w:ascii="Times New Roman" w:eastAsia="Times New Roman" w:hAnsi="Times New Roman" w:cs="Times New Roman"/>
          <w:sz w:val="24"/>
          <w:szCs w:val="24"/>
        </w:rPr>
        <w:t>nd career progression, which makes everyone in the team take up the responsibility of developing themselves. However, his mentorship goes deeper than the surface, as he cares about the development of his subordinates. For instance, one of the most compelli</w:t>
      </w:r>
      <w:r>
        <w:rPr>
          <w:rFonts w:ascii="Times New Roman" w:eastAsia="Times New Roman" w:hAnsi="Times New Roman" w:cs="Times New Roman"/>
          <w:sz w:val="24"/>
          <w:szCs w:val="24"/>
        </w:rPr>
        <w:t>ng examples of this investment was a team member whom Poole guided to a rapid promotion into a management position within a short period. Pool illustrates a leader’s ability to motivate and facilitate personal development in the workforce. The growth of th</w:t>
      </w:r>
      <w:r>
        <w:rPr>
          <w:rFonts w:ascii="Times New Roman" w:eastAsia="Times New Roman" w:hAnsi="Times New Roman" w:cs="Times New Roman"/>
          <w:sz w:val="24"/>
          <w:szCs w:val="24"/>
        </w:rPr>
        <w:t>e individual helps both the employees and the company since a more skilled and productive workforce is achieved.</w:t>
      </w:r>
    </w:p>
    <w:p w14:paraId="7CCB23AD" w14:textId="77777777" w:rsidR="001F0762" w:rsidRDefault="00515C3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By possessing this aptitude, Craig Poole can develop people to facilitate the completion of tasks successfully. The person is competent in segm</w:t>
      </w:r>
      <w:r>
        <w:rPr>
          <w:rFonts w:ascii="Times New Roman" w:eastAsia="Times New Roman" w:hAnsi="Times New Roman" w:cs="Times New Roman"/>
          <w:sz w:val="24"/>
          <w:szCs w:val="24"/>
        </w:rPr>
        <w:t>enting task-related activities, setting goals, objectives, rationales, and the common pathways by which they would be aligned to the organization’s task-oriented management orientation (Yuengling, 2011). He is proactive enough, whereby they identify as a r</w:t>
      </w:r>
      <w:r>
        <w:rPr>
          <w:rFonts w:ascii="Times New Roman" w:eastAsia="Times New Roman" w:hAnsi="Times New Roman" w:cs="Times New Roman"/>
          <w:sz w:val="24"/>
          <w:szCs w:val="24"/>
        </w:rPr>
        <w:t xml:space="preserve">esource an array of items like persons, policies, processes, strategies, and methodologies, as well as those that touch on finances, communication, and information </w:t>
      </w:r>
      <w:r>
        <w:rPr>
          <w:rFonts w:ascii="Times New Roman" w:eastAsia="Times New Roman" w:hAnsi="Times New Roman" w:cs="Times New Roman"/>
          <w:sz w:val="24"/>
          <w:szCs w:val="24"/>
        </w:rPr>
        <w:lastRenderedPageBreak/>
        <w:t>technology in general (Mullins, 2013). To achieve this, Craig’s methodology entails creating</w:t>
      </w:r>
      <w:r>
        <w:rPr>
          <w:rFonts w:ascii="Times New Roman" w:eastAsia="Times New Roman" w:hAnsi="Times New Roman" w:cs="Times New Roman"/>
          <w:sz w:val="24"/>
          <w:szCs w:val="24"/>
        </w:rPr>
        <w:t xml:space="preserve"> a thorough plan that specifies project details, KPIs, and timelines and provides a strategic blueprint and a systematic approach. In addition, he utilizes informal contracts and negotiating teams professionally to create rules, reliability, scheduling, an</w:t>
      </w:r>
      <w:r>
        <w:rPr>
          <w:rFonts w:ascii="Times New Roman" w:eastAsia="Times New Roman" w:hAnsi="Times New Roman" w:cs="Times New Roman"/>
          <w:sz w:val="24"/>
          <w:szCs w:val="24"/>
        </w:rPr>
        <w:t>d data delivery characteristics while maintaining supervision and governance obligations, objectives, metrics, and reporting standards (</w:t>
      </w:r>
      <w:proofErr w:type="spellStart"/>
      <w:r>
        <w:rPr>
          <w:rFonts w:ascii="Times New Roman" w:eastAsia="Times New Roman" w:hAnsi="Times New Roman" w:cs="Times New Roman"/>
          <w:sz w:val="24"/>
          <w:szCs w:val="24"/>
        </w:rPr>
        <w:t>Loshin</w:t>
      </w:r>
      <w:proofErr w:type="spellEnd"/>
      <w:r>
        <w:rPr>
          <w:rFonts w:ascii="Times New Roman" w:eastAsia="Times New Roman" w:hAnsi="Times New Roman" w:cs="Times New Roman"/>
          <w:sz w:val="24"/>
          <w:szCs w:val="24"/>
        </w:rPr>
        <w:t>, 2010).</w:t>
      </w:r>
    </w:p>
    <w:p w14:paraId="7CCB23AE" w14:textId="77777777" w:rsidR="001F0762" w:rsidRDefault="00515C3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Craig constantly keeps an eye on the strategy as a whole and on every change, review, and reevaluation to</w:t>
      </w:r>
      <w:r>
        <w:rPr>
          <w:rFonts w:ascii="Times New Roman" w:eastAsia="Times New Roman" w:hAnsi="Times New Roman" w:cs="Times New Roman"/>
          <w:sz w:val="24"/>
          <w:szCs w:val="24"/>
        </w:rPr>
        <w:t xml:space="preserve"> determine the progression of the group’s strategy. In this regard, he exhibits an active stance </w:t>
      </w:r>
      <w:proofErr w:type="gramStart"/>
      <w:r>
        <w:rPr>
          <w:rFonts w:ascii="Times New Roman" w:eastAsia="Times New Roman" w:hAnsi="Times New Roman" w:cs="Times New Roman"/>
          <w:sz w:val="24"/>
          <w:szCs w:val="24"/>
        </w:rPr>
        <w:t>with regard to</w:t>
      </w:r>
      <w:proofErr w:type="gramEnd"/>
      <w:r>
        <w:rPr>
          <w:rFonts w:ascii="Times New Roman" w:eastAsia="Times New Roman" w:hAnsi="Times New Roman" w:cs="Times New Roman"/>
          <w:sz w:val="24"/>
          <w:szCs w:val="24"/>
        </w:rPr>
        <w:t xml:space="preserve"> competence, ethics, transparency, and an endless quest for goals, proactively addressing group conflicts, disputes, and disagreements (Cloke &amp; G</w:t>
      </w:r>
      <w:r>
        <w:rPr>
          <w:rFonts w:ascii="Times New Roman" w:eastAsia="Times New Roman" w:hAnsi="Times New Roman" w:cs="Times New Roman"/>
          <w:sz w:val="24"/>
          <w:szCs w:val="24"/>
        </w:rPr>
        <w:t>oldsmith, 2011). Craig, however, believes that, through collaboration, inspiration, team spirit, team autonomy, and authority, these values will be developed. As a result of his continuous endeavor towards encouraging team cohesion, motivating the team, pr</w:t>
      </w:r>
      <w:r>
        <w:rPr>
          <w:rFonts w:ascii="Times New Roman" w:eastAsia="Times New Roman" w:hAnsi="Times New Roman" w:cs="Times New Roman"/>
          <w:sz w:val="24"/>
          <w:szCs w:val="24"/>
        </w:rPr>
        <w:t xml:space="preserve">omoting unity, and facilitating acknowledgment, there has been a great improvement of team dynamics and enhanced communication, internally and externally, of the group (DiTullio, 2010). Moreover, Craig Poole </w:t>
      </w:r>
      <w:proofErr w:type="gramStart"/>
      <w:r>
        <w:rPr>
          <w:rFonts w:ascii="Times New Roman" w:eastAsia="Times New Roman" w:hAnsi="Times New Roman" w:cs="Times New Roman"/>
          <w:sz w:val="24"/>
          <w:szCs w:val="24"/>
        </w:rPr>
        <w:t>is in charge of</w:t>
      </w:r>
      <w:proofErr w:type="gramEnd"/>
      <w:r>
        <w:rPr>
          <w:rFonts w:ascii="Times New Roman" w:eastAsia="Times New Roman" w:hAnsi="Times New Roman" w:cs="Times New Roman"/>
          <w:sz w:val="24"/>
          <w:szCs w:val="24"/>
        </w:rPr>
        <w:t xml:space="preserve"> interacting with the public, col</w:t>
      </w:r>
      <w:r>
        <w:rPr>
          <w:rFonts w:ascii="Times New Roman" w:eastAsia="Times New Roman" w:hAnsi="Times New Roman" w:cs="Times New Roman"/>
          <w:sz w:val="24"/>
          <w:szCs w:val="24"/>
        </w:rPr>
        <w:t>lecting input, and offering constructive criticism to enhance the overall performance.</w:t>
      </w:r>
    </w:p>
    <w:p w14:paraId="7CCB23AF" w14:textId="77777777" w:rsidR="001F0762" w:rsidRDefault="00515C34">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p>
    <w:p w14:paraId="7CCB23B0" w14:textId="77777777" w:rsidR="001F0762" w:rsidRDefault="00515C3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leadership style of Craig Poole, the General Manager of Doubletree by Hilton in Reading, Pennsylvania, is consistent with Blake and Mouton’s Managerial Gr</w:t>
      </w:r>
      <w:r>
        <w:rPr>
          <w:rFonts w:ascii="Times New Roman" w:eastAsia="Times New Roman" w:hAnsi="Times New Roman" w:cs="Times New Roman"/>
          <w:sz w:val="24"/>
          <w:szCs w:val="24"/>
        </w:rPr>
        <w:t>id and Adair’s Action-Centered Leadership (ACL) model. By conducting a holistic evaluation, the essay realizes that his leadership encompasses various facets that have played a significant role in Doubletree by Hilton’s prosperity. However, by the Blake an</w:t>
      </w:r>
      <w:r>
        <w:rPr>
          <w:rFonts w:ascii="Times New Roman" w:eastAsia="Times New Roman" w:hAnsi="Times New Roman" w:cs="Times New Roman"/>
          <w:sz w:val="24"/>
          <w:szCs w:val="24"/>
        </w:rPr>
        <w:t xml:space="preserve">d Mouton Managerial Grid standard, Poole's </w:t>
      </w:r>
      <w:r>
        <w:rPr>
          <w:rFonts w:ascii="Times New Roman" w:eastAsia="Times New Roman" w:hAnsi="Times New Roman" w:cs="Times New Roman"/>
          <w:sz w:val="24"/>
          <w:szCs w:val="24"/>
        </w:rPr>
        <w:lastRenderedPageBreak/>
        <w:t>leadership style represents an extraordinary equilibrium between people and production. He has managed to create a vibrant working atmosphere through his commitment to building teamwork, cooperation, and job satis</w:t>
      </w:r>
      <w:r>
        <w:rPr>
          <w:rFonts w:ascii="Times New Roman" w:eastAsia="Times New Roman" w:hAnsi="Times New Roman" w:cs="Times New Roman"/>
          <w:sz w:val="24"/>
          <w:szCs w:val="24"/>
        </w:rPr>
        <w:t>faction within the team. Poole’s open communications and adaptability in his approaches based on the organizational changes make sense to the grid. Doubletree by Hilton is growing because of the leadership of Blake and Mouton’s manager grid, manifesting it</w:t>
      </w:r>
      <w:r>
        <w:rPr>
          <w:rFonts w:ascii="Times New Roman" w:eastAsia="Times New Roman" w:hAnsi="Times New Roman" w:cs="Times New Roman"/>
          <w:sz w:val="24"/>
          <w:szCs w:val="24"/>
        </w:rPr>
        <w:t>self in practice. In parallel, Adair's ACL model illustrates how Poole excels in managing the three pivotal functions of managerial leadership: performance management, effective communication, problem-solving, conflict resolution, collaboration, and leader</w:t>
      </w:r>
      <w:r>
        <w:rPr>
          <w:rFonts w:ascii="Times New Roman" w:eastAsia="Times New Roman" w:hAnsi="Times New Roman" w:cs="Times New Roman"/>
          <w:sz w:val="24"/>
          <w:szCs w:val="24"/>
        </w:rPr>
        <w:t>ship development. His ability to balance these elements increases his self-confidence, makes the teamwork effective, and increases productivity. Through his leadership philosophy, Poole fits well with the modernity in executive leadership, taking Doubletre</w:t>
      </w:r>
      <w:r>
        <w:rPr>
          <w:rFonts w:ascii="Times New Roman" w:eastAsia="Times New Roman" w:hAnsi="Times New Roman" w:cs="Times New Roman"/>
          <w:sz w:val="24"/>
          <w:szCs w:val="24"/>
        </w:rPr>
        <w:t>e by Hilton to efficient performance. This focus on task accomplishment, building teams, and fostering self-development reinforces his organization’s effectiveness. Craig Poole demonstrates a perfect combination of collaboration and results orientation tha</w:t>
      </w:r>
      <w:r>
        <w:rPr>
          <w:rFonts w:ascii="Times New Roman" w:eastAsia="Times New Roman" w:hAnsi="Times New Roman" w:cs="Times New Roman"/>
          <w:sz w:val="24"/>
          <w:szCs w:val="24"/>
        </w:rPr>
        <w:t xml:space="preserve">t a supportive work environment increases employee satisfaction and productivity. Action-centered leadership serves as the basis for his power, depicting how his leadership propelled Doubletree by Hilton toward exceptional performance. Indeed, Craig Poole </w:t>
      </w:r>
      <w:r>
        <w:rPr>
          <w:rFonts w:ascii="Times New Roman" w:eastAsia="Times New Roman" w:hAnsi="Times New Roman" w:cs="Times New Roman"/>
          <w:sz w:val="24"/>
          <w:szCs w:val="24"/>
        </w:rPr>
        <w:t>represents a real-life leader who effectively exploits the advantages of the models to make his institution succeed.</w:t>
      </w:r>
    </w:p>
    <w:p w14:paraId="4464F9C8" w14:textId="77777777" w:rsidR="00515C34" w:rsidRDefault="00515C34">
      <w:pPr>
        <w:spacing w:line="480" w:lineRule="auto"/>
        <w:rPr>
          <w:rFonts w:ascii="Times New Roman" w:eastAsia="Times New Roman" w:hAnsi="Times New Roman" w:cs="Times New Roman"/>
          <w:sz w:val="24"/>
          <w:szCs w:val="24"/>
        </w:rPr>
      </w:pPr>
    </w:p>
    <w:p w14:paraId="588CA09D" w14:textId="77777777" w:rsidR="00515C34" w:rsidRDefault="00515C34">
      <w:pPr>
        <w:spacing w:line="480" w:lineRule="auto"/>
        <w:rPr>
          <w:rFonts w:ascii="Times New Roman" w:eastAsia="Times New Roman" w:hAnsi="Times New Roman" w:cs="Times New Roman"/>
          <w:sz w:val="24"/>
          <w:szCs w:val="24"/>
        </w:rPr>
      </w:pPr>
    </w:p>
    <w:p w14:paraId="16AD5D5C" w14:textId="77777777" w:rsidR="00515C34" w:rsidRDefault="00515C34">
      <w:pPr>
        <w:spacing w:line="480" w:lineRule="auto"/>
        <w:rPr>
          <w:rFonts w:ascii="Times New Roman" w:eastAsia="Times New Roman" w:hAnsi="Times New Roman" w:cs="Times New Roman"/>
          <w:sz w:val="24"/>
          <w:szCs w:val="24"/>
        </w:rPr>
      </w:pPr>
    </w:p>
    <w:p w14:paraId="127E88E6" w14:textId="77777777" w:rsidR="00515C34" w:rsidRDefault="00515C34">
      <w:pPr>
        <w:spacing w:line="480" w:lineRule="auto"/>
        <w:rPr>
          <w:rFonts w:ascii="Times New Roman" w:eastAsia="Times New Roman" w:hAnsi="Times New Roman" w:cs="Times New Roman"/>
          <w:sz w:val="24"/>
          <w:szCs w:val="24"/>
        </w:rPr>
      </w:pPr>
    </w:p>
    <w:p w14:paraId="66BD4443" w14:textId="77777777" w:rsidR="00515C34" w:rsidRDefault="00515C34">
      <w:pPr>
        <w:spacing w:line="480" w:lineRule="auto"/>
        <w:rPr>
          <w:rFonts w:ascii="Times New Roman" w:eastAsia="Times New Roman" w:hAnsi="Times New Roman" w:cs="Times New Roman"/>
          <w:sz w:val="24"/>
          <w:szCs w:val="24"/>
        </w:rPr>
      </w:pPr>
    </w:p>
    <w:p w14:paraId="7CCB23B1" w14:textId="77777777" w:rsidR="001F0762" w:rsidRDefault="001F0762">
      <w:pPr>
        <w:spacing w:line="480" w:lineRule="auto"/>
        <w:rPr>
          <w:rFonts w:ascii="Times New Roman" w:eastAsia="Times New Roman" w:hAnsi="Times New Roman" w:cs="Times New Roman"/>
          <w:sz w:val="24"/>
          <w:szCs w:val="24"/>
        </w:rPr>
      </w:pPr>
    </w:p>
    <w:p w14:paraId="7CCB23B2" w14:textId="77777777" w:rsidR="001F0762" w:rsidRDefault="00515C34">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14:paraId="7CCB23B3"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Adair, J.E., 2007. </w:t>
      </w:r>
      <w:r>
        <w:rPr>
          <w:rFonts w:ascii="Times New Roman" w:eastAsia="Times New Roman" w:hAnsi="Times New Roman" w:cs="Times New Roman"/>
          <w:i/>
          <w:color w:val="222222"/>
          <w:sz w:val="24"/>
          <w:szCs w:val="24"/>
          <w:highlight w:val="white"/>
        </w:rPr>
        <w:t>Develop your leadership skills</w:t>
      </w:r>
      <w:r>
        <w:rPr>
          <w:rFonts w:ascii="Times New Roman" w:eastAsia="Times New Roman" w:hAnsi="Times New Roman" w:cs="Times New Roman"/>
          <w:color w:val="222222"/>
          <w:sz w:val="24"/>
          <w:szCs w:val="24"/>
          <w:highlight w:val="white"/>
        </w:rPr>
        <w:t xml:space="preserve"> (Vol. 37). Kogan Page Publishers. </w:t>
      </w:r>
      <w:hyperlink r:id="rId7">
        <w:r>
          <w:rPr>
            <w:rFonts w:ascii="Times New Roman" w:eastAsia="Times New Roman" w:hAnsi="Times New Roman" w:cs="Times New Roman"/>
            <w:color w:val="1155CC"/>
            <w:sz w:val="24"/>
            <w:szCs w:val="24"/>
            <w:highlight w:val="white"/>
            <w:u w:val="single"/>
          </w:rPr>
          <w:t>https://books.google.com/books?hl=en&amp;lr=&amp;id=9rMYODXVc3IC&amp;oi=fnd&amp;pg=PP9&amp;dq=The+effect</w:t>
        </w:r>
        <w:r>
          <w:rPr>
            <w:rFonts w:ascii="Times New Roman" w:eastAsia="Times New Roman" w:hAnsi="Times New Roman" w:cs="Times New Roman"/>
            <w:color w:val="1155CC"/>
            <w:sz w:val="24"/>
            <w:szCs w:val="24"/>
            <w:highlight w:val="white"/>
            <w:u w:val="single"/>
          </w:rPr>
          <w:t>iveness+of+each+of+the+three+components+included+in+Adair%E2%80%99s+model,+including+task+completion,+team+leadership,+and+individual+growth,+is+perceived+differently+according+to+the+level+of+competence+attained+by+the+said+person+in+determining+the+impor</w:t>
        </w:r>
        <w:r>
          <w:rPr>
            <w:rFonts w:ascii="Times New Roman" w:eastAsia="Times New Roman" w:hAnsi="Times New Roman" w:cs="Times New Roman"/>
            <w:color w:val="1155CC"/>
            <w:sz w:val="24"/>
            <w:szCs w:val="24"/>
            <w:highlight w:val="white"/>
            <w:u w:val="single"/>
          </w:rPr>
          <w:t>tance+of+these+components&amp;ots=9IBpG29nUA&amp;sig=qU_ttbMidr9pxJuu4xrZc8V2BzU</w:t>
        </w:r>
      </w:hyperlink>
      <w:r>
        <w:rPr>
          <w:rFonts w:ascii="Times New Roman" w:eastAsia="Times New Roman" w:hAnsi="Times New Roman" w:cs="Times New Roman"/>
          <w:color w:val="222222"/>
          <w:sz w:val="24"/>
          <w:szCs w:val="24"/>
          <w:highlight w:val="white"/>
        </w:rPr>
        <w:t xml:space="preserve"> </w:t>
      </w:r>
    </w:p>
    <w:p w14:paraId="7CCB23B4"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Janabi</w:t>
      </w:r>
      <w:proofErr w:type="spellEnd"/>
      <w:r>
        <w:rPr>
          <w:rFonts w:ascii="Times New Roman" w:eastAsia="Times New Roman" w:hAnsi="Times New Roman" w:cs="Times New Roman"/>
          <w:color w:val="222222"/>
          <w:sz w:val="24"/>
          <w:szCs w:val="24"/>
          <w:highlight w:val="white"/>
        </w:rPr>
        <w:t xml:space="preserve">, A.S.H., </w:t>
      </w:r>
      <w:proofErr w:type="spellStart"/>
      <w:r>
        <w:rPr>
          <w:rFonts w:ascii="Times New Roman" w:eastAsia="Times New Roman" w:hAnsi="Times New Roman" w:cs="Times New Roman"/>
          <w:color w:val="222222"/>
          <w:sz w:val="24"/>
          <w:szCs w:val="24"/>
          <w:highlight w:val="white"/>
        </w:rPr>
        <w:t>Mhaibes</w:t>
      </w:r>
      <w:proofErr w:type="spellEnd"/>
      <w:r>
        <w:rPr>
          <w:rFonts w:ascii="Times New Roman" w:eastAsia="Times New Roman" w:hAnsi="Times New Roman" w:cs="Times New Roman"/>
          <w:color w:val="222222"/>
          <w:sz w:val="24"/>
          <w:szCs w:val="24"/>
          <w:highlight w:val="white"/>
        </w:rPr>
        <w:t xml:space="preserve">, H.A. and Hussein, S.A., 2023. The role of learning organizations in crisis management strategy: A case study. </w:t>
      </w:r>
      <w:r>
        <w:rPr>
          <w:rFonts w:ascii="Times New Roman" w:eastAsia="Times New Roman" w:hAnsi="Times New Roman" w:cs="Times New Roman"/>
          <w:i/>
          <w:color w:val="222222"/>
          <w:sz w:val="24"/>
          <w:szCs w:val="24"/>
          <w:highlight w:val="white"/>
        </w:rPr>
        <w:t>Corporate</w:t>
      </w:r>
      <w:r>
        <w:rPr>
          <w:rFonts w:ascii="Times New Roman" w:eastAsia="Times New Roman" w:hAnsi="Times New Roman" w:cs="Times New Roman"/>
          <w:i/>
          <w:color w:val="222222"/>
          <w:sz w:val="24"/>
          <w:szCs w:val="24"/>
          <w:highlight w:val="white"/>
        </w:rPr>
        <w:t xml:space="preserve"> &amp; Business Strategy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xml:space="preserve">(1), pp.8-21. </w:t>
      </w:r>
      <w:hyperlink r:id="rId8">
        <w:r>
          <w:rPr>
            <w:rFonts w:ascii="Times New Roman" w:eastAsia="Times New Roman" w:hAnsi="Times New Roman" w:cs="Times New Roman"/>
            <w:color w:val="1155CC"/>
            <w:sz w:val="24"/>
            <w:szCs w:val="24"/>
            <w:highlight w:val="white"/>
            <w:u w:val="single"/>
          </w:rPr>
          <w:t>https://www.researchgate.net/profile/Sahra-Anwer-Hussein/publication/367182037_The_role_of_learning_organizations_in_crisis_management_strategy_A_case_study/links/63f52e325749505945</w:t>
        </w:r>
        <w:r>
          <w:rPr>
            <w:rFonts w:ascii="Times New Roman" w:eastAsia="Times New Roman" w:hAnsi="Times New Roman" w:cs="Times New Roman"/>
            <w:color w:val="1155CC"/>
            <w:sz w:val="24"/>
            <w:szCs w:val="24"/>
            <w:highlight w:val="white"/>
            <w:u w:val="single"/>
          </w:rPr>
          <w:t>31e7ec/The-role-of-learning-organizations-in-crisis-management-strategy-A-case-study.pdf</w:t>
        </w:r>
      </w:hyperlink>
      <w:r>
        <w:rPr>
          <w:rFonts w:ascii="Times New Roman" w:eastAsia="Times New Roman" w:hAnsi="Times New Roman" w:cs="Times New Roman"/>
          <w:color w:val="222222"/>
          <w:sz w:val="24"/>
          <w:szCs w:val="24"/>
          <w:highlight w:val="white"/>
        </w:rPr>
        <w:t xml:space="preserve"> </w:t>
      </w:r>
    </w:p>
    <w:p w14:paraId="7CCB23B5"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Belias, D. and </w:t>
      </w:r>
      <w:proofErr w:type="spellStart"/>
      <w:r>
        <w:rPr>
          <w:rFonts w:ascii="Times New Roman" w:eastAsia="Times New Roman" w:hAnsi="Times New Roman" w:cs="Times New Roman"/>
          <w:color w:val="222222"/>
          <w:sz w:val="24"/>
          <w:szCs w:val="24"/>
          <w:highlight w:val="white"/>
        </w:rPr>
        <w:t>Koustelios</w:t>
      </w:r>
      <w:proofErr w:type="spellEnd"/>
      <w:r>
        <w:rPr>
          <w:rFonts w:ascii="Times New Roman" w:eastAsia="Times New Roman" w:hAnsi="Times New Roman" w:cs="Times New Roman"/>
          <w:color w:val="222222"/>
          <w:sz w:val="24"/>
          <w:szCs w:val="24"/>
          <w:highlight w:val="white"/>
        </w:rPr>
        <w:t xml:space="preserve">, A., 2014. Organizational culture and job satisfaction: A review. </w:t>
      </w:r>
      <w:r>
        <w:rPr>
          <w:rFonts w:ascii="Times New Roman" w:eastAsia="Times New Roman" w:hAnsi="Times New Roman" w:cs="Times New Roman"/>
          <w:i/>
          <w:color w:val="222222"/>
          <w:sz w:val="24"/>
          <w:szCs w:val="24"/>
          <w:highlight w:val="white"/>
        </w:rPr>
        <w:t xml:space="preserve">International review of management and </w:t>
      </w:r>
      <w:r>
        <w:rPr>
          <w:rFonts w:ascii="Times New Roman" w:eastAsia="Times New Roman" w:hAnsi="Times New Roman" w:cs="Times New Roman"/>
          <w:i/>
          <w:color w:val="222222"/>
          <w:sz w:val="24"/>
          <w:szCs w:val="24"/>
          <w:highlight w:val="white"/>
        </w:rPr>
        <w:t>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xml:space="preserve">(2), pp.132-149. </w:t>
      </w:r>
      <w:hyperlink r:id="rId9">
        <w:r>
          <w:rPr>
            <w:rFonts w:ascii="Times New Roman" w:eastAsia="Times New Roman" w:hAnsi="Times New Roman" w:cs="Times New Roman"/>
            <w:color w:val="1155CC"/>
            <w:sz w:val="24"/>
            <w:szCs w:val="24"/>
            <w:highlight w:val="white"/>
            <w:u w:val="single"/>
          </w:rPr>
          <w:t>https://dergipark.org.tr/en/pub/irmm/issue/32080/355053</w:t>
        </w:r>
      </w:hyperlink>
      <w:r>
        <w:rPr>
          <w:rFonts w:ascii="Times New Roman" w:eastAsia="Times New Roman" w:hAnsi="Times New Roman" w:cs="Times New Roman"/>
          <w:color w:val="222222"/>
          <w:sz w:val="24"/>
          <w:szCs w:val="24"/>
          <w:highlight w:val="white"/>
        </w:rPr>
        <w:t xml:space="preserve"> </w:t>
      </w:r>
    </w:p>
    <w:p w14:paraId="7CCB23B6"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Burchell, M.J. and Robin, J., 2011. </w:t>
      </w:r>
      <w:r>
        <w:rPr>
          <w:rFonts w:ascii="Times New Roman" w:eastAsia="Times New Roman" w:hAnsi="Times New Roman" w:cs="Times New Roman"/>
          <w:i/>
          <w:color w:val="222222"/>
          <w:sz w:val="24"/>
          <w:szCs w:val="24"/>
          <w:highlight w:val="white"/>
        </w:rPr>
        <w:t xml:space="preserve">The great workplace: How </w:t>
      </w:r>
      <w:r>
        <w:rPr>
          <w:rFonts w:ascii="Times New Roman" w:eastAsia="Times New Roman" w:hAnsi="Times New Roman" w:cs="Times New Roman"/>
          <w:i/>
          <w:color w:val="222222"/>
          <w:sz w:val="24"/>
          <w:szCs w:val="24"/>
          <w:highlight w:val="white"/>
        </w:rPr>
        <w:t>to build it, how to keep it, and why it matters</w:t>
      </w:r>
      <w:r>
        <w:rPr>
          <w:rFonts w:ascii="Times New Roman" w:eastAsia="Times New Roman" w:hAnsi="Times New Roman" w:cs="Times New Roman"/>
          <w:color w:val="222222"/>
          <w:sz w:val="24"/>
          <w:szCs w:val="24"/>
          <w:highlight w:val="white"/>
        </w:rPr>
        <w:t xml:space="preserve">. John Wiley &amp; Sons. </w:t>
      </w:r>
      <w:hyperlink r:id="rId10">
        <w:r>
          <w:rPr>
            <w:rFonts w:ascii="Times New Roman" w:eastAsia="Times New Roman" w:hAnsi="Times New Roman" w:cs="Times New Roman"/>
            <w:color w:val="1155CC"/>
            <w:sz w:val="24"/>
            <w:szCs w:val="24"/>
            <w:highlight w:val="white"/>
            <w:u w:val="single"/>
          </w:rPr>
          <w:t>https://books.google.com/books?hl=en&amp;lr=&amp;id=SdgaDAAAQBAJ&amp;oi=fnd&amp;pg=PR11&amp;dq=The+man%E2%80%99s+eagerness+to+establish+a+thriv</w:t>
        </w:r>
        <w:r>
          <w:rPr>
            <w:rFonts w:ascii="Times New Roman" w:eastAsia="Times New Roman" w:hAnsi="Times New Roman" w:cs="Times New Roman"/>
            <w:color w:val="1155CC"/>
            <w:sz w:val="24"/>
            <w:szCs w:val="24"/>
            <w:highlight w:val="white"/>
            <w:u w:val="single"/>
          </w:rPr>
          <w:t>ing+environment+for+his+staff+in+addition+to+his+meticulous+attention+given+to+the+minutest+needs+of+the+</w:t>
        </w:r>
        <w:r>
          <w:rPr>
            <w:rFonts w:ascii="Times New Roman" w:eastAsia="Times New Roman" w:hAnsi="Times New Roman" w:cs="Times New Roman"/>
            <w:color w:val="1155CC"/>
            <w:sz w:val="24"/>
            <w:szCs w:val="24"/>
            <w:highlight w:val="white"/>
            <w:u w:val="single"/>
          </w:rPr>
          <w:lastRenderedPageBreak/>
          <w:t>workforce,+is+one+of+a+kind.&amp;ots=uxj-dnuu04&amp;sig=1sWkbMMHCSnUvyHBoom_Zp5ZmoI</w:t>
        </w:r>
      </w:hyperlink>
      <w:r>
        <w:rPr>
          <w:rFonts w:ascii="Times New Roman" w:eastAsia="Times New Roman" w:hAnsi="Times New Roman" w:cs="Times New Roman"/>
          <w:color w:val="222222"/>
          <w:sz w:val="24"/>
          <w:szCs w:val="24"/>
          <w:highlight w:val="white"/>
        </w:rPr>
        <w:t xml:space="preserve"> </w:t>
      </w:r>
    </w:p>
    <w:p w14:paraId="7CCB23B7"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Cloke, K. and Goldsmith, J., 2011. </w:t>
      </w:r>
      <w:r>
        <w:rPr>
          <w:rFonts w:ascii="Times New Roman" w:eastAsia="Times New Roman" w:hAnsi="Times New Roman" w:cs="Times New Roman"/>
          <w:i/>
          <w:color w:val="222222"/>
          <w:sz w:val="24"/>
          <w:szCs w:val="24"/>
          <w:highlight w:val="white"/>
        </w:rPr>
        <w:t>Reso</w:t>
      </w:r>
      <w:r>
        <w:rPr>
          <w:rFonts w:ascii="Times New Roman" w:eastAsia="Times New Roman" w:hAnsi="Times New Roman" w:cs="Times New Roman"/>
          <w:i/>
          <w:color w:val="222222"/>
          <w:sz w:val="24"/>
          <w:szCs w:val="24"/>
          <w:highlight w:val="white"/>
        </w:rPr>
        <w:t>lving conflicts at work: Ten strategies for everyone on the job</w:t>
      </w:r>
      <w:r>
        <w:rPr>
          <w:rFonts w:ascii="Times New Roman" w:eastAsia="Times New Roman" w:hAnsi="Times New Roman" w:cs="Times New Roman"/>
          <w:color w:val="222222"/>
          <w:sz w:val="24"/>
          <w:szCs w:val="24"/>
          <w:highlight w:val="white"/>
        </w:rPr>
        <w:t xml:space="preserve">. John Wiley &amp; Sons. </w:t>
      </w:r>
      <w:hyperlink r:id="rId11">
        <w:r>
          <w:rPr>
            <w:rFonts w:ascii="Times New Roman" w:eastAsia="Times New Roman" w:hAnsi="Times New Roman" w:cs="Times New Roman"/>
            <w:color w:val="1155CC"/>
            <w:sz w:val="24"/>
            <w:szCs w:val="24"/>
            <w:highlight w:val="white"/>
            <w:u w:val="single"/>
          </w:rPr>
          <w:t>https://books.google.com/books?hl=en&amp;lr=&amp;id=D9itF0aQvcYC&amp;oi=fnd&amp;pg=PR7&amp;dq=In+this+regard,+he+exh</w:t>
        </w:r>
        <w:r>
          <w:rPr>
            <w:rFonts w:ascii="Times New Roman" w:eastAsia="Times New Roman" w:hAnsi="Times New Roman" w:cs="Times New Roman"/>
            <w:color w:val="1155CC"/>
            <w:sz w:val="24"/>
            <w:szCs w:val="24"/>
            <w:highlight w:val="white"/>
            <w:u w:val="single"/>
          </w:rPr>
          <w:t>ibits+an+active+stance+with+regard+to+competence,+ethics,+transparency,+and+an+endless+quest+for+goals,+proactively+addressing+group+conflicts,+disputes,+and+disagreements&amp;ots=h1w2gM43vf&amp;sig=v3SyLItBTHzuLFM105Fr1OBOsJ4</w:t>
        </w:r>
      </w:hyperlink>
      <w:r>
        <w:rPr>
          <w:rFonts w:ascii="Times New Roman" w:eastAsia="Times New Roman" w:hAnsi="Times New Roman" w:cs="Times New Roman"/>
          <w:color w:val="222222"/>
          <w:sz w:val="24"/>
          <w:szCs w:val="24"/>
          <w:highlight w:val="white"/>
        </w:rPr>
        <w:t xml:space="preserve"> </w:t>
      </w:r>
    </w:p>
    <w:p w14:paraId="7CCB23B8"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DiTullio, L., 2010. </w:t>
      </w:r>
      <w:r>
        <w:rPr>
          <w:rFonts w:ascii="Times New Roman" w:eastAsia="Times New Roman" w:hAnsi="Times New Roman" w:cs="Times New Roman"/>
          <w:i/>
          <w:color w:val="222222"/>
          <w:sz w:val="24"/>
          <w:szCs w:val="24"/>
          <w:highlight w:val="white"/>
        </w:rPr>
        <w:t>Project team dynamics: enhancing performance, improving results</w:t>
      </w:r>
      <w:r>
        <w:rPr>
          <w:rFonts w:ascii="Times New Roman" w:eastAsia="Times New Roman" w:hAnsi="Times New Roman" w:cs="Times New Roman"/>
          <w:color w:val="222222"/>
          <w:sz w:val="24"/>
          <w:szCs w:val="24"/>
          <w:highlight w:val="white"/>
        </w:rPr>
        <w:t xml:space="preserve">. Berrett-Koehler Publishers. </w:t>
      </w:r>
      <w:hyperlink r:id="rId12">
        <w:r>
          <w:rPr>
            <w:rFonts w:ascii="Times New Roman" w:eastAsia="Times New Roman" w:hAnsi="Times New Roman" w:cs="Times New Roman"/>
            <w:color w:val="1155CC"/>
            <w:sz w:val="24"/>
            <w:szCs w:val="24"/>
            <w:highlight w:val="white"/>
            <w:u w:val="single"/>
          </w:rPr>
          <w:t>https://books.google.com/books?hl=en&amp;lr=&amp;id=_hhFDwAAQBAJ&amp;oi=fnd&amp;pg=PT1&amp;dq=As+a+result+of+his+continuous+endeavor+towards+encouraging+team+cohesion,+motivating+the+team,+promoting+unity,+and+facilitating+acknowledgment,+there+has+been+a+great+impro</w:t>
        </w:r>
        <w:r>
          <w:rPr>
            <w:rFonts w:ascii="Times New Roman" w:eastAsia="Times New Roman" w:hAnsi="Times New Roman" w:cs="Times New Roman"/>
            <w:color w:val="1155CC"/>
            <w:sz w:val="24"/>
            <w:szCs w:val="24"/>
            <w:highlight w:val="white"/>
            <w:u w:val="single"/>
          </w:rPr>
          <w:t>vement+of+team+dynamics+and+enhanced+communication,+both+internally+and+externally+of+the+group.&amp;ots=BP9_cxBuxO&amp;sig=CONeuWREEXmQgZLQIFL2RVU9PGs</w:t>
        </w:r>
      </w:hyperlink>
      <w:r>
        <w:rPr>
          <w:rFonts w:ascii="Times New Roman" w:eastAsia="Times New Roman" w:hAnsi="Times New Roman" w:cs="Times New Roman"/>
          <w:color w:val="222222"/>
          <w:sz w:val="24"/>
          <w:szCs w:val="24"/>
          <w:highlight w:val="white"/>
        </w:rPr>
        <w:t xml:space="preserve"> </w:t>
      </w:r>
    </w:p>
    <w:p w14:paraId="7CCB23B9"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Dziuba, S.T., </w:t>
      </w:r>
      <w:proofErr w:type="spellStart"/>
      <w:r>
        <w:rPr>
          <w:rFonts w:ascii="Times New Roman" w:eastAsia="Times New Roman" w:hAnsi="Times New Roman" w:cs="Times New Roman"/>
          <w:color w:val="222222"/>
          <w:sz w:val="24"/>
          <w:szCs w:val="24"/>
          <w:highlight w:val="white"/>
        </w:rPr>
        <w:t>Ingaldi</w:t>
      </w:r>
      <w:proofErr w:type="spellEnd"/>
      <w:r>
        <w:rPr>
          <w:rFonts w:ascii="Times New Roman" w:eastAsia="Times New Roman" w:hAnsi="Times New Roman" w:cs="Times New Roman"/>
          <w:color w:val="222222"/>
          <w:sz w:val="24"/>
          <w:szCs w:val="24"/>
          <w:highlight w:val="white"/>
        </w:rPr>
        <w:t>, M. and Zhuravskaya, M., 2020. Employees’ job satisfa</w:t>
      </w:r>
      <w:r>
        <w:rPr>
          <w:rFonts w:ascii="Times New Roman" w:eastAsia="Times New Roman" w:hAnsi="Times New Roman" w:cs="Times New Roman"/>
          <w:color w:val="222222"/>
          <w:sz w:val="24"/>
          <w:szCs w:val="24"/>
          <w:highlight w:val="white"/>
        </w:rPr>
        <w:t xml:space="preserve">ction and their work performance as elements influencing work safety. </w:t>
      </w:r>
      <w:r>
        <w:rPr>
          <w:rFonts w:ascii="Times New Roman" w:eastAsia="Times New Roman" w:hAnsi="Times New Roman" w:cs="Times New Roman"/>
          <w:i/>
          <w:color w:val="222222"/>
          <w:sz w:val="24"/>
          <w:szCs w:val="24"/>
          <w:highlight w:val="white"/>
        </w:rPr>
        <w:t>System Safety: Human-Technical Facility-Environment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xml:space="preserve">(1), pp.18-25. </w:t>
      </w:r>
      <w:hyperlink r:id="rId13">
        <w:r>
          <w:rPr>
            <w:rFonts w:ascii="Times New Roman" w:eastAsia="Times New Roman" w:hAnsi="Times New Roman" w:cs="Times New Roman"/>
            <w:color w:val="1155CC"/>
            <w:sz w:val="24"/>
            <w:szCs w:val="24"/>
            <w:highlight w:val="white"/>
            <w:u w:val="single"/>
          </w:rPr>
          <w:t>https://sciendo.com/article/10.2478/czoto-2020-0</w:t>
        </w:r>
        <w:r>
          <w:rPr>
            <w:rFonts w:ascii="Times New Roman" w:eastAsia="Times New Roman" w:hAnsi="Times New Roman" w:cs="Times New Roman"/>
            <w:color w:val="1155CC"/>
            <w:sz w:val="24"/>
            <w:szCs w:val="24"/>
            <w:highlight w:val="white"/>
            <w:u w:val="single"/>
          </w:rPr>
          <w:t>003</w:t>
        </w:r>
      </w:hyperlink>
      <w:r>
        <w:rPr>
          <w:rFonts w:ascii="Times New Roman" w:eastAsia="Times New Roman" w:hAnsi="Times New Roman" w:cs="Times New Roman"/>
          <w:color w:val="222222"/>
          <w:sz w:val="24"/>
          <w:szCs w:val="24"/>
          <w:highlight w:val="white"/>
        </w:rPr>
        <w:t xml:space="preserve"> </w:t>
      </w:r>
    </w:p>
    <w:p w14:paraId="7CCB23BA"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Jumady</w:t>
      </w:r>
      <w:proofErr w:type="spellEnd"/>
      <w:r>
        <w:rPr>
          <w:rFonts w:ascii="Times New Roman" w:eastAsia="Times New Roman" w:hAnsi="Times New Roman" w:cs="Times New Roman"/>
          <w:color w:val="222222"/>
          <w:sz w:val="24"/>
          <w:szCs w:val="24"/>
          <w:highlight w:val="white"/>
        </w:rPr>
        <w:t xml:space="preserve">, E. and Lilla, L., 2021. Antecedent and Consequence the Human Resources Management Factors on Civil Servant Performance. </w:t>
      </w:r>
      <w:r>
        <w:rPr>
          <w:rFonts w:ascii="Times New Roman" w:eastAsia="Times New Roman" w:hAnsi="Times New Roman" w:cs="Times New Roman"/>
          <w:i/>
          <w:color w:val="222222"/>
          <w:sz w:val="24"/>
          <w:szCs w:val="24"/>
          <w:highlight w:val="white"/>
        </w:rPr>
        <w:t>Golden Ratio of Human Resource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xml:space="preserve">(2), pp.104-116. </w:t>
      </w:r>
      <w:hyperlink r:id="rId14">
        <w:r>
          <w:rPr>
            <w:rFonts w:ascii="Times New Roman" w:eastAsia="Times New Roman" w:hAnsi="Times New Roman" w:cs="Times New Roman"/>
            <w:color w:val="1155CC"/>
            <w:sz w:val="24"/>
            <w:szCs w:val="24"/>
            <w:highlight w:val="white"/>
            <w:u w:val="single"/>
          </w:rPr>
          <w:t>https://goldenratio.id/index.php/grhrm/article/view/101</w:t>
        </w:r>
      </w:hyperlink>
      <w:r>
        <w:rPr>
          <w:rFonts w:ascii="Times New Roman" w:eastAsia="Times New Roman" w:hAnsi="Times New Roman" w:cs="Times New Roman"/>
          <w:color w:val="222222"/>
          <w:sz w:val="24"/>
          <w:szCs w:val="24"/>
          <w:highlight w:val="white"/>
        </w:rPr>
        <w:t xml:space="preserve"> </w:t>
      </w:r>
    </w:p>
    <w:p w14:paraId="7CCB23BB"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Kafashpoor</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Shakoori</w:t>
      </w:r>
      <w:proofErr w:type="spellEnd"/>
      <w:r>
        <w:rPr>
          <w:rFonts w:ascii="Times New Roman" w:eastAsia="Times New Roman" w:hAnsi="Times New Roman" w:cs="Times New Roman"/>
          <w:color w:val="222222"/>
          <w:sz w:val="24"/>
          <w:szCs w:val="24"/>
          <w:highlight w:val="white"/>
        </w:rPr>
        <w:t>, N. and Sadeghian, S., 2013. Linking organizational culture, structure, Leadership Style, st</w:t>
      </w:r>
      <w:r>
        <w:rPr>
          <w:rFonts w:ascii="Times New Roman" w:eastAsia="Times New Roman" w:hAnsi="Times New Roman" w:cs="Times New Roman"/>
          <w:color w:val="222222"/>
          <w:sz w:val="24"/>
          <w:szCs w:val="24"/>
          <w:highlight w:val="white"/>
        </w:rPr>
        <w:t xml:space="preserve">rategy, and organizational effectiveness: Mediating role of knowledge management. </w:t>
      </w:r>
      <w:r>
        <w:rPr>
          <w:rFonts w:ascii="Times New Roman" w:eastAsia="Times New Roman" w:hAnsi="Times New Roman" w:cs="Times New Roman"/>
          <w:i/>
          <w:color w:val="222222"/>
          <w:sz w:val="24"/>
          <w:szCs w:val="24"/>
          <w:highlight w:val="white"/>
        </w:rPr>
        <w:t>Advanced Research in Economic and Management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 xml:space="preserve">(3), pp.158-172. </w:t>
      </w:r>
      <w:hyperlink r:id="rId15">
        <w:r>
          <w:rPr>
            <w:rFonts w:ascii="Times New Roman" w:eastAsia="Times New Roman" w:hAnsi="Times New Roman" w:cs="Times New Roman"/>
            <w:color w:val="1155CC"/>
            <w:sz w:val="24"/>
            <w:szCs w:val="24"/>
            <w:highlight w:val="white"/>
            <w:u w:val="single"/>
          </w:rPr>
          <w:t>https://www.academia.edu/dow</w:t>
        </w:r>
        <w:r>
          <w:rPr>
            <w:rFonts w:ascii="Times New Roman" w:eastAsia="Times New Roman" w:hAnsi="Times New Roman" w:cs="Times New Roman"/>
            <w:color w:val="1155CC"/>
            <w:sz w:val="24"/>
            <w:szCs w:val="24"/>
            <w:highlight w:val="white"/>
            <w:u w:val="single"/>
          </w:rPr>
          <w:t>nload/48055341/1034092.pdf</w:t>
        </w:r>
      </w:hyperlink>
      <w:r>
        <w:rPr>
          <w:rFonts w:ascii="Times New Roman" w:eastAsia="Times New Roman" w:hAnsi="Times New Roman" w:cs="Times New Roman"/>
          <w:color w:val="222222"/>
          <w:sz w:val="24"/>
          <w:szCs w:val="24"/>
          <w:highlight w:val="white"/>
        </w:rPr>
        <w:t xml:space="preserve"> </w:t>
      </w:r>
    </w:p>
    <w:p w14:paraId="7CCB23BC"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Lear, L.W., 2012. The relationship between strategic leadership and strategic alignment in high-performing companies in South Africa. </w:t>
      </w:r>
      <w:r>
        <w:rPr>
          <w:rFonts w:ascii="Times New Roman" w:eastAsia="Times New Roman" w:hAnsi="Times New Roman" w:cs="Times New Roman"/>
          <w:i/>
          <w:color w:val="222222"/>
          <w:sz w:val="24"/>
          <w:szCs w:val="24"/>
          <w:highlight w:val="white"/>
        </w:rPr>
        <w:t>University of South Africa</w:t>
      </w:r>
      <w:r>
        <w:rPr>
          <w:rFonts w:ascii="Times New Roman" w:eastAsia="Times New Roman" w:hAnsi="Times New Roman" w:cs="Times New Roman"/>
          <w:color w:val="222222"/>
          <w:sz w:val="24"/>
          <w:szCs w:val="24"/>
          <w:highlight w:val="white"/>
        </w:rPr>
        <w:t xml:space="preserve">. </w:t>
      </w:r>
      <w:hyperlink r:id="rId16">
        <w:r>
          <w:rPr>
            <w:rFonts w:ascii="Times New Roman" w:eastAsia="Times New Roman" w:hAnsi="Times New Roman" w:cs="Times New Roman"/>
            <w:color w:val="1155CC"/>
            <w:sz w:val="24"/>
            <w:szCs w:val="24"/>
            <w:highlight w:val="white"/>
            <w:u w:val="single"/>
          </w:rPr>
          <w:t>https://core.ac.uk/download/pdf/43168674.pdf</w:t>
        </w:r>
      </w:hyperlink>
      <w:r>
        <w:rPr>
          <w:rFonts w:ascii="Times New Roman" w:eastAsia="Times New Roman" w:hAnsi="Times New Roman" w:cs="Times New Roman"/>
          <w:color w:val="222222"/>
          <w:sz w:val="24"/>
          <w:szCs w:val="24"/>
          <w:highlight w:val="white"/>
        </w:rPr>
        <w:t xml:space="preserve"> </w:t>
      </w:r>
    </w:p>
    <w:p w14:paraId="7CCB23BD"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Mansaray, H.E., 2019. The role of leadership style in </w:t>
      </w:r>
      <w:proofErr w:type="spellStart"/>
      <w:r>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change management: a literature review. </w:t>
      </w:r>
      <w:r>
        <w:rPr>
          <w:rFonts w:ascii="Times New Roman" w:eastAsia="Times New Roman" w:hAnsi="Times New Roman" w:cs="Times New Roman"/>
          <w:i/>
          <w:color w:val="222222"/>
          <w:sz w:val="24"/>
          <w:szCs w:val="24"/>
          <w:highlight w:val="white"/>
        </w:rPr>
        <w:t>Journa</w:t>
      </w:r>
      <w:r>
        <w:rPr>
          <w:rFonts w:ascii="Times New Roman" w:eastAsia="Times New Roman" w:hAnsi="Times New Roman" w:cs="Times New Roman"/>
          <w:i/>
          <w:color w:val="222222"/>
          <w:sz w:val="24"/>
          <w:szCs w:val="24"/>
          <w:highlight w:val="white"/>
        </w:rPr>
        <w:t>l of Human Resource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xml:space="preserve">(1), pp.18-31. </w:t>
      </w:r>
      <w:hyperlink r:id="rId17">
        <w:r>
          <w:rPr>
            <w:rFonts w:ascii="Times New Roman" w:eastAsia="Times New Roman" w:hAnsi="Times New Roman" w:cs="Times New Roman"/>
            <w:color w:val="1155CC"/>
            <w:sz w:val="24"/>
            <w:szCs w:val="24"/>
            <w:highlight w:val="white"/>
            <w:u w:val="single"/>
          </w:rPr>
          <w:t>https://www.academia.edu/download/85746027/10.11648.j.jhrm.20190701.13.pdf</w:t>
        </w:r>
      </w:hyperlink>
      <w:r>
        <w:rPr>
          <w:rFonts w:ascii="Times New Roman" w:eastAsia="Times New Roman" w:hAnsi="Times New Roman" w:cs="Times New Roman"/>
          <w:color w:val="222222"/>
          <w:sz w:val="24"/>
          <w:szCs w:val="24"/>
          <w:highlight w:val="white"/>
        </w:rPr>
        <w:t xml:space="preserve"> </w:t>
      </w:r>
    </w:p>
    <w:p w14:paraId="7CCB23BE"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Minda</w:t>
      </w:r>
      <w:r>
        <w:rPr>
          <w:rFonts w:ascii="Times New Roman" w:eastAsia="Times New Roman" w:hAnsi="Times New Roman" w:cs="Times New Roman"/>
          <w:color w:val="222222"/>
          <w:sz w:val="24"/>
          <w:szCs w:val="24"/>
          <w:highlight w:val="white"/>
        </w:rPr>
        <w:t>pa</w:t>
      </w:r>
      <w:proofErr w:type="spellEnd"/>
      <w:r>
        <w:rPr>
          <w:rFonts w:ascii="Times New Roman" w:eastAsia="Times New Roman" w:hAnsi="Times New Roman" w:cs="Times New Roman"/>
          <w:color w:val="222222"/>
          <w:sz w:val="24"/>
          <w:szCs w:val="24"/>
          <w:highlight w:val="white"/>
        </w:rPr>
        <w:t xml:space="preserve">, A.K., 2022. Critical Evaluation of Blake </w:t>
      </w:r>
      <w:proofErr w:type="gramStart"/>
      <w:r>
        <w:rPr>
          <w:rFonts w:ascii="Times New Roman" w:eastAsia="Times New Roman" w:hAnsi="Times New Roman" w:cs="Times New Roman"/>
          <w:color w:val="222222"/>
          <w:sz w:val="24"/>
          <w:szCs w:val="24"/>
          <w:highlight w:val="white"/>
        </w:rPr>
        <w:t>And</w:t>
      </w:r>
      <w:proofErr w:type="gramEnd"/>
      <w:r>
        <w:rPr>
          <w:rFonts w:ascii="Times New Roman" w:eastAsia="Times New Roman" w:hAnsi="Times New Roman" w:cs="Times New Roman"/>
          <w:color w:val="222222"/>
          <w:sz w:val="24"/>
          <w:szCs w:val="24"/>
          <w:highlight w:val="white"/>
        </w:rPr>
        <w:t xml:space="preserve"> Mouton’s Managerial Grid and Its Application To Baze University Library. </w:t>
      </w:r>
      <w:r>
        <w:rPr>
          <w:rFonts w:ascii="Times New Roman" w:eastAsia="Times New Roman" w:hAnsi="Times New Roman" w:cs="Times New Roman"/>
          <w:i/>
          <w:color w:val="222222"/>
          <w:sz w:val="24"/>
          <w:szCs w:val="24"/>
          <w:highlight w:val="white"/>
        </w:rPr>
        <w:t>Library Philosophy &amp; Practice</w:t>
      </w:r>
      <w:r>
        <w:rPr>
          <w:rFonts w:ascii="Times New Roman" w:eastAsia="Times New Roman" w:hAnsi="Times New Roman" w:cs="Times New Roman"/>
          <w:color w:val="222222"/>
          <w:sz w:val="24"/>
          <w:szCs w:val="24"/>
          <w:highlight w:val="white"/>
        </w:rPr>
        <w:t xml:space="preserve">. </w:t>
      </w:r>
      <w:hyperlink r:id="rId18">
        <w:r>
          <w:rPr>
            <w:rFonts w:ascii="Times New Roman" w:eastAsia="Times New Roman" w:hAnsi="Times New Roman" w:cs="Times New Roman"/>
            <w:color w:val="1155CC"/>
            <w:sz w:val="24"/>
            <w:szCs w:val="24"/>
            <w:highlight w:val="white"/>
            <w:u w:val="single"/>
          </w:rPr>
          <w:t>https://www.researchga</w:t>
        </w:r>
        <w:r>
          <w:rPr>
            <w:rFonts w:ascii="Times New Roman" w:eastAsia="Times New Roman" w:hAnsi="Times New Roman" w:cs="Times New Roman"/>
            <w:color w:val="1155CC"/>
            <w:sz w:val="24"/>
            <w:szCs w:val="24"/>
            <w:highlight w:val="white"/>
            <w:u w:val="single"/>
          </w:rPr>
          <w:t>te.net/profile/Angelyna-Mindapa/publication/361172846_Critical_Evaluation_of_Blake_And_Mouton's_Managerial_Grid_and_Its_Application_To_Baze_University_Library/links/62a0af4aa3fe3e3df867d85d/Critical-Evaluation-of-Blake-And-Moutons-Managerial-Grid-and-Its-A</w:t>
        </w:r>
        <w:r>
          <w:rPr>
            <w:rFonts w:ascii="Times New Roman" w:eastAsia="Times New Roman" w:hAnsi="Times New Roman" w:cs="Times New Roman"/>
            <w:color w:val="1155CC"/>
            <w:sz w:val="24"/>
            <w:szCs w:val="24"/>
            <w:highlight w:val="white"/>
            <w:u w:val="single"/>
          </w:rPr>
          <w:t>pplication-To-Baze-University-Library.pdf</w:t>
        </w:r>
      </w:hyperlink>
      <w:r>
        <w:rPr>
          <w:rFonts w:ascii="Times New Roman" w:eastAsia="Times New Roman" w:hAnsi="Times New Roman" w:cs="Times New Roman"/>
          <w:color w:val="222222"/>
          <w:sz w:val="24"/>
          <w:szCs w:val="24"/>
          <w:highlight w:val="white"/>
        </w:rPr>
        <w:t xml:space="preserve"> </w:t>
      </w:r>
    </w:p>
    <w:p w14:paraId="7CCB23BF"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Molloy, P.L., 1998. A review of the managerial grid model of leadership and its role as a model of leadership culture. </w:t>
      </w:r>
      <w:r>
        <w:rPr>
          <w:rFonts w:ascii="Times New Roman" w:eastAsia="Times New Roman" w:hAnsi="Times New Roman" w:cs="Times New Roman"/>
          <w:i/>
          <w:color w:val="222222"/>
          <w:sz w:val="24"/>
          <w:szCs w:val="24"/>
          <w:highlight w:val="white"/>
        </w:rPr>
        <w:t>Aquarius Consulting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 xml:space="preserve">, pp.2-31. </w:t>
      </w:r>
      <w:hyperlink r:id="rId19">
        <w:r>
          <w:rPr>
            <w:rFonts w:ascii="Times New Roman" w:eastAsia="Times New Roman" w:hAnsi="Times New Roman" w:cs="Times New Roman"/>
            <w:color w:val="1155CC"/>
            <w:sz w:val="24"/>
            <w:szCs w:val="24"/>
            <w:highlight w:val="white"/>
            <w:u w:val="single"/>
          </w:rPr>
          <w:t>https://gacbe.ac.in/pdf/E_content/BBA/Organisational%20Behaviour-1/UNIT%20V%20Managerial%20%20Grid.pdf</w:t>
        </w:r>
      </w:hyperlink>
      <w:r>
        <w:rPr>
          <w:rFonts w:ascii="Times New Roman" w:eastAsia="Times New Roman" w:hAnsi="Times New Roman" w:cs="Times New Roman"/>
          <w:color w:val="222222"/>
          <w:sz w:val="24"/>
          <w:szCs w:val="24"/>
          <w:highlight w:val="white"/>
        </w:rPr>
        <w:t xml:space="preserve"> </w:t>
      </w:r>
    </w:p>
    <w:p w14:paraId="7CCB23C0"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Mullins, L.J., 2013. </w:t>
      </w:r>
      <w:r>
        <w:rPr>
          <w:rFonts w:ascii="Times New Roman" w:eastAsia="Times New Roman" w:hAnsi="Times New Roman" w:cs="Times New Roman"/>
          <w:color w:val="222222"/>
          <w:sz w:val="24"/>
          <w:szCs w:val="24"/>
          <w:highlight w:val="white"/>
        </w:rPr>
        <w:t xml:space="preserve">Management and Organizational Behavior (11th edit). </w:t>
      </w:r>
      <w:hyperlink r:id="rId20">
        <w:r>
          <w:rPr>
            <w:rFonts w:ascii="Times New Roman" w:eastAsia="Times New Roman" w:hAnsi="Times New Roman" w:cs="Times New Roman"/>
            <w:color w:val="1155CC"/>
            <w:sz w:val="24"/>
            <w:szCs w:val="24"/>
            <w:highlight w:val="white"/>
            <w:u w:val="single"/>
          </w:rPr>
          <w:t>http://www.mim.ac.mw/books/Management%20&amp;%20Organizational%20Behaviour,%207th%20edition.pdf</w:t>
        </w:r>
      </w:hyperlink>
      <w:r>
        <w:rPr>
          <w:rFonts w:ascii="Times New Roman" w:eastAsia="Times New Roman" w:hAnsi="Times New Roman" w:cs="Times New Roman"/>
          <w:color w:val="222222"/>
          <w:sz w:val="24"/>
          <w:szCs w:val="24"/>
          <w:highlight w:val="white"/>
        </w:rPr>
        <w:t xml:space="preserve"> </w:t>
      </w:r>
    </w:p>
    <w:p w14:paraId="7CCB23C1"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Pelkonen, E., 2019. Leading a team in the 21st century. </w:t>
      </w:r>
      <w:hyperlink r:id="rId21">
        <w:r>
          <w:rPr>
            <w:rFonts w:ascii="Times New Roman" w:eastAsia="Times New Roman" w:hAnsi="Times New Roman" w:cs="Times New Roman"/>
            <w:color w:val="1155CC"/>
            <w:sz w:val="24"/>
            <w:szCs w:val="24"/>
            <w:highlight w:val="white"/>
            <w:u w:val="single"/>
          </w:rPr>
          <w:t>https://www.theseus.fi/handle/10024/262500</w:t>
        </w:r>
      </w:hyperlink>
      <w:r>
        <w:rPr>
          <w:rFonts w:ascii="Times New Roman" w:eastAsia="Times New Roman" w:hAnsi="Times New Roman" w:cs="Times New Roman"/>
          <w:color w:val="222222"/>
          <w:sz w:val="24"/>
          <w:szCs w:val="24"/>
          <w:highlight w:val="white"/>
        </w:rPr>
        <w:t xml:space="preserve">  </w:t>
      </w:r>
    </w:p>
    <w:p w14:paraId="7CCB23C2"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Roberson, N.A., 2005. </w:t>
      </w:r>
      <w:r>
        <w:rPr>
          <w:rFonts w:ascii="Times New Roman" w:eastAsia="Times New Roman" w:hAnsi="Times New Roman" w:cs="Times New Roman"/>
          <w:i/>
          <w:color w:val="222222"/>
          <w:sz w:val="24"/>
          <w:szCs w:val="24"/>
          <w:highlight w:val="white"/>
        </w:rPr>
        <w:t>Assessing leadership styles using Graves' levels of existence and Blake and Mouton's Managerial Grid</w:t>
      </w:r>
      <w:r>
        <w:rPr>
          <w:rFonts w:ascii="Times New Roman" w:eastAsia="Times New Roman" w:hAnsi="Times New Roman" w:cs="Times New Roman"/>
          <w:color w:val="222222"/>
          <w:sz w:val="24"/>
          <w:szCs w:val="24"/>
          <w:highlight w:val="white"/>
        </w:rPr>
        <w:t xml:space="preserve">. Regent University. </w:t>
      </w:r>
      <w:hyperlink r:id="rId22">
        <w:r>
          <w:rPr>
            <w:rFonts w:ascii="Times New Roman" w:eastAsia="Times New Roman" w:hAnsi="Times New Roman" w:cs="Times New Roman"/>
            <w:color w:val="1155CC"/>
            <w:sz w:val="24"/>
            <w:szCs w:val="24"/>
            <w:highlight w:val="white"/>
            <w:u w:val="single"/>
          </w:rPr>
          <w:t>https://search.proquest.com/openview/1bc9d3cb19ad23ff0eed7c309662484d/1?pq-origsite=gscholar&amp;cbl=18750&amp;diss=y</w:t>
        </w:r>
      </w:hyperlink>
      <w:r>
        <w:rPr>
          <w:rFonts w:ascii="Times New Roman" w:eastAsia="Times New Roman" w:hAnsi="Times New Roman" w:cs="Times New Roman"/>
          <w:color w:val="222222"/>
          <w:sz w:val="24"/>
          <w:szCs w:val="24"/>
          <w:highlight w:val="white"/>
        </w:rPr>
        <w:t xml:space="preserve"> </w:t>
      </w:r>
    </w:p>
    <w:p w14:paraId="7CCB23C3"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Todăriţă</w:t>
      </w:r>
      <w:proofErr w:type="spellEnd"/>
      <w:r>
        <w:rPr>
          <w:rFonts w:ascii="Times New Roman" w:eastAsia="Times New Roman" w:hAnsi="Times New Roman" w:cs="Times New Roman"/>
          <w:color w:val="222222"/>
          <w:sz w:val="24"/>
          <w:szCs w:val="24"/>
          <w:highlight w:val="white"/>
        </w:rPr>
        <w:t>, E.T., 2021. Leadership Style Determination acco</w:t>
      </w:r>
      <w:r>
        <w:rPr>
          <w:rFonts w:ascii="Times New Roman" w:eastAsia="Times New Roman" w:hAnsi="Times New Roman" w:cs="Times New Roman"/>
          <w:color w:val="222222"/>
          <w:sz w:val="24"/>
          <w:szCs w:val="24"/>
          <w:highlight w:val="white"/>
        </w:rPr>
        <w:t xml:space="preserve">rding to Robert Blake and Jane Mouton’s Managerial Grid. In </w:t>
      </w:r>
      <w:r>
        <w:rPr>
          <w:rFonts w:ascii="Times New Roman" w:eastAsia="Times New Roman" w:hAnsi="Times New Roman" w:cs="Times New Roman"/>
          <w:i/>
          <w:color w:val="222222"/>
          <w:sz w:val="24"/>
          <w:szCs w:val="24"/>
          <w:highlight w:val="white"/>
        </w:rPr>
        <w:t>International conference KNOWLEDGE-BASED ORGANIZATION</w:t>
      </w:r>
      <w:r>
        <w:rPr>
          <w:rFonts w:ascii="Times New Roman" w:eastAsia="Times New Roman" w:hAnsi="Times New Roman" w:cs="Times New Roman"/>
          <w:color w:val="222222"/>
          <w:sz w:val="24"/>
          <w:szCs w:val="24"/>
          <w:highlight w:val="white"/>
        </w:rPr>
        <w:t xml:space="preserve"> (Vol. 27, No. 1, pp. 241-246). </w:t>
      </w:r>
      <w:hyperlink r:id="rId23">
        <w:r>
          <w:rPr>
            <w:rFonts w:ascii="Times New Roman" w:eastAsia="Times New Roman" w:hAnsi="Times New Roman" w:cs="Times New Roman"/>
            <w:color w:val="1155CC"/>
            <w:sz w:val="24"/>
            <w:szCs w:val="24"/>
            <w:highlight w:val="white"/>
            <w:u w:val="single"/>
          </w:rPr>
          <w:t>https://sciendo.com/article/10.2478/kbo-2021</w:t>
        </w:r>
        <w:r>
          <w:rPr>
            <w:rFonts w:ascii="Times New Roman" w:eastAsia="Times New Roman" w:hAnsi="Times New Roman" w:cs="Times New Roman"/>
            <w:color w:val="1155CC"/>
            <w:sz w:val="24"/>
            <w:szCs w:val="24"/>
            <w:highlight w:val="white"/>
            <w:u w:val="single"/>
          </w:rPr>
          <w:t>-0037</w:t>
        </w:r>
      </w:hyperlink>
      <w:r>
        <w:rPr>
          <w:rFonts w:ascii="Times New Roman" w:eastAsia="Times New Roman" w:hAnsi="Times New Roman" w:cs="Times New Roman"/>
          <w:color w:val="222222"/>
          <w:sz w:val="24"/>
          <w:szCs w:val="24"/>
          <w:highlight w:val="white"/>
        </w:rPr>
        <w:t xml:space="preserve"> </w:t>
      </w:r>
    </w:p>
    <w:p w14:paraId="7CCB23C4"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Vidyakala</w:t>
      </w:r>
      <w:proofErr w:type="spellEnd"/>
      <w:r>
        <w:rPr>
          <w:rFonts w:ascii="Times New Roman" w:eastAsia="Times New Roman" w:hAnsi="Times New Roman" w:cs="Times New Roman"/>
          <w:color w:val="222222"/>
          <w:sz w:val="24"/>
          <w:szCs w:val="24"/>
          <w:highlight w:val="white"/>
        </w:rPr>
        <w:t xml:space="preserve">, K., 2020. A Conceptual Study on Managerial Grid Approach. </w:t>
      </w:r>
      <w:proofErr w:type="spellStart"/>
      <w:r>
        <w:rPr>
          <w:rFonts w:ascii="Times New Roman" w:eastAsia="Times New Roman" w:hAnsi="Times New Roman" w:cs="Times New Roman"/>
          <w:i/>
          <w:color w:val="222222"/>
          <w:sz w:val="24"/>
          <w:szCs w:val="24"/>
          <w:highlight w:val="white"/>
        </w:rPr>
        <w:t>Aut</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Aut</w:t>
      </w:r>
      <w:proofErr w:type="spellEnd"/>
      <w:r>
        <w:rPr>
          <w:rFonts w:ascii="Times New Roman" w:eastAsia="Times New Roman" w:hAnsi="Times New Roman" w:cs="Times New Roman"/>
          <w:i/>
          <w:color w:val="222222"/>
          <w:sz w:val="24"/>
          <w:szCs w:val="24"/>
          <w:highlight w:val="white"/>
        </w:rPr>
        <w:t xml:space="preserve"> Research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 pp.117-122. </w:t>
      </w:r>
      <w:hyperlink r:id="rId24">
        <w:r>
          <w:rPr>
            <w:rFonts w:ascii="Times New Roman" w:eastAsia="Times New Roman" w:hAnsi="Times New Roman" w:cs="Times New Roman"/>
            <w:color w:val="1155CC"/>
            <w:sz w:val="24"/>
            <w:szCs w:val="24"/>
            <w:highlight w:val="white"/>
            <w:u w:val="single"/>
          </w:rPr>
          <w:t>https://papers.ssrn.com/s</w:t>
        </w:r>
        <w:r>
          <w:rPr>
            <w:rFonts w:ascii="Times New Roman" w:eastAsia="Times New Roman" w:hAnsi="Times New Roman" w:cs="Times New Roman"/>
            <w:color w:val="1155CC"/>
            <w:sz w:val="24"/>
            <w:szCs w:val="24"/>
            <w:highlight w:val="white"/>
            <w:u w:val="single"/>
          </w:rPr>
          <w:t>ol3/papers.cfm?abstract_id=3713845</w:t>
        </w:r>
      </w:hyperlink>
      <w:r>
        <w:rPr>
          <w:rFonts w:ascii="Times New Roman" w:eastAsia="Times New Roman" w:hAnsi="Times New Roman" w:cs="Times New Roman"/>
          <w:color w:val="222222"/>
          <w:sz w:val="24"/>
          <w:szCs w:val="24"/>
          <w:highlight w:val="white"/>
        </w:rPr>
        <w:t xml:space="preserve"> </w:t>
      </w:r>
    </w:p>
    <w:p w14:paraId="7CCB23C5"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Wireman, T., 2005. </w:t>
      </w:r>
      <w:r>
        <w:rPr>
          <w:rFonts w:ascii="Times New Roman" w:eastAsia="Times New Roman" w:hAnsi="Times New Roman" w:cs="Times New Roman"/>
          <w:i/>
          <w:color w:val="222222"/>
          <w:sz w:val="24"/>
          <w:szCs w:val="24"/>
          <w:highlight w:val="white"/>
        </w:rPr>
        <w:t>Developing performance indicators for managing maintenance</w:t>
      </w:r>
      <w:r>
        <w:rPr>
          <w:rFonts w:ascii="Times New Roman" w:eastAsia="Times New Roman" w:hAnsi="Times New Roman" w:cs="Times New Roman"/>
          <w:color w:val="222222"/>
          <w:sz w:val="24"/>
          <w:szCs w:val="24"/>
          <w:highlight w:val="white"/>
        </w:rPr>
        <w:t xml:space="preserve">. Industrial Press </w:t>
      </w:r>
      <w:proofErr w:type="gramStart"/>
      <w:r>
        <w:rPr>
          <w:rFonts w:ascii="Times New Roman" w:eastAsia="Times New Roman" w:hAnsi="Times New Roman" w:cs="Times New Roman"/>
          <w:color w:val="222222"/>
          <w:sz w:val="24"/>
          <w:szCs w:val="24"/>
          <w:highlight w:val="white"/>
        </w:rPr>
        <w:t>Inc..</w:t>
      </w:r>
      <w:proofErr w:type="gramEnd"/>
      <w:r>
        <w:rPr>
          <w:rFonts w:ascii="Times New Roman" w:eastAsia="Times New Roman" w:hAnsi="Times New Roman" w:cs="Times New Roman"/>
          <w:color w:val="222222"/>
          <w:sz w:val="24"/>
          <w:szCs w:val="24"/>
          <w:highlight w:val="white"/>
        </w:rPr>
        <w:t xml:space="preserve"> </w:t>
      </w:r>
      <w:hyperlink r:id="rId25">
        <w:r>
          <w:rPr>
            <w:rFonts w:ascii="Times New Roman" w:eastAsia="Times New Roman" w:hAnsi="Times New Roman" w:cs="Times New Roman"/>
            <w:color w:val="1155CC"/>
            <w:sz w:val="24"/>
            <w:szCs w:val="24"/>
            <w:highlight w:val="white"/>
            <w:u w:val="single"/>
          </w:rPr>
          <w:t>https://books.google.com/books?hl=en&amp;lr=&amp;id=qSTOnEwyraUC&amp;oi=fnd&amp;pg=PA1&amp;dq=+importance+of+equipping+his+staff+with+essential+tools+that+guarantee+the+comp</w:t>
        </w:r>
        <w:r>
          <w:rPr>
            <w:rFonts w:ascii="Times New Roman" w:eastAsia="Times New Roman" w:hAnsi="Times New Roman" w:cs="Times New Roman"/>
            <w:color w:val="1155CC"/>
            <w:sz w:val="24"/>
            <w:szCs w:val="24"/>
            <w:highlight w:val="white"/>
            <w:u w:val="single"/>
          </w:rPr>
          <w:lastRenderedPageBreak/>
          <w:t>any%E2%80%99s+outstanding+performance.+&amp;ots=2RG-A9pn1T&amp;sig=Do80APoC42O-l-zDkahYSiThlrg</w:t>
        </w:r>
      </w:hyperlink>
      <w:r>
        <w:rPr>
          <w:rFonts w:ascii="Times New Roman" w:eastAsia="Times New Roman" w:hAnsi="Times New Roman" w:cs="Times New Roman"/>
          <w:color w:val="222222"/>
          <w:sz w:val="24"/>
          <w:szCs w:val="24"/>
          <w:highlight w:val="white"/>
        </w:rPr>
        <w:t xml:space="preserve"> </w:t>
      </w:r>
    </w:p>
    <w:p w14:paraId="7CCB23C6" w14:textId="77777777" w:rsidR="001F0762" w:rsidRDefault="00515C34">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Yuengling, R., Parks, K.M. and McDonald, D.P., 2011. Foundation for diversity training: Competency model and learning objectives. </w:t>
      </w:r>
      <w:r>
        <w:rPr>
          <w:rFonts w:ascii="Times New Roman" w:eastAsia="Times New Roman" w:hAnsi="Times New Roman" w:cs="Times New Roman"/>
          <w:i/>
          <w:color w:val="222222"/>
          <w:sz w:val="24"/>
          <w:szCs w:val="24"/>
          <w:highlight w:val="white"/>
        </w:rPr>
        <w:t>Defense Equal Opportunity Management Institute Technical Report</w:t>
      </w:r>
      <w:r>
        <w:rPr>
          <w:rFonts w:ascii="Times New Roman" w:eastAsia="Times New Roman" w:hAnsi="Times New Roman" w:cs="Times New Roman"/>
          <w:color w:val="222222"/>
          <w:sz w:val="24"/>
          <w:szCs w:val="24"/>
          <w:highlight w:val="white"/>
        </w:rPr>
        <w:t xml:space="preserve">. </w:t>
      </w:r>
      <w:hyperlink r:id="rId26">
        <w:r>
          <w:rPr>
            <w:rFonts w:ascii="Times New Roman" w:eastAsia="Times New Roman" w:hAnsi="Times New Roman" w:cs="Times New Roman"/>
            <w:color w:val="1155CC"/>
            <w:sz w:val="24"/>
            <w:szCs w:val="24"/>
            <w:highlight w:val="white"/>
            <w:u w:val="single"/>
          </w:rPr>
          <w:t>https://www.defenseculture.mil/Portals/90/Documents/Research/Publications/TECR_06-12-Foundation_for_Div_Trng-20191106.pdf</w:t>
        </w:r>
      </w:hyperlink>
      <w:r>
        <w:rPr>
          <w:rFonts w:ascii="Times New Roman" w:eastAsia="Times New Roman" w:hAnsi="Times New Roman" w:cs="Times New Roman"/>
          <w:color w:val="222222"/>
          <w:sz w:val="24"/>
          <w:szCs w:val="24"/>
          <w:highlight w:val="white"/>
        </w:rPr>
        <w:t xml:space="preserve"> </w:t>
      </w:r>
    </w:p>
    <w:p w14:paraId="7CCB23C7" w14:textId="77777777" w:rsidR="001F0762" w:rsidRDefault="001F0762">
      <w:pPr>
        <w:spacing w:line="480" w:lineRule="auto"/>
        <w:rPr>
          <w:rFonts w:ascii="Times New Roman" w:eastAsia="Times New Roman" w:hAnsi="Times New Roman" w:cs="Times New Roman"/>
          <w:sz w:val="24"/>
          <w:szCs w:val="24"/>
        </w:rPr>
      </w:pPr>
    </w:p>
    <w:p w14:paraId="7CCB23C8" w14:textId="77777777" w:rsidR="001F0762" w:rsidRDefault="001F0762">
      <w:pPr>
        <w:spacing w:line="480" w:lineRule="auto"/>
        <w:rPr>
          <w:rFonts w:ascii="Times New Roman" w:eastAsia="Times New Roman" w:hAnsi="Times New Roman" w:cs="Times New Roman"/>
          <w:sz w:val="24"/>
          <w:szCs w:val="24"/>
        </w:rPr>
      </w:pPr>
    </w:p>
    <w:sectPr w:rsidR="001F0762">
      <w:headerReference w:type="default" r:id="rId2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B23CE" w14:textId="77777777" w:rsidR="00515C34" w:rsidRDefault="00515C34">
      <w:pPr>
        <w:spacing w:line="240" w:lineRule="auto"/>
      </w:pPr>
      <w:r>
        <w:separator/>
      </w:r>
    </w:p>
  </w:endnote>
  <w:endnote w:type="continuationSeparator" w:id="0">
    <w:p w14:paraId="7CCB23D0" w14:textId="77777777" w:rsidR="00515C34" w:rsidRDefault="00515C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B23CA" w14:textId="77777777" w:rsidR="00515C34" w:rsidRDefault="00515C34">
      <w:pPr>
        <w:spacing w:line="240" w:lineRule="auto"/>
      </w:pPr>
      <w:r>
        <w:separator/>
      </w:r>
    </w:p>
  </w:footnote>
  <w:footnote w:type="continuationSeparator" w:id="0">
    <w:p w14:paraId="7CCB23CC" w14:textId="77777777" w:rsidR="00515C34" w:rsidRDefault="00515C3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B23C9" w14:textId="684B1865" w:rsidR="001F0762" w:rsidRDefault="00515C34">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766524">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850976"/>
    <w:multiLevelType w:val="hybridMultilevel"/>
    <w:tmpl w:val="6158D07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1844358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762"/>
    <w:rsid w:val="00043F43"/>
    <w:rsid w:val="001F0762"/>
    <w:rsid w:val="00515C34"/>
    <w:rsid w:val="00766524"/>
    <w:rsid w:val="008F023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B238A"/>
  <w15:docId w15:val="{995EE3BF-14A5-46F7-964B-87800B485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Listparagraf">
    <w:name w:val="List Paragraph"/>
    <w:basedOn w:val="Normal"/>
    <w:uiPriority w:val="34"/>
    <w:qFormat/>
    <w:rsid w:val="008F02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Sahra-Anwer-Hussein/publication/367182037_The_role_of_learning_organizations_in_crisis_management_strategy_A_case_study/links/63f52e32574950594531e7ec/The-role-of-learning-organizations-in-crisis-management-strategy-A-case-study.pdf" TargetMode="External"/><Relationship Id="rId13" Type="http://schemas.openxmlformats.org/officeDocument/2006/relationships/hyperlink" Target="https://sciendo.com/article/10.2478/czoto-2020-0003" TargetMode="External"/><Relationship Id="rId18" Type="http://schemas.openxmlformats.org/officeDocument/2006/relationships/hyperlink" Target="https://www.researchgate.net/profile/Angelyna-Mindapa/publication/361172846_Critical_Evaluation_of_Blake_And_Mouton's_Managerial_Grid_and_Its_Application_To_Baze_University_Library/links/62a0af4aa3fe3e3df867d85d/Critical-Evaluation-of-Blake-And-Moutons-Managerial-Grid-and-Its-Application-To-Baze-University-Library.pdf" TargetMode="External"/><Relationship Id="rId26" Type="http://schemas.openxmlformats.org/officeDocument/2006/relationships/hyperlink" Target="https://www.defenseculture.mil/Portals/90/Documents/Research/Publications/TECR_06-12-Foundation_for_Div_Trng-20191106.pdf" TargetMode="External"/><Relationship Id="rId3" Type="http://schemas.openxmlformats.org/officeDocument/2006/relationships/settings" Target="settings.xml"/><Relationship Id="rId21" Type="http://schemas.openxmlformats.org/officeDocument/2006/relationships/hyperlink" Target="https://www.theseus.fi/handle/10024/262500" TargetMode="External"/><Relationship Id="rId7" Type="http://schemas.openxmlformats.org/officeDocument/2006/relationships/hyperlink" Target="https://books.google.com/books?hl=en&amp;lr=&amp;id=9rMYODXVc3IC&amp;oi=fnd&amp;pg=PP9&amp;dq=The+effectiveness+of+each+of+the+three+components+included+in+Adair%E2%80%99s+model,+including+task+completion,+team+leadership,+and+individual+growth,+is+perceived+differently+according+to+the+level+of+competence+attained+by+the+said+person+in+determining+the+importance+of+these+components&amp;ots=9IBpG29nUA&amp;sig=qU_ttbMidr9pxJuu4xrZc8V2BzU" TargetMode="External"/><Relationship Id="rId12" Type="http://schemas.openxmlformats.org/officeDocument/2006/relationships/hyperlink" Target="https://books.google.com/books?hl=en&amp;lr=&amp;id=_hhFDwAAQBAJ&amp;oi=fnd&amp;pg=PT1&amp;dq=As+a+result+of+his+continuous+endeavor+towards+encouraging+team+cohesion,+motivating+the+team,+promoting+unity,+and+facilitating+acknowledgment,+there+has+been+a+great+improvement+of+team+dynamics+and+enhanced+communication,+both+internally+and+externally+of+the+group.&amp;ots=BP9_cxBuxO&amp;sig=CONeuWREEXmQgZLQIFL2RVU9PGs" TargetMode="External"/><Relationship Id="rId17" Type="http://schemas.openxmlformats.org/officeDocument/2006/relationships/hyperlink" Target="https://www.academia.edu/download/85746027/10.11648.j.jhrm.20190701.13.pdf" TargetMode="External"/><Relationship Id="rId25" Type="http://schemas.openxmlformats.org/officeDocument/2006/relationships/hyperlink" Target="https://books.google.com/books?hl=en&amp;lr=&amp;id=qSTOnEwyraUC&amp;oi=fnd&amp;pg=PA1&amp;dq=+importance+of+equipping+his+staff+with+essential+tools+that+guarantee+the+company%E2%80%99s+outstanding+performance.+&amp;ots=2RG-A9pn1T&amp;sig=Do80APoC42O-l-zDkahYSiThlrg" TargetMode="External"/><Relationship Id="rId2" Type="http://schemas.openxmlformats.org/officeDocument/2006/relationships/styles" Target="styles.xml"/><Relationship Id="rId16" Type="http://schemas.openxmlformats.org/officeDocument/2006/relationships/hyperlink" Target="https://core.ac.uk/download/pdf/43168674.pdf" TargetMode="External"/><Relationship Id="rId20" Type="http://schemas.openxmlformats.org/officeDocument/2006/relationships/hyperlink" Target="http://www.mim.ac.mw/books/Management%20&amp;%20Organizational%20Behaviour,%207th%20edition.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m/books?hl=en&amp;lr=&amp;id=D9itF0aQvcYC&amp;oi=fnd&amp;pg=PR7&amp;dq=In+this+regard,+he+exhibits+an+active+stance+with+regard+to+competence,+ethics,+transparency,+and+an+endless+quest+for+goals,+proactively+addressing+group+conflicts,+disputes,+and+disagreements&amp;ots=h1w2gM43vf&amp;sig=v3SyLItBTHzuLFM105Fr1OBOsJ4" TargetMode="External"/><Relationship Id="rId24" Type="http://schemas.openxmlformats.org/officeDocument/2006/relationships/hyperlink" Target="https://papers.ssrn.com/sol3/papers.cfm?abstract_id=3713845" TargetMode="External"/><Relationship Id="rId5" Type="http://schemas.openxmlformats.org/officeDocument/2006/relationships/footnotes" Target="footnotes.xml"/><Relationship Id="rId15" Type="http://schemas.openxmlformats.org/officeDocument/2006/relationships/hyperlink" Target="https://www.academia.edu/download/48055341/1034092.pdf" TargetMode="External"/><Relationship Id="rId23" Type="http://schemas.openxmlformats.org/officeDocument/2006/relationships/hyperlink" Target="https://sciendo.com/article/10.2478/kbo-2021-0037" TargetMode="External"/><Relationship Id="rId28" Type="http://schemas.openxmlformats.org/officeDocument/2006/relationships/fontTable" Target="fontTable.xml"/><Relationship Id="rId10" Type="http://schemas.openxmlformats.org/officeDocument/2006/relationships/hyperlink" Target="https://books.google.com/books?hl=en&amp;lr=&amp;id=SdgaDAAAQBAJ&amp;oi=fnd&amp;pg=PR11&amp;dq=The+man%E2%80%99s+eagerness+to+establish+a+thriving+environment+for+his+staff+in+addition+to+his+meticulous+attention+given+to+the+minutest+needs+of+the+workforce,+is+one+of+a+kind.&amp;ots=uxj-dnuu04&amp;sig=1sWkbMMHCSnUvyHBoom_Zp5ZmoI" TargetMode="External"/><Relationship Id="rId19" Type="http://schemas.openxmlformats.org/officeDocument/2006/relationships/hyperlink" Target="https://gacbe.ac.in/pdf/E_content/BBA/Organisational%20Behaviour-1/UNIT%20V%20Managerial%20%20Grid.pdf" TargetMode="External"/><Relationship Id="rId4" Type="http://schemas.openxmlformats.org/officeDocument/2006/relationships/webSettings" Target="webSettings.xml"/><Relationship Id="rId9" Type="http://schemas.openxmlformats.org/officeDocument/2006/relationships/hyperlink" Target="https://dergipark.org.tr/en/pub/irmm/issue/32080/355053" TargetMode="External"/><Relationship Id="rId14" Type="http://schemas.openxmlformats.org/officeDocument/2006/relationships/hyperlink" Target="https://goldenratio.id/index.php/grhrm/article/view/101" TargetMode="External"/><Relationship Id="rId22" Type="http://schemas.openxmlformats.org/officeDocument/2006/relationships/hyperlink" Target="https://search.proquest.com/openview/1bc9d3cb19ad23ff0eed7c309662484d/1?pq-origsite=gscholar&amp;cbl=18750&amp;diss=y"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14</Pages>
  <Words>3748</Words>
  <Characters>21743</Characters>
  <Application>Microsoft Office Word</Application>
  <DocSecurity>0</DocSecurity>
  <Lines>181</Lines>
  <Paragraphs>50</Paragraphs>
  <ScaleCrop>false</ScaleCrop>
  <Company/>
  <LinksUpToDate>false</LinksUpToDate>
  <CharactersWithSpaces>25441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calinalexandrulucian@gmail.com</cp:lastModifiedBy>
  <cp:revision>5</cp:revision>
  <dcterms:created xsi:type="dcterms:W3CDTF">2023-10-22T07:09:00Z</dcterms:created>
  <dcterms:modified xsi:type="dcterms:W3CDTF">2023-10-22T07:21:00Z</dcterms:modified>
</cp:coreProperties>
</file>