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53D1" w:rsidRDefault="000653D1" w:rsidP="000653D1">
      <w:pPr>
        <w:pStyle w:val="Title"/>
      </w:pPr>
    </w:p>
    <w:p w:rsidR="000653D1" w:rsidRDefault="000653D1" w:rsidP="000653D1">
      <w:pPr>
        <w:pStyle w:val="Title"/>
      </w:pPr>
    </w:p>
    <w:p w:rsidR="000653D1" w:rsidRDefault="000653D1" w:rsidP="000653D1"/>
    <w:p w:rsidR="000653D1" w:rsidRDefault="000653D1" w:rsidP="000653D1"/>
    <w:p w:rsidR="000653D1" w:rsidRPr="000653D1" w:rsidRDefault="000653D1" w:rsidP="000653D1"/>
    <w:p w:rsidR="000653D1" w:rsidRPr="00B85F1D" w:rsidRDefault="000653D1" w:rsidP="00B85F1D">
      <w:pPr>
        <w:pStyle w:val="Heading2"/>
        <w:jc w:val="right"/>
        <w:rPr>
          <w:sz w:val="44"/>
          <w:szCs w:val="44"/>
        </w:rPr>
      </w:pPr>
      <w:r w:rsidRPr="00B85F1D">
        <w:rPr>
          <w:sz w:val="44"/>
          <w:szCs w:val="44"/>
        </w:rPr>
        <w:t xml:space="preserve">Employability skills </w:t>
      </w:r>
    </w:p>
    <w:p w:rsidR="00AB1836" w:rsidRPr="00B85F1D" w:rsidRDefault="00AB1836" w:rsidP="00B85F1D">
      <w:pPr>
        <w:pStyle w:val="Heading2"/>
        <w:jc w:val="right"/>
        <w:rPr>
          <w:sz w:val="44"/>
          <w:szCs w:val="44"/>
        </w:rPr>
      </w:pPr>
      <w:r w:rsidRPr="00B85F1D">
        <w:rPr>
          <w:sz w:val="44"/>
          <w:szCs w:val="44"/>
        </w:rPr>
        <w:t>BMSK</w:t>
      </w:r>
      <w:r w:rsidR="000653D1" w:rsidRPr="00B85F1D">
        <w:rPr>
          <w:sz w:val="44"/>
          <w:szCs w:val="44"/>
        </w:rPr>
        <w:t>4001</w:t>
      </w:r>
    </w:p>
    <w:p w:rsidR="000653D1" w:rsidRPr="00B85F1D" w:rsidRDefault="000653D1" w:rsidP="00B85F1D">
      <w:pPr>
        <w:jc w:val="right"/>
        <w:rPr>
          <w:sz w:val="44"/>
          <w:szCs w:val="44"/>
        </w:rPr>
      </w:pPr>
    </w:p>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Default="000653D1" w:rsidP="000653D1"/>
    <w:p w:rsidR="000653D1" w:rsidRPr="000653D1" w:rsidRDefault="000653D1" w:rsidP="000653D1">
      <w:pPr>
        <w:pStyle w:val="Title"/>
        <w:jc w:val="right"/>
        <w:rPr>
          <w:sz w:val="40"/>
          <w:szCs w:val="40"/>
        </w:rPr>
      </w:pPr>
      <w:r w:rsidRPr="000653D1">
        <w:rPr>
          <w:sz w:val="40"/>
          <w:szCs w:val="40"/>
        </w:rPr>
        <w:t>Alisha Powell</w:t>
      </w:r>
    </w:p>
    <w:p w:rsidR="000653D1" w:rsidRPr="000653D1" w:rsidRDefault="000653D1" w:rsidP="000653D1">
      <w:pPr>
        <w:pStyle w:val="Title"/>
        <w:jc w:val="right"/>
        <w:rPr>
          <w:sz w:val="40"/>
          <w:szCs w:val="40"/>
        </w:rPr>
      </w:pPr>
      <w:r w:rsidRPr="000653D1">
        <w:rPr>
          <w:sz w:val="40"/>
          <w:szCs w:val="40"/>
        </w:rPr>
        <w:t>1806288@student.uwtsd.ac.uk</w:t>
      </w:r>
    </w:p>
    <w:p w:rsidR="000653D1" w:rsidRPr="000653D1" w:rsidRDefault="000653D1" w:rsidP="000653D1">
      <w:pPr>
        <w:pStyle w:val="Title"/>
        <w:jc w:val="right"/>
        <w:rPr>
          <w:sz w:val="40"/>
          <w:szCs w:val="40"/>
        </w:rPr>
      </w:pPr>
    </w:p>
    <w:p w:rsidR="000653D1" w:rsidRDefault="000653D1" w:rsidP="000653D1"/>
    <w:p w:rsidR="000653D1" w:rsidRDefault="000653D1" w:rsidP="000653D1"/>
    <w:p w:rsidR="000653D1" w:rsidRDefault="000653D1" w:rsidP="000653D1"/>
    <w:p w:rsidR="000653D1" w:rsidRDefault="000653D1" w:rsidP="000653D1"/>
    <w:p w:rsidR="000653D1" w:rsidRDefault="000653D1" w:rsidP="000653D1">
      <w:pPr>
        <w:pStyle w:val="Title"/>
        <w:rPr>
          <w:rFonts w:asciiTheme="minorHAnsi" w:eastAsiaTheme="minorHAnsi" w:hAnsiTheme="minorHAnsi" w:cstheme="minorBidi"/>
          <w:spacing w:val="0"/>
          <w:kern w:val="0"/>
          <w:sz w:val="22"/>
          <w:szCs w:val="22"/>
        </w:rPr>
      </w:pPr>
    </w:p>
    <w:p w:rsidR="00FF2AB4" w:rsidRDefault="00FF2AB4" w:rsidP="00FF2AB4"/>
    <w:p w:rsidR="00FF2AB4" w:rsidRDefault="00FF2AB4" w:rsidP="00224ADE">
      <w:pPr>
        <w:pStyle w:val="ListParagraph"/>
        <w:numPr>
          <w:ilvl w:val="0"/>
          <w:numId w:val="4"/>
        </w:numPr>
        <w:rPr>
          <w:rStyle w:val="Heading2Char"/>
        </w:rPr>
      </w:pPr>
      <w:r w:rsidRPr="00B85F1D">
        <w:rPr>
          <w:rStyle w:val="Heading2Char"/>
        </w:rPr>
        <w:lastRenderedPageBreak/>
        <w:t>Executive Summary</w:t>
      </w:r>
    </w:p>
    <w:p w:rsidR="004343B0" w:rsidRDefault="00FF2AB4" w:rsidP="00FF2AB4">
      <w:r>
        <w:t>The main purpose</w:t>
      </w:r>
      <w:r w:rsidR="00512B77">
        <w:t xml:space="preserve"> </w:t>
      </w:r>
      <w:r>
        <w:t xml:space="preserve">of this report </w:t>
      </w:r>
      <w:r w:rsidR="00EB347D">
        <w:t>is to understand the definition of employability</w:t>
      </w:r>
      <w:r w:rsidR="00EE633A">
        <w:t>, and also to observe and explain</w:t>
      </w:r>
      <w:r w:rsidR="00EB347D">
        <w:t xml:space="preserve"> </w:t>
      </w:r>
      <w:r>
        <w:t>the</w:t>
      </w:r>
      <w:r w:rsidR="004343B0">
        <w:t xml:space="preserve"> key</w:t>
      </w:r>
      <w:r>
        <w:t xml:space="preserve"> employability skills that employe</w:t>
      </w:r>
      <w:r w:rsidR="004343B0">
        <w:t>rs seek in employees</w:t>
      </w:r>
      <w:r w:rsidR="00EE633A">
        <w:t>.</w:t>
      </w:r>
      <w:r w:rsidR="00EB347D">
        <w:t xml:space="preserve"> </w:t>
      </w:r>
      <w:r w:rsidR="00EE633A">
        <w:t>to</w:t>
      </w:r>
      <w:r w:rsidR="00EB347D">
        <w:t xml:space="preserve"> determine the key skills that banking industries are looking for in future candidates/applicants. </w:t>
      </w:r>
    </w:p>
    <w:p w:rsidR="00EE633A" w:rsidRDefault="00EE633A" w:rsidP="00FF2AB4"/>
    <w:p w:rsidR="00EB347D" w:rsidRDefault="00CC380B" w:rsidP="000143AE">
      <w:pPr>
        <w:pStyle w:val="ListParagraph"/>
        <w:numPr>
          <w:ilvl w:val="0"/>
          <w:numId w:val="1"/>
        </w:numPr>
      </w:pPr>
      <w:r>
        <w:t xml:space="preserve">Employability skills </w:t>
      </w:r>
    </w:p>
    <w:p w:rsidR="000143AE" w:rsidRDefault="000143AE" w:rsidP="000143AE">
      <w:pPr>
        <w:pStyle w:val="ListParagraph"/>
        <w:numPr>
          <w:ilvl w:val="1"/>
          <w:numId w:val="1"/>
        </w:numPr>
      </w:pPr>
      <w:r>
        <w:t>What are employability skills</w:t>
      </w:r>
    </w:p>
    <w:p w:rsidR="00EB347D" w:rsidRDefault="00EB347D" w:rsidP="00EB347D">
      <w:pPr>
        <w:pStyle w:val="ListParagraph"/>
        <w:numPr>
          <w:ilvl w:val="1"/>
          <w:numId w:val="1"/>
        </w:numPr>
      </w:pPr>
      <w:r>
        <w:t xml:space="preserve"> What is employability</w:t>
      </w:r>
    </w:p>
    <w:p w:rsidR="00EB347D" w:rsidRDefault="00EB347D" w:rsidP="00EB347D">
      <w:pPr>
        <w:pStyle w:val="ListParagraph"/>
        <w:numPr>
          <w:ilvl w:val="1"/>
          <w:numId w:val="1"/>
        </w:numPr>
      </w:pPr>
      <w:r>
        <w:t>Who cares about employability skills</w:t>
      </w:r>
    </w:p>
    <w:p w:rsidR="00EB347D" w:rsidRDefault="00EB347D" w:rsidP="00EB347D">
      <w:pPr>
        <w:pStyle w:val="ListParagraph"/>
        <w:numPr>
          <w:ilvl w:val="1"/>
          <w:numId w:val="1"/>
        </w:numPr>
      </w:pPr>
      <w:r>
        <w:t>What is important to employers</w:t>
      </w:r>
    </w:p>
    <w:p w:rsidR="00EB347D" w:rsidRDefault="00EB347D" w:rsidP="00EB347D">
      <w:pPr>
        <w:pStyle w:val="ListParagraph"/>
        <w:numPr>
          <w:ilvl w:val="1"/>
          <w:numId w:val="1"/>
        </w:numPr>
      </w:pPr>
      <w:r>
        <w:t>Issues In teaching employability skills</w:t>
      </w:r>
    </w:p>
    <w:p w:rsidR="00EE633A" w:rsidRDefault="00EB347D" w:rsidP="00EE633A">
      <w:pPr>
        <w:pStyle w:val="ListParagraph"/>
        <w:numPr>
          <w:ilvl w:val="1"/>
          <w:numId w:val="1"/>
        </w:numPr>
      </w:pPr>
      <w:r>
        <w:t>Banking employability skills</w:t>
      </w:r>
      <w:r w:rsidR="000143AE" w:rsidRPr="000143AE">
        <w:t xml:space="preserve"> </w:t>
      </w:r>
    </w:p>
    <w:p w:rsidR="000143AE" w:rsidRDefault="000143AE" w:rsidP="00EE633A">
      <w:pPr>
        <w:pStyle w:val="ListParagraph"/>
        <w:numPr>
          <w:ilvl w:val="1"/>
          <w:numId w:val="1"/>
        </w:numPr>
      </w:pPr>
      <w:r>
        <w:t>Kolb (1984) Reflection</w:t>
      </w:r>
    </w:p>
    <w:p w:rsidR="004343B0" w:rsidRDefault="004343B0" w:rsidP="00FF2AB4"/>
    <w:p w:rsidR="00FF2AB4" w:rsidRDefault="00FF2AB4"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512B77" w:rsidRDefault="00512B77" w:rsidP="00FF2AB4"/>
    <w:p w:rsidR="00F33CFE" w:rsidRDefault="00F33CFE" w:rsidP="00512B77">
      <w:pPr>
        <w:pStyle w:val="Heading1"/>
        <w:rPr>
          <w:sz w:val="36"/>
          <w:szCs w:val="36"/>
        </w:rPr>
      </w:pPr>
    </w:p>
    <w:p w:rsidR="00512B77" w:rsidRPr="00512B77" w:rsidRDefault="00512B77" w:rsidP="00512B77">
      <w:pPr>
        <w:pStyle w:val="Heading1"/>
        <w:rPr>
          <w:sz w:val="36"/>
          <w:szCs w:val="36"/>
        </w:rPr>
      </w:pPr>
      <w:r w:rsidRPr="00512B77">
        <w:rPr>
          <w:sz w:val="36"/>
          <w:szCs w:val="36"/>
        </w:rPr>
        <w:t xml:space="preserve">Contents </w:t>
      </w:r>
    </w:p>
    <w:p w:rsidR="00512B77" w:rsidRDefault="00512B77" w:rsidP="00FF2AB4"/>
    <w:p w:rsidR="00512B77" w:rsidRDefault="00B85F1D" w:rsidP="00B85F1D">
      <w:pPr>
        <w:pStyle w:val="ListParagraph"/>
        <w:numPr>
          <w:ilvl w:val="0"/>
          <w:numId w:val="2"/>
        </w:numPr>
      </w:pPr>
      <w:r>
        <w:t xml:space="preserve">Executive Summary………………………………………………………………… </w:t>
      </w:r>
      <w:r w:rsidR="004A14F8">
        <w:t>2</w:t>
      </w:r>
    </w:p>
    <w:p w:rsidR="00512B77" w:rsidRDefault="004A14F8" w:rsidP="00461EB8">
      <w:pPr>
        <w:pStyle w:val="ListParagraph"/>
        <w:numPr>
          <w:ilvl w:val="0"/>
          <w:numId w:val="2"/>
        </w:numPr>
      </w:pPr>
      <w:r>
        <w:t xml:space="preserve">Methods and Findings ……………………………………………………………. </w:t>
      </w:r>
      <w:r w:rsidR="004061FF">
        <w:t>4</w:t>
      </w:r>
    </w:p>
    <w:p w:rsidR="00F33CFE" w:rsidRDefault="00F33CFE" w:rsidP="00F33CFE">
      <w:pPr>
        <w:pStyle w:val="ListParagraph"/>
        <w:numPr>
          <w:ilvl w:val="1"/>
          <w:numId w:val="2"/>
        </w:numPr>
      </w:pPr>
      <w:r>
        <w:t>What are e</w:t>
      </w:r>
      <w:r w:rsidR="00461EB8">
        <w:t>mployability skills……………………………………………………</w:t>
      </w:r>
      <w:r>
        <w:t xml:space="preserve"> 4</w:t>
      </w:r>
    </w:p>
    <w:p w:rsidR="009711F1" w:rsidRDefault="00F33CFE" w:rsidP="009711F1">
      <w:pPr>
        <w:pStyle w:val="ListParagraph"/>
        <w:numPr>
          <w:ilvl w:val="1"/>
          <w:numId w:val="2"/>
        </w:numPr>
      </w:pPr>
      <w:r>
        <w:t xml:space="preserve"> What is employability............................................................</w:t>
      </w:r>
      <w:r w:rsidR="00EB347D">
        <w:t xml:space="preserve"> 6 </w:t>
      </w:r>
    </w:p>
    <w:p w:rsidR="00EB347D" w:rsidRDefault="00EB347D" w:rsidP="009711F1">
      <w:pPr>
        <w:pStyle w:val="ListParagraph"/>
        <w:numPr>
          <w:ilvl w:val="1"/>
          <w:numId w:val="2"/>
        </w:numPr>
      </w:pPr>
      <w:r>
        <w:t>Who cares about employability skills………………………………………… 7</w:t>
      </w:r>
    </w:p>
    <w:p w:rsidR="00EB347D" w:rsidRDefault="00EB347D" w:rsidP="009711F1">
      <w:pPr>
        <w:pStyle w:val="ListParagraph"/>
        <w:numPr>
          <w:ilvl w:val="1"/>
          <w:numId w:val="2"/>
        </w:numPr>
      </w:pPr>
      <w:r>
        <w:t xml:space="preserve">What is important to employers……………………………………………… 7 </w:t>
      </w:r>
    </w:p>
    <w:p w:rsidR="00EB347D" w:rsidRDefault="00EB347D" w:rsidP="009711F1">
      <w:pPr>
        <w:pStyle w:val="ListParagraph"/>
        <w:numPr>
          <w:ilvl w:val="1"/>
          <w:numId w:val="2"/>
        </w:numPr>
      </w:pPr>
      <w:r>
        <w:t>Issues In teaching employability skills………………………………………… 8</w:t>
      </w:r>
    </w:p>
    <w:p w:rsidR="00EE633A" w:rsidRDefault="00EB347D" w:rsidP="00EE633A">
      <w:pPr>
        <w:pStyle w:val="ListParagraph"/>
        <w:numPr>
          <w:ilvl w:val="0"/>
          <w:numId w:val="2"/>
        </w:numPr>
      </w:pPr>
      <w:r>
        <w:t>Banking employability skills…………………………………………….</w:t>
      </w:r>
      <w:r w:rsidR="00FF5A37">
        <w:t>9</w:t>
      </w:r>
    </w:p>
    <w:p w:rsidR="00FF5A37" w:rsidRDefault="00581B7D" w:rsidP="00FF5A37">
      <w:pPr>
        <w:pStyle w:val="ListParagraph"/>
        <w:numPr>
          <w:ilvl w:val="0"/>
          <w:numId w:val="2"/>
        </w:numPr>
      </w:pPr>
      <w:r>
        <w:t>Kolb (1984) ………………………………………………………………</w:t>
      </w:r>
      <w:proofErr w:type="gramStart"/>
      <w:r>
        <w:t>…..</w:t>
      </w:r>
      <w:proofErr w:type="gramEnd"/>
      <w:r w:rsidR="00FF5A37">
        <w:t xml:space="preserve"> 9</w:t>
      </w:r>
    </w:p>
    <w:p w:rsidR="00EE633A" w:rsidRDefault="00EE633A" w:rsidP="00FF5A37">
      <w:pPr>
        <w:pStyle w:val="ListParagraph"/>
        <w:numPr>
          <w:ilvl w:val="0"/>
          <w:numId w:val="2"/>
        </w:numPr>
      </w:pPr>
      <w:r>
        <w:t xml:space="preserve">References…………………………………………………………………10,11 </w:t>
      </w:r>
    </w:p>
    <w:p w:rsidR="00581B7D" w:rsidRDefault="00581B7D" w:rsidP="00EE633A">
      <w:pPr>
        <w:pStyle w:val="ListParagraph"/>
        <w:numPr>
          <w:ilvl w:val="0"/>
          <w:numId w:val="2"/>
        </w:numPr>
      </w:pPr>
      <w:r>
        <w:t>Appendices</w:t>
      </w:r>
      <w:r w:rsidR="00FF5A37">
        <w:t>………………………………………………………………</w:t>
      </w:r>
      <w:r>
        <w:t xml:space="preserve"> </w:t>
      </w:r>
      <w:r w:rsidR="00FF5A37">
        <w:t>11</w:t>
      </w:r>
    </w:p>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9711F1" w:rsidRDefault="009711F1" w:rsidP="009711F1"/>
    <w:p w:rsidR="00CA385D" w:rsidRDefault="009711F1" w:rsidP="00CA385D">
      <w:pPr>
        <w:pStyle w:val="Heading2"/>
      </w:pPr>
      <w:r>
        <w:lastRenderedPageBreak/>
        <w:t xml:space="preserve">2.0 Methods and findings </w:t>
      </w:r>
    </w:p>
    <w:p w:rsidR="00F33CFE" w:rsidRPr="00F33CFE" w:rsidRDefault="00F33CFE" w:rsidP="00F33CFE">
      <w:pPr>
        <w:pStyle w:val="Heading2"/>
      </w:pPr>
      <w:r>
        <w:t>2.1 What are employability skills?</w:t>
      </w:r>
    </w:p>
    <w:p w:rsidR="00F33CFE" w:rsidRDefault="00F33CFE" w:rsidP="00F33CFE">
      <w:r>
        <w:t xml:space="preserve">Kanungo and </w:t>
      </w:r>
      <w:proofErr w:type="spellStart"/>
      <w:r>
        <w:t>Misra</w:t>
      </w:r>
      <w:proofErr w:type="spellEnd"/>
      <w:r>
        <w:t xml:space="preserve"> (1992) define a skill as the ability or capability to engage in specific behaviours including overt behaviour and cognitive activities to accomplish specific routine tasks. Skills are learned through training and experiences. </w:t>
      </w:r>
    </w:p>
    <w:p w:rsidR="00F33CFE" w:rsidRDefault="00F33CFE" w:rsidP="00F33CFE">
      <w:r>
        <w:t>Professional skills and competencies that were seen as a by-product of educational process in past, are now considered as a core part of a professional degree (Coll et al., 2002). Employability skills are defined as attributes, competencies and technical skills used to make practical decisions in the workplace (Gibbs, 2000).</w:t>
      </w:r>
    </w:p>
    <w:p w:rsidR="00F33CFE" w:rsidRDefault="00F33CFE" w:rsidP="00F33CFE">
      <w:r>
        <w:t>Coopers and Lybrand (1998) define ‘employability skills’ in terms of four key areas: 1). Traditional intellectual skills – e.g. critical evaluation, logical argument; 2). Key skills – communication, IT, etc., 3). Personal attributes – motivation, self-reliance and 4). Knowledge of organisations and how they work.</w:t>
      </w:r>
    </w:p>
    <w:p w:rsidR="00F33CFE" w:rsidRDefault="00F33CFE" w:rsidP="00F33CFE">
      <w:r>
        <w:t>Yorke (2001) considers that it is not enough to have a range of cognitive, social, emotional and behavioural sub-skills, but that these have to be integrated into the challenges that are faced. Therefore, perceived self-efficacy or ability will play an important role in choice of degree programme, career choice and personal development, and is thus significant for an individual’s employability.</w:t>
      </w:r>
    </w:p>
    <w:p w:rsidR="00F33CFE" w:rsidRDefault="00F33CFE" w:rsidP="00F33CFE">
      <w:r>
        <w:t>Through a meta-analysis, Osmani et al. (2015) identified communication, teamwork, problem solving, information technology (IT), creativity, interpersonal, leadership, self-management, adaptability and critical thinking as the most commonly used skills and attributes in employability studies. Generic skills have been a focus of research and development in OECD countries by education systems, governments and employer bodies since the early 90s. Below are listed some generic employability skills useful across industries.</w:t>
      </w:r>
    </w:p>
    <w:p w:rsidR="00F33CFE" w:rsidRDefault="00F33CFE" w:rsidP="00F33CFE">
      <w:r>
        <w:t>Adaptability - flexibility, responding positively to new situations. Students report that adaptability is an inherent part of employability (Tymon, 2013). It is considered as an important employability skill for new graduates (Finch et al., 2013) and team working (Al-</w:t>
      </w:r>
      <w:proofErr w:type="spellStart"/>
      <w:r>
        <w:t>Mutairi</w:t>
      </w:r>
      <w:proofErr w:type="spellEnd"/>
      <w:r>
        <w:t xml:space="preserve"> et al., 2014).</w:t>
      </w:r>
    </w:p>
    <w:p w:rsidR="00F33CFE" w:rsidRDefault="00F33CFE" w:rsidP="00F33CFE">
      <w:r>
        <w:t>Communication - All types of written, verbal and technical communication (Hanna et al., 2015), to help employees to work effectively with others (Jackson et al., 2014). Communication is widely regarded as one of the most important skills to achieve high profitability (Ramadi et al., 2016) so it is a frequently used skill in investigating employability (Osmani et al., 2015).</w:t>
      </w:r>
    </w:p>
    <w:p w:rsidR="00F33CFE" w:rsidRDefault="00F33CFE" w:rsidP="00F33CFE">
      <w:r>
        <w:t xml:space="preserve">Critical thinking - growing and maturing in thinking (Critchley, 2011). Critical thinking is one of the most desired employability skills (Finch et al., 2013). </w:t>
      </w:r>
    </w:p>
    <w:p w:rsidR="00F33CFE" w:rsidRDefault="00F33CFE" w:rsidP="00F33CFE">
      <w:r>
        <w:t>IT skills – useful for the efficient presentation of work, and use of popular packages in word processing, searching, gathering and sharing information (Rosenberg et al., 2012)</w:t>
      </w:r>
    </w:p>
    <w:p w:rsidR="00F33CFE" w:rsidRDefault="00F33CFE" w:rsidP="00F33CFE">
      <w:r>
        <w:t>Interpersonal skills – constructing relationships, communicating with others, networking (</w:t>
      </w:r>
      <w:proofErr w:type="spellStart"/>
      <w:r>
        <w:t>Lievens</w:t>
      </w:r>
      <w:proofErr w:type="spellEnd"/>
      <w:r>
        <w:t xml:space="preserve"> and Sackett, 2012) But, research suggests that in general industry is very dissatisfied with the interpersonal skills of graduates (McQuade and Maguire, 2005)</w:t>
      </w:r>
    </w:p>
    <w:p w:rsidR="00F33CFE" w:rsidRDefault="00F33CFE" w:rsidP="00F33CFE">
      <w:r>
        <w:t xml:space="preserve">Listening skills - Highly productive individuals are good listeners and this ultimately leads to better employability (Goby and Lewis, 2000). Listening has been identified as the most desirable skill to assess employability of new graduates by employers (Finch et al., 2013; </w:t>
      </w:r>
      <w:proofErr w:type="spellStart"/>
      <w:r>
        <w:t>Bhanugopan</w:t>
      </w:r>
      <w:proofErr w:type="spellEnd"/>
      <w:r>
        <w:t xml:space="preserve"> and Fish, 2009; Goby and Lewis, 2000).</w:t>
      </w:r>
    </w:p>
    <w:p w:rsidR="00F33CFE" w:rsidRDefault="00F33CFE" w:rsidP="00F33CFE">
      <w:r>
        <w:lastRenderedPageBreak/>
        <w:t>Numeracy skills - manipulation of numbers, general mathematical awareness and its application in practical contexts. These skills are so important they often form the basis of formal recruitment methods (e.g. in assessment centres) (</w:t>
      </w:r>
      <w:proofErr w:type="spellStart"/>
      <w:r>
        <w:t>Durrani</w:t>
      </w:r>
      <w:proofErr w:type="spellEnd"/>
      <w:r>
        <w:t xml:space="preserve"> and Tariq, 2012)</w:t>
      </w:r>
    </w:p>
    <w:p w:rsidR="00143F9B" w:rsidRPr="00F33CFE" w:rsidRDefault="00F33CFE" w:rsidP="00F33CFE">
      <w:r>
        <w:t>Problem-solving - “Good problem solving requires a constellation of skills, attitudes and mental approaches that, once developed, transforms the way people look at the world around them” (</w:t>
      </w:r>
      <w:proofErr w:type="spellStart"/>
      <w:r>
        <w:t>Wismath</w:t>
      </w:r>
      <w:proofErr w:type="spellEnd"/>
      <w:r>
        <w:t xml:space="preserve"> et al., 2015). problem-solving has been </w:t>
      </w:r>
      <w:proofErr w:type="spellStart"/>
      <w:r>
        <w:t>recongised</w:t>
      </w:r>
      <w:proofErr w:type="spellEnd"/>
      <w:r>
        <w:t xml:space="preserve"> as a critical factor for employability and performance of new graduates across disciplines (Harris and King, 2015; Yang et al., 2014; Finch et al., 2013; Jackson, 2013; </w:t>
      </w:r>
      <w:proofErr w:type="spellStart"/>
      <w:r>
        <w:t>Wickramasinghe</w:t>
      </w:r>
      <w:proofErr w:type="spellEnd"/>
      <w:r>
        <w:t xml:space="preserve"> and </w:t>
      </w:r>
      <w:proofErr w:type="spellStart"/>
      <w:r>
        <w:t>Perera</w:t>
      </w:r>
      <w:proofErr w:type="spellEnd"/>
      <w:r>
        <w:t xml:space="preserve">, 2010). </w:t>
      </w:r>
    </w:p>
    <w:p w:rsidR="00143F9B" w:rsidRDefault="00143F9B" w:rsidP="00143F9B">
      <w:pPr>
        <w:rPr>
          <w:b/>
        </w:rPr>
      </w:pPr>
    </w:p>
    <w:p w:rsidR="00143F9B" w:rsidRDefault="00143F9B" w:rsidP="00143F9B">
      <w:pPr>
        <w:rPr>
          <w:b/>
        </w:rPr>
      </w:pPr>
      <w:r>
        <w:rPr>
          <w:b/>
        </w:rPr>
        <w:t xml:space="preserve">Factual Models </w:t>
      </w:r>
    </w:p>
    <w:p w:rsidR="00143F9B" w:rsidRDefault="00143F9B" w:rsidP="00143F9B">
      <w:r>
        <w:t xml:space="preserve">Recent efforts to estimate, ‘UK universities’ efforts in developing graduate </w:t>
      </w:r>
    </w:p>
    <w:p w:rsidR="00143F9B" w:rsidRDefault="00143F9B" w:rsidP="00143F9B">
      <w:r>
        <w:t xml:space="preserve">employability skills have made use of available data from the annual First </w:t>
      </w:r>
    </w:p>
    <w:p w:rsidR="00143F9B" w:rsidRDefault="00143F9B" w:rsidP="00143F9B">
      <w:r>
        <w:t xml:space="preserve">Destinations Survey of full-time undergraduate leavers from UK universities, which is </w:t>
      </w:r>
    </w:p>
    <w:p w:rsidR="00143F9B" w:rsidRDefault="00143F9B" w:rsidP="00143F9B">
      <w:r>
        <w:t xml:space="preserve"> 14</w:t>
      </w:r>
    </w:p>
    <w:p w:rsidR="00143F9B" w:rsidRDefault="00143F9B" w:rsidP="00143F9B">
      <w:r>
        <w:t xml:space="preserve">carried out by the Careers Service at each university and captures information on </w:t>
      </w:r>
    </w:p>
    <w:p w:rsidR="00143F9B" w:rsidRDefault="00143F9B" w:rsidP="00143F9B">
      <w:r>
        <w:t xml:space="preserve">students’ employment outcomes roughly seven months after graduation. The </w:t>
      </w:r>
    </w:p>
    <w:p w:rsidR="00143F9B" w:rsidRDefault="00143F9B" w:rsidP="00143F9B">
      <w:r>
        <w:t xml:space="preserve">performance indicators developed to date have typically focussed on graduates’ </w:t>
      </w:r>
    </w:p>
    <w:p w:rsidR="00143F9B" w:rsidRDefault="00143F9B" w:rsidP="00143F9B">
      <w:r>
        <w:t xml:space="preserve">success in finding employment after graduation and in their being employed in a job </w:t>
      </w:r>
    </w:p>
    <w:p w:rsidR="00143F9B" w:rsidRDefault="00143F9B" w:rsidP="00143F9B">
      <w:r>
        <w:t xml:space="preserve">deemed, by specified criteria, to be of ‘graduate quality’.   </w:t>
      </w:r>
    </w:p>
    <w:p w:rsidR="00143F9B" w:rsidRDefault="00143F9B" w:rsidP="00143F9B">
      <w:r>
        <w:t xml:space="preserve">For example, in a study of 1993 leavers from pre-1992 Universities, Smith, McKnight </w:t>
      </w:r>
    </w:p>
    <w:p w:rsidR="00143F9B" w:rsidRDefault="00143F9B" w:rsidP="00143F9B">
      <w:r>
        <w:t xml:space="preserve">and Naylor (2000) find that the probability of student leavers being employed six </w:t>
      </w:r>
    </w:p>
    <w:p w:rsidR="00143F9B" w:rsidRDefault="00143F9B" w:rsidP="00143F9B">
      <w:r>
        <w:t xml:space="preserve">months after graduation is positively related to the class of degree and is also strongly </w:t>
      </w:r>
    </w:p>
    <w:p w:rsidR="00143F9B" w:rsidRDefault="00143F9B" w:rsidP="00143F9B">
      <w:r>
        <w:t xml:space="preserve">influenced by the subject studied, measures of prior educational attainment (such as A </w:t>
      </w:r>
    </w:p>
    <w:p w:rsidR="00143F9B" w:rsidRDefault="00143F9B" w:rsidP="00143F9B">
      <w:r>
        <w:t xml:space="preserve">level point scores), age at graduation and social class background. Most of these </w:t>
      </w:r>
    </w:p>
    <w:p w:rsidR="00143F9B" w:rsidRDefault="00143F9B" w:rsidP="00143F9B">
      <w:r>
        <w:t xml:space="preserve">factors are also found to strongly affect the probability of a student leaver’s in </w:t>
      </w:r>
    </w:p>
    <w:p w:rsidR="00143F9B" w:rsidRDefault="00143F9B" w:rsidP="00143F9B">
      <w:r>
        <w:t xml:space="preserve">employment being in a ‘graduate occupation’ although age at graduation has only a </w:t>
      </w:r>
    </w:p>
    <w:p w:rsidR="00143F9B" w:rsidRPr="00143F9B" w:rsidRDefault="00143F9B" w:rsidP="00143F9B">
      <w:r>
        <w:t xml:space="preserve">weakly significant effect for female graduates and no significant effect for males. </w:t>
      </w:r>
    </w:p>
    <w:p w:rsidR="00461EB8" w:rsidRDefault="00461EB8" w:rsidP="00461EB8"/>
    <w:p w:rsidR="00F33CFE" w:rsidRDefault="00F33CFE" w:rsidP="00461EB8">
      <w:pPr>
        <w:rPr>
          <w:rStyle w:val="Heading2Char"/>
        </w:rPr>
      </w:pPr>
    </w:p>
    <w:p w:rsidR="00F33CFE" w:rsidRDefault="00F33CFE" w:rsidP="00461EB8">
      <w:pPr>
        <w:rPr>
          <w:rStyle w:val="Heading2Char"/>
        </w:rPr>
      </w:pPr>
    </w:p>
    <w:p w:rsidR="00143F9B" w:rsidRDefault="00143F9B" w:rsidP="00461EB8">
      <w:pPr>
        <w:rPr>
          <w:b/>
          <w:u w:val="single"/>
        </w:rPr>
      </w:pPr>
      <w:r w:rsidRPr="00143F9B">
        <w:rPr>
          <w:rStyle w:val="Heading2Char"/>
        </w:rPr>
        <w:t>2.2</w:t>
      </w:r>
      <w:r w:rsidRPr="00143F9B">
        <w:rPr>
          <w:b/>
          <w:u w:val="single"/>
        </w:rPr>
        <w:t xml:space="preserve"> </w:t>
      </w:r>
      <w:r w:rsidRPr="00143F9B">
        <w:rPr>
          <w:rStyle w:val="Heading2Char"/>
        </w:rPr>
        <w:t>What is Employability</w:t>
      </w:r>
      <w:r>
        <w:rPr>
          <w:rStyle w:val="Heading2Char"/>
        </w:rPr>
        <w:t>?</w:t>
      </w:r>
    </w:p>
    <w:p w:rsidR="00143F9B" w:rsidRDefault="00143F9B" w:rsidP="00143F9B">
      <w:r>
        <w:t xml:space="preserve">Employability can be considered a form of work specific active adaptability that enables workers to identify and realize career opportunities, facilitating movement between jobs, both within and </w:t>
      </w:r>
      <w:r>
        <w:lastRenderedPageBreak/>
        <w:t xml:space="preserve">between organizations. Although employability does not assure actual employment, several authors suggest that it improves likelihood of gaining employment. Harvey (2003) notes: Employability is not just about getting a job. It is mainly about learning with less emphasis on employ and more on ability. </w:t>
      </w:r>
      <w:proofErr w:type="spellStart"/>
      <w:r>
        <w:t>Hillage</w:t>
      </w:r>
      <w:proofErr w:type="spellEnd"/>
      <w:r>
        <w:t xml:space="preserve"> and Pollard (1998) particularly emphasised the importance of job selection skills such as career management, job search and a strategic approach for the purposes of gaining employment.  Harvey suggests its focus is on developing critical, reflective abilities, with a view to empowering and enhancing the learner. </w:t>
      </w:r>
    </w:p>
    <w:p w:rsidR="00143F9B" w:rsidRDefault="00143F9B" w:rsidP="00143F9B">
      <w:pPr>
        <w:spacing w:after="200" w:line="276" w:lineRule="auto"/>
      </w:pPr>
      <w:proofErr w:type="spellStart"/>
      <w:r>
        <w:t>Hillage</w:t>
      </w:r>
      <w:proofErr w:type="spellEnd"/>
      <w:r>
        <w:t xml:space="preserve"> and Pollard (1998) suggest there a no single definition of employability but that a literature review suggested that it is about the work and the ability of being employed, this includes gaining initial employment maintaining employment and obtaining new employment if required.</w:t>
      </w:r>
      <w:r w:rsidRPr="00513402">
        <w:t xml:space="preserve"> </w:t>
      </w:r>
      <w:r>
        <w:t>Being a multi-dimensional concept, employability is a difficult concept to define, and there is a need to distinguish between factors relevant to obtaining a job and factors relevant to the preparation for work (Little, 2001). Employability is also not just about “students making deposits in a bank of skills” (Morley, 2001). Indeed, Knight (2001) and Yorke (2001) consider the concept of employability to be a ‘synergic combination of personal qualities, skills of various kinds and subject understanding’. Traditionally, according to Yorke (2001), little emphasis was placed upon a student’s personal qualities, but these could have considerable bearing on a particular student’s success</w:t>
      </w:r>
    </w:p>
    <w:p w:rsidR="00143F9B" w:rsidRDefault="00143F9B" w:rsidP="00143F9B">
      <w:r>
        <w:t>At an individual level employability is based on knowledge, skills and attitudes possessed and the ways these are presented to employers and the context that they seek work in (</w:t>
      </w:r>
      <w:proofErr w:type="spellStart"/>
      <w:r>
        <w:t>Hillage</w:t>
      </w:r>
      <w:proofErr w:type="spellEnd"/>
      <w:r>
        <w:t xml:space="preserve"> and Pollard, 1998) in other words, as summarised by these authors, what they know, what they do with what they know, and how they do it. Employability assumes specific types of demands that may vary across space, time and employers (McQuaid and Lindsay, 2005). It is a lifelong </w:t>
      </w:r>
      <w:proofErr w:type="gramStart"/>
      <w:r>
        <w:t>issue</w:t>
      </w:r>
      <w:proofErr w:type="gramEnd"/>
      <w:r>
        <w:t xml:space="preserve"> and nobody is ever perfectly employable. There will always be aspects of an individual’s employability that would certainly benefit from improvement (Pool and Sewell, 2007). </w:t>
      </w:r>
    </w:p>
    <w:p w:rsidR="00143F9B" w:rsidRDefault="00143F9B" w:rsidP="00143F9B">
      <w:pPr>
        <w:spacing w:after="200" w:line="276" w:lineRule="auto"/>
      </w:pPr>
      <w:r>
        <w:t xml:space="preserve">According to </w:t>
      </w:r>
      <w:proofErr w:type="spellStart"/>
      <w:r>
        <w:t>Abassi</w:t>
      </w:r>
      <w:proofErr w:type="spellEnd"/>
      <w:r>
        <w:t xml:space="preserve"> et al (2018) it implies that people need certain pre-defined skills, attributes and values in order for them to become ‘employable’. </w:t>
      </w:r>
      <w:proofErr w:type="spellStart"/>
      <w:r>
        <w:t>Abassi</w:t>
      </w:r>
      <w:proofErr w:type="spellEnd"/>
      <w:r>
        <w:t xml:space="preserve"> et al (2018) suggest therefore, that the responsibility for employment has thus shifted to the individual who is now individually responsible for becoming employable: in other words, to have a particular identity and set of attributes and skills as defined by employers.</w:t>
      </w:r>
    </w:p>
    <w:p w:rsidR="00143F9B" w:rsidRDefault="00143F9B" w:rsidP="00143F9B">
      <w:pPr>
        <w:spacing w:after="200" w:line="276" w:lineRule="auto"/>
      </w:pPr>
      <w:r>
        <w:t xml:space="preserve">The concept of employability is not new, the earliest mentions of it in the literature date back to 1909 in the early work of William Beveridge (an architect of the British Welfare </w:t>
      </w:r>
      <w:proofErr w:type="spellStart"/>
      <w:r>
        <w:t>statew</w:t>
      </w:r>
      <w:proofErr w:type="spellEnd"/>
      <w:r>
        <w:t xml:space="preserve">) in his book: Unemployment: A Problem of Industry (1909). Although outside the scope of this report, the interested reader is directed to </w:t>
      </w:r>
      <w:proofErr w:type="spellStart"/>
      <w:r>
        <w:t>Gazier</w:t>
      </w:r>
      <w:proofErr w:type="spellEnd"/>
      <w:r>
        <w:t xml:space="preserve"> (1998) who charts the seven stages in the development of the concept of employability skills over the past century.</w:t>
      </w:r>
    </w:p>
    <w:p w:rsidR="00143F9B" w:rsidRPr="00940BEE" w:rsidRDefault="00143F9B" w:rsidP="00143F9B">
      <w:pPr>
        <w:spacing w:after="200" w:line="276" w:lineRule="auto"/>
        <w:rPr>
          <w:color w:val="FF0000"/>
        </w:rPr>
      </w:pPr>
      <w:r>
        <w:t>Knight and Yorke’s (2002) model of employability comprises understanding, skills, efficacy beliefs and metacognition (USEM). The USEM model reinforces the view that employability concerns the development of individual and personal qualities, in addition to subject-specific and generic skills. Yorke and Knight (2004) suggest that it is: a set of achievements – skills, understandings and personal attributes – that make graduates more likely to gain employment and be successful in their chosen occupations, which benefits themselves, the community and the economy.</w:t>
      </w:r>
    </w:p>
    <w:p w:rsidR="00143F9B" w:rsidRDefault="00143F9B" w:rsidP="00143F9B">
      <w:pPr>
        <w:spacing w:after="200" w:line="276" w:lineRule="auto"/>
      </w:pPr>
      <w:r>
        <w:lastRenderedPageBreak/>
        <w:t xml:space="preserve">The literature shows that employability is a complex concept encompassing more than just practical skills but also involves students’ development of intellectual skills, competencies and personal attributes (Gravells, 2010; Knight, 2006; Knight and Yorke, 2002; Lees, 2002; Yorke, 2004). </w:t>
      </w:r>
    </w:p>
    <w:p w:rsidR="00143F9B" w:rsidRDefault="00143F9B" w:rsidP="00143F9B">
      <w:pPr>
        <w:spacing w:after="200" w:line="276" w:lineRule="auto"/>
      </w:pPr>
      <w:r>
        <w:t>Traditional academic education and key skills can be seen as subsets of ‘employability’. For instance, academic progress is enhanced by high standards of literacy and numeracy, by a range of communication skills and the ability to work in groups or teams, and by learning how to learn effectively (Atkins, 1999).</w:t>
      </w:r>
    </w:p>
    <w:p w:rsidR="00143F9B" w:rsidRDefault="00143F9B" w:rsidP="00143F9B">
      <w:pPr>
        <w:spacing w:after="200" w:line="276" w:lineRule="auto"/>
        <w:rPr>
          <w:color w:val="FF0000"/>
        </w:rPr>
      </w:pPr>
      <w:r>
        <w:t>McQuaid and Lindsay provided a comprehensive model of employability (see appendix A). The top left cell of the McQuaid and Lindsay model (employability skills and attributes) houses much of the education-for-employability debate (i.e. the list of employability skills that should be taught by educational institutions (e.g., Harvey and Green 1994; Coopers and Lybrand 1998; Lees 2002; Hartshorn and Sear 2005). The model shows that employability is not just a simple matter of building skills and attitudes within the educational system. The skills must be supported by job seeking skills too.</w:t>
      </w:r>
    </w:p>
    <w:p w:rsidR="00143F9B" w:rsidRPr="00143F9B" w:rsidRDefault="00143F9B" w:rsidP="00143F9B">
      <w:pPr>
        <w:pStyle w:val="Heading2"/>
        <w:rPr>
          <w:color w:val="FF0000"/>
        </w:rPr>
      </w:pPr>
      <w:r>
        <w:t xml:space="preserve">2.3 </w:t>
      </w:r>
      <w:r w:rsidRPr="00143F9B">
        <w:t>Who cares about employability skills?</w:t>
      </w:r>
    </w:p>
    <w:p w:rsidR="00143F9B" w:rsidRDefault="00143F9B" w:rsidP="00143F9B">
      <w:r>
        <w:t>According to UUK (2018), an appropriately skilled workforce is central to the future economic wellbeing of the UK. Stormer (2014) predicts that the future UK Economy will require all workers to possess basic digital skills and expect higher level technical skills and employability skills like creativity, flexibility and problem solving.</w:t>
      </w:r>
    </w:p>
    <w:p w:rsidR="00143F9B" w:rsidRDefault="00143F9B" w:rsidP="00143F9B">
      <w:r>
        <w:t xml:space="preserve">Government policy to enhance the employability of graduates comprises part of a wider strategy to extend the skills base in the UK (Coopers &amp; Lybrand, 1998). </w:t>
      </w:r>
      <w:proofErr w:type="spellStart"/>
      <w:r>
        <w:t>Skilbeck</w:t>
      </w:r>
      <w:proofErr w:type="spellEnd"/>
      <w:r>
        <w:t xml:space="preserve"> and Connell (1996) point out that over half of each generation now has the opportunity to enter higher education (HE), therefore, preparation for the world of work must include a much broader set of skills and competencies than it used to. Employability skills have become a major concern for government, universities and graduates (Poon, 2014) because, employers expect that, upon commencing employment graduates will be equipped with necessary skills and be able to work with minimum supervision (Andrews and Higson, 2008)</w:t>
      </w:r>
    </w:p>
    <w:p w:rsidR="00143F9B" w:rsidRDefault="00143F9B" w:rsidP="00143F9B">
      <w:pPr>
        <w:pStyle w:val="Heading2"/>
      </w:pPr>
      <w:r>
        <w:t xml:space="preserve">2.4 </w:t>
      </w:r>
      <w:r w:rsidRPr="00143F9B">
        <w:t>What is important to employers</w:t>
      </w:r>
      <w:r>
        <w:t>?</w:t>
      </w:r>
    </w:p>
    <w:p w:rsidR="00143F9B" w:rsidRDefault="00143F9B" w:rsidP="00143F9B">
      <w:r>
        <w:t>Several studies suggest human resource managers are impressed with technical knowledge shown by new recruits but are very concerned about the level of soft/general business skills of graduates (Poon, 2014). While degree subject may knowledge has obvious importance particularly in specialized work domains, McMurray et al (2016) suggest that employers place much higher importance on soft skills and personal attributes while lesser on degree subject, degree result (McMurray et al., 2016) and technical/subject-specific skills (Saeed, 2015; Finch et al., 2013) because they are much more concerned with what the graduates can do rather than what they know (Jackson, 2010).</w:t>
      </w:r>
    </w:p>
    <w:p w:rsidR="00143F9B" w:rsidRDefault="00143F9B" w:rsidP="00143F9B">
      <w:r>
        <w:t>Although relatively few studies have been conducted to examine the gap between skills possessed by fresh business graduates and those needed by managers working in particular industries, several studies have shown that employers report that fresh graduates typically lack communication, practical (</w:t>
      </w:r>
      <w:proofErr w:type="spellStart"/>
      <w:r>
        <w:t>Warraich</w:t>
      </w:r>
      <w:proofErr w:type="spellEnd"/>
      <w:r>
        <w:t xml:space="preserve"> and Ameen, 2011), presentation, negotiation, building relationships (Saeed, 2015), personal development and professional development skills (Raza and Naqvi, 2011). Feedback indicates that generally, industry is very dissatisfied with interpersonal skills of graduates (McQuade and Maguire, 2005)</w:t>
      </w:r>
    </w:p>
    <w:p w:rsidR="00143F9B" w:rsidRDefault="00143F9B" w:rsidP="00143F9B">
      <w:r>
        <w:lastRenderedPageBreak/>
        <w:t>Many studies claim that employers value graduates who can demonstrate competencies, such as aptitude, a positive attitude and who demonstrate a willingness to learn ‘on the job’ (CBI, 2009; Holmes, 2001; Knight, 2006; Lees, 2002; Pool and Sewell, 2007). It is not surprising, therefore, that there is an emphasis on employability skills and a belief that they ‘should be a core part of a student’s university experience’ (CBI, 2009: 6).</w:t>
      </w:r>
    </w:p>
    <w:p w:rsidR="00143F9B" w:rsidRDefault="00143F9B" w:rsidP="00143F9B">
      <w:r>
        <w:t xml:space="preserve">Archer and Davison (2008) reported that 86% of employers considered good communication skills to be important, yet many do not feel graduates express themselves effectively. </w:t>
      </w:r>
    </w:p>
    <w:p w:rsidR="00143F9B" w:rsidRDefault="00143F9B" w:rsidP="00143F9B">
      <w:r>
        <w:t xml:space="preserve">The Barclays life skills report showed adaptability and communication skills have grown in importance for employers over the last 10 years. Employers viewed problem solving as the most important of the seven skills followed by creativity, leadership and adaptability. Furthermore, employers genuinely agreed the seven employability skills could be developed through training and work experience particularly (problem solving and communication skills).  </w:t>
      </w:r>
    </w:p>
    <w:p w:rsidR="00143F9B" w:rsidRDefault="00143F9B" w:rsidP="00143F9B"/>
    <w:p w:rsidR="00143F9B" w:rsidRDefault="00143F9B" w:rsidP="00143F9B">
      <w:pPr>
        <w:pStyle w:val="Heading2"/>
      </w:pPr>
      <w:r>
        <w:t>2.5 Issues in teaching employability skills</w:t>
      </w:r>
    </w:p>
    <w:p w:rsidR="00143F9B" w:rsidRDefault="00143F9B" w:rsidP="00143F9B">
      <w:r>
        <w:t xml:space="preserve">Identification of employability skills can be a useful developmental tool to make students think about employability in terms of their strengths and possible areas for improvement (Pool et al., 2014). Ultimately, it is the responsibility of higher educational institutes (HEIs) to </w:t>
      </w:r>
      <w:proofErr w:type="spellStart"/>
      <w:r>
        <w:t>instill</w:t>
      </w:r>
      <w:proofErr w:type="spellEnd"/>
      <w:r>
        <w:t xml:space="preserve"> desired employability skills in graduates (</w:t>
      </w:r>
      <w:proofErr w:type="spellStart"/>
      <w:r>
        <w:t>Ayoubi</w:t>
      </w:r>
      <w:proofErr w:type="spellEnd"/>
      <w:r>
        <w:t xml:space="preserve"> et al., 2017). But, some authors accuse HEIs of imparting education without considering the needs of the market (e.g. Boden and </w:t>
      </w:r>
      <w:proofErr w:type="spellStart"/>
      <w:r>
        <w:t>Nedeva</w:t>
      </w:r>
      <w:proofErr w:type="spellEnd"/>
      <w:r>
        <w:t xml:space="preserve">, 2010). Several authors suggest that universities must embed necessary skills in their course curriculums (Osmani et al., 2015; </w:t>
      </w:r>
      <w:proofErr w:type="spellStart"/>
      <w:r>
        <w:t>Buarki</w:t>
      </w:r>
      <w:proofErr w:type="spellEnd"/>
      <w:r>
        <w:t xml:space="preserve"> et al., 2011; Cox and King, 2006) and make it a part of final assessment (Osmani et al., 2015; Rigg, 2013).</w:t>
      </w:r>
    </w:p>
    <w:p w:rsidR="00143F9B" w:rsidRDefault="00143F9B" w:rsidP="00143F9B">
      <w:r>
        <w:t>To improve marketability and employability of graduates, universities should develop closer links with industries (McMurray et al., 2016; Hamid et al., 2014) to ascertain skills of graduates from employers’ perspective (Osmani et al., 2015). The most effective activities to improve employability include internships, joint student-industry projects, career development activities, training programs and curriculum based on corporate demand (</w:t>
      </w:r>
      <w:proofErr w:type="spellStart"/>
      <w:r>
        <w:t>Ishengoma</w:t>
      </w:r>
      <w:proofErr w:type="spellEnd"/>
      <w:r>
        <w:t xml:space="preserve"> and </w:t>
      </w:r>
      <w:proofErr w:type="spellStart"/>
      <w:r>
        <w:t>Vaaland</w:t>
      </w:r>
      <w:proofErr w:type="spellEnd"/>
      <w:r>
        <w:t>, 2016; Sewell and Pool, 2010).</w:t>
      </w:r>
      <w:r w:rsidRPr="00E73290">
        <w:t xml:space="preserve"> </w:t>
      </w:r>
      <w:r>
        <w:t>Business schools need to understand what skills the customers need (Rosenberg et al., 2012; McQuade and Maguire, 2005) and to transfer those skills to students during a particular program of study (Holmes, 2013). Tymon (2013) argues that employability skills should be developed according to managers’ expectations. Not surprisingly, it has been found that ‘experiential action learning methods combined with direct work experience’ is effective in developing employability (</w:t>
      </w:r>
      <w:proofErr w:type="spellStart"/>
      <w:r>
        <w:t>Pegg</w:t>
      </w:r>
      <w:proofErr w:type="spellEnd"/>
      <w:r>
        <w:t xml:space="preserve"> et al., 2012: 44).</w:t>
      </w:r>
    </w:p>
    <w:p w:rsidR="00310193" w:rsidRDefault="00310193" w:rsidP="00310193">
      <w:r>
        <w:t>However, it is important that the drive to employability does not lead to a naïve view that employers necessarily know best. There is considerable literature about employers’ narrow interests and understandings as being part of the problem. Instead, responsibility to enhance employability of graduates does not lie in the hands of a single party (Lim et al., 2016) but in effective coordination among students, industry, professional bodies, faculty, placement officers and directors of HEIs is needed (</w:t>
      </w:r>
      <w:proofErr w:type="spellStart"/>
      <w:r>
        <w:t>Ayoubi</w:t>
      </w:r>
      <w:proofErr w:type="spellEnd"/>
      <w:r>
        <w:t xml:space="preserve"> et al., 2017; Rao, 2014; Tran, 2013).</w:t>
      </w:r>
    </w:p>
    <w:p w:rsidR="00143F9B" w:rsidRDefault="00143F9B" w:rsidP="00143F9B"/>
    <w:p w:rsidR="00F33CFE" w:rsidRDefault="00EB347D" w:rsidP="00F33CFE">
      <w:pPr>
        <w:pStyle w:val="Heading2"/>
      </w:pPr>
      <w:r>
        <w:t xml:space="preserve">3. </w:t>
      </w:r>
      <w:r w:rsidR="00F33CFE">
        <w:t>Banking employability skills</w:t>
      </w:r>
    </w:p>
    <w:p w:rsidR="00F33CFE" w:rsidRDefault="00F33CFE" w:rsidP="00F33CFE">
      <w:r>
        <w:t xml:space="preserve">A good banker is supposed to have Good communication skills (verbal and written) that are needed in effective interaction with the clients as well as the staff. In fact, good communication skills have </w:t>
      </w:r>
      <w:r>
        <w:lastRenderedPageBreak/>
        <w:t>become an important aspect in most of the Job arenas today. But in Banking they are centrally important. Mangers recognize listening, interpersonal and communication as highly desired skills for business graduates to work in banking industry.</w:t>
      </w:r>
    </w:p>
    <w:p w:rsidR="00F33CFE" w:rsidRDefault="00F33CFE" w:rsidP="00F33CFE">
      <w:pPr>
        <w:spacing w:after="200" w:line="276" w:lineRule="auto"/>
      </w:pPr>
      <w:r>
        <w:t>This is because banking operatives interact with public, clients, colleagues and head office frequently. Therefore, listening, interpersonal and communication skills are required for effective performance in highly stressful, complex and dynamic environments like banking.</w:t>
      </w:r>
    </w:p>
    <w:p w:rsidR="00F33CFE" w:rsidRDefault="00F33CFE" w:rsidP="00F33CFE">
      <w:pPr>
        <w:spacing w:after="200" w:line="276" w:lineRule="auto"/>
      </w:pPr>
      <w:r>
        <w:t xml:space="preserve">According to </w:t>
      </w:r>
      <w:proofErr w:type="spellStart"/>
      <w:r>
        <w:t>Abassi</w:t>
      </w:r>
      <w:proofErr w:type="spellEnd"/>
      <w:r>
        <w:t xml:space="preserve"> et al (DATE) Banking jobs require no innovation but compel employees to follow strict rules and regulations. Their study found that that an overall gap exists between the skills expected by managers in banking and possessed by graduates. They also found that IT skills of graduates are higher than required by managers in banking industry. IT skills are not much needed to perform daily tasks at operational level because business graduates are expected to use and not to develop IT tools in banks.). </w:t>
      </w:r>
    </w:p>
    <w:p w:rsidR="00143F9B" w:rsidRDefault="00206022" w:rsidP="00206022">
      <w:pPr>
        <w:pStyle w:val="Heading2"/>
      </w:pPr>
      <w:r>
        <w:t xml:space="preserve">4.0 Kolb Learning cycle (1984) </w:t>
      </w:r>
    </w:p>
    <w:p w:rsidR="00206022" w:rsidRDefault="00206022" w:rsidP="00143F9B">
      <w:r w:rsidRPr="00206022">
        <w:t xml:space="preserve">Reflective thinking </w:t>
      </w:r>
      <w:r>
        <w:t>is</w:t>
      </w:r>
      <w:r w:rsidRPr="00206022">
        <w:t xml:space="preserve"> to develop critical consideration of </w:t>
      </w:r>
      <w:r>
        <w:t>taking a look at a situation there and then t</w:t>
      </w:r>
      <w:r w:rsidRPr="00206022">
        <w:t>he learning cycle based on Kolb (1984) is often used as the</w:t>
      </w:r>
      <w:r>
        <w:t xml:space="preserve"> </w:t>
      </w:r>
      <w:r w:rsidRPr="00206022">
        <w:t>LTSN Generic Centre</w:t>
      </w:r>
      <w:r>
        <w:t xml:space="preserve"> </w:t>
      </w:r>
      <w:r w:rsidRPr="00206022">
        <w:t xml:space="preserve">  </w:t>
      </w:r>
    </w:p>
    <w:p w:rsidR="00206022" w:rsidRPr="00143F9B" w:rsidRDefault="00206022" w:rsidP="00143F9B">
      <w:r w:rsidRPr="00206022">
        <w:t xml:space="preserve">The Kolb learning cycle is however, a helpful analytical tool for an individual to use as a basis for analysing their experiences. Reflective writing is central to many employability initiatives, for example PDP </w:t>
      </w:r>
      <w:r>
        <w:t xml:space="preserve">in </w:t>
      </w:r>
      <w:r w:rsidR="006358E4">
        <w:t xml:space="preserve">appendix. </w:t>
      </w:r>
    </w:p>
    <w:p w:rsidR="00162FAF" w:rsidRDefault="00162FAF" w:rsidP="00FF2AB4">
      <w:pPr>
        <w:rPr>
          <w:b/>
          <w:u w:val="single"/>
        </w:rPr>
      </w:pPr>
    </w:p>
    <w:p w:rsidR="00162FAF" w:rsidRDefault="00F46F93" w:rsidP="00FF2AB4">
      <w:pPr>
        <w:rPr>
          <w:b/>
          <w:u w:val="single"/>
        </w:rPr>
      </w:pPr>
      <w:r>
        <w:rPr>
          <w:b/>
          <w:noProof/>
          <w:u w:val="single"/>
        </w:rPr>
        <mc:AlternateContent>
          <mc:Choice Requires="wps">
            <w:drawing>
              <wp:anchor distT="0" distB="0" distL="114300" distR="114300" simplePos="0" relativeHeight="251659264" behindDoc="0" locked="0" layoutInCell="1" allowOverlap="1">
                <wp:simplePos x="0" y="0"/>
                <wp:positionH relativeFrom="column">
                  <wp:posOffset>1436551</wp:posOffset>
                </wp:positionH>
                <wp:positionV relativeFrom="paragraph">
                  <wp:posOffset>259806</wp:posOffset>
                </wp:positionV>
                <wp:extent cx="2459899" cy="914128"/>
                <wp:effectExtent l="0" t="0" r="17145" b="19685"/>
                <wp:wrapNone/>
                <wp:docPr id="1" name="Oval 1"/>
                <wp:cNvGraphicFramePr/>
                <a:graphic xmlns:a="http://schemas.openxmlformats.org/drawingml/2006/main">
                  <a:graphicData uri="http://schemas.microsoft.com/office/word/2010/wordprocessingShape">
                    <wps:wsp>
                      <wps:cNvSpPr/>
                      <wps:spPr>
                        <a:xfrm>
                          <a:off x="0" y="0"/>
                          <a:ext cx="2459899" cy="9141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DB8913" id="Oval 1" o:spid="_x0000_s1026" style="position:absolute;margin-left:113.1pt;margin-top:20.45pt;width:193.7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" fillcolor="#4472c4 [3204]" strokecolor="#1f3763 [1604]" strokeweight="1pt">
                <v:stroke joinstyle="miter"/>
              </v:oval>
            </w:pict>
          </mc:Fallback>
        </mc:AlternateContent>
      </w:r>
    </w:p>
    <w:p w:rsidR="00162FAF" w:rsidRDefault="00F46F93" w:rsidP="00FF2AB4">
      <w:pPr>
        <w:rPr>
          <w:b/>
          <w:u w:val="single"/>
        </w:rPr>
      </w:pPr>
      <w:r w:rsidRPr="00630BFD">
        <w:rPr>
          <w:b/>
          <w:noProof/>
          <w:u w:val="single"/>
        </w:rPr>
        <mc:AlternateContent>
          <mc:Choice Requires="wps">
            <w:drawing>
              <wp:anchor distT="45720" distB="45720" distL="114300" distR="114300" simplePos="0" relativeHeight="251661312" behindDoc="0" locked="0" layoutInCell="1" allowOverlap="1">
                <wp:simplePos x="0" y="0"/>
                <wp:positionH relativeFrom="margin">
                  <wp:posOffset>1831613</wp:posOffset>
                </wp:positionH>
                <wp:positionV relativeFrom="paragraph">
                  <wp:posOffset>179705</wp:posOffset>
                </wp:positionV>
                <wp:extent cx="1817370" cy="45720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7370" cy="457200"/>
                        </a:xfrm>
                        <a:prstGeom prst="rect">
                          <a:avLst/>
                        </a:prstGeom>
                        <a:solidFill>
                          <a:srgbClr val="FFFFFF"/>
                        </a:solidFill>
                        <a:ln w="9525">
                          <a:solidFill>
                            <a:srgbClr val="000000"/>
                          </a:solidFill>
                          <a:miter lim="800000"/>
                          <a:headEnd/>
                          <a:tailEnd/>
                        </a:ln>
                      </wps:spPr>
                      <wps:txbx>
                        <w:txbxContent>
                          <w:p w:rsidR="00630BFD" w:rsidRPr="00630BFD" w:rsidRDefault="00630BFD">
                            <w:pPr>
                              <w:rPr>
                                <w:b/>
                              </w:rPr>
                            </w:pPr>
                            <w:r w:rsidRPr="00630BFD">
                              <w:rPr>
                                <w:b/>
                              </w:rPr>
                              <w:t>Concrete Experience</w:t>
                            </w:r>
                            <w:r w:rsidR="00F46F93">
                              <w:rPr>
                                <w:b/>
                              </w:rPr>
                              <w:t xml:space="preserve"> (having an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44.2pt;margin-top:14.15pt;width:143.1pt;height:3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">
                <v:textbox>
                  <w:txbxContent>
                    <w:p w:rsidR="00630BFD" w:rsidRPr="00630BFD" w:rsidRDefault="00630BFD">
                      <w:pPr>
                        <w:rPr>
                          <w:b/>
                        </w:rPr>
                      </w:pPr>
                      <w:r w:rsidRPr="00630BFD">
                        <w:rPr>
                          <w:b/>
                        </w:rPr>
                        <w:t>Concrete Experience</w:t>
                      </w:r>
                      <w:r w:rsidR="00F46F93">
                        <w:rPr>
                          <w:b/>
                        </w:rPr>
                        <w:t xml:space="preserve"> (having an experience)</w:t>
                      </w:r>
                    </w:p>
                  </w:txbxContent>
                </v:textbox>
                <w10:wrap type="square" anchorx="margin"/>
              </v:shape>
            </w:pict>
          </mc:Fallback>
        </mc:AlternateContent>
      </w:r>
    </w:p>
    <w:p w:rsidR="00162FAF" w:rsidRDefault="00162FAF" w:rsidP="00FF2AB4">
      <w:pPr>
        <w:rPr>
          <w:b/>
          <w:u w:val="single"/>
        </w:rPr>
      </w:pPr>
    </w:p>
    <w:p w:rsidR="00162FAF" w:rsidRDefault="006358E4" w:rsidP="00FF2AB4">
      <w:pPr>
        <w:rPr>
          <w:b/>
          <w:u w:val="single"/>
        </w:rPr>
      </w:pPr>
      <w:r>
        <w:rPr>
          <w:b/>
          <w:noProof/>
          <w:u w:val="single"/>
        </w:rPr>
        <mc:AlternateContent>
          <mc:Choice Requires="wps">
            <w:drawing>
              <wp:anchor distT="0" distB="0" distL="114300" distR="114300" simplePos="0" relativeHeight="251671552" behindDoc="0" locked="0" layoutInCell="1" allowOverlap="1">
                <wp:simplePos x="0" y="0"/>
                <wp:positionH relativeFrom="column">
                  <wp:posOffset>718457</wp:posOffset>
                </wp:positionH>
                <wp:positionV relativeFrom="paragraph">
                  <wp:posOffset>45629</wp:posOffset>
                </wp:positionV>
                <wp:extent cx="402772" cy="370115"/>
                <wp:effectExtent l="38100" t="38100" r="54610" b="49530"/>
                <wp:wrapNone/>
                <wp:docPr id="17" name="Straight Arrow Connector 17"/>
                <wp:cNvGraphicFramePr/>
                <a:graphic xmlns:a="http://schemas.openxmlformats.org/drawingml/2006/main">
                  <a:graphicData uri="http://schemas.microsoft.com/office/word/2010/wordprocessingShape">
                    <wps:wsp>
                      <wps:cNvCnPr/>
                      <wps:spPr>
                        <a:xfrm flipV="1">
                          <a:off x="0" y="0"/>
                          <a:ext cx="402772" cy="37011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33261F9" id="_x0000_t32" coordsize="21600,21600" o:spt="32" o:oned="t" path="m,l21600,21600e" filled="f">
                <v:path arrowok="t" fillok="f" o:connecttype="none"/>
                <o:lock v:ext="edit" shapetype="t"/>
              </v:shapetype>
              <v:shape id="Straight Arrow Connector 17" o:spid="_x0000_s1026" type="#_x0000_t32" style="position:absolute;margin-left:56.55pt;margin-top:3.6pt;width:31.7pt;height:29.1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" strokecolor="#4472c4 [3204]" strokeweight=".5pt">
                <v:stroke startarrow="block" endarrow="block" joinstyle="miter"/>
              </v:shape>
            </w:pict>
          </mc:Fallback>
        </mc:AlternateContent>
      </w:r>
      <w:r>
        <w:rPr>
          <w:b/>
          <w:noProof/>
          <w:u w:val="single"/>
        </w:rPr>
        <mc:AlternateContent>
          <mc:Choice Requires="wps">
            <w:drawing>
              <wp:anchor distT="0" distB="0" distL="114300" distR="114300" simplePos="0" relativeHeight="251668480" behindDoc="0" locked="0" layoutInCell="1" allowOverlap="1">
                <wp:simplePos x="0" y="0"/>
                <wp:positionH relativeFrom="column">
                  <wp:posOffset>3788229</wp:posOffset>
                </wp:positionH>
                <wp:positionV relativeFrom="paragraph">
                  <wp:posOffset>176258</wp:posOffset>
                </wp:positionV>
                <wp:extent cx="391885" cy="315686"/>
                <wp:effectExtent l="0" t="0" r="65405" b="65405"/>
                <wp:wrapNone/>
                <wp:docPr id="14" name="Straight Arrow Connector 14"/>
                <wp:cNvGraphicFramePr/>
                <a:graphic xmlns:a="http://schemas.openxmlformats.org/drawingml/2006/main">
                  <a:graphicData uri="http://schemas.microsoft.com/office/word/2010/wordprocessingShape">
                    <wps:wsp>
                      <wps:cNvCnPr/>
                      <wps:spPr>
                        <a:xfrm>
                          <a:off x="0" y="0"/>
                          <a:ext cx="391885" cy="3156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D1009E" id="Straight Arrow Connector 14" o:spid="_x0000_s1026" type="#_x0000_t32" style="position:absolute;margin-left:298.3pt;margin-top:13.9pt;width:30.85pt;height:24.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" strokecolor="#4472c4 [3204]" strokeweight=".5pt">
                <v:stroke endarrow="block" joinstyle="miter"/>
              </v:shape>
            </w:pict>
          </mc:Fallback>
        </mc:AlternateContent>
      </w:r>
    </w:p>
    <w:p w:rsidR="00162FAF" w:rsidRDefault="00F46F93" w:rsidP="00FF2AB4">
      <w:pPr>
        <w:rPr>
          <w:b/>
          <w:u w:val="single"/>
        </w:rPr>
      </w:pPr>
      <w:r>
        <w:rPr>
          <w:b/>
          <w:noProof/>
          <w:u w:val="single"/>
        </w:rPr>
        <mc:AlternateContent>
          <mc:Choice Requires="wps">
            <w:drawing>
              <wp:anchor distT="0" distB="0" distL="114300" distR="114300" simplePos="0" relativeHeight="251663360" behindDoc="0" locked="0" layoutInCell="1" allowOverlap="1">
                <wp:simplePos x="0" y="0"/>
                <wp:positionH relativeFrom="column">
                  <wp:posOffset>-370115</wp:posOffset>
                </wp:positionH>
                <wp:positionV relativeFrom="paragraph">
                  <wp:posOffset>293279</wp:posOffset>
                </wp:positionV>
                <wp:extent cx="2144485" cy="1023257"/>
                <wp:effectExtent l="0" t="0" r="27305" b="24765"/>
                <wp:wrapNone/>
                <wp:docPr id="3" name="Oval 3"/>
                <wp:cNvGraphicFramePr/>
                <a:graphic xmlns:a="http://schemas.openxmlformats.org/drawingml/2006/main">
                  <a:graphicData uri="http://schemas.microsoft.com/office/word/2010/wordprocessingShape">
                    <wps:wsp>
                      <wps:cNvSpPr/>
                      <wps:spPr>
                        <a:xfrm>
                          <a:off x="0" y="0"/>
                          <a:ext cx="2144485" cy="10232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606FA" id="Oval 3" o:spid="_x0000_s1026" style="position:absolute;margin-left:-29.15pt;margin-top:23.1pt;width:168.85pt;height:80.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" fillcolor="#4472c4 [3204]" strokecolor="#1f3763 [1604]" strokeweight="1pt">
                <v:stroke joinstyle="miter"/>
              </v:oval>
            </w:pict>
          </mc:Fallback>
        </mc:AlternateContent>
      </w:r>
    </w:p>
    <w:p w:rsidR="00162FAF" w:rsidRDefault="00F46F93" w:rsidP="00FF2AB4">
      <w:pPr>
        <w:rPr>
          <w:b/>
          <w:u w:val="single"/>
        </w:rPr>
      </w:pPr>
      <w:r>
        <w:rPr>
          <w:b/>
          <w:noProof/>
          <w:u w:val="single"/>
        </w:rPr>
        <mc:AlternateContent>
          <mc:Choice Requires="wps">
            <w:drawing>
              <wp:anchor distT="0" distB="0" distL="114300" distR="114300" simplePos="0" relativeHeight="251667456" behindDoc="0" locked="0" layoutInCell="1" allowOverlap="1">
                <wp:simplePos x="0" y="0"/>
                <wp:positionH relativeFrom="column">
                  <wp:posOffset>-65314</wp:posOffset>
                </wp:positionH>
                <wp:positionV relativeFrom="paragraph">
                  <wp:posOffset>170815</wp:posOffset>
                </wp:positionV>
                <wp:extent cx="1589314" cy="674914"/>
                <wp:effectExtent l="0" t="0" r="11430" b="11430"/>
                <wp:wrapNone/>
                <wp:docPr id="9" name="Text Box 9"/>
                <wp:cNvGraphicFramePr/>
                <a:graphic xmlns:a="http://schemas.openxmlformats.org/drawingml/2006/main">
                  <a:graphicData uri="http://schemas.microsoft.com/office/word/2010/wordprocessingShape">
                    <wps:wsp>
                      <wps:cNvSpPr txBox="1"/>
                      <wps:spPr>
                        <a:xfrm>
                          <a:off x="0" y="0"/>
                          <a:ext cx="1589314" cy="674914"/>
                        </a:xfrm>
                        <a:prstGeom prst="rect">
                          <a:avLst/>
                        </a:prstGeom>
                        <a:solidFill>
                          <a:schemeClr val="lt1"/>
                        </a:solidFill>
                        <a:ln w="6350">
                          <a:solidFill>
                            <a:prstClr val="black"/>
                          </a:solidFill>
                        </a:ln>
                      </wps:spPr>
                      <wps:txbx>
                        <w:txbxContent>
                          <w:p w:rsidR="00F46F93" w:rsidRPr="00F46F93" w:rsidRDefault="00F46F93">
                            <w:pPr>
                              <w:rPr>
                                <w:b/>
                              </w:rPr>
                            </w:pPr>
                            <w:r w:rsidRPr="00F46F93">
                              <w:rPr>
                                <w:b/>
                              </w:rPr>
                              <w:t>Active experimentation (planning out what you have learned)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7" type="#_x0000_t202" style="position:absolute;margin-left:-5.15pt;margin-top:13.45pt;width:125.15pt;height:5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" fillcolor="white [3201]" strokeweight=".5pt">
                <v:textbox>
                  <w:txbxContent>
                    <w:p w:rsidR="00F46F93" w:rsidRPr="00F46F93" w:rsidRDefault="00F46F93">
                      <w:pPr>
                        <w:rPr>
                          <w:b/>
                        </w:rPr>
                      </w:pPr>
                      <w:r w:rsidRPr="00F46F93">
                        <w:rPr>
                          <w:b/>
                        </w:rPr>
                        <w:t>Active experimentation (planning out what you have learned)</w:t>
                      </w:r>
                    </w:p>
                  </w:txbxContent>
                </v:textbox>
              </v:shape>
            </w:pict>
          </mc:Fallback>
        </mc:AlternateContent>
      </w:r>
      <w:r>
        <w:rPr>
          <w:b/>
          <w:noProof/>
          <w:u w:val="single"/>
        </w:rPr>
        <mc:AlternateContent>
          <mc:Choice Requires="wps">
            <w:drawing>
              <wp:anchor distT="0" distB="0" distL="114300" distR="114300" simplePos="0" relativeHeight="251665408" behindDoc="0" locked="0" layoutInCell="1" allowOverlap="1">
                <wp:simplePos x="0" y="0"/>
                <wp:positionH relativeFrom="margin">
                  <wp:posOffset>4245428</wp:posOffset>
                </wp:positionH>
                <wp:positionV relativeFrom="paragraph">
                  <wp:posOffset>105501</wp:posOffset>
                </wp:positionV>
                <wp:extent cx="1556657" cy="696685"/>
                <wp:effectExtent l="0" t="0" r="24765" b="27305"/>
                <wp:wrapNone/>
                <wp:docPr id="7" name="Text Box 7"/>
                <wp:cNvGraphicFramePr/>
                <a:graphic xmlns:a="http://schemas.openxmlformats.org/drawingml/2006/main">
                  <a:graphicData uri="http://schemas.microsoft.com/office/word/2010/wordprocessingShape">
                    <wps:wsp>
                      <wps:cNvSpPr txBox="1"/>
                      <wps:spPr>
                        <a:xfrm>
                          <a:off x="0" y="0"/>
                          <a:ext cx="1556657" cy="696685"/>
                        </a:xfrm>
                        <a:prstGeom prst="rect">
                          <a:avLst/>
                        </a:prstGeom>
                        <a:solidFill>
                          <a:schemeClr val="lt1"/>
                        </a:solidFill>
                        <a:ln w="6350">
                          <a:solidFill>
                            <a:prstClr val="black"/>
                          </a:solidFill>
                        </a:ln>
                      </wps:spPr>
                      <wps:txbx>
                        <w:txbxContent>
                          <w:p w:rsidR="00F46F93" w:rsidRPr="00F46F93" w:rsidRDefault="00F46F93">
                            <w:pPr>
                              <w:rPr>
                                <w:b/>
                              </w:rPr>
                            </w:pPr>
                            <w:r w:rsidRPr="00F46F93">
                              <w:rPr>
                                <w:b/>
                              </w:rPr>
                              <w:t xml:space="preserve">Reflective observation (Reflecting on the experience). </w:t>
                            </w:r>
                          </w:p>
                          <w:p w:rsidR="00F46F93" w:rsidRDefault="00F46F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334.3pt;margin-top:8.3pt;width:122.55pt;height:54.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" fillcolor="white [3201]" strokeweight=".5pt">
                <v:textbox>
                  <w:txbxContent>
                    <w:p w:rsidR="00F46F93" w:rsidRPr="00F46F93" w:rsidRDefault="00F46F93">
                      <w:pPr>
                        <w:rPr>
                          <w:b/>
                        </w:rPr>
                      </w:pPr>
                      <w:r w:rsidRPr="00F46F93">
                        <w:rPr>
                          <w:b/>
                        </w:rPr>
                        <w:t xml:space="preserve">Reflective observation (Reflecting on the experience). </w:t>
                      </w:r>
                    </w:p>
                    <w:p w:rsidR="00F46F93" w:rsidRDefault="00F46F93"/>
                  </w:txbxContent>
                </v:textbox>
                <w10:wrap anchorx="margin"/>
              </v:shape>
            </w:pict>
          </mc:Fallback>
        </mc:AlternateContent>
      </w:r>
      <w:r>
        <w:rPr>
          <w:b/>
          <w:noProof/>
          <w:u w:val="single"/>
        </w:rPr>
        <mc:AlternateContent>
          <mc:Choice Requires="wps">
            <w:drawing>
              <wp:anchor distT="0" distB="0" distL="114300" distR="114300" simplePos="0" relativeHeight="251662336" behindDoc="0" locked="0" layoutInCell="1" allowOverlap="1">
                <wp:simplePos x="0" y="0"/>
                <wp:positionH relativeFrom="column">
                  <wp:posOffset>3842114</wp:posOffset>
                </wp:positionH>
                <wp:positionV relativeFrom="paragraph">
                  <wp:posOffset>7529</wp:posOffset>
                </wp:positionV>
                <wp:extent cx="2275568" cy="869950"/>
                <wp:effectExtent l="0" t="0" r="10795" b="25400"/>
                <wp:wrapNone/>
                <wp:docPr id="2" name="Oval 2"/>
                <wp:cNvGraphicFramePr/>
                <a:graphic xmlns:a="http://schemas.openxmlformats.org/drawingml/2006/main">
                  <a:graphicData uri="http://schemas.microsoft.com/office/word/2010/wordprocessingShape">
                    <wps:wsp>
                      <wps:cNvSpPr/>
                      <wps:spPr>
                        <a:xfrm>
                          <a:off x="0" y="0"/>
                          <a:ext cx="2275568" cy="869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81D2BB" id="Oval 2" o:spid="_x0000_s1026" style="position:absolute;margin-left:302.55pt;margin-top:.6pt;width:179.2pt;height:6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" fillcolor="#4472c4 [3204]" strokecolor="#1f3763 [1604]" strokeweight="1pt">
                <v:stroke joinstyle="miter"/>
              </v:oval>
            </w:pict>
          </mc:Fallback>
        </mc:AlternateContent>
      </w:r>
    </w:p>
    <w:p w:rsidR="00162FAF" w:rsidRDefault="00162FAF" w:rsidP="00FF2AB4">
      <w:pPr>
        <w:rPr>
          <w:b/>
          <w:u w:val="single"/>
        </w:rPr>
      </w:pPr>
    </w:p>
    <w:p w:rsidR="00162FAF" w:rsidRDefault="00162FAF" w:rsidP="00FF2AB4">
      <w:pPr>
        <w:rPr>
          <w:b/>
          <w:u w:val="single"/>
        </w:rPr>
      </w:pPr>
    </w:p>
    <w:p w:rsidR="00310193" w:rsidRDefault="00310193" w:rsidP="00162FAF">
      <w:pPr>
        <w:rPr>
          <w:b/>
          <w:u w:val="single"/>
        </w:rPr>
      </w:pPr>
    </w:p>
    <w:p w:rsidR="00310193" w:rsidRDefault="006358E4" w:rsidP="00162FAF">
      <w:pPr>
        <w:rPr>
          <w:b/>
          <w:u w:val="single"/>
        </w:rPr>
      </w:pPr>
      <w:r>
        <w:rPr>
          <w:b/>
          <w:noProof/>
          <w:u w:val="single"/>
        </w:rPr>
        <mc:AlternateContent>
          <mc:Choice Requires="wps">
            <w:drawing>
              <wp:anchor distT="0" distB="0" distL="114300" distR="114300" simplePos="0" relativeHeight="251669504" behindDoc="0" locked="0" layoutInCell="1" allowOverlap="1">
                <wp:simplePos x="0" y="0"/>
                <wp:positionH relativeFrom="column">
                  <wp:posOffset>4245429</wp:posOffset>
                </wp:positionH>
                <wp:positionV relativeFrom="paragraph">
                  <wp:posOffset>19049</wp:posOffset>
                </wp:positionV>
                <wp:extent cx="315685" cy="424361"/>
                <wp:effectExtent l="38100" t="38100" r="65405" b="52070"/>
                <wp:wrapNone/>
                <wp:docPr id="15" name="Straight Arrow Connector 15"/>
                <wp:cNvGraphicFramePr/>
                <a:graphic xmlns:a="http://schemas.openxmlformats.org/drawingml/2006/main">
                  <a:graphicData uri="http://schemas.microsoft.com/office/word/2010/wordprocessingShape">
                    <wps:wsp>
                      <wps:cNvCnPr/>
                      <wps:spPr>
                        <a:xfrm flipH="1">
                          <a:off x="0" y="0"/>
                          <a:ext cx="315685" cy="42436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44596D" id="Straight Arrow Connector 15" o:spid="_x0000_s1026" type="#_x0000_t32" style="position:absolute;margin-left:334.3pt;margin-top:1.5pt;width:24.85pt;height:33.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" strokecolor="#4472c4 [3204]" strokeweight=".5pt">
                <v:stroke startarrow="block" endarrow="block" joinstyle="miter"/>
              </v:shape>
            </w:pict>
          </mc:Fallback>
        </mc:AlternateContent>
      </w:r>
      <w:r>
        <w:rPr>
          <w:b/>
          <w:noProof/>
          <w:u w:val="single"/>
        </w:rPr>
        <mc:AlternateContent>
          <mc:Choice Requires="wps">
            <w:drawing>
              <wp:anchor distT="0" distB="0" distL="114300" distR="114300" simplePos="0" relativeHeight="251670528" behindDoc="0" locked="0" layoutInCell="1" allowOverlap="1">
                <wp:simplePos x="0" y="0"/>
                <wp:positionH relativeFrom="column">
                  <wp:posOffset>979170</wp:posOffset>
                </wp:positionH>
                <wp:positionV relativeFrom="paragraph">
                  <wp:posOffset>51435</wp:posOffset>
                </wp:positionV>
                <wp:extent cx="402771" cy="359229"/>
                <wp:effectExtent l="38100" t="38100" r="54610" b="60325"/>
                <wp:wrapNone/>
                <wp:docPr id="16" name="Straight Arrow Connector 16"/>
                <wp:cNvGraphicFramePr/>
                <a:graphic xmlns:a="http://schemas.openxmlformats.org/drawingml/2006/main">
                  <a:graphicData uri="http://schemas.microsoft.com/office/word/2010/wordprocessingShape">
                    <wps:wsp>
                      <wps:cNvCnPr/>
                      <wps:spPr>
                        <a:xfrm>
                          <a:off x="0" y="0"/>
                          <a:ext cx="402771" cy="35922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DF10B7" id="Straight Arrow Connector 16" o:spid="_x0000_s1026" type="#_x0000_t32" style="position:absolute;margin-left:77.1pt;margin-top:4.05pt;width:31.7pt;height:28.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" strokecolor="#4472c4 [3204]" strokeweight=".5pt">
                <v:stroke startarrow="block" endarrow="block" joinstyle="miter"/>
              </v:shape>
            </w:pict>
          </mc:Fallback>
        </mc:AlternateContent>
      </w:r>
      <w:r w:rsidR="00F46F93">
        <w:rPr>
          <w:b/>
          <w:noProof/>
          <w:u w:val="single"/>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73025</wp:posOffset>
                </wp:positionV>
                <wp:extent cx="1665515" cy="859971"/>
                <wp:effectExtent l="0" t="0" r="11430" b="16510"/>
                <wp:wrapNone/>
                <wp:docPr id="8" name="Text Box 8"/>
                <wp:cNvGraphicFramePr/>
                <a:graphic xmlns:a="http://schemas.openxmlformats.org/drawingml/2006/main">
                  <a:graphicData uri="http://schemas.microsoft.com/office/word/2010/wordprocessingShape">
                    <wps:wsp>
                      <wps:cNvSpPr txBox="1"/>
                      <wps:spPr>
                        <a:xfrm>
                          <a:off x="0" y="0"/>
                          <a:ext cx="1665515" cy="859971"/>
                        </a:xfrm>
                        <a:prstGeom prst="rect">
                          <a:avLst/>
                        </a:prstGeom>
                        <a:solidFill>
                          <a:schemeClr val="lt1"/>
                        </a:solidFill>
                        <a:ln w="6350">
                          <a:solidFill>
                            <a:prstClr val="black"/>
                          </a:solidFill>
                        </a:ln>
                      </wps:spPr>
                      <wps:txbx>
                        <w:txbxContent>
                          <w:p w:rsidR="00F46F93" w:rsidRPr="00F46F93" w:rsidRDefault="00F46F93">
                            <w:pPr>
                              <w:rPr>
                                <w:b/>
                              </w:rPr>
                            </w:pPr>
                            <w:r w:rsidRPr="00F46F93">
                              <w:rPr>
                                <w:b/>
                              </w:rPr>
                              <w:t>Abstract conceptualisation (Learning from the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9" type="#_x0000_t202" style="position:absolute;margin-left:0;margin-top:5.75pt;width:131.15pt;height:67.7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" fillcolor="white [3201]" strokeweight=".5pt">
                <v:textbox>
                  <w:txbxContent>
                    <w:p w:rsidR="00F46F93" w:rsidRPr="00F46F93" w:rsidRDefault="00F46F93">
                      <w:pPr>
                        <w:rPr>
                          <w:b/>
                        </w:rPr>
                      </w:pPr>
                      <w:r w:rsidRPr="00F46F93">
                        <w:rPr>
                          <w:b/>
                        </w:rPr>
                        <w:t>Abstract conceptualisation (Learning from the experience)</w:t>
                      </w:r>
                    </w:p>
                  </w:txbxContent>
                </v:textbox>
                <w10:wrap anchorx="margin"/>
              </v:shape>
            </w:pict>
          </mc:Fallback>
        </mc:AlternateContent>
      </w:r>
      <w:r w:rsidR="00F46F93">
        <w:rPr>
          <w:b/>
          <w:noProof/>
          <w:u w:val="single"/>
        </w:rPr>
        <mc:AlternateContent>
          <mc:Choice Requires="wps">
            <w:drawing>
              <wp:anchor distT="0" distB="0" distL="114300" distR="114300" simplePos="0" relativeHeight="251664384" behindDoc="0" locked="0" layoutInCell="1" allowOverlap="1">
                <wp:simplePos x="0" y="0"/>
                <wp:positionH relativeFrom="margin">
                  <wp:posOffset>1600200</wp:posOffset>
                </wp:positionH>
                <wp:positionV relativeFrom="paragraph">
                  <wp:posOffset>8164</wp:posOffset>
                </wp:positionV>
                <wp:extent cx="2448741" cy="1012372"/>
                <wp:effectExtent l="0" t="0" r="27940" b="16510"/>
                <wp:wrapNone/>
                <wp:docPr id="5" name="Oval 5"/>
                <wp:cNvGraphicFramePr/>
                <a:graphic xmlns:a="http://schemas.openxmlformats.org/drawingml/2006/main">
                  <a:graphicData uri="http://schemas.microsoft.com/office/word/2010/wordprocessingShape">
                    <wps:wsp>
                      <wps:cNvSpPr/>
                      <wps:spPr>
                        <a:xfrm>
                          <a:off x="0" y="0"/>
                          <a:ext cx="2448741" cy="101237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E65F7B" id="Oval 5" o:spid="_x0000_s1026" style="position:absolute;margin-left:126pt;margin-top:.65pt;width:192.8pt;height:79.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" fillcolor="#4472c4 [3204]" strokecolor="#1f3763 [1604]" strokeweight="1pt">
                <v:stroke joinstyle="miter"/>
                <w10:wrap anchorx="margin"/>
              </v:oval>
            </w:pict>
          </mc:Fallback>
        </mc:AlternateContent>
      </w:r>
    </w:p>
    <w:p w:rsidR="005A6A29" w:rsidRDefault="005A6A29" w:rsidP="00EE633A">
      <w:pPr>
        <w:pStyle w:val="Heading2"/>
      </w:pPr>
    </w:p>
    <w:p w:rsidR="005A6A29" w:rsidRDefault="005A6A29" w:rsidP="00EE633A">
      <w:pPr>
        <w:pStyle w:val="Heading2"/>
      </w:pPr>
    </w:p>
    <w:p w:rsidR="005A6A29" w:rsidRDefault="005A6A29" w:rsidP="00EE633A">
      <w:pPr>
        <w:pStyle w:val="Heading2"/>
      </w:pPr>
    </w:p>
    <w:p w:rsidR="005A6A29" w:rsidRDefault="005A6A29" w:rsidP="00EE633A">
      <w:pPr>
        <w:pStyle w:val="Heading2"/>
      </w:pPr>
    </w:p>
    <w:p w:rsidR="00162FAF" w:rsidRDefault="00FF5A37" w:rsidP="00EE633A">
      <w:pPr>
        <w:pStyle w:val="Heading2"/>
      </w:pPr>
      <w:r>
        <w:t xml:space="preserve">5.0 </w:t>
      </w:r>
      <w:r w:rsidR="00162FAF" w:rsidRPr="00EE633A">
        <w:t>References and bibliography</w:t>
      </w:r>
    </w:p>
    <w:p w:rsidR="00206022" w:rsidRPr="00630BFD" w:rsidRDefault="00206022" w:rsidP="00206022">
      <w:pPr>
        <w:rPr>
          <w:color w:val="000000" w:themeColor="text1"/>
        </w:rPr>
      </w:pPr>
      <w:r w:rsidRPr="00630BFD">
        <w:rPr>
          <w:color w:val="000000" w:themeColor="text1"/>
        </w:rPr>
        <w:t>Brennan, J. et al., (2001). The employment of UK graduates: comparisons with Europe and Japan: a report to the HEFCE by the Centre for Higher Education Research and Information. London: Open University.</w:t>
      </w:r>
    </w:p>
    <w:p w:rsidR="00206022" w:rsidRPr="00630BFD" w:rsidRDefault="00206022" w:rsidP="00206022">
      <w:pPr>
        <w:rPr>
          <w:color w:val="000000" w:themeColor="text1"/>
        </w:rPr>
      </w:pPr>
      <w:r w:rsidRPr="00630BFD">
        <w:rPr>
          <w:color w:val="000000" w:themeColor="text1"/>
        </w:rPr>
        <w:t xml:space="preserve">Coopers &amp; Lybrand. (1998) Skills development in Higher Education. Report </w:t>
      </w:r>
      <w:proofErr w:type="gramStart"/>
      <w:r w:rsidRPr="00630BFD">
        <w:rPr>
          <w:color w:val="000000" w:themeColor="text1"/>
        </w:rPr>
        <w:t>for  CVCP</w:t>
      </w:r>
      <w:proofErr w:type="gramEnd"/>
      <w:r w:rsidRPr="00630BFD">
        <w:rPr>
          <w:color w:val="000000" w:themeColor="text1"/>
        </w:rPr>
        <w:t>/</w:t>
      </w:r>
      <w:proofErr w:type="spellStart"/>
      <w:r w:rsidRPr="00630BFD">
        <w:rPr>
          <w:color w:val="000000" w:themeColor="text1"/>
        </w:rPr>
        <w:t>DfEE</w:t>
      </w:r>
      <w:proofErr w:type="spellEnd"/>
      <w:r w:rsidRPr="00630BFD">
        <w:rPr>
          <w:color w:val="000000" w:themeColor="text1"/>
        </w:rPr>
        <w:t>/HEQE, November, London: Committee of Vice-Chancellors and Principals of the universities of the UK (CVCP).</w:t>
      </w:r>
    </w:p>
    <w:p w:rsidR="00206022" w:rsidRPr="00630BFD" w:rsidRDefault="00206022" w:rsidP="00206022">
      <w:pPr>
        <w:rPr>
          <w:color w:val="000000" w:themeColor="text1"/>
        </w:rPr>
      </w:pPr>
      <w:r w:rsidRPr="00630BFD">
        <w:rPr>
          <w:color w:val="000000" w:themeColor="text1"/>
        </w:rPr>
        <w:t>Deeley SJ (2010a) Service-learning: Thinking outside the box. Active Learning in Higher Education 11(1): 43–53.</w:t>
      </w:r>
    </w:p>
    <w:p w:rsidR="00206022" w:rsidRPr="00630BFD" w:rsidRDefault="00206022" w:rsidP="00206022">
      <w:pPr>
        <w:rPr>
          <w:color w:val="000000" w:themeColor="text1"/>
        </w:rPr>
      </w:pPr>
      <w:r w:rsidRPr="00630BFD">
        <w:rPr>
          <w:color w:val="000000" w:themeColor="text1"/>
        </w:rPr>
        <w:t>Deeley SJ (2010b) Identifying and assessing employability skills within service-learning. Paper presented at the International Association for Research in Service Learning and Community Engagement conference, Indianapolis, USA.</w:t>
      </w:r>
    </w:p>
    <w:p w:rsidR="00206022" w:rsidRPr="00630BFD" w:rsidRDefault="00206022" w:rsidP="00581B7D">
      <w:pPr>
        <w:spacing w:after="200" w:line="276" w:lineRule="auto"/>
        <w:rPr>
          <w:color w:val="000000" w:themeColor="text1"/>
        </w:rPr>
      </w:pPr>
      <w:proofErr w:type="spellStart"/>
      <w:r w:rsidRPr="00630BFD">
        <w:rPr>
          <w:color w:val="000000" w:themeColor="text1"/>
        </w:rPr>
        <w:t>Hillage</w:t>
      </w:r>
      <w:proofErr w:type="spellEnd"/>
      <w:r w:rsidRPr="00630BFD">
        <w:rPr>
          <w:color w:val="000000" w:themeColor="text1"/>
        </w:rPr>
        <w:t>, J. and Pollard, E. (1998). Employability: developing a framework for policy analysis. Research Brief 85, Department for Education and Employment, London.</w:t>
      </w:r>
    </w:p>
    <w:p w:rsidR="00581B7D" w:rsidRPr="00630BFD" w:rsidRDefault="00581B7D" w:rsidP="00581B7D">
      <w:pPr>
        <w:rPr>
          <w:color w:val="000000" w:themeColor="text1"/>
        </w:rPr>
      </w:pPr>
      <w:r w:rsidRPr="00630BFD">
        <w:rPr>
          <w:color w:val="000000" w:themeColor="text1"/>
        </w:rPr>
        <w:t xml:space="preserve">Knight, P. &amp; Yorke, M. (2001) Employability through the curriculum.  Skills Plus Project.  </w:t>
      </w:r>
    </w:p>
    <w:p w:rsidR="00581B7D" w:rsidRPr="00630BFD" w:rsidRDefault="00581B7D" w:rsidP="00581B7D">
      <w:pPr>
        <w:rPr>
          <w:color w:val="000000" w:themeColor="text1"/>
        </w:rPr>
      </w:pPr>
      <w:r w:rsidRPr="00630BFD">
        <w:rPr>
          <w:color w:val="000000" w:themeColor="text1"/>
        </w:rPr>
        <w:t xml:space="preserve">Knight, P. &amp; Yorke, M. (submitted, 2002a) Employability and good learning in higher   education. Teaching in Higher Education.  </w:t>
      </w:r>
    </w:p>
    <w:p w:rsidR="00581B7D" w:rsidRPr="00630BFD" w:rsidRDefault="00581B7D" w:rsidP="00581B7D">
      <w:pPr>
        <w:rPr>
          <w:color w:val="000000" w:themeColor="text1"/>
        </w:rPr>
      </w:pPr>
      <w:r w:rsidRPr="00630BFD">
        <w:rPr>
          <w:color w:val="000000" w:themeColor="text1"/>
        </w:rPr>
        <w:t>Knight, P. &amp; Yorke, M. (2002b) Work-related learning and the first cycle of higher   education.  Skills Plus Project Report.</w:t>
      </w:r>
    </w:p>
    <w:p w:rsidR="00581B7D" w:rsidRPr="00630BFD" w:rsidRDefault="00581B7D" w:rsidP="00581B7D">
      <w:pPr>
        <w:rPr>
          <w:color w:val="000000" w:themeColor="text1"/>
        </w:rPr>
      </w:pPr>
      <w:r w:rsidRPr="00630BFD">
        <w:rPr>
          <w:color w:val="000000" w:themeColor="text1"/>
        </w:rPr>
        <w:t>Kolb, D.A. (1984) Experiential Learning. Prentice Hall, NJ.</w:t>
      </w:r>
    </w:p>
    <w:p w:rsidR="00581B7D" w:rsidRPr="00630BFD" w:rsidRDefault="00581B7D" w:rsidP="00581B7D">
      <w:pPr>
        <w:rPr>
          <w:color w:val="000000" w:themeColor="text1"/>
        </w:rPr>
      </w:pPr>
      <w:r w:rsidRPr="00630BFD">
        <w:rPr>
          <w:color w:val="000000" w:themeColor="text1"/>
        </w:rPr>
        <w:t>Lees, D. 2002 Graduate employability: literature review. University of Essex.</w:t>
      </w:r>
    </w:p>
    <w:p w:rsidR="00581B7D" w:rsidRPr="00630BFD" w:rsidRDefault="00581B7D" w:rsidP="00581B7D">
      <w:pPr>
        <w:rPr>
          <w:color w:val="000000" w:themeColor="text1"/>
        </w:rPr>
      </w:pPr>
      <w:r w:rsidRPr="00630BFD">
        <w:rPr>
          <w:color w:val="000000" w:themeColor="text1"/>
        </w:rPr>
        <w:t>McKnight, A. (1999) Graduate employability and performance indicators: first destinations and beyond, in Elias, P., McKnight, A., Purcell, K. and Pitcher, J. (1999), Moving On: graduate careers three years after graduation (Manchester, Careers Services Unit).</w:t>
      </w:r>
    </w:p>
    <w:p w:rsidR="00581B7D" w:rsidRPr="00630BFD" w:rsidRDefault="00581B7D" w:rsidP="00581B7D">
      <w:pPr>
        <w:rPr>
          <w:color w:val="000000" w:themeColor="text1"/>
        </w:rPr>
      </w:pPr>
      <w:r w:rsidRPr="00630BFD">
        <w:rPr>
          <w:color w:val="000000" w:themeColor="text1"/>
        </w:rPr>
        <w:t xml:space="preserve">McGrath, S. and </w:t>
      </w:r>
      <w:proofErr w:type="spellStart"/>
      <w:r w:rsidRPr="00630BFD">
        <w:rPr>
          <w:color w:val="000000" w:themeColor="text1"/>
        </w:rPr>
        <w:t>Akoojee</w:t>
      </w:r>
      <w:proofErr w:type="spellEnd"/>
      <w:r w:rsidRPr="00630BFD">
        <w:rPr>
          <w:color w:val="000000" w:themeColor="text1"/>
        </w:rPr>
        <w:t>, S. 2007 The emergence of marketing and communications strategy in South African further education and training colleges. Education, Knowledge and Economy 1, 3, 301-21.</w:t>
      </w:r>
    </w:p>
    <w:p w:rsidR="00581B7D" w:rsidRPr="00630BFD" w:rsidRDefault="00581B7D" w:rsidP="00581B7D">
      <w:pPr>
        <w:rPr>
          <w:color w:val="000000" w:themeColor="text1"/>
        </w:rPr>
      </w:pPr>
      <w:r w:rsidRPr="00630BFD">
        <w:rPr>
          <w:color w:val="000000" w:themeColor="text1"/>
        </w:rPr>
        <w:t xml:space="preserve">McQuaid, R., Green, A. and Danson, M. 2005 Introducing employability. Urban Studies 42, 2, 191-195. </w:t>
      </w:r>
    </w:p>
    <w:p w:rsidR="00581B7D" w:rsidRPr="00630BFD" w:rsidRDefault="00581B7D" w:rsidP="00581B7D">
      <w:pPr>
        <w:rPr>
          <w:color w:val="000000" w:themeColor="text1"/>
        </w:rPr>
      </w:pPr>
      <w:r w:rsidRPr="00630BFD">
        <w:rPr>
          <w:color w:val="000000" w:themeColor="text1"/>
        </w:rPr>
        <w:t>McQuaid, R.W. and Lindsay, C. 2005 The concept of employability. Urban Studies 42, 2, 197-219.</w:t>
      </w:r>
    </w:p>
    <w:p w:rsidR="00EE633A" w:rsidRPr="00630BFD" w:rsidRDefault="00CA13AF" w:rsidP="00162FAF">
      <w:pPr>
        <w:rPr>
          <w:color w:val="000000" w:themeColor="text1"/>
        </w:rPr>
      </w:pPr>
      <w:bookmarkStart w:id="0" w:name="_Hlk534919719"/>
      <w:r w:rsidRPr="00630BFD">
        <w:rPr>
          <w:color w:val="000000" w:themeColor="text1"/>
        </w:rPr>
        <w:t>Smith, J., McKnight, A. and Naylor, R. (2000), Graduate employability: policy and performance in Higher Education in the UK, Economic Journal, 110, pp. F382F411</w:t>
      </w:r>
      <w:bookmarkStart w:id="1" w:name="_Hlk534919754"/>
      <w:bookmarkEnd w:id="0"/>
    </w:p>
    <w:bookmarkEnd w:id="1"/>
    <w:p w:rsidR="00581B7D" w:rsidRPr="00630BFD" w:rsidRDefault="00310193" w:rsidP="00310193">
      <w:pPr>
        <w:rPr>
          <w:color w:val="000000" w:themeColor="text1"/>
        </w:rPr>
      </w:pPr>
      <w:r w:rsidRPr="00630BFD">
        <w:rPr>
          <w:color w:val="000000" w:themeColor="text1"/>
        </w:rPr>
        <w:t xml:space="preserve">Yorke, M. (1999) Editorial. Studies in Higher Education. 24 (3) 277-278  </w:t>
      </w:r>
    </w:p>
    <w:p w:rsidR="00310193" w:rsidRPr="00630BFD" w:rsidRDefault="00310193" w:rsidP="00310193">
      <w:pPr>
        <w:rPr>
          <w:color w:val="000000" w:themeColor="text1"/>
        </w:rPr>
      </w:pPr>
      <w:r w:rsidRPr="00630BFD">
        <w:rPr>
          <w:color w:val="000000" w:themeColor="text1"/>
        </w:rPr>
        <w:lastRenderedPageBreak/>
        <w:t>Yorke, M. (2001) Employability in the first cycle higher education. A working paper for the</w:t>
      </w:r>
      <w:proofErr w:type="gramStart"/>
      <w:r w:rsidRPr="00630BFD">
        <w:rPr>
          <w:color w:val="000000" w:themeColor="text1"/>
        </w:rPr>
        <w:t xml:space="preserve">   ‘</w:t>
      </w:r>
      <w:proofErr w:type="gramEnd"/>
      <w:r w:rsidRPr="00630BFD">
        <w:rPr>
          <w:color w:val="000000" w:themeColor="text1"/>
        </w:rPr>
        <w:t xml:space="preserve">Skills </w:t>
      </w:r>
      <w:proofErr w:type="spellStart"/>
      <w:r w:rsidRPr="00630BFD">
        <w:rPr>
          <w:color w:val="000000" w:themeColor="text1"/>
        </w:rPr>
        <w:t>plus’</w:t>
      </w:r>
      <w:proofErr w:type="spellEnd"/>
      <w:r w:rsidRPr="00630BFD">
        <w:rPr>
          <w:color w:val="000000" w:themeColor="text1"/>
        </w:rPr>
        <w:t xml:space="preserve"> Project.  Liverpool John </w:t>
      </w:r>
      <w:proofErr w:type="spellStart"/>
      <w:r w:rsidRPr="00630BFD">
        <w:rPr>
          <w:color w:val="000000" w:themeColor="text1"/>
        </w:rPr>
        <w:t>Moores</w:t>
      </w:r>
      <w:proofErr w:type="spellEnd"/>
      <w:r w:rsidRPr="00630BFD">
        <w:rPr>
          <w:color w:val="000000" w:themeColor="text1"/>
        </w:rPr>
        <w:t xml:space="preserve"> University.</w:t>
      </w:r>
    </w:p>
    <w:p w:rsidR="00310193" w:rsidRPr="00630BFD" w:rsidRDefault="00310193" w:rsidP="00206022">
      <w:pPr>
        <w:spacing w:after="200" w:line="276" w:lineRule="auto"/>
        <w:rPr>
          <w:color w:val="000000" w:themeColor="text1"/>
        </w:rPr>
      </w:pPr>
      <w:r w:rsidRPr="00630BFD">
        <w:rPr>
          <w:color w:val="000000" w:themeColor="text1"/>
        </w:rPr>
        <w:t>Yorke, M. &amp; Knight, P.T. (2004 a). Embedding Employability into the Curriculum. Higher Education Academy, York. Yorke, M. (2006 b). Employability in Higher Education: What it is — What it is not. Higher Education Academy, York.</w:t>
      </w:r>
    </w:p>
    <w:p w:rsidR="00310193" w:rsidRDefault="00FF5A37" w:rsidP="00581B7D">
      <w:pPr>
        <w:pStyle w:val="Heading1"/>
      </w:pPr>
      <w:r>
        <w:t>6.0</w:t>
      </w:r>
      <w:r w:rsidR="00581B7D">
        <w:t xml:space="preserve"> Appendices</w:t>
      </w:r>
    </w:p>
    <w:p w:rsidR="00FF5A37" w:rsidRPr="00FF5A37" w:rsidRDefault="00FF5A37" w:rsidP="00FF5A37"/>
    <w:p w:rsidR="00FF5A37" w:rsidRDefault="00FF5A37" w:rsidP="00630BFD">
      <w:pPr>
        <w:pStyle w:val="Heading2"/>
      </w:pPr>
      <w:r w:rsidRPr="00630BFD">
        <w:t xml:space="preserve">PDP </w:t>
      </w:r>
      <w:r w:rsidR="00630BFD" w:rsidRPr="00630BFD">
        <w:t>Example:</w:t>
      </w:r>
    </w:p>
    <w:p w:rsidR="00630BFD" w:rsidRPr="00630BFD" w:rsidRDefault="00630BFD" w:rsidP="00630BFD"/>
    <w:tbl>
      <w:tblPr>
        <w:tblStyle w:val="TableGrid"/>
        <w:tblW w:w="0" w:type="auto"/>
        <w:tblLook w:val="04A0" w:firstRow="1" w:lastRow="0" w:firstColumn="1" w:lastColumn="0" w:noHBand="0" w:noVBand="1"/>
      </w:tblPr>
      <w:tblGrid>
        <w:gridCol w:w="3005"/>
        <w:gridCol w:w="3005"/>
        <w:gridCol w:w="3006"/>
      </w:tblGrid>
      <w:tr w:rsidR="005A6A29" w:rsidTr="005A6A29">
        <w:tc>
          <w:tcPr>
            <w:tcW w:w="3005" w:type="dxa"/>
          </w:tcPr>
          <w:p w:rsidR="005A6A29" w:rsidRPr="005A6A29" w:rsidRDefault="005A6A29" w:rsidP="00630BFD">
            <w:pPr>
              <w:rPr>
                <w:b/>
              </w:rPr>
            </w:pPr>
            <w:r w:rsidRPr="005A6A29">
              <w:rPr>
                <w:b/>
              </w:rPr>
              <w:t>Employability Skills</w:t>
            </w:r>
          </w:p>
        </w:tc>
        <w:tc>
          <w:tcPr>
            <w:tcW w:w="3005" w:type="dxa"/>
          </w:tcPr>
          <w:p w:rsidR="005A6A29" w:rsidRPr="005A6A29" w:rsidRDefault="005A6A29" w:rsidP="00630BFD">
            <w:pPr>
              <w:rPr>
                <w:b/>
              </w:rPr>
            </w:pPr>
            <w:r w:rsidRPr="005A6A29">
              <w:rPr>
                <w:b/>
              </w:rPr>
              <w:t>Personal Circumstances</w:t>
            </w:r>
          </w:p>
        </w:tc>
        <w:tc>
          <w:tcPr>
            <w:tcW w:w="3006" w:type="dxa"/>
          </w:tcPr>
          <w:p w:rsidR="005A6A29" w:rsidRPr="005A6A29" w:rsidRDefault="005A6A29" w:rsidP="00630BFD">
            <w:pPr>
              <w:rPr>
                <w:b/>
              </w:rPr>
            </w:pPr>
            <w:r w:rsidRPr="005A6A29">
              <w:rPr>
                <w:b/>
              </w:rPr>
              <w:t xml:space="preserve">External factors </w:t>
            </w:r>
          </w:p>
          <w:p w:rsidR="005A6A29" w:rsidRDefault="005A6A29" w:rsidP="00630BFD"/>
        </w:tc>
      </w:tr>
      <w:tr w:rsidR="005A6A29" w:rsidTr="005A6A29">
        <w:tc>
          <w:tcPr>
            <w:tcW w:w="3005" w:type="dxa"/>
          </w:tcPr>
          <w:p w:rsidR="005A6A29" w:rsidRDefault="005A6A29" w:rsidP="00630BFD">
            <w:pPr>
              <w:rPr>
                <w:b/>
              </w:rPr>
            </w:pPr>
            <w:r w:rsidRPr="005A6A29">
              <w:rPr>
                <w:b/>
              </w:rPr>
              <w:t>Employability skills and attributes.</w:t>
            </w:r>
          </w:p>
          <w:p w:rsidR="005A6A29" w:rsidRPr="005A6A29" w:rsidRDefault="005A6A29" w:rsidP="00630BFD">
            <w:r w:rsidRPr="005A6A29">
              <w:t>Basic social skills; honesty, integrity; basic and personal representation</w:t>
            </w:r>
            <w:r>
              <w:t xml:space="preserve">; willing to work; understanding actions and consequences. </w:t>
            </w:r>
          </w:p>
        </w:tc>
        <w:tc>
          <w:tcPr>
            <w:tcW w:w="3005" w:type="dxa"/>
          </w:tcPr>
          <w:p w:rsidR="005A6A29" w:rsidRDefault="005A6A29" w:rsidP="00630BFD">
            <w:pPr>
              <w:rPr>
                <w:b/>
              </w:rPr>
            </w:pPr>
            <w:r w:rsidRPr="005A6A29">
              <w:rPr>
                <w:b/>
              </w:rPr>
              <w:t xml:space="preserve">House circumstances </w:t>
            </w:r>
          </w:p>
          <w:p w:rsidR="005A6A29" w:rsidRPr="005A6A29" w:rsidRDefault="005A6A29" w:rsidP="00630BFD">
            <w:r w:rsidRPr="005A6A29">
              <w:t xml:space="preserve">Caring responsibility, caring for children, elderly, relatives etc. </w:t>
            </w:r>
          </w:p>
        </w:tc>
        <w:tc>
          <w:tcPr>
            <w:tcW w:w="3006" w:type="dxa"/>
          </w:tcPr>
          <w:p w:rsidR="005A6A29" w:rsidRDefault="005A6A29" w:rsidP="00630BFD">
            <w:pPr>
              <w:rPr>
                <w:b/>
              </w:rPr>
            </w:pPr>
            <w:r w:rsidRPr="005A6A29">
              <w:rPr>
                <w:b/>
              </w:rPr>
              <w:t>Demand factors</w:t>
            </w:r>
          </w:p>
          <w:p w:rsidR="005A6A29" w:rsidRPr="005A6A29" w:rsidRDefault="005A6A29" w:rsidP="00630BFD">
            <w:pPr>
              <w:rPr>
                <w:b/>
              </w:rPr>
            </w:pPr>
            <w:r>
              <w:rPr>
                <w:b/>
              </w:rPr>
              <w:t>Labour market factors level of local or regional or other demands; nature and changes of local regional demand. (Skills required, occupational structure of vacancies; sectors where demand is concentrated)</w:t>
            </w:r>
          </w:p>
        </w:tc>
      </w:tr>
      <w:tr w:rsidR="005A6A29" w:rsidTr="005A6A29">
        <w:tc>
          <w:tcPr>
            <w:tcW w:w="3005" w:type="dxa"/>
          </w:tcPr>
          <w:p w:rsidR="005A6A29" w:rsidRPr="00E04E97" w:rsidRDefault="005A6A29" w:rsidP="00630BFD">
            <w:pPr>
              <w:rPr>
                <w:b/>
              </w:rPr>
            </w:pPr>
            <w:r w:rsidRPr="00E04E97">
              <w:rPr>
                <w:b/>
              </w:rPr>
              <w:t>Qualifications</w:t>
            </w:r>
          </w:p>
          <w:p w:rsidR="00E04E97" w:rsidRDefault="00E04E97" w:rsidP="00630BFD">
            <w:r>
              <w:t xml:space="preserve">Formal academic and vocational qualifications. </w:t>
            </w:r>
          </w:p>
        </w:tc>
        <w:tc>
          <w:tcPr>
            <w:tcW w:w="3005" w:type="dxa"/>
          </w:tcPr>
          <w:p w:rsidR="005A6A29" w:rsidRDefault="005A6A29" w:rsidP="00630BFD"/>
        </w:tc>
        <w:tc>
          <w:tcPr>
            <w:tcW w:w="3006" w:type="dxa"/>
          </w:tcPr>
          <w:p w:rsidR="005A6A29" w:rsidRDefault="005A6A29" w:rsidP="00630BFD"/>
        </w:tc>
      </w:tr>
      <w:tr w:rsidR="005A6A29" w:rsidTr="005A6A29">
        <w:tc>
          <w:tcPr>
            <w:tcW w:w="3005" w:type="dxa"/>
          </w:tcPr>
          <w:p w:rsidR="005A6A29" w:rsidRPr="00E04E97" w:rsidRDefault="00E04E97" w:rsidP="00630BFD">
            <w:pPr>
              <w:rPr>
                <w:b/>
              </w:rPr>
            </w:pPr>
            <w:r w:rsidRPr="00E04E97">
              <w:rPr>
                <w:b/>
              </w:rPr>
              <w:t xml:space="preserve">Demographic Characteristics </w:t>
            </w:r>
          </w:p>
          <w:p w:rsidR="00E04E97" w:rsidRDefault="00E04E97" w:rsidP="00630BFD">
            <w:r>
              <w:t xml:space="preserve">Age, gender, etc. </w:t>
            </w:r>
          </w:p>
        </w:tc>
        <w:tc>
          <w:tcPr>
            <w:tcW w:w="3005" w:type="dxa"/>
          </w:tcPr>
          <w:p w:rsidR="005A6A29" w:rsidRPr="00E04E97" w:rsidRDefault="00E04E97" w:rsidP="00630BFD">
            <w:pPr>
              <w:rPr>
                <w:b/>
              </w:rPr>
            </w:pPr>
            <w:r w:rsidRPr="00E04E97">
              <w:rPr>
                <w:b/>
              </w:rPr>
              <w:t>Work Culture</w:t>
            </w:r>
          </w:p>
          <w:p w:rsidR="00E04E97" w:rsidRDefault="00E04E97" w:rsidP="00630BFD">
            <w:r>
              <w:t xml:space="preserve">Where work Is encouraged by family, friends and among peers </w:t>
            </w:r>
          </w:p>
        </w:tc>
        <w:tc>
          <w:tcPr>
            <w:tcW w:w="3006" w:type="dxa"/>
          </w:tcPr>
          <w:p w:rsidR="005A6A29" w:rsidRDefault="00E04E97" w:rsidP="00630BFD">
            <w:pPr>
              <w:rPr>
                <w:b/>
              </w:rPr>
            </w:pPr>
            <w:r w:rsidRPr="00E04E97">
              <w:rPr>
                <w:b/>
              </w:rPr>
              <w:t>Enabling support</w:t>
            </w:r>
          </w:p>
          <w:p w:rsidR="00E04E97" w:rsidRPr="00E04E97" w:rsidRDefault="00E04E97" w:rsidP="00E04E97">
            <w:r w:rsidRPr="00E04E97">
              <w:t>Accessibility of public</w:t>
            </w:r>
          </w:p>
          <w:p w:rsidR="00E04E97" w:rsidRPr="00E04E97" w:rsidRDefault="00E04E97" w:rsidP="00E04E97">
            <w:r w:rsidRPr="00E04E97">
              <w:t>services and job</w:t>
            </w:r>
            <w:r>
              <w:t xml:space="preserve"> </w:t>
            </w:r>
            <w:r w:rsidRPr="00E04E97">
              <w:t>matching</w:t>
            </w:r>
          </w:p>
          <w:p w:rsidR="00E04E97" w:rsidRPr="00E04E97" w:rsidRDefault="00E04E97" w:rsidP="00E04E97">
            <w:r w:rsidRPr="00E04E97">
              <w:t>technology (such as job</w:t>
            </w:r>
          </w:p>
          <w:p w:rsidR="00E04E97" w:rsidRPr="00E04E97" w:rsidRDefault="00E04E97" w:rsidP="00E04E97">
            <w:r w:rsidRPr="00E04E97">
              <w:t>search / counselling);</w:t>
            </w:r>
          </w:p>
          <w:p w:rsidR="00E04E97" w:rsidRPr="00E04E97" w:rsidRDefault="00E04E97" w:rsidP="00E04E97">
            <w:r w:rsidRPr="00E04E97">
              <w:t>penetration</w:t>
            </w:r>
          </w:p>
          <w:p w:rsidR="00E04E97" w:rsidRPr="00E04E97" w:rsidRDefault="00E04E97" w:rsidP="00E04E97">
            <w:r w:rsidRPr="00E04E97">
              <w:t>of public services (for</w:t>
            </w:r>
          </w:p>
          <w:p w:rsidR="00E04E97" w:rsidRPr="00E04E97" w:rsidRDefault="00E04E97" w:rsidP="00E04E97">
            <w:r w:rsidRPr="00E04E97">
              <w:t>e</w:t>
            </w:r>
            <w:r w:rsidRPr="00E04E97">
              <w:t>.g.</w:t>
            </w:r>
            <w:r w:rsidRPr="00E04E97">
              <w:t>, use and</w:t>
            </w:r>
          </w:p>
          <w:p w:rsidR="00E04E97" w:rsidRPr="00E04E97" w:rsidRDefault="00E04E97" w:rsidP="00E04E97">
            <w:r w:rsidRPr="00E04E97">
              <w:t>credibility among</w:t>
            </w:r>
          </w:p>
          <w:p w:rsidR="00E04E97" w:rsidRPr="00E04E97" w:rsidRDefault="00E04E97" w:rsidP="00E04E97">
            <w:pPr>
              <w:rPr>
                <w:b/>
              </w:rPr>
            </w:pPr>
            <w:r w:rsidRPr="00E04E97">
              <w:t>employers / job seekers);</w:t>
            </w:r>
          </w:p>
        </w:tc>
      </w:tr>
      <w:tr w:rsidR="005A6A29" w:rsidTr="005A6A29">
        <w:tc>
          <w:tcPr>
            <w:tcW w:w="3005" w:type="dxa"/>
          </w:tcPr>
          <w:p w:rsidR="005A6A29" w:rsidRDefault="00E04E97" w:rsidP="00630BFD">
            <w:pPr>
              <w:rPr>
                <w:b/>
              </w:rPr>
            </w:pPr>
            <w:r w:rsidRPr="00E04E97">
              <w:rPr>
                <w:b/>
              </w:rPr>
              <w:t>Health and wellbeing</w:t>
            </w:r>
          </w:p>
          <w:p w:rsidR="00E04E97" w:rsidRPr="00E04E97" w:rsidRDefault="00E04E97" w:rsidP="00630BFD">
            <w:r w:rsidRPr="00E04E97">
              <w:t>Current mental health</w:t>
            </w:r>
          </w:p>
          <w:p w:rsidR="00E04E97" w:rsidRPr="00E04E97" w:rsidRDefault="00E04E97" w:rsidP="00630BFD">
            <w:r w:rsidRPr="00E04E97">
              <w:t>Psychology wellbeing</w:t>
            </w:r>
          </w:p>
          <w:p w:rsidR="00E04E97" w:rsidRPr="00E04E97" w:rsidRDefault="00E04E97" w:rsidP="00630BFD">
            <w:r w:rsidRPr="00E04E97">
              <w:t>Medical history</w:t>
            </w:r>
          </w:p>
          <w:p w:rsidR="00E04E97" w:rsidRPr="00E04E97" w:rsidRDefault="00E04E97" w:rsidP="00630BFD">
            <w:r w:rsidRPr="00E04E97">
              <w:t xml:space="preserve">Physical ability </w:t>
            </w:r>
          </w:p>
          <w:p w:rsidR="00E04E97" w:rsidRPr="00E04E97" w:rsidRDefault="00E04E97" w:rsidP="00630BFD">
            <w:pPr>
              <w:rPr>
                <w:b/>
              </w:rPr>
            </w:pPr>
          </w:p>
        </w:tc>
        <w:tc>
          <w:tcPr>
            <w:tcW w:w="3005" w:type="dxa"/>
          </w:tcPr>
          <w:p w:rsidR="005A6A29" w:rsidRDefault="00E04E97" w:rsidP="00630BFD">
            <w:pPr>
              <w:rPr>
                <w:b/>
              </w:rPr>
            </w:pPr>
            <w:r w:rsidRPr="00E04E97">
              <w:rPr>
                <w:b/>
              </w:rPr>
              <w:t>Access to resources</w:t>
            </w:r>
          </w:p>
          <w:p w:rsidR="00E04E97" w:rsidRPr="00E04E97" w:rsidRDefault="00E04E97" w:rsidP="00630BFD">
            <w:pPr>
              <w:rPr>
                <w:b/>
              </w:rPr>
            </w:pPr>
            <w:r>
              <w:rPr>
                <w:b/>
              </w:rPr>
              <w:t>Access to transport; private transport; ability to walk appropriate distances;</w:t>
            </w:r>
          </w:p>
        </w:tc>
        <w:tc>
          <w:tcPr>
            <w:tcW w:w="3006" w:type="dxa"/>
          </w:tcPr>
          <w:p w:rsidR="005A6A29" w:rsidRDefault="005A6A29" w:rsidP="00630BFD"/>
        </w:tc>
      </w:tr>
      <w:tr w:rsidR="005A6A29" w:rsidTr="005A6A29">
        <w:tc>
          <w:tcPr>
            <w:tcW w:w="3005" w:type="dxa"/>
          </w:tcPr>
          <w:p w:rsidR="005A6A29" w:rsidRDefault="00E04E97" w:rsidP="00630BFD">
            <w:pPr>
              <w:rPr>
                <w:b/>
              </w:rPr>
            </w:pPr>
            <w:r w:rsidRPr="00E04E97">
              <w:rPr>
                <w:b/>
              </w:rPr>
              <w:t>Job Seeking</w:t>
            </w:r>
          </w:p>
          <w:p w:rsidR="00E04E97" w:rsidRPr="004958B7" w:rsidRDefault="00E04E97" w:rsidP="00630BFD">
            <w:r w:rsidRPr="004958B7">
              <w:t xml:space="preserve">Effective use of search engines/ </w:t>
            </w:r>
            <w:r w:rsidR="004958B7" w:rsidRPr="004958B7">
              <w:t xml:space="preserve">information resources (ICT) </w:t>
            </w:r>
          </w:p>
        </w:tc>
        <w:tc>
          <w:tcPr>
            <w:tcW w:w="3005" w:type="dxa"/>
          </w:tcPr>
          <w:p w:rsidR="005A6A29" w:rsidRDefault="005A6A29" w:rsidP="00630BFD"/>
        </w:tc>
        <w:tc>
          <w:tcPr>
            <w:tcW w:w="3006" w:type="dxa"/>
          </w:tcPr>
          <w:p w:rsidR="005A6A29" w:rsidRDefault="005A6A29" w:rsidP="00630BFD"/>
        </w:tc>
      </w:tr>
      <w:tr w:rsidR="005A6A29" w:rsidTr="005A6A29">
        <w:tc>
          <w:tcPr>
            <w:tcW w:w="3005" w:type="dxa"/>
          </w:tcPr>
          <w:p w:rsidR="005A6A29" w:rsidRDefault="00E04E97" w:rsidP="00630BFD">
            <w:pPr>
              <w:rPr>
                <w:b/>
              </w:rPr>
            </w:pPr>
            <w:r w:rsidRPr="00E04E97">
              <w:rPr>
                <w:b/>
              </w:rPr>
              <w:t xml:space="preserve">Adaptability and Motability </w:t>
            </w:r>
          </w:p>
          <w:p w:rsidR="004958B7" w:rsidRPr="004958B7" w:rsidRDefault="004958B7" w:rsidP="004958B7">
            <w:r w:rsidRPr="004958B7">
              <w:t>Geographical mobility;</w:t>
            </w:r>
          </w:p>
          <w:p w:rsidR="004958B7" w:rsidRPr="004958B7" w:rsidRDefault="004958B7" w:rsidP="004958B7">
            <w:r w:rsidRPr="004958B7">
              <w:t>wage flexibility and</w:t>
            </w:r>
          </w:p>
          <w:p w:rsidR="004958B7" w:rsidRPr="004958B7" w:rsidRDefault="004958B7" w:rsidP="004958B7">
            <w:r w:rsidRPr="004958B7">
              <w:t>reservation wage;</w:t>
            </w:r>
          </w:p>
          <w:p w:rsidR="004958B7" w:rsidRPr="004958B7" w:rsidRDefault="004958B7" w:rsidP="004958B7">
            <w:r w:rsidRPr="004958B7">
              <w:lastRenderedPageBreak/>
              <w:t>occupational flexibility</w:t>
            </w:r>
          </w:p>
          <w:p w:rsidR="004958B7" w:rsidRPr="004958B7" w:rsidRDefault="004958B7" w:rsidP="004958B7">
            <w:r w:rsidRPr="004958B7">
              <w:t>(working hours,</w:t>
            </w:r>
          </w:p>
          <w:p w:rsidR="004958B7" w:rsidRPr="00E04E97" w:rsidRDefault="004958B7" w:rsidP="004958B7">
            <w:pPr>
              <w:rPr>
                <w:b/>
              </w:rPr>
            </w:pPr>
            <w:r w:rsidRPr="004958B7">
              <w:t>occupations, sectors)</w:t>
            </w:r>
          </w:p>
        </w:tc>
        <w:tc>
          <w:tcPr>
            <w:tcW w:w="3005" w:type="dxa"/>
          </w:tcPr>
          <w:p w:rsidR="005A6A29" w:rsidRDefault="005A6A29" w:rsidP="00630BFD"/>
        </w:tc>
        <w:tc>
          <w:tcPr>
            <w:tcW w:w="3006" w:type="dxa"/>
          </w:tcPr>
          <w:p w:rsidR="005A6A29" w:rsidRDefault="005A6A29" w:rsidP="00630BFD"/>
        </w:tc>
      </w:tr>
    </w:tbl>
    <w:p w:rsidR="004958B7" w:rsidRDefault="004958B7" w:rsidP="00630BFD">
      <w:r>
        <w:t>Source McQuaid and Lyndsay (2005)</w:t>
      </w:r>
      <w:bookmarkStart w:id="2" w:name="_GoBack"/>
      <w:bookmarkEnd w:id="2"/>
    </w:p>
    <w:p w:rsidR="00630BFD" w:rsidRDefault="00630BFD" w:rsidP="00630BFD"/>
    <w:p w:rsidR="00630BFD" w:rsidRDefault="00630BFD" w:rsidP="00FF5A37"/>
    <w:p w:rsidR="00FF5A37" w:rsidRDefault="00FF5A37" w:rsidP="00FF5A37"/>
    <w:p w:rsidR="00FF5A37" w:rsidRPr="00FF5A37" w:rsidRDefault="00FF5A37" w:rsidP="00FF5A37"/>
    <w:sectPr w:rsidR="00FF5A37" w:rsidRPr="00FF5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07BFF"/>
    <w:multiLevelType w:val="hybridMultilevel"/>
    <w:tmpl w:val="524E12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C75A2"/>
    <w:multiLevelType w:val="multilevel"/>
    <w:tmpl w:val="3F2036E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646A0DA5"/>
    <w:multiLevelType w:val="hybridMultilevel"/>
    <w:tmpl w:val="F1329BFC"/>
    <w:lvl w:ilvl="0" w:tplc="7E6ED542">
      <w:start w:val="1"/>
      <w:numFmt w:val="decimal"/>
      <w:lvlText w:val="%1."/>
      <w:lvlJc w:val="left"/>
      <w:pPr>
        <w:ind w:left="405"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 w15:restartNumberingAfterBreak="0">
    <w:nsid w:val="7DFF01CA"/>
    <w:multiLevelType w:val="hybridMultilevel"/>
    <w:tmpl w:val="95A8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836"/>
    <w:rsid w:val="000143AE"/>
    <w:rsid w:val="00045C69"/>
    <w:rsid w:val="000653D1"/>
    <w:rsid w:val="0010441C"/>
    <w:rsid w:val="00143F9B"/>
    <w:rsid w:val="00162FAF"/>
    <w:rsid w:val="001F705E"/>
    <w:rsid w:val="00206022"/>
    <w:rsid w:val="00224ADE"/>
    <w:rsid w:val="0022799A"/>
    <w:rsid w:val="00272BF7"/>
    <w:rsid w:val="00293179"/>
    <w:rsid w:val="002C38E1"/>
    <w:rsid w:val="00310193"/>
    <w:rsid w:val="00331307"/>
    <w:rsid w:val="00342132"/>
    <w:rsid w:val="003B14EA"/>
    <w:rsid w:val="003B687D"/>
    <w:rsid w:val="004061FF"/>
    <w:rsid w:val="004343B0"/>
    <w:rsid w:val="00440F54"/>
    <w:rsid w:val="00461EB8"/>
    <w:rsid w:val="004958B7"/>
    <w:rsid w:val="004A14F8"/>
    <w:rsid w:val="00512B77"/>
    <w:rsid w:val="00581893"/>
    <w:rsid w:val="00581B7D"/>
    <w:rsid w:val="005A6A29"/>
    <w:rsid w:val="00630BFD"/>
    <w:rsid w:val="006358E4"/>
    <w:rsid w:val="007122D2"/>
    <w:rsid w:val="00724826"/>
    <w:rsid w:val="007528F7"/>
    <w:rsid w:val="00792B69"/>
    <w:rsid w:val="007D4716"/>
    <w:rsid w:val="00837205"/>
    <w:rsid w:val="008666E8"/>
    <w:rsid w:val="009711F1"/>
    <w:rsid w:val="0097251B"/>
    <w:rsid w:val="009D56A7"/>
    <w:rsid w:val="00A95DDB"/>
    <w:rsid w:val="00AB1836"/>
    <w:rsid w:val="00B0062C"/>
    <w:rsid w:val="00B75CC0"/>
    <w:rsid w:val="00B85F1D"/>
    <w:rsid w:val="00B9301A"/>
    <w:rsid w:val="00BE5561"/>
    <w:rsid w:val="00C527FF"/>
    <w:rsid w:val="00CA13AF"/>
    <w:rsid w:val="00CA385D"/>
    <w:rsid w:val="00CC380B"/>
    <w:rsid w:val="00CE22BB"/>
    <w:rsid w:val="00D95417"/>
    <w:rsid w:val="00DC5FA6"/>
    <w:rsid w:val="00DC6EAC"/>
    <w:rsid w:val="00DE6DF6"/>
    <w:rsid w:val="00E04E97"/>
    <w:rsid w:val="00E800AE"/>
    <w:rsid w:val="00EB347D"/>
    <w:rsid w:val="00EC4EAA"/>
    <w:rsid w:val="00EE633A"/>
    <w:rsid w:val="00EF3449"/>
    <w:rsid w:val="00F04555"/>
    <w:rsid w:val="00F33CFE"/>
    <w:rsid w:val="00F4397D"/>
    <w:rsid w:val="00F46F93"/>
    <w:rsid w:val="00F72212"/>
    <w:rsid w:val="00FD1F48"/>
    <w:rsid w:val="00FF2AB4"/>
    <w:rsid w:val="00FF5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30F7"/>
  <w15:chartTrackingRefBased/>
  <w15:docId w15:val="{350CE2C6-A0CF-459F-9B89-63AC5939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B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5F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53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3D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12B77"/>
    <w:pPr>
      <w:ind w:left="720"/>
      <w:contextualSpacing/>
    </w:pPr>
  </w:style>
  <w:style w:type="character" w:customStyle="1" w:styleId="Heading1Char">
    <w:name w:val="Heading 1 Char"/>
    <w:basedOn w:val="DefaultParagraphFont"/>
    <w:link w:val="Heading1"/>
    <w:uiPriority w:val="9"/>
    <w:rsid w:val="00512B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5F1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CA3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F5A37"/>
    <w:rPr>
      <w:sz w:val="16"/>
      <w:szCs w:val="16"/>
    </w:rPr>
  </w:style>
  <w:style w:type="paragraph" w:styleId="CommentText">
    <w:name w:val="annotation text"/>
    <w:basedOn w:val="Normal"/>
    <w:link w:val="CommentTextChar"/>
    <w:uiPriority w:val="99"/>
    <w:unhideWhenUsed/>
    <w:rsid w:val="00FF5A37"/>
    <w:pPr>
      <w:spacing w:line="240" w:lineRule="auto"/>
    </w:pPr>
    <w:rPr>
      <w:sz w:val="20"/>
      <w:szCs w:val="20"/>
    </w:rPr>
  </w:style>
  <w:style w:type="character" w:customStyle="1" w:styleId="CommentTextChar">
    <w:name w:val="Comment Text Char"/>
    <w:basedOn w:val="DefaultParagraphFont"/>
    <w:link w:val="CommentText"/>
    <w:uiPriority w:val="99"/>
    <w:rsid w:val="00FF5A37"/>
    <w:rPr>
      <w:sz w:val="20"/>
      <w:szCs w:val="20"/>
    </w:rPr>
  </w:style>
  <w:style w:type="paragraph" w:styleId="CommentSubject">
    <w:name w:val="annotation subject"/>
    <w:basedOn w:val="CommentText"/>
    <w:next w:val="CommentText"/>
    <w:link w:val="CommentSubjectChar"/>
    <w:uiPriority w:val="99"/>
    <w:semiHidden/>
    <w:unhideWhenUsed/>
    <w:rsid w:val="00FF5A37"/>
    <w:rPr>
      <w:b/>
      <w:bCs/>
    </w:rPr>
  </w:style>
  <w:style w:type="character" w:customStyle="1" w:styleId="CommentSubjectChar">
    <w:name w:val="Comment Subject Char"/>
    <w:basedOn w:val="CommentTextChar"/>
    <w:link w:val="CommentSubject"/>
    <w:uiPriority w:val="99"/>
    <w:semiHidden/>
    <w:rsid w:val="00FF5A37"/>
    <w:rPr>
      <w:b/>
      <w:bCs/>
      <w:sz w:val="20"/>
      <w:szCs w:val="20"/>
    </w:rPr>
  </w:style>
  <w:style w:type="paragraph" w:styleId="BalloonText">
    <w:name w:val="Balloon Text"/>
    <w:basedOn w:val="Normal"/>
    <w:link w:val="BalloonTextChar"/>
    <w:uiPriority w:val="99"/>
    <w:semiHidden/>
    <w:unhideWhenUsed/>
    <w:rsid w:val="00FF5A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A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935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0A835-D358-459A-8E56-F8E79CFEC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3505</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Powell (1806288)</dc:creator>
  <cp:keywords/>
  <dc:description/>
  <cp:lastModifiedBy>Alisha Powell (1806288)</cp:lastModifiedBy>
  <cp:revision>2</cp:revision>
  <dcterms:created xsi:type="dcterms:W3CDTF">2019-01-11T12:05:00Z</dcterms:created>
  <dcterms:modified xsi:type="dcterms:W3CDTF">2019-01-11T12:05:00Z</dcterms:modified>
</cp:coreProperties>
</file>