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60FF39" w14:textId="77777777" w:rsidR="000038FF" w:rsidRPr="000038FF" w:rsidRDefault="000038FF" w:rsidP="000038FF">
      <w:pPr>
        <w:rPr>
          <w:b/>
          <w:bCs/>
        </w:rPr>
      </w:pPr>
      <w:r w:rsidRPr="000038FF">
        <w:rPr>
          <w:b/>
          <w:bCs/>
        </w:rPr>
        <w:t>Name Zara Westlake</w:t>
      </w:r>
    </w:p>
    <w:p w14:paraId="5A2BF629" w14:textId="77777777" w:rsidR="000038FF" w:rsidRPr="000038FF" w:rsidRDefault="000038FF" w:rsidP="000038FF">
      <w:pPr>
        <w:rPr>
          <w:b/>
          <w:bCs/>
        </w:rPr>
      </w:pPr>
      <w:r w:rsidRPr="000038FF">
        <w:rPr>
          <w:b/>
          <w:bCs/>
        </w:rPr>
        <w:t>Student Number 2515974</w:t>
      </w:r>
    </w:p>
    <w:p w14:paraId="638F7588" w14:textId="77777777" w:rsidR="000038FF" w:rsidRPr="000038FF" w:rsidRDefault="000038FF" w:rsidP="000038FF">
      <w:pPr>
        <w:rPr>
          <w:b/>
          <w:bCs/>
        </w:rPr>
      </w:pPr>
      <w:r w:rsidRPr="000038FF">
        <w:rPr>
          <w:b/>
          <w:bCs/>
        </w:rPr>
        <w:t>CIPD Number 919556</w:t>
      </w:r>
    </w:p>
    <w:p w14:paraId="119CDF2A" w14:textId="5632779A" w:rsidR="000038FF" w:rsidRPr="000038FF" w:rsidRDefault="000038FF" w:rsidP="000038FF">
      <w:pPr>
        <w:rPr>
          <w:b/>
          <w:bCs/>
        </w:rPr>
      </w:pPr>
      <w:r w:rsidRPr="000038FF">
        <w:rPr>
          <w:b/>
          <w:bCs/>
        </w:rPr>
        <w:t xml:space="preserve">Course Module </w:t>
      </w:r>
      <w:r w:rsidR="00CD4EBE" w:rsidRPr="00FC7B03">
        <w:rPr>
          <w:b/>
          <w:bCs/>
        </w:rPr>
        <w:t>Evidence Based Practice</w:t>
      </w:r>
    </w:p>
    <w:p w14:paraId="4B0C9E63" w14:textId="42BC9575" w:rsidR="000038FF" w:rsidRPr="000038FF" w:rsidRDefault="000038FF" w:rsidP="000038FF">
      <w:pPr>
        <w:rPr>
          <w:b/>
          <w:bCs/>
        </w:rPr>
      </w:pPr>
      <w:r w:rsidRPr="000038FF">
        <w:rPr>
          <w:b/>
          <w:bCs/>
        </w:rPr>
        <w:t xml:space="preserve">Course Code </w:t>
      </w:r>
      <w:r w:rsidR="002521D1" w:rsidRPr="00FC7B03">
        <w:rPr>
          <w:b/>
          <w:bCs/>
        </w:rPr>
        <w:t>5CO01</w:t>
      </w:r>
    </w:p>
    <w:p w14:paraId="3E251F52" w14:textId="030A28C9" w:rsidR="000038FF" w:rsidRPr="000038FF" w:rsidRDefault="000038FF" w:rsidP="000038FF">
      <w:pPr>
        <w:rPr>
          <w:b/>
          <w:bCs/>
        </w:rPr>
      </w:pPr>
      <w:r w:rsidRPr="000038FF">
        <w:rPr>
          <w:b/>
          <w:bCs/>
        </w:rPr>
        <w:t xml:space="preserve">Course Lecturer </w:t>
      </w:r>
      <w:r w:rsidRPr="00FC7B03">
        <w:rPr>
          <w:b/>
          <w:bCs/>
        </w:rPr>
        <w:t>Nat</w:t>
      </w:r>
      <w:r w:rsidR="00CD4EBE" w:rsidRPr="00FC7B03">
        <w:rPr>
          <w:b/>
          <w:bCs/>
        </w:rPr>
        <w:t>asha Davies</w:t>
      </w:r>
    </w:p>
    <w:p w14:paraId="47118DF9" w14:textId="77777777" w:rsidR="00F33D61" w:rsidRPr="00FC7B03" w:rsidRDefault="00F33D61" w:rsidP="000D74FE">
      <w:pPr>
        <w:rPr>
          <w:b/>
          <w:bCs/>
        </w:rPr>
      </w:pPr>
      <w:r w:rsidRPr="00FC7B03">
        <w:rPr>
          <w:b/>
          <w:bCs/>
        </w:rPr>
        <w:br/>
      </w:r>
    </w:p>
    <w:p w14:paraId="6154A477" w14:textId="77777777" w:rsidR="00F33D61" w:rsidRPr="00FC7B03" w:rsidRDefault="00F33D61">
      <w:pPr>
        <w:rPr>
          <w:b/>
          <w:bCs/>
        </w:rPr>
      </w:pPr>
      <w:r w:rsidRPr="00FC7B03">
        <w:rPr>
          <w:b/>
          <w:bCs/>
        </w:rPr>
        <w:br w:type="page"/>
      </w:r>
    </w:p>
    <w:p w14:paraId="5FF0A18A" w14:textId="77777777" w:rsidR="00F33D61" w:rsidRPr="00FC7B03" w:rsidRDefault="00F33D61" w:rsidP="000D74FE">
      <w:pPr>
        <w:rPr>
          <w:b/>
          <w:bCs/>
        </w:rPr>
      </w:pPr>
      <w:r w:rsidRPr="00FC7B03">
        <w:rPr>
          <w:b/>
          <w:bCs/>
        </w:rPr>
        <w:lastRenderedPageBreak/>
        <w:t>Part One</w:t>
      </w:r>
    </w:p>
    <w:p w14:paraId="3C6809AB" w14:textId="147ECFA5" w:rsidR="00DD41B6" w:rsidRPr="00FC7B03" w:rsidRDefault="000038FF" w:rsidP="000D74FE">
      <w:r w:rsidRPr="00FC7B03">
        <w:rPr>
          <w:b/>
          <w:bCs/>
        </w:rPr>
        <w:br/>
      </w:r>
      <w:r w:rsidR="000D74FE" w:rsidRPr="00FC7B03">
        <w:rPr>
          <w:b/>
          <w:bCs/>
        </w:rPr>
        <w:t>AC 1.1</w:t>
      </w:r>
      <w:r w:rsidR="00CE791C" w:rsidRPr="00FC7B03">
        <w:rPr>
          <w:b/>
          <w:bCs/>
        </w:rPr>
        <w:t xml:space="preserve"> </w:t>
      </w:r>
      <w:r w:rsidR="00DD41B6" w:rsidRPr="00FC7B03">
        <w:t xml:space="preserve">Evidence based </w:t>
      </w:r>
      <w:r w:rsidR="00D331DD" w:rsidRPr="00FC7B03">
        <w:t>practice</w:t>
      </w:r>
      <w:r w:rsidR="00DD41B6" w:rsidRPr="00FC7B03">
        <w:t xml:space="preserve"> (EVP) is an approach to decision making which combines critical thinking with the best available evidence drawn from a variety of sources such as scientific research, organisational data, professional experts and stakeholder perspectives to improve outcomes. In people practice, the CIPD frames EBP as choosing reliable evidence </w:t>
      </w:r>
      <w:r w:rsidR="00D331DD" w:rsidRPr="00FC7B03">
        <w:t>and appraising it rigorously, so decisions are transparent, defensible and unbiased.</w:t>
      </w:r>
      <w:r w:rsidR="00C11A38" w:rsidRPr="00FC7B03">
        <w:t xml:space="preserve"> </w:t>
      </w:r>
      <w:r w:rsidR="00C11A38" w:rsidRPr="00FC7B03">
        <w:t>CIPD (2025a)</w:t>
      </w:r>
      <w:r w:rsidR="00D331DD" w:rsidRPr="00FC7B03">
        <w:t xml:space="preserve"> This helps practitioners </w:t>
      </w:r>
      <w:r w:rsidR="00C11A38" w:rsidRPr="00FC7B03">
        <w:t xml:space="preserve">to </w:t>
      </w:r>
      <w:r w:rsidR="00D331DD" w:rsidRPr="00FC7B03">
        <w:t xml:space="preserve">move </w:t>
      </w:r>
      <w:r w:rsidR="00C11A38" w:rsidRPr="00FC7B03">
        <w:t>from</w:t>
      </w:r>
      <w:r w:rsidR="00D331DD" w:rsidRPr="00FC7B03">
        <w:t xml:space="preserve"> tradition</w:t>
      </w:r>
      <w:r w:rsidR="00C11A38" w:rsidRPr="00FC7B03">
        <w:t>al ways</w:t>
      </w:r>
      <w:r w:rsidR="00D331DD" w:rsidRPr="00FC7B03">
        <w:t xml:space="preserve"> and towards </w:t>
      </w:r>
      <w:r w:rsidR="005173A9" w:rsidRPr="00FC7B03">
        <w:t xml:space="preserve">decisions which can be justified to leaders and colleagues, vital at </w:t>
      </w:r>
      <w:proofErr w:type="spellStart"/>
      <w:r w:rsidR="005173A9" w:rsidRPr="00FC7B03">
        <w:t>Technivara</w:t>
      </w:r>
      <w:proofErr w:type="spellEnd"/>
      <w:r w:rsidR="005173A9" w:rsidRPr="00FC7B03">
        <w:t xml:space="preserve"> where Bill favours longstanding practices. EBP</w:t>
      </w:r>
      <w:r w:rsidR="00FE72F3" w:rsidRPr="00FC7B03">
        <w:t xml:space="preserve">’s brings clear value with better quality decisions, consistency and impact, but it does also have limits, such as gathering and </w:t>
      </w:r>
      <w:r w:rsidR="00C11A38" w:rsidRPr="00FC7B03">
        <w:t>reviewing</w:t>
      </w:r>
      <w:r w:rsidR="00FE72F3" w:rsidRPr="00FC7B03">
        <w:t xml:space="preserve"> evidence demands time, data capability and an openness to change, which can sometimes be difficult in fast growing companies. </w:t>
      </w:r>
    </w:p>
    <w:p w14:paraId="168588E3" w14:textId="7911E2CC" w:rsidR="00EE1EFB" w:rsidRPr="00FC7B03" w:rsidRDefault="00FE72F3" w:rsidP="00DD41B6">
      <w:r w:rsidRPr="00FC7B03">
        <w:t xml:space="preserve">For </w:t>
      </w:r>
      <w:proofErr w:type="spellStart"/>
      <w:r w:rsidRPr="00FC7B03">
        <w:t>Technivara</w:t>
      </w:r>
      <w:proofErr w:type="spellEnd"/>
      <w:r w:rsidRPr="00FC7B03">
        <w:t xml:space="preserve"> EBP </w:t>
      </w:r>
      <w:r w:rsidR="005666AF" w:rsidRPr="00FC7B03">
        <w:t xml:space="preserve">would </w:t>
      </w:r>
      <w:r w:rsidRPr="00FC7B03">
        <w:t>provide a route to modernise people practice and reduce risk in a phase of expansion. First</w:t>
      </w:r>
      <w:r w:rsidR="00F7140E" w:rsidRPr="00FC7B03">
        <w:t>,</w:t>
      </w:r>
      <w:r w:rsidRPr="00FC7B03">
        <w:t xml:space="preserve"> workforce planning and recruitment should be redesigned using four evidence sources. Start by analysing internal data such as turnover</w:t>
      </w:r>
      <w:r w:rsidR="00776E0D" w:rsidRPr="00FC7B03">
        <w:t xml:space="preserve"> and</w:t>
      </w:r>
      <w:r w:rsidRPr="00FC7B03">
        <w:t xml:space="preserve"> time to hire. Then review external research on effective selection and forecasting, </w:t>
      </w:r>
      <w:r w:rsidR="007B513C" w:rsidRPr="00FC7B03">
        <w:t>capture</w:t>
      </w:r>
      <w:r w:rsidRPr="00FC7B03">
        <w:t xml:space="preserve"> manager employee insights on role demands and apply professional judgement to balance </w:t>
      </w:r>
      <w:r w:rsidR="007B513C" w:rsidRPr="00FC7B03">
        <w:t>trade-offs.</w:t>
      </w:r>
      <w:r w:rsidRPr="00FC7B03">
        <w:t xml:space="preserve"> This blended collection of evidence </w:t>
      </w:r>
      <w:r w:rsidR="00304AF8" w:rsidRPr="00FC7B03">
        <w:t xml:space="preserve">will enable opportunities such as </w:t>
      </w:r>
      <w:r w:rsidRPr="00FC7B03">
        <w:t>targeted talent pipelines, fair selection, and clear capability forecasts</w:t>
      </w:r>
      <w:r w:rsidR="007B513C" w:rsidRPr="00FC7B03">
        <w:t xml:space="preserve">, </w:t>
      </w:r>
      <w:r w:rsidR="0073221D" w:rsidRPr="00FC7B03">
        <w:t>outcomes which the CIPD considers typical when decisions are supported by triangulated evidence rather than habit</w:t>
      </w:r>
      <w:r w:rsidR="007B513C" w:rsidRPr="00FC7B03">
        <w:t xml:space="preserve">. To sustain this </w:t>
      </w:r>
      <w:proofErr w:type="spellStart"/>
      <w:r w:rsidR="007B513C" w:rsidRPr="00FC7B03">
        <w:t>Technivara</w:t>
      </w:r>
      <w:proofErr w:type="spellEnd"/>
      <w:r w:rsidR="007B513C" w:rsidRPr="00FC7B03">
        <w:t xml:space="preserve"> should adopt a EBP cycle ask, acquire appraise, aggregate, apply</w:t>
      </w:r>
      <w:r w:rsidR="00B80F79" w:rsidRPr="00FC7B03">
        <w:t xml:space="preserve"> and assess</w:t>
      </w:r>
      <w:r w:rsidR="007B513C" w:rsidRPr="00FC7B03">
        <w:t xml:space="preserve"> which structures decisions and counters cognitive bias and herd mentality in hiring discussions.</w:t>
      </w:r>
      <w:r w:rsidR="00EE1EFB" w:rsidRPr="00FC7B03">
        <w:t xml:space="preserve"> </w:t>
      </w:r>
      <w:r w:rsidR="00EE1EFB" w:rsidRPr="00FC7B03">
        <w:t>CIPD (2025</w:t>
      </w:r>
      <w:r w:rsidR="00EE1EFB" w:rsidRPr="00FC7B03">
        <w:t>b</w:t>
      </w:r>
      <w:r w:rsidR="00EE1EFB" w:rsidRPr="00FC7B03">
        <w:t>)</w:t>
      </w:r>
    </w:p>
    <w:p w14:paraId="6068B007" w14:textId="642E2CA1" w:rsidR="007B513C" w:rsidRPr="00FC7B03" w:rsidRDefault="007B513C" w:rsidP="00DD41B6">
      <w:r w:rsidRPr="00FC7B03">
        <w:t>Secondly, performance and development systems should be updated using EBP to stre</w:t>
      </w:r>
      <w:r w:rsidR="00112DCA" w:rsidRPr="00FC7B03">
        <w:t xml:space="preserve">ngthen objectivity and learning impact. </w:t>
      </w:r>
      <w:r w:rsidR="00CA4AC7" w:rsidRPr="00FC7B03">
        <w:t xml:space="preserve">They should begin </w:t>
      </w:r>
      <w:r w:rsidR="00112DCA" w:rsidRPr="00FC7B03">
        <w:t xml:space="preserve">by interrogating organisational evidence (distribution of ratings, productivity and absence) include stakeholder perspective in the form of manager and employee feedback on </w:t>
      </w:r>
      <w:r w:rsidR="00561F48" w:rsidRPr="00FC7B03">
        <w:t>clarity of goals</w:t>
      </w:r>
      <w:r w:rsidR="00112DCA" w:rsidRPr="00FC7B03">
        <w:t xml:space="preserve"> and support</w:t>
      </w:r>
      <w:r w:rsidR="00E230F1" w:rsidRPr="00FC7B03">
        <w:t xml:space="preserve">. Then they should </w:t>
      </w:r>
      <w:r w:rsidR="00112DCA" w:rsidRPr="00FC7B03">
        <w:t xml:space="preserve">conduct research regarding what works in performance management and transfer of learning and then use professional expertise to design changes such as clearer, strategy linked objectives </w:t>
      </w:r>
      <w:r w:rsidR="00FF547C" w:rsidRPr="00FC7B03">
        <w:t>regular</w:t>
      </w:r>
      <w:r w:rsidR="00112DCA" w:rsidRPr="00FC7B03">
        <w:t xml:space="preserve"> check ins and development plans. The CIPD stresses that effect</w:t>
      </w:r>
      <w:r w:rsidR="00863BD8" w:rsidRPr="00FC7B03">
        <w:t>ive</w:t>
      </w:r>
      <w:r w:rsidR="00112DCA" w:rsidRPr="00FC7B03">
        <w:t xml:space="preserve"> people decisions emerge </w:t>
      </w:r>
      <w:r w:rsidR="00C418BA" w:rsidRPr="00FC7B03">
        <w:t xml:space="preserve">when diverse evidence is appraised, reducing reliance on </w:t>
      </w:r>
      <w:r w:rsidR="00FF547C" w:rsidRPr="00FC7B03">
        <w:t>anecdot</w:t>
      </w:r>
      <w:r w:rsidR="00AD556E" w:rsidRPr="00FC7B03">
        <w:t>al evidence</w:t>
      </w:r>
      <w:r w:rsidR="00C418BA" w:rsidRPr="00FC7B03">
        <w:t xml:space="preserve"> and improving fairness and consistency </w:t>
      </w:r>
      <w:r w:rsidR="00FF547C" w:rsidRPr="00FC7B03">
        <w:t xml:space="preserve">while </w:t>
      </w:r>
      <w:r w:rsidR="00350F5A" w:rsidRPr="00FC7B03">
        <w:t>(Barends, Rousseau and Briner, 2014)</w:t>
      </w:r>
      <w:r w:rsidR="00350F5A" w:rsidRPr="00FC7B03">
        <w:t xml:space="preserve"> </w:t>
      </w:r>
      <w:r w:rsidR="00C418BA" w:rsidRPr="00FC7B03">
        <w:t>highlights the need to judge validity and applicability before acting.</w:t>
      </w:r>
    </w:p>
    <w:p w14:paraId="42AAC344" w14:textId="23173D0F" w:rsidR="00C418BA" w:rsidRPr="00FC7B03" w:rsidRDefault="00C418BA" w:rsidP="00DD41B6">
      <w:r w:rsidRPr="00FC7B03">
        <w:t xml:space="preserve">EBP is not a bureaucratic </w:t>
      </w:r>
      <w:r w:rsidR="00FF547C" w:rsidRPr="00FC7B03">
        <w:t>hurdle</w:t>
      </w:r>
      <w:r w:rsidRPr="00FC7B03">
        <w:t xml:space="preserve"> but instead a pragmatic way for</w:t>
      </w:r>
      <w:r w:rsidR="00FF547C" w:rsidRPr="00FC7B03">
        <w:t xml:space="preserve"> </w:t>
      </w:r>
      <w:proofErr w:type="spellStart"/>
      <w:r w:rsidR="00FF547C" w:rsidRPr="00FC7B03">
        <w:t>Technivara</w:t>
      </w:r>
      <w:proofErr w:type="spellEnd"/>
      <w:r w:rsidR="00FF547C" w:rsidRPr="00FC7B03">
        <w:t xml:space="preserve"> to replace paper</w:t>
      </w:r>
      <w:r w:rsidR="00FF547C" w:rsidRPr="00FC7B03">
        <w:rPr>
          <w:rFonts w:ascii="Cambria Math" w:hAnsi="Cambria Math" w:cs="Cambria Math"/>
        </w:rPr>
        <w:t>‑</w:t>
      </w:r>
      <w:r w:rsidR="00FF547C" w:rsidRPr="00FC7B03">
        <w:t>driven, assumption</w:t>
      </w:r>
      <w:r w:rsidR="00FF547C" w:rsidRPr="00FC7B03">
        <w:rPr>
          <w:rFonts w:ascii="Cambria Math" w:hAnsi="Cambria Math" w:cs="Cambria Math"/>
        </w:rPr>
        <w:t>‑</w:t>
      </w:r>
      <w:r w:rsidR="00FF547C" w:rsidRPr="00FC7B03">
        <w:t>led practices with transparent, data</w:t>
      </w:r>
      <w:r w:rsidR="00350F5A" w:rsidRPr="00FC7B03">
        <w:t xml:space="preserve"> </w:t>
      </w:r>
      <w:r w:rsidR="00FF547C" w:rsidRPr="00FC7B03">
        <w:t xml:space="preserve">informed decisions that support growth. By embedding EBP in recruitment and workforce planning and </w:t>
      </w:r>
      <w:r w:rsidR="00FF547C" w:rsidRPr="00FC7B03">
        <w:lastRenderedPageBreak/>
        <w:t xml:space="preserve">performance development, Sue can present Bill and the board with a persuasive and modern case, decisions which are evidence led and outcomes driven exactly the professional standard the CIPD advocates for people practice today. </w:t>
      </w:r>
      <w:r w:rsidR="006E2B5D" w:rsidRPr="00FC7B03">
        <w:t>CIPD (2025a)</w:t>
      </w:r>
      <w:r w:rsidR="00F556BD" w:rsidRPr="00FC7B03">
        <w:t xml:space="preserve">. </w:t>
      </w:r>
      <w:proofErr w:type="spellStart"/>
      <w:r w:rsidR="00F556BD" w:rsidRPr="00FC7B03">
        <w:t>T</w:t>
      </w:r>
      <w:r w:rsidR="00F556BD" w:rsidRPr="00FC7B03">
        <w:t>echnivara</w:t>
      </w:r>
      <w:proofErr w:type="spellEnd"/>
      <w:r w:rsidR="00F556BD" w:rsidRPr="00FC7B03">
        <w:t xml:space="preserve"> should pilot changes in one business area, establish pre/post baselines (e.g., time</w:t>
      </w:r>
      <w:r w:rsidR="00F556BD" w:rsidRPr="00FC7B03">
        <w:rPr>
          <w:rFonts w:ascii="Cambria Math" w:hAnsi="Cambria Math" w:cs="Cambria Math"/>
        </w:rPr>
        <w:t>‑</w:t>
      </w:r>
      <w:r w:rsidR="00F556BD" w:rsidRPr="00FC7B03">
        <w:t>to</w:t>
      </w:r>
      <w:r w:rsidR="00F556BD" w:rsidRPr="00FC7B03">
        <w:rPr>
          <w:rFonts w:ascii="Cambria Math" w:hAnsi="Cambria Math" w:cs="Cambria Math"/>
        </w:rPr>
        <w:t>‑</w:t>
      </w:r>
      <w:r w:rsidR="00F556BD" w:rsidRPr="00FC7B03">
        <w:t xml:space="preserve">hire, error rates), and review outcomes </w:t>
      </w:r>
      <w:r w:rsidR="00AF326E" w:rsidRPr="00FC7B03">
        <w:t>on a regular basis</w:t>
      </w:r>
      <w:r w:rsidR="00F556BD" w:rsidRPr="00FC7B03">
        <w:t xml:space="preserve">. Data quality, consent and GDPR </w:t>
      </w:r>
      <w:r w:rsidR="00AF326E" w:rsidRPr="00FC7B03">
        <w:t xml:space="preserve">should be considered </w:t>
      </w:r>
      <w:r w:rsidR="00F556BD" w:rsidRPr="00FC7B03">
        <w:t>before</w:t>
      </w:r>
      <w:r w:rsidR="00AF326E" w:rsidRPr="00FC7B03">
        <w:t xml:space="preserve"> any</w:t>
      </w:r>
      <w:r w:rsidR="00F556BD" w:rsidRPr="00FC7B03">
        <w:t xml:space="preserve"> analysis otherwise EBP risks drawing </w:t>
      </w:r>
      <w:r w:rsidR="00AF326E" w:rsidRPr="00FC7B03">
        <w:t xml:space="preserve">false </w:t>
      </w:r>
      <w:r w:rsidR="00F556BD" w:rsidRPr="00FC7B03">
        <w:t>conclusions</w:t>
      </w:r>
      <w:r w:rsidR="00AF326E" w:rsidRPr="00FC7B03">
        <w:t>.</w:t>
      </w:r>
    </w:p>
    <w:p w14:paraId="4CB490BE" w14:textId="07A8009F" w:rsidR="005B3C12" w:rsidRPr="00FC7B03" w:rsidRDefault="00147906" w:rsidP="005B3C12">
      <w:r w:rsidRPr="00FC7B03">
        <w:rPr>
          <w:b/>
          <w:bCs/>
        </w:rPr>
        <w:t>AC 1.2</w:t>
      </w:r>
      <w:r w:rsidR="00CE791C" w:rsidRPr="00FC7B03">
        <w:rPr>
          <w:b/>
          <w:bCs/>
        </w:rPr>
        <w:t xml:space="preserve"> </w:t>
      </w:r>
      <w:r w:rsidR="00AB0123" w:rsidRPr="00FC7B03">
        <w:t>In order to</w:t>
      </w:r>
      <w:r w:rsidR="005B3C12" w:rsidRPr="00FC7B03">
        <w:t xml:space="preserve"> diagnose organisational issues effectively, </w:t>
      </w:r>
      <w:proofErr w:type="spellStart"/>
      <w:r w:rsidR="005B3C12" w:rsidRPr="00FC7B03">
        <w:t>Technivara</w:t>
      </w:r>
      <w:proofErr w:type="spellEnd"/>
      <w:r w:rsidR="005B3C12" w:rsidRPr="00FC7B03">
        <w:t xml:space="preserve"> requires </w:t>
      </w:r>
      <w:r w:rsidR="00FE649B" w:rsidRPr="00FC7B03">
        <w:t xml:space="preserve">a </w:t>
      </w:r>
      <w:r w:rsidR="005B3C12" w:rsidRPr="00FC7B03">
        <w:t xml:space="preserve">systematic approach </w:t>
      </w:r>
      <w:r w:rsidR="00716948" w:rsidRPr="00FC7B03">
        <w:t xml:space="preserve">which </w:t>
      </w:r>
      <w:r w:rsidR="005B3C12" w:rsidRPr="00FC7B03">
        <w:t>move</w:t>
      </w:r>
      <w:r w:rsidR="00FE649B" w:rsidRPr="00FC7B03">
        <w:t>s</w:t>
      </w:r>
      <w:r w:rsidR="005B3C12" w:rsidRPr="00FC7B03">
        <w:t xml:space="preserve"> beyond its current paper</w:t>
      </w:r>
      <w:r w:rsidR="005B3C12" w:rsidRPr="00FC7B03">
        <w:rPr>
          <w:rFonts w:ascii="Cambria Math" w:hAnsi="Cambria Math" w:cs="Cambria Math"/>
        </w:rPr>
        <w:t>‑</w:t>
      </w:r>
      <w:r w:rsidR="005B3C12" w:rsidRPr="00FC7B03">
        <w:t xml:space="preserve">driven and </w:t>
      </w:r>
      <w:proofErr w:type="gramStart"/>
      <w:r w:rsidR="005B3C12" w:rsidRPr="00FC7B03">
        <w:t>intuition</w:t>
      </w:r>
      <w:r w:rsidR="00716948" w:rsidRPr="00FC7B03">
        <w:rPr>
          <w:rFonts w:cs="Cambria Math"/>
        </w:rPr>
        <w:t xml:space="preserve"> </w:t>
      </w:r>
      <w:r w:rsidR="005B3C12" w:rsidRPr="00FC7B03">
        <w:t>based</w:t>
      </w:r>
      <w:proofErr w:type="gramEnd"/>
      <w:r w:rsidR="005B3C12" w:rsidRPr="00FC7B03">
        <w:t xml:space="preserve"> practices. As the organisation prepares for expansion following sixteen years of growth, both internal challenges</w:t>
      </w:r>
      <w:r w:rsidR="00716948" w:rsidRPr="00FC7B03">
        <w:rPr>
          <w:rFonts w:cs="Aptos"/>
        </w:rPr>
        <w:t xml:space="preserve">, </w:t>
      </w:r>
      <w:r w:rsidR="005B3C12" w:rsidRPr="00FC7B03">
        <w:t>such as outdated people processes</w:t>
      </w:r>
      <w:r w:rsidR="00716948" w:rsidRPr="00FC7B03">
        <w:rPr>
          <w:rFonts w:cs="Aptos"/>
        </w:rPr>
        <w:t xml:space="preserve"> </w:t>
      </w:r>
      <w:r w:rsidR="005B3C12" w:rsidRPr="00FC7B03">
        <w:t>and external pressures</w:t>
      </w:r>
      <w:r w:rsidR="00716948" w:rsidRPr="00FC7B03">
        <w:rPr>
          <w:rFonts w:cs="Aptos"/>
        </w:rPr>
        <w:t xml:space="preserve"> </w:t>
      </w:r>
      <w:r w:rsidR="005B3C12" w:rsidRPr="00FC7B03">
        <w:t>such as technological, economic, and legal changes</w:t>
      </w:r>
      <w:r w:rsidR="00716948" w:rsidRPr="00FC7B03">
        <w:rPr>
          <w:rFonts w:cs="Aptos"/>
        </w:rPr>
        <w:t xml:space="preserve"> </w:t>
      </w:r>
      <w:r w:rsidR="005B3C12" w:rsidRPr="00FC7B03">
        <w:t>must be assessed. Applying an appropriate analysis tool and analysis method</w:t>
      </w:r>
      <w:r w:rsidR="001910DC" w:rsidRPr="00FC7B03">
        <w:t xml:space="preserve"> will</w:t>
      </w:r>
      <w:r w:rsidR="005B3C12" w:rsidRPr="00FC7B03">
        <w:t xml:space="preserve"> enable Sue and the People Practice team to present Bill and the Board with credible, evidence</w:t>
      </w:r>
      <w:r w:rsidR="005B3C12" w:rsidRPr="00FC7B03">
        <w:rPr>
          <w:rFonts w:ascii="Cambria Math" w:hAnsi="Cambria Math" w:cs="Cambria Math"/>
        </w:rPr>
        <w:t>‑</w:t>
      </w:r>
      <w:r w:rsidR="005B3C12" w:rsidRPr="00FC7B03">
        <w:t xml:space="preserve">based insight. </w:t>
      </w:r>
      <w:r w:rsidR="002E7D18" w:rsidRPr="00FC7B03">
        <w:t>First, we will look at PESTLE as the analysis tool Sue should use, followed by an evaluation of interviews as the supporting method</w:t>
      </w:r>
      <w:r w:rsidR="007D363A" w:rsidRPr="00FC7B03">
        <w:t>.</w:t>
      </w:r>
    </w:p>
    <w:p w14:paraId="1374A9D5" w14:textId="3F825205" w:rsidR="005B3C12" w:rsidRPr="00FC7B03" w:rsidRDefault="005B3C12" w:rsidP="005B3C12">
      <w:r w:rsidRPr="00FC7B03">
        <w:t>A PESTLE analysis is a diagnostic tool that examines six external factors</w:t>
      </w:r>
      <w:r w:rsidR="007D363A" w:rsidRPr="00FC7B03">
        <w:t xml:space="preserve">. </w:t>
      </w:r>
      <w:r w:rsidRPr="00FC7B03">
        <w:t xml:space="preserve">Political, </w:t>
      </w:r>
      <w:r w:rsidR="007D363A" w:rsidRPr="00FC7B03">
        <w:t>e</w:t>
      </w:r>
      <w:r w:rsidRPr="00FC7B03">
        <w:t xml:space="preserve">conomic, </w:t>
      </w:r>
      <w:r w:rsidR="007D363A" w:rsidRPr="00FC7B03">
        <w:t>s</w:t>
      </w:r>
      <w:r w:rsidRPr="00FC7B03">
        <w:t xml:space="preserve">ociological, </w:t>
      </w:r>
      <w:r w:rsidR="007D363A" w:rsidRPr="00FC7B03">
        <w:t>t</w:t>
      </w:r>
      <w:r w:rsidRPr="00FC7B03">
        <w:t xml:space="preserve">echnological, </w:t>
      </w:r>
      <w:r w:rsidR="007D363A" w:rsidRPr="00FC7B03">
        <w:t>l</w:t>
      </w:r>
      <w:r w:rsidRPr="00FC7B03">
        <w:t xml:space="preserve">egal and </w:t>
      </w:r>
      <w:r w:rsidR="007D363A" w:rsidRPr="00FC7B03">
        <w:t>e</w:t>
      </w:r>
      <w:r w:rsidRPr="00FC7B03">
        <w:t>nvironmental influences</w:t>
      </w:r>
      <w:r w:rsidR="00E33B28" w:rsidRPr="00FC7B03">
        <w:t xml:space="preserve"> which </w:t>
      </w:r>
      <w:r w:rsidRPr="00FC7B03">
        <w:t>helping organisations identify how external forces shape risk and opportunity. The CIPD describes PESTLE as a “broad fact</w:t>
      </w:r>
      <w:r w:rsidRPr="00FC7B03">
        <w:rPr>
          <w:rFonts w:ascii="Cambria Math" w:hAnsi="Cambria Math" w:cs="Cambria Math"/>
        </w:rPr>
        <w:t>‑</w:t>
      </w:r>
      <w:r w:rsidRPr="00FC7B03">
        <w:t>finding activity</w:t>
      </w:r>
      <w:r w:rsidRPr="00FC7B03">
        <w:rPr>
          <w:rFonts w:cs="Aptos"/>
        </w:rPr>
        <w:t>”</w:t>
      </w:r>
      <w:r w:rsidRPr="00FC7B03">
        <w:t xml:space="preserve"> that highlights external influences that can impact business decisions and strategic direction. </w:t>
      </w:r>
      <w:r w:rsidR="003F7B63" w:rsidRPr="00591352">
        <w:t>CIPD (2025</w:t>
      </w:r>
      <w:r w:rsidR="003F7B63" w:rsidRPr="00FC7B03">
        <w:t>c</w:t>
      </w:r>
      <w:r w:rsidR="003F7B63" w:rsidRPr="00591352">
        <w:t>)</w:t>
      </w:r>
    </w:p>
    <w:p w14:paraId="7DA3FF48" w14:textId="77E1C34D" w:rsidR="005B3C12" w:rsidRPr="00FC7B03" w:rsidRDefault="005B3C12" w:rsidP="005B3C12">
      <w:r w:rsidRPr="00FC7B03">
        <w:t xml:space="preserve">For </w:t>
      </w:r>
      <w:proofErr w:type="spellStart"/>
      <w:r w:rsidRPr="00FC7B03">
        <w:t>Technivara</w:t>
      </w:r>
      <w:proofErr w:type="spellEnd"/>
      <w:r w:rsidRPr="00FC7B03">
        <w:t xml:space="preserve">, which operates across electronics, automotive and medical sectors, technological and regulatory pressures are particularly significant. Technological advances such as robotics and automation may require substantial workforce upskilling, while changes in employment legislation or trade regulations could affect labour costs and supply chain stability. A PESTLE analysis would enable </w:t>
      </w:r>
      <w:proofErr w:type="spellStart"/>
      <w:r w:rsidRPr="00FC7B03">
        <w:t>Technivara</w:t>
      </w:r>
      <w:proofErr w:type="spellEnd"/>
      <w:r w:rsidRPr="00FC7B03">
        <w:t xml:space="preserve"> to map these external risks </w:t>
      </w:r>
      <w:r w:rsidR="00282895" w:rsidRPr="00FC7B03">
        <w:t xml:space="preserve">in a systematic way </w:t>
      </w:r>
      <w:r w:rsidRPr="00FC7B03">
        <w:t>rather than relying on Bill’s traditional, change</w:t>
      </w:r>
      <w:r w:rsidRPr="00FC7B03">
        <w:rPr>
          <w:rFonts w:ascii="Cambria Math" w:hAnsi="Cambria Math" w:cs="Cambria Math"/>
        </w:rPr>
        <w:t>‑</w:t>
      </w:r>
      <w:r w:rsidRPr="00FC7B03">
        <w:t>averse approach. This is vital for a company planning strategic expansion.</w:t>
      </w:r>
    </w:p>
    <w:p w14:paraId="1785621F" w14:textId="3ABE8BB9" w:rsidR="005B3C12" w:rsidRPr="00FC7B03" w:rsidRDefault="005B3C12" w:rsidP="005B3C12">
      <w:r w:rsidRPr="00FC7B03">
        <w:t>The value of PESTLE lies in its ability to support forward</w:t>
      </w:r>
      <w:r w:rsidRPr="00FC7B03">
        <w:rPr>
          <w:rFonts w:ascii="Cambria Math" w:hAnsi="Cambria Math" w:cs="Cambria Math"/>
        </w:rPr>
        <w:t>‑</w:t>
      </w:r>
      <w:r w:rsidRPr="00FC7B03">
        <w:t>thinking decision</w:t>
      </w:r>
      <w:r w:rsidR="00396C02" w:rsidRPr="00FC7B03">
        <w:rPr>
          <w:rFonts w:cs="Cambria Math"/>
        </w:rPr>
        <w:t>s</w:t>
      </w:r>
      <w:r w:rsidRPr="00FC7B03">
        <w:t xml:space="preserve"> by identifying trends, cost implications, and potential threats that may otherwise go unnoticed. However, the tool does have limitations. It does not analyse internal issues</w:t>
      </w:r>
      <w:r w:rsidR="00D65990" w:rsidRPr="00FC7B03">
        <w:rPr>
          <w:rFonts w:cs="Aptos"/>
        </w:rPr>
        <w:t xml:space="preserve"> </w:t>
      </w:r>
      <w:r w:rsidRPr="00FC7B03">
        <w:t>such as capability gaps or inefficiencies caused by outdated, paper</w:t>
      </w:r>
      <w:r w:rsidRPr="00FC7B03">
        <w:rPr>
          <w:rFonts w:ascii="Cambria Math" w:hAnsi="Cambria Math" w:cs="Cambria Math"/>
        </w:rPr>
        <w:t>‑</w:t>
      </w:r>
      <w:r w:rsidRPr="00FC7B03">
        <w:t xml:space="preserve">driven systems. PESTLE insights can also become quickly outdated unless revisited regularly. Despite these limitations, PESTLE remains a highly effective external diagnostic tool for </w:t>
      </w:r>
      <w:proofErr w:type="spellStart"/>
      <w:r w:rsidRPr="00FC7B03">
        <w:t>Technivara</w:t>
      </w:r>
      <w:proofErr w:type="spellEnd"/>
      <w:r w:rsidRPr="00FC7B03">
        <w:t xml:space="preserve"> at this stage of growth</w:t>
      </w:r>
      <w:r w:rsidR="0059393A" w:rsidRPr="00FC7B03">
        <w:t xml:space="preserve"> and change</w:t>
      </w:r>
      <w:r w:rsidRPr="00FC7B03">
        <w:t xml:space="preserve">. </w:t>
      </w:r>
      <w:r w:rsidR="004F5674" w:rsidRPr="00FC7B03">
        <w:t>(Waite et al., 2021, p. 211</w:t>
      </w:r>
      <w:r w:rsidR="00CA1362" w:rsidRPr="00FC7B03">
        <w:t>). See</w:t>
      </w:r>
      <w:r w:rsidR="00D65990" w:rsidRPr="00FC7B03">
        <w:t xml:space="preserve"> appendix </w:t>
      </w:r>
      <w:r w:rsidR="00CE791C" w:rsidRPr="00FC7B03">
        <w:t xml:space="preserve">1 </w:t>
      </w:r>
      <w:r w:rsidR="00D65990" w:rsidRPr="00FC7B03">
        <w:t xml:space="preserve">for example of PESTLE for </w:t>
      </w:r>
      <w:proofErr w:type="spellStart"/>
      <w:r w:rsidR="00D65990" w:rsidRPr="00FC7B03">
        <w:t>Technivara</w:t>
      </w:r>
      <w:proofErr w:type="spellEnd"/>
      <w:r w:rsidR="00D65990" w:rsidRPr="00FC7B03">
        <w:t>.</w:t>
      </w:r>
    </w:p>
    <w:p w14:paraId="15B92A62" w14:textId="3E2CCEBE" w:rsidR="005B3C12" w:rsidRPr="00FC7B03" w:rsidRDefault="005B3C12" w:rsidP="005B3C12">
      <w:r w:rsidRPr="00FC7B03">
        <w:t xml:space="preserve">Interviews offer a qualitative method for understanding internal experiences, challenges and organisational culture. They allow people professionals to gather rich, detailed </w:t>
      </w:r>
      <w:r w:rsidRPr="00FC7B03">
        <w:lastRenderedPageBreak/>
        <w:t xml:space="preserve">insights from managers, employees, and stakeholders. According to CIPD guidance, interviews are a valuable method for exploring </w:t>
      </w:r>
      <w:r w:rsidR="00DA126E" w:rsidRPr="00FC7B03">
        <w:t xml:space="preserve">views and </w:t>
      </w:r>
      <w:r w:rsidRPr="00FC7B03">
        <w:t>perceptions</w:t>
      </w:r>
      <w:r w:rsidR="00B006FE" w:rsidRPr="00FC7B03">
        <w:t xml:space="preserve"> of how people feel </w:t>
      </w:r>
      <w:r w:rsidRPr="00FC7B03">
        <w:t xml:space="preserve">not visible through data </w:t>
      </w:r>
      <w:r w:rsidR="00CA1362" w:rsidRPr="00FC7B03">
        <w:t>alone and</w:t>
      </w:r>
      <w:r w:rsidRPr="00FC7B03">
        <w:t xml:space="preserve"> understanding the human side of organisational challenges. </w:t>
      </w:r>
      <w:r w:rsidR="00B006FE" w:rsidRPr="00FC7B03">
        <w:t xml:space="preserve">(Waite et al., 2021, p. </w:t>
      </w:r>
      <w:r w:rsidR="00B006FE" w:rsidRPr="00FC7B03">
        <w:t>51</w:t>
      </w:r>
      <w:r w:rsidR="00B006FE" w:rsidRPr="00FC7B03">
        <w:t>)</w:t>
      </w:r>
    </w:p>
    <w:p w14:paraId="780DD4F2" w14:textId="6A7202D4" w:rsidR="00246B76" w:rsidRPr="00FC7B03" w:rsidRDefault="005B3C12" w:rsidP="00246B76">
      <w:r w:rsidRPr="00FC7B03">
        <w:t xml:space="preserve">For </w:t>
      </w:r>
      <w:proofErr w:type="spellStart"/>
      <w:r w:rsidRPr="00FC7B03">
        <w:t>Technivara</w:t>
      </w:r>
      <w:proofErr w:type="spellEnd"/>
      <w:r w:rsidRPr="00FC7B03">
        <w:t>, interviews would surface internal challenges such as frustrations with paper</w:t>
      </w:r>
      <w:r w:rsidRPr="00FC7B03">
        <w:rPr>
          <w:rFonts w:ascii="Cambria Math" w:hAnsi="Cambria Math" w:cs="Cambria Math"/>
        </w:rPr>
        <w:t>‑</w:t>
      </w:r>
      <w:r w:rsidRPr="00FC7B03">
        <w:t>based processes, bottlenecks in recruitment, and the cultural resistance to new practices that stems from Bill</w:t>
      </w:r>
      <w:r w:rsidRPr="00FC7B03">
        <w:rPr>
          <w:rFonts w:cs="Aptos"/>
        </w:rPr>
        <w:t>’</w:t>
      </w:r>
      <w:r w:rsidRPr="00FC7B03">
        <w:t>s traditional style. Interviews would also provide insight into employee development needs, gaps in data literacy, and perspectives on how people processes should evolve to support business expansion.</w:t>
      </w:r>
      <w:r w:rsidR="00246B76" w:rsidRPr="00FC7B03">
        <w:t xml:space="preserve"> </w:t>
      </w:r>
      <w:r w:rsidR="00246B76" w:rsidRPr="00FC7B03">
        <w:t>These insights complement the external perspective offered by PESTLE and give Sue a stronger evidence base. While interviews can be time</w:t>
      </w:r>
      <w:r w:rsidR="00066806" w:rsidRPr="00FC7B03">
        <w:t xml:space="preserve"> </w:t>
      </w:r>
      <w:r w:rsidR="00246B76" w:rsidRPr="00FC7B03">
        <w:t>consuming and open to bias, a structured approach</w:t>
      </w:r>
      <w:r w:rsidR="00C57FEA" w:rsidRPr="00FC7B03">
        <w:t xml:space="preserve"> (such as an interview guide)</w:t>
      </w:r>
      <w:r w:rsidR="00066806" w:rsidRPr="00FC7B03">
        <w:t xml:space="preserve"> will</w:t>
      </w:r>
      <w:r w:rsidR="00246B76" w:rsidRPr="00FC7B03">
        <w:t xml:space="preserve"> help improve consistency and reliability.</w:t>
      </w:r>
    </w:p>
    <w:p w14:paraId="46559271" w14:textId="6D8D41E3" w:rsidR="0033621C" w:rsidRPr="00591352" w:rsidRDefault="00246B76" w:rsidP="00591352">
      <w:r w:rsidRPr="00FC7B03">
        <w:t>Together, PESTLE and interviews provide a balanced diagnostic view</w:t>
      </w:r>
      <w:r w:rsidR="00066806" w:rsidRPr="00FC7B03">
        <w:t>.</w:t>
      </w:r>
      <w:r w:rsidRPr="00FC7B03">
        <w:t xml:space="preserve"> PESTLE highlights external pressures, while interviews reveal internal challenges and opportunities. Combined, they</w:t>
      </w:r>
      <w:r w:rsidR="00066806" w:rsidRPr="00FC7B03">
        <w:t xml:space="preserve"> will</w:t>
      </w:r>
      <w:r w:rsidRPr="00FC7B03">
        <w:t xml:space="preserve"> give Sue the credible evidence needed to show why </w:t>
      </w:r>
      <w:proofErr w:type="spellStart"/>
      <w:r w:rsidRPr="00FC7B03">
        <w:t>Technivara</w:t>
      </w:r>
      <w:proofErr w:type="spellEnd"/>
      <w:r w:rsidRPr="00FC7B03">
        <w:t xml:space="preserve"> must modernise its people practices </w:t>
      </w:r>
      <w:r w:rsidR="00CA1362" w:rsidRPr="00FC7B03">
        <w:t>supporting</w:t>
      </w:r>
      <w:r w:rsidRPr="00FC7B03">
        <w:t xml:space="preserve"> better decisions, reduce risk, and enable future growth</w:t>
      </w:r>
    </w:p>
    <w:p w14:paraId="5AF37DE0" w14:textId="7D04D177" w:rsidR="00066868" w:rsidRPr="00FC7B03" w:rsidRDefault="006D79AA" w:rsidP="00066868">
      <w:r w:rsidRPr="00FC7B03">
        <w:rPr>
          <w:b/>
          <w:bCs/>
        </w:rPr>
        <w:t>AC</w:t>
      </w:r>
      <w:r w:rsidR="00CE791C" w:rsidRPr="00FC7B03">
        <w:rPr>
          <w:b/>
          <w:bCs/>
        </w:rPr>
        <w:t xml:space="preserve"> </w:t>
      </w:r>
      <w:r w:rsidRPr="00FC7B03">
        <w:rPr>
          <w:b/>
          <w:bCs/>
        </w:rPr>
        <w:t xml:space="preserve">1.3 </w:t>
      </w:r>
      <w:r w:rsidR="00066868" w:rsidRPr="00FC7B03">
        <w:t>Critical thinking is about taking a step back and looking at information in a balanced</w:t>
      </w:r>
      <w:r w:rsidR="00AC3F38" w:rsidRPr="00FC7B03">
        <w:t xml:space="preserve"> and </w:t>
      </w:r>
      <w:r w:rsidR="00066868" w:rsidRPr="00FC7B03">
        <w:t>objective way</w:t>
      </w:r>
      <w:r w:rsidR="00AC3F38" w:rsidRPr="00FC7B03">
        <w:t xml:space="preserve"> so that good decisions can be made</w:t>
      </w:r>
      <w:r w:rsidR="00066868" w:rsidRPr="00FC7B03">
        <w:t>. It involves asking questions, challenging assumptions, checking the quality</w:t>
      </w:r>
      <w:r w:rsidR="00931A5F" w:rsidRPr="00FC7B03">
        <w:t xml:space="preserve"> and validity</w:t>
      </w:r>
      <w:r w:rsidR="00066868" w:rsidRPr="00FC7B03">
        <w:t xml:space="preserve"> of evidence and being open to different viewpoints (Cottrell, 2017). At </w:t>
      </w:r>
      <w:proofErr w:type="spellStart"/>
      <w:r w:rsidR="00066868" w:rsidRPr="00FC7B03">
        <w:t>Technivara</w:t>
      </w:r>
      <w:proofErr w:type="spellEnd"/>
      <w:r w:rsidR="00066868" w:rsidRPr="00FC7B03">
        <w:t xml:space="preserve">, where people practices are still </w:t>
      </w:r>
      <w:r w:rsidR="00D83047" w:rsidRPr="00FC7B03">
        <w:t xml:space="preserve">mainly </w:t>
      </w:r>
      <w:r w:rsidR="00066868" w:rsidRPr="00FC7B03">
        <w:t>paper</w:t>
      </w:r>
      <w:r w:rsidR="00066868" w:rsidRPr="00FC7B03">
        <w:rPr>
          <w:rFonts w:ascii="Cambria Math" w:hAnsi="Cambria Math" w:cs="Cambria Math"/>
        </w:rPr>
        <w:t>‑</w:t>
      </w:r>
      <w:r w:rsidR="00066868" w:rsidRPr="00FC7B03">
        <w:t>based and rooted in long</w:t>
      </w:r>
      <w:r w:rsidR="00066868" w:rsidRPr="00FC7B03">
        <w:rPr>
          <w:rFonts w:ascii="Cambria Math" w:hAnsi="Cambria Math" w:cs="Cambria Math"/>
        </w:rPr>
        <w:t>‑</w:t>
      </w:r>
      <w:r w:rsidR="00066868" w:rsidRPr="00FC7B03">
        <w:t>established habits, critical thinking is especially important to help the organisation grow and reduce the risk of decisions being made on outdated or incomplete information.</w:t>
      </w:r>
    </w:p>
    <w:p w14:paraId="4A30D8B6" w14:textId="36FB475F" w:rsidR="00066868" w:rsidRPr="00FC7B03" w:rsidRDefault="00066868" w:rsidP="00066868">
      <w:r w:rsidRPr="00FC7B03">
        <w:t xml:space="preserve">One key principle of critical thinking is questioning assumptions. </w:t>
      </w:r>
      <w:proofErr w:type="spellStart"/>
      <w:r w:rsidRPr="00FC7B03">
        <w:t>Facione</w:t>
      </w:r>
      <w:proofErr w:type="spellEnd"/>
      <w:r w:rsidRPr="00FC7B03">
        <w:t xml:space="preserve"> (2015) explains that critical thinkers avoid accepting ideas just because they’ve been around for a long time. In </w:t>
      </w:r>
      <w:proofErr w:type="spellStart"/>
      <w:r w:rsidRPr="00FC7B03">
        <w:t>Technivara’s</w:t>
      </w:r>
      <w:proofErr w:type="spellEnd"/>
      <w:r w:rsidRPr="00FC7B03">
        <w:t xml:space="preserve"> case, Bill prefers traditional approaches and assumes they still work simply because they always have</w:t>
      </w:r>
      <w:r w:rsidR="00D83047" w:rsidRPr="00FC7B03">
        <w:t xml:space="preserve"> done</w:t>
      </w:r>
      <w:r w:rsidRPr="00FC7B03">
        <w:t xml:space="preserve">. A critical thinking approach would explore whether these methods still </w:t>
      </w:r>
      <w:r w:rsidR="00554014" w:rsidRPr="00FC7B03">
        <w:t xml:space="preserve">meet the needs </w:t>
      </w:r>
      <w:r w:rsidRPr="00FC7B03">
        <w:t>of a modern and rapidly expanding business, and whether they help people make informed decisions.</w:t>
      </w:r>
    </w:p>
    <w:p w14:paraId="4EF68BE4" w14:textId="77777777" w:rsidR="00066868" w:rsidRPr="00FC7B03" w:rsidRDefault="00066868" w:rsidP="00066868">
      <w:r w:rsidRPr="00FC7B03">
        <w:t>Another important principle is evaluating evidence. This means checking whether the information we rely on is reliable, relevant and up to date (Reed, 2018). Evidence</w:t>
      </w:r>
      <w:r w:rsidRPr="00FC7B03">
        <w:rPr>
          <w:rFonts w:ascii="Cambria Math" w:hAnsi="Cambria Math" w:cs="Cambria Math"/>
        </w:rPr>
        <w:t>‑</w:t>
      </w:r>
      <w:r w:rsidRPr="00FC7B03">
        <w:t xml:space="preserve">based HR uses a mix of organisational data, research, professional expertise and stakeholder insights to guide decisions (Rousseau, 2018). Applying this at </w:t>
      </w:r>
      <w:proofErr w:type="spellStart"/>
      <w:r w:rsidRPr="00FC7B03">
        <w:t>Technivara</w:t>
      </w:r>
      <w:proofErr w:type="spellEnd"/>
      <w:r w:rsidRPr="00FC7B03">
        <w:t xml:space="preserve"> would involve assessing whether the current paper</w:t>
      </w:r>
      <w:r w:rsidRPr="00FC7B03">
        <w:rPr>
          <w:rFonts w:ascii="Cambria Math" w:hAnsi="Cambria Math" w:cs="Cambria Math"/>
        </w:rPr>
        <w:t>‑</w:t>
      </w:r>
      <w:r w:rsidRPr="00FC7B03">
        <w:t>driven systems give us accurate and timely people data, or whether moving to digital processes would provide better evidence for planning and compliance.</w:t>
      </w:r>
    </w:p>
    <w:p w14:paraId="6361987F" w14:textId="2A5582DA" w:rsidR="00066868" w:rsidRPr="00FC7B03" w:rsidRDefault="00066868" w:rsidP="00066868">
      <w:r w:rsidRPr="00FC7B03">
        <w:lastRenderedPageBreak/>
        <w:t xml:space="preserve">Considering alternative </w:t>
      </w:r>
      <w:r w:rsidR="006104D5" w:rsidRPr="00FC7B03">
        <w:t xml:space="preserve">points of view </w:t>
      </w:r>
      <w:r w:rsidRPr="00FC7B03">
        <w:t xml:space="preserve">also helps create fair and balanced discussions. Brookfield (2017) suggests </w:t>
      </w:r>
      <w:r w:rsidR="0031774D" w:rsidRPr="00FC7B03">
        <w:t xml:space="preserve">exploring </w:t>
      </w:r>
      <w:r w:rsidRPr="00FC7B03">
        <w:t xml:space="preserve">different perspectives reduces bias and leads to stronger decisions. At </w:t>
      </w:r>
      <w:proofErr w:type="spellStart"/>
      <w:r w:rsidRPr="00FC7B03">
        <w:t>Technivara</w:t>
      </w:r>
      <w:proofErr w:type="spellEnd"/>
      <w:r w:rsidRPr="00FC7B03">
        <w:t xml:space="preserve">, this could mean listening to employees frustrated by manual processes, managers who need </w:t>
      </w:r>
      <w:r w:rsidR="0031774D" w:rsidRPr="00FC7B03">
        <w:t xml:space="preserve">better </w:t>
      </w:r>
      <w:r w:rsidRPr="00FC7B03">
        <w:t>data, and Sue’s concerns about risk, rather than relying only on the traditional way of doing things.</w:t>
      </w:r>
    </w:p>
    <w:p w14:paraId="322424D7" w14:textId="77777777" w:rsidR="00066868" w:rsidRPr="00FC7B03" w:rsidRDefault="00066868" w:rsidP="00066868">
      <w:r w:rsidRPr="00FC7B03">
        <w:t>Reflective thinking is another important part of critical thinking. It involves recognising our own biases and questioning whether our ideas are based on evidence or personal preference (Moon, 2013). As the People Practice Advisor, this means checking whether my support for digital systems comes from actual evidence and organisational need, rather than simply my own experience.</w:t>
      </w:r>
    </w:p>
    <w:p w14:paraId="4AF9F1DA" w14:textId="2FA62ABE" w:rsidR="006D79AA" w:rsidRPr="00FC7B03" w:rsidRDefault="00066868" w:rsidP="00066868">
      <w:r w:rsidRPr="00FC7B03">
        <w:t xml:space="preserve">If </w:t>
      </w:r>
      <w:proofErr w:type="spellStart"/>
      <w:r w:rsidRPr="00FC7B03">
        <w:t>Technivara</w:t>
      </w:r>
      <w:proofErr w:type="spellEnd"/>
      <w:r w:rsidRPr="00FC7B03">
        <w:t xml:space="preserve"> embraces critical thinking more widely, discussions across the People Practice team will become more objective and focused on evidence rather than habit. This will help Sue, Bill and the rest of the team make a stronger case for modernising people practices and ensuring the organisation is ready for continued growth.</w:t>
      </w:r>
    </w:p>
    <w:p w14:paraId="3C2216A0" w14:textId="539E367D" w:rsidR="00CE7B59" w:rsidRPr="00FC7B03" w:rsidRDefault="00E5686E" w:rsidP="00CE7B59">
      <w:r w:rsidRPr="00FC7B03">
        <w:rPr>
          <w:b/>
          <w:bCs/>
        </w:rPr>
        <w:t>AC</w:t>
      </w:r>
      <w:r w:rsidR="00805336" w:rsidRPr="00FC7B03">
        <w:rPr>
          <w:b/>
          <w:bCs/>
        </w:rPr>
        <w:t xml:space="preserve"> </w:t>
      </w:r>
      <w:r w:rsidRPr="00FC7B03">
        <w:rPr>
          <w:b/>
          <w:bCs/>
        </w:rPr>
        <w:t>1.4</w:t>
      </w:r>
      <w:r w:rsidR="00DD503B" w:rsidRPr="00FC7B03">
        <w:rPr>
          <w:b/>
          <w:bCs/>
        </w:rPr>
        <w:t xml:space="preserve"> </w:t>
      </w:r>
      <w:r w:rsidR="00CE7B59" w:rsidRPr="00FC7B03">
        <w:t>Effective decision</w:t>
      </w:r>
      <w:r w:rsidR="00CE7B59" w:rsidRPr="00FC7B03">
        <w:rPr>
          <w:rFonts w:ascii="Cambria Math" w:hAnsi="Cambria Math" w:cs="Cambria Math"/>
        </w:rPr>
        <w:t>‑</w:t>
      </w:r>
      <w:r w:rsidR="00CE7B59" w:rsidRPr="00FC7B03">
        <w:t xml:space="preserve">making is essential for </w:t>
      </w:r>
      <w:proofErr w:type="spellStart"/>
      <w:r w:rsidR="00CE7B59" w:rsidRPr="00FC7B03">
        <w:t>Technivara</w:t>
      </w:r>
      <w:proofErr w:type="spellEnd"/>
      <w:r w:rsidR="00CE7B59" w:rsidRPr="00FC7B03">
        <w:t xml:space="preserve"> as the business continues to grow, especially given the current reliance on traditional and paper</w:t>
      </w:r>
      <w:r w:rsidR="00CE7B59" w:rsidRPr="00FC7B03">
        <w:rPr>
          <w:rFonts w:ascii="Cambria Math" w:hAnsi="Cambria Math" w:cs="Cambria Math"/>
        </w:rPr>
        <w:t>‑</w:t>
      </w:r>
      <w:r w:rsidR="00CE7B59" w:rsidRPr="00FC7B03">
        <w:t xml:space="preserve">based people practices. Two useful approaches that </w:t>
      </w:r>
      <w:proofErr w:type="spellStart"/>
      <w:r w:rsidR="00CE7B59" w:rsidRPr="00FC7B03">
        <w:t>Technivara</w:t>
      </w:r>
      <w:proofErr w:type="spellEnd"/>
      <w:r w:rsidR="00CE7B59" w:rsidRPr="00FC7B03">
        <w:t xml:space="preserve"> could apply are the CMI decision</w:t>
      </w:r>
      <w:r w:rsidR="00CE7B59" w:rsidRPr="00FC7B03">
        <w:rPr>
          <w:rFonts w:ascii="Cambria Math" w:hAnsi="Cambria Math" w:cs="Cambria Math"/>
        </w:rPr>
        <w:t>‑</w:t>
      </w:r>
      <w:r w:rsidR="00CE7B59" w:rsidRPr="00FC7B03">
        <w:t>making framework and John Adair</w:t>
      </w:r>
      <w:r w:rsidR="00CE7B59" w:rsidRPr="00FC7B03">
        <w:rPr>
          <w:rFonts w:cs="Aptos"/>
        </w:rPr>
        <w:t>’</w:t>
      </w:r>
      <w:r w:rsidR="00CE7B59" w:rsidRPr="00FC7B03">
        <w:t>s problem</w:t>
      </w:r>
      <w:r w:rsidR="00CE7B59" w:rsidRPr="00FC7B03">
        <w:rPr>
          <w:rFonts w:ascii="Cambria Math" w:hAnsi="Cambria Math" w:cs="Cambria Math"/>
        </w:rPr>
        <w:t>‑</w:t>
      </w:r>
      <w:r w:rsidR="00CE7B59" w:rsidRPr="00FC7B03">
        <w:t>solving cycle, both of which provide structure and help reduce the risk of decisions being based on habit rather than evidence.</w:t>
      </w:r>
    </w:p>
    <w:p w14:paraId="39366A4B" w14:textId="70840EF3" w:rsidR="00CE7B59" w:rsidRPr="00FC7B03" w:rsidRDefault="00CE7B59" w:rsidP="00CE7B59">
      <w:r w:rsidRPr="00FC7B03">
        <w:t>The Chartered Management Institute (CMI) recommends a structured, step</w:t>
      </w:r>
      <w:r w:rsidRPr="00FC7B03">
        <w:rPr>
          <w:rFonts w:ascii="Cambria Math" w:hAnsi="Cambria Math" w:cs="Cambria Math"/>
        </w:rPr>
        <w:t>‑</w:t>
      </w:r>
      <w:r w:rsidRPr="00FC7B03">
        <w:t>by</w:t>
      </w:r>
      <w:r w:rsidRPr="00FC7B03">
        <w:rPr>
          <w:rFonts w:ascii="Cambria Math" w:hAnsi="Cambria Math" w:cs="Cambria Math"/>
        </w:rPr>
        <w:t>‑</w:t>
      </w:r>
      <w:r w:rsidRPr="00FC7B03">
        <w:t>step approach to decision</w:t>
      </w:r>
      <w:r w:rsidRPr="00FC7B03">
        <w:rPr>
          <w:rFonts w:ascii="Cambria Math" w:hAnsi="Cambria Math" w:cs="Cambria Math"/>
        </w:rPr>
        <w:t>‑</w:t>
      </w:r>
      <w:r w:rsidRPr="00FC7B03">
        <w:t xml:space="preserve">making that includes defining the problem, gathering information, identifying options, assessing the risks, choosing a solution and reviewing the impact afterwards. This process encourages managers to think critically, weigh up alternatives and avoid </w:t>
      </w:r>
      <w:r w:rsidRPr="00FC7B03">
        <w:rPr>
          <w:rFonts w:cs="Aptos"/>
        </w:rPr>
        <w:t>“</w:t>
      </w:r>
      <w:r w:rsidRPr="00FC7B03">
        <w:t>knee</w:t>
      </w:r>
      <w:r w:rsidR="00F021B9" w:rsidRPr="00FC7B03">
        <w:rPr>
          <w:rFonts w:cs="Cambria Math"/>
        </w:rPr>
        <w:t xml:space="preserve"> </w:t>
      </w:r>
      <w:r w:rsidRPr="00FC7B03">
        <w:t>jerk</w:t>
      </w:r>
      <w:r w:rsidRPr="00FC7B03">
        <w:rPr>
          <w:rFonts w:cs="Aptos"/>
        </w:rPr>
        <w:t>”</w:t>
      </w:r>
      <w:r w:rsidRPr="00FC7B03">
        <w:t xml:space="preserve"> decisions.</w:t>
      </w:r>
    </w:p>
    <w:p w14:paraId="7798877A" w14:textId="1B05471B" w:rsidR="00CE7B59" w:rsidRPr="00FC7B03" w:rsidRDefault="00CE7B59" w:rsidP="00CE7B59">
      <w:r w:rsidRPr="00FC7B03">
        <w:t xml:space="preserve">At </w:t>
      </w:r>
      <w:proofErr w:type="spellStart"/>
      <w:r w:rsidRPr="00FC7B03">
        <w:t>Technivara</w:t>
      </w:r>
      <w:proofErr w:type="spellEnd"/>
      <w:r w:rsidRPr="00FC7B03">
        <w:t>, this framework would be especially helpful in reviewing whether the existing paper</w:t>
      </w:r>
      <w:r w:rsidRPr="00FC7B03">
        <w:rPr>
          <w:rFonts w:ascii="Cambria Math" w:hAnsi="Cambria Math" w:cs="Cambria Math"/>
        </w:rPr>
        <w:t>‑</w:t>
      </w:r>
      <w:r w:rsidRPr="00FC7B03">
        <w:t>driven HR processes are still fit for purpose. The People Practice team could start by defining the problem</w:t>
      </w:r>
      <w:r w:rsidR="00C86EE9" w:rsidRPr="00FC7B03">
        <w:rPr>
          <w:rFonts w:cs="Aptos"/>
        </w:rPr>
        <w:t xml:space="preserve"> </w:t>
      </w:r>
      <w:r w:rsidRPr="00FC7B03">
        <w:t>for example, delays, inaccurate records or slow access to people data. They could then gather information such as processing times, user feedback and examples of compliance risks. Using the CMI framework, the team would then explore different digital options, assess the risks and costs involved, choose the most suitable solution, and finally review whether the new system improves accuracy and efficiency. This creates a clear, traceable decision trail that Bill and the Board can understand and trust.</w:t>
      </w:r>
    </w:p>
    <w:p w14:paraId="504C858E" w14:textId="77777777" w:rsidR="00CE7B59" w:rsidRPr="00FC7B03" w:rsidRDefault="00CE7B59" w:rsidP="00CE7B59">
      <w:r w:rsidRPr="00FC7B03">
        <w:t xml:space="preserve">John Adair’s cycle is another practical tool for structured thinking. It involves clarifying the problem, analysing the situation, developing possible solutions, evaluating the options, deciding on the best course of action and then implementing and monitoring it. </w:t>
      </w:r>
      <w:r w:rsidRPr="00FC7B03">
        <w:lastRenderedPageBreak/>
        <w:t>Adair emphasises involving the right people at each stage so that decisions are well</w:t>
      </w:r>
      <w:r w:rsidRPr="00FC7B03">
        <w:rPr>
          <w:rFonts w:ascii="Cambria Math" w:hAnsi="Cambria Math" w:cs="Cambria Math"/>
        </w:rPr>
        <w:t>‑</w:t>
      </w:r>
      <w:r w:rsidRPr="00FC7B03">
        <w:t>informed.</w:t>
      </w:r>
    </w:p>
    <w:p w14:paraId="4C9D520C" w14:textId="58AAB053" w:rsidR="00CE7B59" w:rsidRPr="00FC7B03" w:rsidRDefault="00CE7B59" w:rsidP="00CE7B59">
      <w:r w:rsidRPr="00FC7B03">
        <w:t xml:space="preserve">At </w:t>
      </w:r>
      <w:proofErr w:type="spellStart"/>
      <w:r w:rsidRPr="00FC7B03">
        <w:t>Technivara</w:t>
      </w:r>
      <w:proofErr w:type="spellEnd"/>
      <w:r w:rsidRPr="00FC7B03">
        <w:t xml:space="preserve">, this method could be applied to decisions about modernising people practices. For example, if Sue wants to introduce digital absence management, the cycle </w:t>
      </w:r>
      <w:r w:rsidR="00EF4DAF" w:rsidRPr="00FC7B03">
        <w:t>will</w:t>
      </w:r>
      <w:r w:rsidRPr="00FC7B03">
        <w:t xml:space="preserve"> help the team analyse the current issues, explore alternative systems and evaluate how each option meets the needs of managers, employees and the organisation. Involving stakeholders at different stages also helps build buy</w:t>
      </w:r>
      <w:r w:rsidRPr="00FC7B03">
        <w:rPr>
          <w:rFonts w:ascii="Cambria Math" w:hAnsi="Cambria Math" w:cs="Cambria Math"/>
        </w:rPr>
        <w:t>‑</w:t>
      </w:r>
      <w:r w:rsidRPr="00FC7B03">
        <w:t>in, which would be particularly important when Bill is cautious about changing long</w:t>
      </w:r>
      <w:r w:rsidR="00EF4DAF" w:rsidRPr="00FC7B03">
        <w:rPr>
          <w:rFonts w:cs="Cambria Math"/>
        </w:rPr>
        <w:t xml:space="preserve"> </w:t>
      </w:r>
      <w:r w:rsidRPr="00FC7B03">
        <w:t>standing ways of working.</w:t>
      </w:r>
    </w:p>
    <w:p w14:paraId="6514BF09" w14:textId="00FCF81A" w:rsidR="00BA5D7D" w:rsidRPr="00FC7B03" w:rsidRDefault="00BA5D7D" w:rsidP="00CE7B59">
      <w:r w:rsidRPr="00FC7B03">
        <w:t>CMI’s staged approach is ideal for high</w:t>
      </w:r>
      <w:r w:rsidRPr="00FC7B03">
        <w:rPr>
          <w:rFonts w:ascii="Cambria Math" w:hAnsi="Cambria Math" w:cs="Cambria Math"/>
        </w:rPr>
        <w:t>‑</w:t>
      </w:r>
      <w:r w:rsidRPr="00FC7B03">
        <w:t>stakes system choices, while Adair</w:t>
      </w:r>
      <w:r w:rsidRPr="00FC7B03">
        <w:rPr>
          <w:rFonts w:cs="Aptos"/>
        </w:rPr>
        <w:t>’</w:t>
      </w:r>
      <w:r w:rsidRPr="00FC7B03">
        <w:t>s cycle suits operational improvements with stakeholders. Both risk analysis</w:t>
      </w:r>
      <w:r w:rsidR="00923E19" w:rsidRPr="00FC7B03">
        <w:rPr>
          <w:rFonts w:cs="Cambria Math"/>
        </w:rPr>
        <w:t xml:space="preserve"> </w:t>
      </w:r>
      <w:r w:rsidRPr="00FC7B03">
        <w:t xml:space="preserve">paralysis without </w:t>
      </w:r>
      <w:r w:rsidR="00923E19" w:rsidRPr="00FC7B03">
        <w:t xml:space="preserve">a planned review </w:t>
      </w:r>
      <w:proofErr w:type="gramStart"/>
      <w:r w:rsidR="00923E19" w:rsidRPr="00FC7B03">
        <w:t>point</w:t>
      </w:r>
      <w:r w:rsidR="002622F3" w:rsidRPr="00FC7B03">
        <w:t>,</w:t>
      </w:r>
      <w:proofErr w:type="gramEnd"/>
      <w:r w:rsidR="002622F3" w:rsidRPr="00FC7B03">
        <w:t xml:space="preserve"> by reviewing at regular points this </w:t>
      </w:r>
      <w:r w:rsidRPr="00FC7B03">
        <w:t>should close the loop and capture lessons</w:t>
      </w:r>
      <w:r w:rsidR="009A2A5B" w:rsidRPr="00FC7B03">
        <w:t>.</w:t>
      </w:r>
    </w:p>
    <w:p w14:paraId="20A082F0" w14:textId="2899F41D" w:rsidR="007E49B9" w:rsidRPr="00FC7B03" w:rsidRDefault="000F791F" w:rsidP="007E49B9">
      <w:r w:rsidRPr="00FC7B03">
        <w:rPr>
          <w:b/>
          <w:bCs/>
        </w:rPr>
        <w:t>AC 1.5</w:t>
      </w:r>
      <w:r w:rsidRPr="00FC7B03">
        <w:t xml:space="preserve"> </w:t>
      </w:r>
      <w:r w:rsidR="007E49B9" w:rsidRPr="00FC7B03">
        <w:t>Ethical perspectives help</w:t>
      </w:r>
      <w:r w:rsidR="005149DF" w:rsidRPr="00FC7B03">
        <w:t xml:space="preserve"> to</w:t>
      </w:r>
      <w:r w:rsidR="007E49B9" w:rsidRPr="00FC7B03">
        <w:t xml:space="preserve"> guide how organisations make fair and responsible decisions. At </w:t>
      </w:r>
      <w:proofErr w:type="spellStart"/>
      <w:r w:rsidR="007E49B9" w:rsidRPr="00FC7B03">
        <w:t>Technivara</w:t>
      </w:r>
      <w:proofErr w:type="spellEnd"/>
      <w:r w:rsidR="007E49B9" w:rsidRPr="00FC7B03">
        <w:t xml:space="preserve">, where traditional practices and personal preferences still shape many </w:t>
      </w:r>
      <w:r w:rsidR="00317DDF" w:rsidRPr="00FC7B03">
        <w:t xml:space="preserve">of their </w:t>
      </w:r>
      <w:r w:rsidR="002E275C" w:rsidRPr="00FC7B03">
        <w:t>decisions</w:t>
      </w:r>
      <w:r w:rsidR="007E49B9" w:rsidRPr="00FC7B03">
        <w:t>, using recognised ethical approaches would support more consistent and transparent decision</w:t>
      </w:r>
      <w:r w:rsidR="007E49B9" w:rsidRPr="00FC7B03">
        <w:rPr>
          <w:rFonts w:ascii="Cambria Math" w:hAnsi="Cambria Math" w:cs="Cambria Math"/>
        </w:rPr>
        <w:t>‑</w:t>
      </w:r>
      <w:r w:rsidR="007E49B9" w:rsidRPr="00FC7B03">
        <w:t>making. Two perspectives particularly relevant to people practice are utilitarianism and deontology.</w:t>
      </w:r>
    </w:p>
    <w:p w14:paraId="216F1CF4" w14:textId="77777777" w:rsidR="007E49B9" w:rsidRPr="00FC7B03" w:rsidRDefault="007E49B9" w:rsidP="007E49B9">
      <w:r w:rsidRPr="00FC7B03">
        <w:t>Utilitarianism is an ethical perspective focused on achieving the greatest good for the greatest number. Decisions are judged by their outcomes and how much benefit or harm they create (Armstrong &amp; Taylor, 2023). This approach takes a broad, impact</w:t>
      </w:r>
      <w:r w:rsidRPr="00FC7B03">
        <w:rPr>
          <w:rFonts w:ascii="Cambria Math" w:hAnsi="Cambria Math" w:cs="Cambria Math"/>
        </w:rPr>
        <w:t>‑</w:t>
      </w:r>
      <w:r w:rsidRPr="00FC7B03">
        <w:t>based view of situations rather than focusing on individual rules.</w:t>
      </w:r>
    </w:p>
    <w:p w14:paraId="3EB68E50" w14:textId="763C6165" w:rsidR="007E49B9" w:rsidRPr="00FC7B03" w:rsidRDefault="007E49B9" w:rsidP="007E49B9">
      <w:r w:rsidRPr="00FC7B03">
        <w:t xml:space="preserve">At </w:t>
      </w:r>
      <w:proofErr w:type="spellStart"/>
      <w:r w:rsidRPr="00FC7B03">
        <w:t>Technivara</w:t>
      </w:r>
      <w:proofErr w:type="spellEnd"/>
      <w:r w:rsidRPr="00FC7B03">
        <w:t>, utilitarian reasoning could be used when deciding whether to modernise HR processes. Although moving away from paper</w:t>
      </w:r>
      <w:r w:rsidRPr="00FC7B03">
        <w:rPr>
          <w:rFonts w:ascii="Cambria Math" w:hAnsi="Cambria Math" w:cs="Cambria Math"/>
        </w:rPr>
        <w:t>‑</w:t>
      </w:r>
      <w:r w:rsidRPr="00FC7B03">
        <w:t>based systems might cause temporary disruption employees</w:t>
      </w:r>
      <w:r w:rsidR="000E6DAE" w:rsidRPr="00FC7B03">
        <w:rPr>
          <w:rFonts w:cs="Aptos"/>
        </w:rPr>
        <w:t xml:space="preserve"> </w:t>
      </w:r>
      <w:r w:rsidRPr="00FC7B03">
        <w:t>who prefer traditional methods</w:t>
      </w:r>
      <w:r w:rsidR="000E6DAE" w:rsidRPr="00FC7B03">
        <w:rPr>
          <w:rFonts w:cs="Aptos"/>
        </w:rPr>
        <w:t xml:space="preserve">, </w:t>
      </w:r>
      <w:r w:rsidRPr="00FC7B03">
        <w:t>the overall outcome would likely benefit more people. Digital</w:t>
      </w:r>
      <w:r w:rsidR="00F5413B" w:rsidRPr="00FC7B03">
        <w:t>ised</w:t>
      </w:r>
      <w:r w:rsidRPr="00FC7B03">
        <w:t xml:space="preserve"> systems would improve data accuracy, reduce administrative</w:t>
      </w:r>
      <w:r w:rsidR="00F5413B" w:rsidRPr="00FC7B03">
        <w:t xml:space="preserve"> and cumbersome</w:t>
      </w:r>
      <w:r w:rsidRPr="00FC7B03">
        <w:t xml:space="preserve"> workloads and support better workforce planning. From a utilitarian viewpoint, introducing change is ethically justified because it produces greater </w:t>
      </w:r>
      <w:proofErr w:type="gramStart"/>
      <w:r w:rsidRPr="00FC7B03">
        <w:t>long</w:t>
      </w:r>
      <w:r w:rsidR="0047361A" w:rsidRPr="00FC7B03">
        <w:rPr>
          <w:rFonts w:cs="Cambria Math"/>
        </w:rPr>
        <w:t xml:space="preserve"> </w:t>
      </w:r>
      <w:r w:rsidRPr="00FC7B03">
        <w:t>term</w:t>
      </w:r>
      <w:proofErr w:type="gramEnd"/>
      <w:r w:rsidRPr="00FC7B03">
        <w:t xml:space="preserve"> benefits for the organisation and its employees.</w:t>
      </w:r>
    </w:p>
    <w:p w14:paraId="7C7E6C73" w14:textId="77777777" w:rsidR="007E49B9" w:rsidRPr="00FC7B03" w:rsidRDefault="007E49B9" w:rsidP="007E49B9">
      <w:r w:rsidRPr="00FC7B03">
        <w:t>Utilitarian thinking could also guide decisions around managing workload in a growing business. For example, redistributing tasks or hiring temporary support may be seen as the best choice if it reduces strain across the wider team, even if it creates short</w:t>
      </w:r>
      <w:r w:rsidRPr="00FC7B03">
        <w:rPr>
          <w:rFonts w:ascii="Cambria Math" w:hAnsi="Cambria Math" w:cs="Cambria Math"/>
        </w:rPr>
        <w:t>‑</w:t>
      </w:r>
      <w:r w:rsidRPr="00FC7B03">
        <w:t>term cost or inconvenience.</w:t>
      </w:r>
    </w:p>
    <w:p w14:paraId="0C54F2E6" w14:textId="4FEEB397" w:rsidR="007E49B9" w:rsidRPr="00FC7B03" w:rsidRDefault="00DC4DA1" w:rsidP="007E49B9">
      <w:r w:rsidRPr="00FC7B03">
        <w:t>Another perspective is d</w:t>
      </w:r>
      <w:r w:rsidR="007E49B9" w:rsidRPr="00FC7B03">
        <w:t xml:space="preserve">eontology </w:t>
      </w:r>
      <w:r w:rsidRPr="00FC7B03">
        <w:t xml:space="preserve">which </w:t>
      </w:r>
      <w:r w:rsidR="007E49B9" w:rsidRPr="00FC7B03">
        <w:t>focuses on doing the right thing based on principles, duties and fairness, rather than simply looking at outcomes. It emphasises treating people consistently, following agreed standards and respecting individual rights (CIPD, 2021).</w:t>
      </w:r>
    </w:p>
    <w:p w14:paraId="6FFCD96B" w14:textId="1153CBC2" w:rsidR="007E49B9" w:rsidRPr="00FC7B03" w:rsidRDefault="007E49B9" w:rsidP="007E49B9">
      <w:r w:rsidRPr="00FC7B03">
        <w:lastRenderedPageBreak/>
        <w:t xml:space="preserve">At </w:t>
      </w:r>
      <w:proofErr w:type="spellStart"/>
      <w:r w:rsidRPr="00FC7B03">
        <w:t>Technivara</w:t>
      </w:r>
      <w:proofErr w:type="spellEnd"/>
      <w:r w:rsidRPr="00FC7B03">
        <w:t>, this perspective could influence decisions about performance, attendance or employee concerns. Even if a quick or convenient option might appear easier, deontological ethics would require Sue and the People Practice team to act fairly, follow process and ensure everyone is treated with dignity. For example, if an employee is underperforming, a duty</w:t>
      </w:r>
      <w:r w:rsidRPr="00FC7B03">
        <w:rPr>
          <w:rFonts w:ascii="Cambria Math" w:hAnsi="Cambria Math" w:cs="Cambria Math"/>
        </w:rPr>
        <w:t>‑</w:t>
      </w:r>
      <w:r w:rsidRPr="00FC7B03">
        <w:t>based approach means giving them proper support, clear expectations and an opportunity to improve</w:t>
      </w:r>
      <w:r w:rsidR="00F67516" w:rsidRPr="00FC7B03">
        <w:rPr>
          <w:rFonts w:cs="Aptos"/>
        </w:rPr>
        <w:t xml:space="preserve"> </w:t>
      </w:r>
      <w:r w:rsidRPr="00FC7B03">
        <w:t>not rushing into disciplinary action because it seems faster.</w:t>
      </w:r>
      <w:r w:rsidR="00F67516" w:rsidRPr="00FC7B03">
        <w:t xml:space="preserve"> </w:t>
      </w:r>
      <w:r w:rsidRPr="00FC7B03">
        <w:t xml:space="preserve">Deontology </w:t>
      </w:r>
      <w:r w:rsidR="00F67516" w:rsidRPr="00FC7B03">
        <w:t xml:space="preserve">is </w:t>
      </w:r>
      <w:r w:rsidRPr="00FC7B03">
        <w:t>also support</w:t>
      </w:r>
      <w:r w:rsidR="00F67516" w:rsidRPr="00FC7B03">
        <w:t>ive of</w:t>
      </w:r>
      <w:r w:rsidRPr="00FC7B03">
        <w:t xml:space="preserve"> transparent communication and honesty. When proposing changes to HR systems, the People Practice team would have a duty to explain the reasons, listen to concerns and ensure decisions respect employee rights.</w:t>
      </w:r>
    </w:p>
    <w:p w14:paraId="0F55B849" w14:textId="0EA31997" w:rsidR="00DF3C70" w:rsidRPr="00FC7B03" w:rsidRDefault="00F71E24" w:rsidP="008F323C">
      <w:r w:rsidRPr="00FC7B03">
        <w:t>An e</w:t>
      </w:r>
      <w:r w:rsidR="00DF3C70" w:rsidRPr="00FC7B03">
        <w:t>xample</w:t>
      </w:r>
      <w:r w:rsidRPr="00FC7B03">
        <w:t xml:space="preserve"> where the different approaches would </w:t>
      </w:r>
      <w:r w:rsidR="00CB6E95" w:rsidRPr="00FC7B03">
        <w:t>generate different decisions may be,</w:t>
      </w:r>
      <w:r w:rsidR="00DF3C70" w:rsidRPr="00FC7B03">
        <w:t xml:space="preserve"> monitoring shop</w:t>
      </w:r>
      <w:r w:rsidR="00DF3C70" w:rsidRPr="00FC7B03">
        <w:rPr>
          <w:rFonts w:ascii="Cambria Math" w:hAnsi="Cambria Math" w:cs="Cambria Math"/>
        </w:rPr>
        <w:t>‑</w:t>
      </w:r>
      <w:r w:rsidR="00DF3C70" w:rsidRPr="00FC7B03">
        <w:t>floor productivity via new tracking. A utilitarian lens might approve if net productivity and safety gains outweigh privacy concerns</w:t>
      </w:r>
      <w:r w:rsidR="00CB6E95" w:rsidRPr="00FC7B03">
        <w:t xml:space="preserve"> </w:t>
      </w:r>
      <w:r w:rsidR="00C41692" w:rsidRPr="00FC7B03">
        <w:t>whereas</w:t>
      </w:r>
      <w:r w:rsidR="00DF3C70" w:rsidRPr="00FC7B03">
        <w:t xml:space="preserve"> a deontological lens may reject </w:t>
      </w:r>
      <w:r w:rsidR="00CB6E95" w:rsidRPr="00FC7B03">
        <w:t xml:space="preserve">this </w:t>
      </w:r>
      <w:r w:rsidR="00DF3C70" w:rsidRPr="00FC7B03">
        <w:t xml:space="preserve">without explicit consent, clear necessity and proportionality. How </w:t>
      </w:r>
      <w:proofErr w:type="spellStart"/>
      <w:r w:rsidR="00DF3C70" w:rsidRPr="00FC7B03">
        <w:t>Technivara</w:t>
      </w:r>
      <w:proofErr w:type="spellEnd"/>
      <w:r w:rsidR="00DF3C70" w:rsidRPr="00FC7B03">
        <w:t xml:space="preserve"> </w:t>
      </w:r>
      <w:r w:rsidR="00CB6E95" w:rsidRPr="00FC7B03">
        <w:t xml:space="preserve">would resolve a </w:t>
      </w:r>
      <w:r w:rsidR="00C41692" w:rsidRPr="00FC7B03">
        <w:t xml:space="preserve">problem like this </w:t>
      </w:r>
      <w:r w:rsidR="00DF3C70" w:rsidRPr="00FC7B03">
        <w:t>will signal cultural norms around dignity and fairness</w:t>
      </w:r>
      <w:r w:rsidR="00C41692" w:rsidRPr="00FC7B03">
        <w:t>.</w:t>
      </w:r>
    </w:p>
    <w:p w14:paraId="4C766689" w14:textId="248B4EAB" w:rsidR="008F323C" w:rsidRPr="00FC7B03" w:rsidRDefault="00B355BD" w:rsidP="008F323C">
      <w:r w:rsidRPr="00FC7B03">
        <w:rPr>
          <w:b/>
          <w:bCs/>
        </w:rPr>
        <w:t xml:space="preserve">AC </w:t>
      </w:r>
      <w:r w:rsidR="00093661" w:rsidRPr="00FC7B03">
        <w:rPr>
          <w:b/>
          <w:bCs/>
        </w:rPr>
        <w:t>3.1</w:t>
      </w:r>
      <w:r w:rsidR="00591ECC" w:rsidRPr="00FC7B03">
        <w:t xml:space="preserve"> </w:t>
      </w:r>
      <w:r w:rsidR="008F323C" w:rsidRPr="00FC7B03">
        <w:t>A</w:t>
      </w:r>
      <w:r w:rsidR="008F323C" w:rsidRPr="00FC7B03">
        <w:t xml:space="preserve">s </w:t>
      </w:r>
      <w:proofErr w:type="spellStart"/>
      <w:r w:rsidR="008F323C" w:rsidRPr="00FC7B03">
        <w:t>Technivara</w:t>
      </w:r>
      <w:proofErr w:type="spellEnd"/>
      <w:r w:rsidR="008F323C" w:rsidRPr="00FC7B03">
        <w:t xml:space="preserve"> continues to grow, it’s important that the company measures performance in a clear and consistent way. Good performance measures help leaders understand how well the business is operating, spot issues early and see how people practices contribute to overall success</w:t>
      </w:r>
      <w:r w:rsidR="00C535D4" w:rsidRPr="00FC7B03">
        <w:t xml:space="preserve"> of the business</w:t>
      </w:r>
      <w:r w:rsidR="008F323C" w:rsidRPr="00FC7B03">
        <w:t xml:space="preserve"> (Armstrong &amp; Taylor, 2023). Two approaches that would work well for </w:t>
      </w:r>
      <w:proofErr w:type="spellStart"/>
      <w:r w:rsidR="008F323C" w:rsidRPr="00FC7B03">
        <w:t>Technivara</w:t>
      </w:r>
      <w:proofErr w:type="spellEnd"/>
      <w:r w:rsidR="008F323C" w:rsidRPr="00FC7B03">
        <w:t xml:space="preserve"> are gross profit margin as a financial measure, and the balanced scorecard as a non</w:t>
      </w:r>
      <w:r w:rsidR="008F323C" w:rsidRPr="00FC7B03">
        <w:rPr>
          <w:rFonts w:ascii="Cambria Math" w:hAnsi="Cambria Math" w:cs="Cambria Math"/>
        </w:rPr>
        <w:t>‑</w:t>
      </w:r>
      <w:r w:rsidR="008F323C" w:rsidRPr="00FC7B03">
        <w:t>financial measure.</w:t>
      </w:r>
    </w:p>
    <w:p w14:paraId="75486424" w14:textId="3D47FF54" w:rsidR="008F323C" w:rsidRPr="00FC7B03" w:rsidRDefault="008F323C" w:rsidP="008F323C">
      <w:r w:rsidRPr="00FC7B03">
        <w:t xml:space="preserve">One useful financial measure is gross profit margin, which shows how much profit the company makes after covering the direct costs of producing its components. For a manufacturing business like </w:t>
      </w:r>
      <w:proofErr w:type="spellStart"/>
      <w:r w:rsidRPr="00FC7B03">
        <w:t>Technivara</w:t>
      </w:r>
      <w:proofErr w:type="spellEnd"/>
      <w:r w:rsidRPr="00FC7B03">
        <w:t xml:space="preserve">, this is especially relevant because material prices, labour costs and production efficiency all affect the bottom line. A key benefit of using gross profit margin is that it highlights changes quickly. For instance, if the cost of components rises or production becomes less efficient, the margin will fall, giving </w:t>
      </w:r>
      <w:proofErr w:type="spellStart"/>
      <w:r w:rsidRPr="00FC7B03">
        <w:t>Technivara</w:t>
      </w:r>
      <w:proofErr w:type="spellEnd"/>
      <w:r w:rsidRPr="00FC7B03">
        <w:t xml:space="preserve"> an early warning sign. This helps the company </w:t>
      </w:r>
      <w:r w:rsidR="000C684C" w:rsidRPr="00FC7B03">
        <w:t>investigate</w:t>
      </w:r>
      <w:r w:rsidRPr="00FC7B03">
        <w:t xml:space="preserve"> problems before they </w:t>
      </w:r>
      <w:r w:rsidR="004112AA" w:rsidRPr="00FC7B03">
        <w:t xml:space="preserve">become greater problems </w:t>
      </w:r>
      <w:r w:rsidRPr="00FC7B03">
        <w:t xml:space="preserve">such as reviewing suppliers or improving workflows. </w:t>
      </w:r>
      <w:r w:rsidR="004112AA" w:rsidRPr="00FC7B03">
        <w:t>T</w:t>
      </w:r>
      <w:r w:rsidRPr="00FC7B03">
        <w:t>his measure does have its limits because it only looks at direct costs. It doesn’t include overheads like recruitment spend, HR costs or energy bills, so it doesn’t show the full financial picture (Armstrong &amp; Taylor, 2023).</w:t>
      </w:r>
      <w:r w:rsidR="00BD4DC9" w:rsidRPr="00FC7B03">
        <w:t xml:space="preserve"> However</w:t>
      </w:r>
      <w:r w:rsidRPr="00FC7B03">
        <w:t xml:space="preserve">, it remains a practical and easy way for </w:t>
      </w:r>
      <w:proofErr w:type="spellStart"/>
      <w:r w:rsidRPr="00FC7B03">
        <w:t>Technivara</w:t>
      </w:r>
      <w:proofErr w:type="spellEnd"/>
      <w:r w:rsidRPr="00FC7B03">
        <w:t xml:space="preserve"> to </w:t>
      </w:r>
      <w:r w:rsidR="00BD4DC9" w:rsidRPr="00FC7B03">
        <w:t xml:space="preserve">monitor </w:t>
      </w:r>
      <w:r w:rsidRPr="00FC7B03">
        <w:t>profitability.</w:t>
      </w:r>
    </w:p>
    <w:p w14:paraId="4F691129" w14:textId="7F7A0C8D" w:rsidR="008F323C" w:rsidRPr="00FC7B03" w:rsidRDefault="008F323C" w:rsidP="008F323C">
      <w:r w:rsidRPr="00FC7B03">
        <w:t>Alongside financial measures, the balanced scorecard is a good non</w:t>
      </w:r>
      <w:r w:rsidRPr="00FC7B03">
        <w:rPr>
          <w:rFonts w:ascii="Cambria Math" w:hAnsi="Cambria Math" w:cs="Cambria Math"/>
        </w:rPr>
        <w:t>‑</w:t>
      </w:r>
      <w:r w:rsidRPr="00FC7B03">
        <w:t xml:space="preserve">financial tool because it looks at performance from several angles, not just money. It focuses on customer experience, internal processes, learning and development and financial outcomes (Kaplan &amp; Norton, 1996). For </w:t>
      </w:r>
      <w:proofErr w:type="spellStart"/>
      <w:r w:rsidRPr="00FC7B03">
        <w:t>Technivara</w:t>
      </w:r>
      <w:proofErr w:type="spellEnd"/>
      <w:r w:rsidRPr="00FC7B03">
        <w:t>, this could help highlight issues that don</w:t>
      </w:r>
      <w:r w:rsidRPr="00FC7B03">
        <w:rPr>
          <w:rFonts w:cs="Aptos"/>
        </w:rPr>
        <w:t>’</w:t>
      </w:r>
      <w:r w:rsidRPr="00FC7B03">
        <w:t xml:space="preserve">t show up in the </w:t>
      </w:r>
      <w:r w:rsidR="00F11D20" w:rsidRPr="00FC7B03">
        <w:t xml:space="preserve">financial measures </w:t>
      </w:r>
      <w:r w:rsidRPr="00FC7B03">
        <w:t xml:space="preserve">such as employee turnover, customer </w:t>
      </w:r>
      <w:r w:rsidRPr="00FC7B03">
        <w:lastRenderedPageBreak/>
        <w:t>complaints or delays caused by paper</w:t>
      </w:r>
      <w:r w:rsidRPr="00FC7B03">
        <w:rPr>
          <w:rFonts w:ascii="Cambria Math" w:hAnsi="Cambria Math" w:cs="Cambria Math"/>
        </w:rPr>
        <w:t>‑</w:t>
      </w:r>
      <w:r w:rsidRPr="00FC7B03">
        <w:t>based HR systems. These areas can have a big impact on the company</w:t>
      </w:r>
      <w:r w:rsidRPr="00FC7B03">
        <w:rPr>
          <w:rFonts w:cs="Aptos"/>
        </w:rPr>
        <w:t>’</w:t>
      </w:r>
      <w:r w:rsidRPr="00FC7B03">
        <w:t>s long</w:t>
      </w:r>
      <w:r w:rsidRPr="00FC7B03">
        <w:rPr>
          <w:rFonts w:ascii="Cambria Math" w:hAnsi="Cambria Math" w:cs="Cambria Math"/>
        </w:rPr>
        <w:t>‑</w:t>
      </w:r>
      <w:r w:rsidRPr="00FC7B03">
        <w:t>term performance. The downside of the balanced scorecard is that it relies on accurate data, which may be a challenge while the business still uses manual processes. It also requires time and consistency to keep updated. Even with challenges</w:t>
      </w:r>
      <w:r w:rsidR="00BB6AEA" w:rsidRPr="00FC7B03">
        <w:t xml:space="preserve"> considered</w:t>
      </w:r>
      <w:r w:rsidRPr="00FC7B03">
        <w:t>, it gives a much wider picture of how the business is performing overall (CIPD, 2021).</w:t>
      </w:r>
      <w:r w:rsidR="00BB6AEA" w:rsidRPr="00FC7B03">
        <w:t xml:space="preserve"> </w:t>
      </w:r>
      <w:r w:rsidRPr="00FC7B03">
        <w:t>Using both financial and non</w:t>
      </w:r>
      <w:r w:rsidRPr="00FC7B03">
        <w:rPr>
          <w:rFonts w:ascii="Cambria Math" w:hAnsi="Cambria Math" w:cs="Cambria Math"/>
        </w:rPr>
        <w:t>‑</w:t>
      </w:r>
      <w:r w:rsidRPr="00FC7B03">
        <w:t xml:space="preserve">financial measures together would help </w:t>
      </w:r>
      <w:proofErr w:type="spellStart"/>
      <w:r w:rsidRPr="00FC7B03">
        <w:t>Technivara</w:t>
      </w:r>
      <w:proofErr w:type="spellEnd"/>
      <w:r w:rsidRPr="00FC7B03">
        <w:t xml:space="preserve"> make stronger, more balanced decisions and support continued growth.</w:t>
      </w:r>
    </w:p>
    <w:p w14:paraId="0CC43A93" w14:textId="77777777" w:rsidR="008F323C" w:rsidRPr="00FC7B03" w:rsidRDefault="008F323C" w:rsidP="008F323C"/>
    <w:p w14:paraId="4AA5587B" w14:textId="65CB5B08" w:rsidR="00AD7DB4" w:rsidRPr="00FC7B03" w:rsidRDefault="00AD7DB4" w:rsidP="00AD7DB4">
      <w:r w:rsidRPr="00FC7B03">
        <w:rPr>
          <w:b/>
          <w:bCs/>
        </w:rPr>
        <w:t>AC 3.2</w:t>
      </w:r>
      <w:r w:rsidRPr="00FC7B03">
        <w:t xml:space="preserve"> </w:t>
      </w:r>
      <w:r w:rsidRPr="00FC7B03">
        <w:t xml:space="preserve">People practices can add significant value to </w:t>
      </w:r>
      <w:proofErr w:type="spellStart"/>
      <w:r w:rsidRPr="00FC7B03">
        <w:t>Technivara</w:t>
      </w:r>
      <w:proofErr w:type="spellEnd"/>
      <w:r w:rsidRPr="00FC7B03">
        <w:t xml:space="preserve">, especially as the organisation continues to expand in the electronics sector. Adding value means improving business performance, enhancing employee experience and creating outcomes that outweigh the resources invested (CIPD, 2021). At </w:t>
      </w:r>
      <w:proofErr w:type="spellStart"/>
      <w:r w:rsidRPr="00FC7B03">
        <w:t>Technivara</w:t>
      </w:r>
      <w:proofErr w:type="spellEnd"/>
      <w:r w:rsidRPr="00FC7B03">
        <w:t>, where many HR processes remain paper</w:t>
      </w:r>
      <w:r w:rsidRPr="00FC7B03">
        <w:rPr>
          <w:rFonts w:ascii="Cambria Math" w:hAnsi="Cambria Math" w:cs="Cambria Math"/>
        </w:rPr>
        <w:t>‑</w:t>
      </w:r>
      <w:r w:rsidRPr="00FC7B03">
        <w:t>based, modernising people practices has the potential to improve efficiency, strengthen culture and provide better quality data for decision</w:t>
      </w:r>
      <w:r w:rsidRPr="00FC7B03">
        <w:rPr>
          <w:rFonts w:ascii="Cambria Math" w:hAnsi="Cambria Math" w:cs="Cambria Math"/>
        </w:rPr>
        <w:t>‑</w:t>
      </w:r>
      <w:r w:rsidRPr="00FC7B03">
        <w:t>making. These improvements can be both short</w:t>
      </w:r>
      <w:r w:rsidRPr="00FC7B03">
        <w:rPr>
          <w:rFonts w:ascii="Cambria Math" w:hAnsi="Cambria Math" w:cs="Cambria Math"/>
        </w:rPr>
        <w:t>‑</w:t>
      </w:r>
      <w:r w:rsidRPr="00FC7B03">
        <w:t>term, such as reducing administrative delays, and long</w:t>
      </w:r>
      <w:r w:rsidRPr="00FC7B03">
        <w:rPr>
          <w:rFonts w:ascii="Cambria Math" w:hAnsi="Cambria Math" w:cs="Cambria Math"/>
        </w:rPr>
        <w:t>‑</w:t>
      </w:r>
      <w:r w:rsidRPr="00FC7B03">
        <w:t>term, such as developing stronger workforce capability (Armstrong &amp; Taylor, 2023).</w:t>
      </w:r>
    </w:p>
    <w:p w14:paraId="4440453E" w14:textId="4C800516" w:rsidR="00AD7DB4" w:rsidRPr="00FC7B03" w:rsidRDefault="00AD7DB4" w:rsidP="00AD7DB4">
      <w:r w:rsidRPr="00FC7B03">
        <w:t>One way people practices add value is through improved operational efficiency. Moving key processes</w:t>
      </w:r>
      <w:r w:rsidR="00BB20C4" w:rsidRPr="00FC7B03">
        <w:t xml:space="preserve"> </w:t>
      </w:r>
      <w:r w:rsidRPr="00FC7B03">
        <w:t>such as recruitment, absence management and performance reviews</w:t>
      </w:r>
      <w:r w:rsidR="00BB20C4" w:rsidRPr="00FC7B03">
        <w:t xml:space="preserve"> </w:t>
      </w:r>
      <w:r w:rsidRPr="00FC7B03">
        <w:t xml:space="preserve">from paper to digital systems would reduce errors, speed up administrative work and free managers to focus on more strategic tasks. In a manufacturing and engineering environment like </w:t>
      </w:r>
      <w:proofErr w:type="spellStart"/>
      <w:r w:rsidRPr="00FC7B03">
        <w:t>Technivara</w:t>
      </w:r>
      <w:proofErr w:type="spellEnd"/>
      <w:r w:rsidRPr="00FC7B03">
        <w:t>, efficiency gains directly support production targets and customer delivery. People practice also create</w:t>
      </w:r>
      <w:r w:rsidR="00502E9C" w:rsidRPr="00FC7B03">
        <w:t>s</w:t>
      </w:r>
      <w:r w:rsidRPr="00FC7B03">
        <w:t xml:space="preserve"> value by strengthening </w:t>
      </w:r>
      <w:r w:rsidR="00161503" w:rsidRPr="00FC7B03">
        <w:t>the culture of the organisation</w:t>
      </w:r>
      <w:r w:rsidRPr="00FC7B03">
        <w:t>. Fair and consistent performance management, investment in learning and development and transparent communication help build engagement and trust. Over time, this supports retention and productivity, which are essential in a business that relies heavily on skilled engineers and technical specialists (CIPD, 2021).</w:t>
      </w:r>
    </w:p>
    <w:p w14:paraId="70AD3E34" w14:textId="058E42F2" w:rsidR="00AD7DB4" w:rsidRPr="00FC7B03" w:rsidRDefault="00AD7DB4" w:rsidP="00AD7DB4">
      <w:r w:rsidRPr="00FC7B03">
        <w:t xml:space="preserve">To understand whether these people practices are adding value, </w:t>
      </w:r>
      <w:proofErr w:type="spellStart"/>
      <w:r w:rsidRPr="00FC7B03">
        <w:t>Technivara</w:t>
      </w:r>
      <w:proofErr w:type="spellEnd"/>
      <w:r w:rsidRPr="00FC7B03">
        <w:t xml:space="preserve"> needs reliable methods of measurement. One useful financial method is Cost–Benefit Analysis (CBA), which compares the costs of an initiative with the benefits it generates (Reed, 2021). For example, if </w:t>
      </w:r>
      <w:proofErr w:type="spellStart"/>
      <w:r w:rsidRPr="00FC7B03">
        <w:t>Technivara</w:t>
      </w:r>
      <w:proofErr w:type="spellEnd"/>
      <w:r w:rsidRPr="00FC7B03">
        <w:t xml:space="preserve"> invested in a digital recruitment system, CBA could assess whether the new system reduces agency spend, shortens time</w:t>
      </w:r>
      <w:r w:rsidR="004A46AC" w:rsidRPr="00FC7B03">
        <w:rPr>
          <w:rFonts w:cs="Cambria Math"/>
        </w:rPr>
        <w:t xml:space="preserve"> </w:t>
      </w:r>
      <w:r w:rsidRPr="00FC7B03">
        <w:t>to</w:t>
      </w:r>
      <w:r w:rsidR="004A46AC" w:rsidRPr="00FC7B03">
        <w:rPr>
          <w:rFonts w:cs="Cambria Math"/>
        </w:rPr>
        <w:t xml:space="preserve"> </w:t>
      </w:r>
      <w:r w:rsidRPr="00FC7B03">
        <w:t xml:space="preserve">hire or decreases administrative hours. The advantage of CBA is that it provides a clear financial picture, allowing the Board to see a direct return on investment. However, it may not capture </w:t>
      </w:r>
      <w:r w:rsidR="004A46AC" w:rsidRPr="00FC7B03">
        <w:t xml:space="preserve">the </w:t>
      </w:r>
      <w:proofErr w:type="gramStart"/>
      <w:r w:rsidR="00B541A6" w:rsidRPr="00FC7B03">
        <w:t xml:space="preserve">longer </w:t>
      </w:r>
      <w:r w:rsidR="00B541A6" w:rsidRPr="00FC7B03">
        <w:rPr>
          <w:rFonts w:cs="Cambria Math"/>
        </w:rPr>
        <w:t>term</w:t>
      </w:r>
      <w:proofErr w:type="gramEnd"/>
      <w:r w:rsidRPr="00FC7B03">
        <w:t xml:space="preserve"> benefits such as improved candidate experience or better data quality.</w:t>
      </w:r>
    </w:p>
    <w:p w14:paraId="41383332" w14:textId="77777777" w:rsidR="00AD7DB4" w:rsidRPr="00FC7B03" w:rsidRDefault="00AD7DB4" w:rsidP="00AD7DB4">
      <w:r w:rsidRPr="00FC7B03">
        <w:lastRenderedPageBreak/>
        <w:t>A second method is using staff surveys, which measure non</w:t>
      </w:r>
      <w:r w:rsidRPr="00FC7B03">
        <w:rPr>
          <w:rFonts w:ascii="Cambria Math" w:hAnsi="Cambria Math" w:cs="Cambria Math"/>
        </w:rPr>
        <w:t>‑</w:t>
      </w:r>
      <w:r w:rsidRPr="00FC7B03">
        <w:t xml:space="preserve">financial outcomes such as engagement, wellbeing and perceptions of leadership. Surveys are particularly relevant for </w:t>
      </w:r>
      <w:proofErr w:type="spellStart"/>
      <w:r w:rsidRPr="00FC7B03">
        <w:t>Technivara</w:t>
      </w:r>
      <w:proofErr w:type="spellEnd"/>
      <w:r w:rsidRPr="00FC7B03">
        <w:t xml:space="preserve"> because changes to HR systems and processes may affect how employees feel about their work. While survey responses can be subjective, they provide insights into morale, culture and areas where employees need more support. When combined with HR metrics such as turnover or absence, surveys give a fuller picture of the impact of people practices (CIPD, 2021).</w:t>
      </w:r>
    </w:p>
    <w:p w14:paraId="2410EAFE" w14:textId="36A6FF39" w:rsidR="00AD7DB4" w:rsidRPr="00FC7B03" w:rsidRDefault="00AD7DB4" w:rsidP="00AD7DB4">
      <w:r w:rsidRPr="00FC7B03">
        <w:t>By using both financial measures like CBA and people</w:t>
      </w:r>
      <w:r w:rsidRPr="00FC7B03">
        <w:rPr>
          <w:rFonts w:ascii="Cambria Math" w:hAnsi="Cambria Math" w:cs="Cambria Math"/>
        </w:rPr>
        <w:t>‑</w:t>
      </w:r>
      <w:r w:rsidRPr="00FC7B03">
        <w:t xml:space="preserve">focused tools like surveys, </w:t>
      </w:r>
      <w:proofErr w:type="spellStart"/>
      <w:r w:rsidRPr="00FC7B03">
        <w:t>Technivara</w:t>
      </w:r>
      <w:proofErr w:type="spellEnd"/>
      <w:r w:rsidRPr="00FC7B03">
        <w:t xml:space="preserve"> can build a strong understanding of the value its people practices </w:t>
      </w:r>
      <w:r w:rsidR="00B94582" w:rsidRPr="00FC7B03">
        <w:t xml:space="preserve">bring </w:t>
      </w:r>
      <w:r w:rsidRPr="00FC7B03">
        <w:t>and ensure HR activities support long</w:t>
      </w:r>
      <w:r w:rsidR="00B94582" w:rsidRPr="00FC7B03">
        <w:t xml:space="preserve"> </w:t>
      </w:r>
      <w:r w:rsidRPr="00FC7B03">
        <w:t>term success.</w:t>
      </w:r>
    </w:p>
    <w:p w14:paraId="71AEB0B6" w14:textId="16483839" w:rsidR="00D739F3" w:rsidRPr="00FC7B03" w:rsidRDefault="00B94582" w:rsidP="007C61E7">
      <w:r w:rsidRPr="00FC7B03">
        <w:br w:type="page"/>
      </w:r>
    </w:p>
    <w:p w14:paraId="53423810" w14:textId="77777777" w:rsidR="007C61E7" w:rsidRPr="00FC7B03" w:rsidRDefault="007C61E7" w:rsidP="00DD503B"/>
    <w:p w14:paraId="69E3638E" w14:textId="77777777" w:rsidR="00DD503B" w:rsidRPr="00FC7B03" w:rsidRDefault="00DD503B" w:rsidP="00CE791C"/>
    <w:p w14:paraId="1716FD95" w14:textId="77777777" w:rsidR="00CE791C" w:rsidRPr="00FC7B03" w:rsidRDefault="00CE791C" w:rsidP="00CE791C"/>
    <w:p w14:paraId="09667D55" w14:textId="77777777" w:rsidR="00CE791C" w:rsidRPr="00FC7B03" w:rsidRDefault="00CE791C" w:rsidP="00CE791C"/>
    <w:p w14:paraId="0BC446B0" w14:textId="77777777" w:rsidR="00CE791C" w:rsidRPr="00FC7B03" w:rsidRDefault="00CE791C" w:rsidP="00CE791C"/>
    <w:p w14:paraId="58AEA13A" w14:textId="77777777" w:rsidR="004D2523" w:rsidRPr="00FC7B03" w:rsidRDefault="004D2523" w:rsidP="00CE791C"/>
    <w:p w14:paraId="546F252C" w14:textId="77777777" w:rsidR="004D2523" w:rsidRPr="00FC7B03" w:rsidRDefault="004D2523">
      <w:r w:rsidRPr="00FC7B03">
        <w:br w:type="page"/>
      </w:r>
    </w:p>
    <w:p w14:paraId="56A6F7A9" w14:textId="77777777" w:rsidR="00F33D61" w:rsidRPr="00FC7B03" w:rsidRDefault="00F33D61">
      <w:r w:rsidRPr="00FC7B03">
        <w:lastRenderedPageBreak/>
        <w:br w:type="page"/>
      </w:r>
    </w:p>
    <w:p w14:paraId="20DDA8BC" w14:textId="03DE5F90" w:rsidR="00AD7DB4" w:rsidRPr="00FC7B03" w:rsidRDefault="00F33D61" w:rsidP="00AD7DB4">
      <w:pPr>
        <w:rPr>
          <w:b/>
          <w:bCs/>
        </w:rPr>
      </w:pPr>
      <w:r w:rsidRPr="00FC7B03">
        <w:rPr>
          <w:b/>
          <w:bCs/>
        </w:rPr>
        <w:lastRenderedPageBreak/>
        <w:t>Part Two</w:t>
      </w:r>
    </w:p>
    <w:p w14:paraId="493A7A22" w14:textId="18E80C87" w:rsidR="00F761D9" w:rsidRPr="00FC7B03" w:rsidRDefault="003606DA" w:rsidP="00AD7DB4">
      <w:pPr>
        <w:rPr>
          <w:b/>
          <w:bCs/>
        </w:rPr>
      </w:pPr>
      <w:r w:rsidRPr="00FC7B03">
        <w:rPr>
          <w:b/>
          <w:bCs/>
        </w:rPr>
        <w:t>AC 2.1</w:t>
      </w:r>
    </w:p>
    <w:p w14:paraId="15E0F29B" w14:textId="77777777" w:rsidR="00F761D9" w:rsidRPr="00FC7B03" w:rsidRDefault="00F761D9" w:rsidP="00F761D9">
      <w:pPr>
        <w:jc w:val="center"/>
      </w:pPr>
      <w:r w:rsidRPr="00FC7B03">
        <w:rPr>
          <w:noProof/>
        </w:rPr>
        <w:drawing>
          <wp:inline distT="0" distB="0" distL="0" distR="0" wp14:anchorId="52BFEF3F" wp14:editId="284A1543">
            <wp:extent cx="4864350" cy="3314870"/>
            <wp:effectExtent l="19050" t="19050" r="12700" b="19050"/>
            <wp:docPr id="139891729"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91729" name="Picture 1" descr="A table with numbers and text&#10;&#10;AI-generated content may be incorrect."/>
                    <pic:cNvPicPr/>
                  </pic:nvPicPr>
                  <pic:blipFill>
                    <a:blip r:embed="rId6"/>
                    <a:stretch>
                      <a:fillRect/>
                    </a:stretch>
                  </pic:blipFill>
                  <pic:spPr>
                    <a:xfrm>
                      <a:off x="0" y="0"/>
                      <a:ext cx="4864350" cy="3314870"/>
                    </a:xfrm>
                    <a:prstGeom prst="rect">
                      <a:avLst/>
                    </a:prstGeom>
                    <a:ln w="9525">
                      <a:solidFill>
                        <a:schemeClr val="tx1"/>
                      </a:solidFill>
                    </a:ln>
                  </pic:spPr>
                </pic:pic>
              </a:graphicData>
            </a:graphic>
          </wp:inline>
        </w:drawing>
      </w:r>
    </w:p>
    <w:p w14:paraId="71C7CE91" w14:textId="62991BE3" w:rsidR="00F761D9" w:rsidRPr="00FC7B03" w:rsidRDefault="00CE4D5D" w:rsidP="00CE4D5D">
      <w:pPr>
        <w:rPr>
          <w:b/>
          <w:bCs/>
        </w:rPr>
      </w:pPr>
      <w:r w:rsidRPr="00FC7B03">
        <w:rPr>
          <w:b/>
          <w:bCs/>
        </w:rPr>
        <w:t>AC 2.2</w:t>
      </w:r>
    </w:p>
    <w:p w14:paraId="194C7B9A" w14:textId="77777777" w:rsidR="00F761D9" w:rsidRPr="00FC7B03" w:rsidRDefault="00F761D9" w:rsidP="00F761D9">
      <w:pPr>
        <w:jc w:val="center"/>
      </w:pPr>
      <w:r w:rsidRPr="00FC7B03">
        <w:rPr>
          <w:noProof/>
        </w:rPr>
        <w:drawing>
          <wp:inline distT="0" distB="0" distL="0" distR="0" wp14:anchorId="3D1E68DB" wp14:editId="52A97844">
            <wp:extent cx="6283148" cy="3314700"/>
            <wp:effectExtent l="0" t="0" r="3810" b="0"/>
            <wp:docPr id="1760761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91640" cy="3319180"/>
                    </a:xfrm>
                    <a:prstGeom prst="rect">
                      <a:avLst/>
                    </a:prstGeom>
                    <a:noFill/>
                  </pic:spPr>
                </pic:pic>
              </a:graphicData>
            </a:graphic>
          </wp:inline>
        </w:drawing>
      </w:r>
    </w:p>
    <w:p w14:paraId="262E7E37" w14:textId="77777777" w:rsidR="00F761D9" w:rsidRPr="00FC7B03" w:rsidRDefault="00F761D9" w:rsidP="00F761D9">
      <w:pPr>
        <w:jc w:val="center"/>
      </w:pPr>
    </w:p>
    <w:p w14:paraId="60ACD174" w14:textId="77777777" w:rsidR="00F761D9" w:rsidRPr="00FC7B03" w:rsidRDefault="00F761D9" w:rsidP="00F761D9">
      <w:pPr>
        <w:jc w:val="center"/>
      </w:pPr>
      <w:r w:rsidRPr="00FC7B03">
        <w:rPr>
          <w:noProof/>
        </w:rPr>
        <w:lastRenderedPageBreak/>
        <w:drawing>
          <wp:inline distT="0" distB="0" distL="0" distR="0" wp14:anchorId="4A77B952" wp14:editId="6E0D58DA">
            <wp:extent cx="6215363" cy="3573780"/>
            <wp:effectExtent l="0" t="0" r="0" b="7620"/>
            <wp:docPr id="641836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30342" cy="3582393"/>
                    </a:xfrm>
                    <a:prstGeom prst="rect">
                      <a:avLst/>
                    </a:prstGeom>
                    <a:noFill/>
                  </pic:spPr>
                </pic:pic>
              </a:graphicData>
            </a:graphic>
          </wp:inline>
        </w:drawing>
      </w:r>
    </w:p>
    <w:p w14:paraId="60EC484C" w14:textId="77777777" w:rsidR="00F761D9" w:rsidRPr="00FC7B03" w:rsidRDefault="00F761D9" w:rsidP="00F761D9">
      <w:pPr>
        <w:jc w:val="center"/>
      </w:pPr>
    </w:p>
    <w:p w14:paraId="639E80CC" w14:textId="77777777" w:rsidR="00F761D9" w:rsidRPr="00FC7B03" w:rsidRDefault="00F761D9" w:rsidP="00F761D9">
      <w:pPr>
        <w:jc w:val="center"/>
      </w:pPr>
      <w:r w:rsidRPr="00FC7B03">
        <w:rPr>
          <w:noProof/>
        </w:rPr>
        <w:drawing>
          <wp:inline distT="0" distB="0" distL="0" distR="0" wp14:anchorId="111689C6" wp14:editId="287C7116">
            <wp:extent cx="6326354" cy="3628339"/>
            <wp:effectExtent l="0" t="0" r="0" b="0"/>
            <wp:docPr id="19378917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364718" cy="3650342"/>
                    </a:xfrm>
                    <a:prstGeom prst="rect">
                      <a:avLst/>
                    </a:prstGeom>
                    <a:noFill/>
                  </pic:spPr>
                </pic:pic>
              </a:graphicData>
            </a:graphic>
          </wp:inline>
        </w:drawing>
      </w:r>
    </w:p>
    <w:p w14:paraId="3673DC8E" w14:textId="77777777" w:rsidR="00F761D9" w:rsidRPr="00FC7B03" w:rsidRDefault="00F761D9" w:rsidP="00AD7DB4">
      <w:pPr>
        <w:rPr>
          <w:b/>
          <w:bCs/>
        </w:rPr>
      </w:pPr>
    </w:p>
    <w:p w14:paraId="3D17BB95" w14:textId="77777777" w:rsidR="00FA3347" w:rsidRPr="00FC7B03" w:rsidRDefault="00FA3347" w:rsidP="00E3423C">
      <w:pPr>
        <w:rPr>
          <w:b/>
          <w:bCs/>
        </w:rPr>
      </w:pPr>
    </w:p>
    <w:p w14:paraId="2E0B0DCA" w14:textId="77777777" w:rsidR="00FA3347" w:rsidRPr="00FC7B03" w:rsidRDefault="00FA3347" w:rsidP="00E3423C">
      <w:pPr>
        <w:rPr>
          <w:b/>
          <w:bCs/>
        </w:rPr>
      </w:pPr>
    </w:p>
    <w:p w14:paraId="776027BA" w14:textId="528406F0" w:rsidR="00E3423C" w:rsidRPr="00FC7B03" w:rsidRDefault="00E3423C" w:rsidP="00E3423C">
      <w:r w:rsidRPr="00FC7B03">
        <w:rPr>
          <w:b/>
          <w:bCs/>
        </w:rPr>
        <w:lastRenderedPageBreak/>
        <w:t>2.3</w:t>
      </w:r>
      <w:r w:rsidRPr="00FC7B03">
        <w:t xml:space="preserve"> The evaluation feedback provided by 42 employees on their recent learning and development activity presents a clear picture of both strengths and areas of concern across the design, delivery and overall learning experience. Using a </w:t>
      </w:r>
      <w:proofErr w:type="gramStart"/>
      <w:r w:rsidRPr="00FC7B03">
        <w:t>five</w:t>
      </w:r>
      <w:r w:rsidRPr="00FC7B03">
        <w:rPr>
          <w:rFonts w:cs="Cambria Math"/>
        </w:rPr>
        <w:t xml:space="preserve"> </w:t>
      </w:r>
      <w:r w:rsidRPr="00FC7B03">
        <w:t>point</w:t>
      </w:r>
      <w:proofErr w:type="gramEnd"/>
      <w:r w:rsidRPr="00FC7B03">
        <w:t xml:space="preserve"> scale (1= ‘fully agree’, 5 = ‘strongly disagree’), respondents noted strong facilitator capability, well defined objectives and </w:t>
      </w:r>
      <w:proofErr w:type="gramStart"/>
      <w:r w:rsidRPr="00FC7B03">
        <w:t>high quality</w:t>
      </w:r>
      <w:proofErr w:type="gramEnd"/>
      <w:r w:rsidRPr="00FC7B03">
        <w:t xml:space="preserve"> learning materials. Alignment between facilitator competence, well</w:t>
      </w:r>
      <w:r w:rsidRPr="00FC7B03">
        <w:rPr>
          <w:rFonts w:cs="Cambria Math"/>
        </w:rPr>
        <w:t xml:space="preserve"> </w:t>
      </w:r>
      <w:r w:rsidRPr="00FC7B03">
        <w:t>defined objectives and strong learning resources acts as a strong foundation for an effective learning intervention. CIPD</w:t>
      </w:r>
      <w:r w:rsidRPr="00FC7B03">
        <w:rPr>
          <w:rFonts w:cs="Aptos"/>
        </w:rPr>
        <w:t>’</w:t>
      </w:r>
      <w:r w:rsidRPr="00FC7B03">
        <w:t xml:space="preserve">s practical guide similarly stresses the need for </w:t>
      </w:r>
      <w:proofErr w:type="spellStart"/>
      <w:r w:rsidRPr="00FC7B03">
        <w:t>well designed</w:t>
      </w:r>
      <w:proofErr w:type="spellEnd"/>
      <w:r w:rsidRPr="00FC7B03">
        <w:t xml:space="preserve"> interventions aligned with organisational, team and individual performance needs, with clear objectives and robust learning resources (CIPD,2025). </w:t>
      </w:r>
    </w:p>
    <w:p w14:paraId="3EE1103E" w14:textId="77777777" w:rsidR="00E3423C" w:rsidRPr="00FC7B03" w:rsidRDefault="00E3423C" w:rsidP="00E3423C">
      <w:r w:rsidRPr="00FC7B03">
        <w:t>Design and engagement emerged as inconsistent. A meaningful proportion of respondents indicated that the flow, sequencing or pacing of content was below par, implying that while objectives were clear, the learning journey did not fully support progression towards those objectives. CIPD’s factsheet on methods of delivering learning emphasises selecting appropriate learning methods requires considering learner needs, the complexity of the environment, and the factors that support effective skill development and performance (CIPD, 2025).</w:t>
      </w:r>
    </w:p>
    <w:p w14:paraId="5B38F629" w14:textId="77777777" w:rsidR="00E3423C" w:rsidRPr="00FC7B03" w:rsidRDefault="00E3423C" w:rsidP="00E3423C">
      <w:r w:rsidRPr="00FC7B03">
        <w:t>Personalisation and relevance were weaker points. Only a minority felt their preferences had been considered, and many were unsure whether the content linked to KPIs or role priorities. When relevance is unclear, motivation and later application tend to suffer. CIPD’s Learning Needs Analysis factsheet emphasises that clear, systematic and ongoing diagnosis linked to performance gaps and continual alignment to organisational performance needs is essential to ensure learning translates into the capabilities the organisation values (CIPD, 2025).</w:t>
      </w:r>
    </w:p>
    <w:p w14:paraId="3348625B" w14:textId="77777777" w:rsidR="00E3423C" w:rsidRPr="00FC7B03" w:rsidRDefault="00E3423C" w:rsidP="00E3423C">
      <w:r w:rsidRPr="00FC7B03">
        <w:t>Engagement and outcomes were closely connected. Reports of limited interaction and meaningful Q&amp;A indicate a lecture</w:t>
      </w:r>
      <w:r w:rsidRPr="00FC7B03">
        <w:rPr>
          <w:rFonts w:ascii="Cambria Math" w:hAnsi="Cambria Math" w:cs="Cambria Math"/>
        </w:rPr>
        <w:t>‑</w:t>
      </w:r>
      <w:r w:rsidRPr="00FC7B03">
        <w:t>heavy approach, and this was mirrored in outcome data, several participants did not feel outcomes were achieved despite earlier agreement that objectives were clear. This points to insufficient reinforcement through practice, formative checks and reflection</w:t>
      </w:r>
      <w:r w:rsidRPr="00FC7B03">
        <w:rPr>
          <w:rFonts w:cs="Aptos"/>
        </w:rPr>
        <w:t xml:space="preserve">, </w:t>
      </w:r>
      <w:r w:rsidRPr="00FC7B03">
        <w:t>principles reinforced in CIPD</w:t>
      </w:r>
      <w:r w:rsidRPr="00FC7B03">
        <w:rPr>
          <w:rFonts w:cs="Aptos"/>
        </w:rPr>
        <w:t>’</w:t>
      </w:r>
      <w:r w:rsidRPr="00FC7B03">
        <w:t>s evaluation and impact guidance. (CIPD,2025)</w:t>
      </w:r>
    </w:p>
    <w:p w14:paraId="7AF20044" w14:textId="77777777" w:rsidR="00E3423C" w:rsidRPr="00FC7B03" w:rsidRDefault="00E3423C" w:rsidP="00E3423C">
      <w:r w:rsidRPr="00FC7B03">
        <w:t>The concerns extend into learning transfer. Many participants were neutral or disagreed that they could apply learning in role often a sign that bridges from classroom to workflow (for example, action plans, manager support and post</w:t>
      </w:r>
      <w:r w:rsidRPr="00FC7B03">
        <w:noBreakHyphen/>
        <w:t>event reinforcement) were missing. CIPD’s podcast on learning transfer underscores that application should be planned, supported and measured throughout the L&amp;D process; wider L&amp;D evidence likewise identifies the line manager as a key lever via pre</w:t>
      </w:r>
      <w:r w:rsidRPr="00FC7B03">
        <w:rPr>
          <w:rFonts w:ascii="Cambria Math" w:hAnsi="Cambria Math" w:cs="Cambria Math"/>
        </w:rPr>
        <w:t>‑</w:t>
      </w:r>
      <w:r w:rsidRPr="00FC7B03">
        <w:t xml:space="preserve"> and post</w:t>
      </w:r>
      <w:r w:rsidRPr="00FC7B03">
        <w:rPr>
          <w:rFonts w:ascii="Cambria Math" w:hAnsi="Cambria Math" w:cs="Cambria Math"/>
        </w:rPr>
        <w:t>‑</w:t>
      </w:r>
      <w:r w:rsidRPr="00FC7B03">
        <w:t>learning conversations, modelling and feedback (CIPD, 2025e; Connolly, 2022).</w:t>
      </w:r>
    </w:p>
    <w:p w14:paraId="31012E49" w14:textId="77777777" w:rsidR="00E3423C" w:rsidRPr="00FC7B03" w:rsidRDefault="00E3423C" w:rsidP="00E3423C">
      <w:r w:rsidRPr="00FC7B03">
        <w:t xml:space="preserve">To summarise, the evaluation suggests four root causes: </w:t>
      </w:r>
    </w:p>
    <w:p w14:paraId="15596A7C" w14:textId="77777777" w:rsidR="00E3423C" w:rsidRPr="00FC7B03" w:rsidRDefault="00E3423C" w:rsidP="00E3423C">
      <w:r w:rsidRPr="00FC7B03">
        <w:lastRenderedPageBreak/>
        <w:t>1. Insufficient pre</w:t>
      </w:r>
      <w:r w:rsidRPr="00FC7B03">
        <w:rPr>
          <w:rFonts w:ascii="Cambria Math" w:hAnsi="Cambria Math" w:cs="Cambria Math"/>
        </w:rPr>
        <w:t>‑</w:t>
      </w:r>
      <w:r w:rsidRPr="00FC7B03">
        <w:t>session learner insight and segmentation, limiting the ability to tailor learning to varied roles, experiences levels or needs.</w:t>
      </w:r>
    </w:p>
    <w:p w14:paraId="2256C0DC" w14:textId="77777777" w:rsidR="00E3423C" w:rsidRPr="00FC7B03" w:rsidRDefault="00E3423C" w:rsidP="00E3423C">
      <w:r w:rsidRPr="00FC7B03">
        <w:t>2. A delivery model too weighted to presentation rather than interaction, reducing opportunities for participation, practice and clarification.</w:t>
      </w:r>
    </w:p>
    <w:p w14:paraId="75317908" w14:textId="77777777" w:rsidR="00E3423C" w:rsidRPr="00FC7B03" w:rsidRDefault="00E3423C" w:rsidP="00E3423C">
      <w:r w:rsidRPr="00FC7B03">
        <w:t>3. Limited formative assessment to evidence progress against objectives, weakening reinforcement and making it harder for learners to gauge understanding as the session unfolds.</w:t>
      </w:r>
    </w:p>
    <w:p w14:paraId="05FD2231" w14:textId="77777777" w:rsidR="00E3423C" w:rsidRPr="00FC7B03" w:rsidRDefault="00E3423C" w:rsidP="00E3423C">
      <w:r w:rsidRPr="00FC7B03">
        <w:t>4. Minimal post</w:t>
      </w:r>
      <w:r w:rsidRPr="00FC7B03">
        <w:rPr>
          <w:rFonts w:ascii="Cambria Math" w:hAnsi="Cambria Math" w:cs="Cambria Math"/>
        </w:rPr>
        <w:t>‑</w:t>
      </w:r>
      <w:r w:rsidRPr="00FC7B03">
        <w:t xml:space="preserve">event support (manager enablement, nudges, or clinics) to embed learning into work. </w:t>
      </w:r>
    </w:p>
    <w:p w14:paraId="5B15760F" w14:textId="77777777" w:rsidR="00E3423C" w:rsidRPr="00FC7B03" w:rsidRDefault="00E3423C" w:rsidP="00E3423C">
      <w:r w:rsidRPr="00FC7B03">
        <w:t>The following recommendations are evidence</w:t>
      </w:r>
      <w:r w:rsidRPr="00FC7B03">
        <w:rPr>
          <w:rFonts w:ascii="Cambria Math" w:hAnsi="Cambria Math" w:cs="Cambria Math"/>
        </w:rPr>
        <w:t>‑</w:t>
      </w:r>
      <w:r w:rsidRPr="00FC7B03">
        <w:t>based and proportionate to address these gaps, with explicit benefits, risks and financial implications.</w:t>
      </w:r>
    </w:p>
    <w:p w14:paraId="615F097E" w14:textId="77777777" w:rsidR="00E3423C" w:rsidRPr="00FC7B03" w:rsidRDefault="00E3423C" w:rsidP="00E3423C">
      <w:r w:rsidRPr="00FC7B03">
        <w:rPr>
          <w:b/>
          <w:bCs/>
        </w:rPr>
        <w:t>Recommendation 1</w:t>
      </w:r>
      <w:r w:rsidRPr="00FC7B03">
        <w:t>: Introduce a pre</w:t>
      </w:r>
      <w:r w:rsidRPr="00FC7B03">
        <w:rPr>
          <w:rFonts w:ascii="Cambria Math" w:hAnsi="Cambria Math" w:cs="Cambria Math"/>
        </w:rPr>
        <w:t>‑</w:t>
      </w:r>
      <w:r w:rsidRPr="00FC7B03">
        <w:t>course diagnostic and learner segmentation process.</w:t>
      </w:r>
    </w:p>
    <w:p w14:paraId="15FC2422" w14:textId="77777777" w:rsidR="00E3423C" w:rsidRPr="00FC7B03" w:rsidRDefault="00E3423C" w:rsidP="00E3423C">
      <w:r w:rsidRPr="00FC7B03">
        <w:t>A short diagnostic (8–12 items) capturing role, tenure, current challenges, prior knowledge and preferences will enable tailoring of examples, scenarios and practice tasks by segment. A one</w:t>
      </w:r>
      <w:r w:rsidRPr="00FC7B03">
        <w:rPr>
          <w:rFonts w:ascii="Cambria Math" w:hAnsi="Cambria Math" w:cs="Cambria Math"/>
        </w:rPr>
        <w:t>‑</w:t>
      </w:r>
      <w:r w:rsidRPr="00FC7B03">
        <w:t>page manager brief ahead of the course should set expectations and nominate a specific task for post</w:t>
      </w:r>
      <w:r w:rsidRPr="00FC7B03">
        <w:rPr>
          <w:rFonts w:ascii="Cambria Math" w:hAnsi="Cambria Math" w:cs="Cambria Math"/>
        </w:rPr>
        <w:t>‑</w:t>
      </w:r>
      <w:r w:rsidRPr="00FC7B03">
        <w:t>course application. This approach reflects CIPD guidance on Learning Needs Analysis which emphasises clear, systematic and ongoing diagnosis linked to performance gaps and alignment to organisational needs. (CIPD,2025)</w:t>
      </w:r>
    </w:p>
    <w:p w14:paraId="0502DB69" w14:textId="77777777" w:rsidR="00E3423C" w:rsidRPr="00FC7B03" w:rsidRDefault="00E3423C" w:rsidP="00E3423C">
      <w:r w:rsidRPr="00FC7B03">
        <w:t>Benefits: Higher perceived relevance, stronger motivation, clearer line</w:t>
      </w:r>
      <w:r w:rsidRPr="00FC7B03">
        <w:noBreakHyphen/>
        <w:t>of</w:t>
      </w:r>
      <w:r w:rsidRPr="00FC7B03">
        <w:noBreakHyphen/>
        <w:t>sight to performance needs, and improved attainment, consistent with CIPD’s view that identifying capability needs and aligning learning to performance gaps improves learning impact.</w:t>
      </w:r>
    </w:p>
    <w:p w14:paraId="59A80151" w14:textId="77777777" w:rsidR="00E3423C" w:rsidRPr="00FC7B03" w:rsidRDefault="00E3423C" w:rsidP="00E3423C">
      <w:r w:rsidRPr="00FC7B03">
        <w:t xml:space="preserve">Risks: Low diagnostic completion or weak data quality. This can be mitigated by keeping the diagnostic short and practical, which aligns with CIPD’s advice that LNA should be systematic but proportionate and aligned to organisational realities. </w:t>
      </w:r>
    </w:p>
    <w:p w14:paraId="1D4766C8" w14:textId="77777777" w:rsidR="00E3423C" w:rsidRPr="00FC7B03" w:rsidRDefault="00E3423C" w:rsidP="00E3423C">
      <w:r w:rsidRPr="00FC7B03">
        <w:t>Financial implications: Direct: 0.5–1.0 design/analysis day; Indirect: 7–10 minutes per learner; 10–15 minutes per manager for pre</w:t>
      </w:r>
      <w:r w:rsidRPr="00FC7B03">
        <w:rPr>
          <w:rFonts w:ascii="Cambria Math" w:hAnsi="Cambria Math" w:cs="Cambria Math"/>
        </w:rPr>
        <w:t>‑</w:t>
      </w:r>
      <w:r w:rsidRPr="00FC7B03">
        <w:t>brief. The costs are low and feasible with existing tools (Forms/LMS) and are justified if improved alignment increases transfer and KPI movement, as required by CIPD</w:t>
      </w:r>
      <w:r w:rsidRPr="00FC7B03">
        <w:rPr>
          <w:rFonts w:cs="Aptos"/>
        </w:rPr>
        <w:t>’</w:t>
      </w:r>
      <w:r w:rsidRPr="00FC7B03">
        <w:t xml:space="preserve">s evaluation stance. </w:t>
      </w:r>
    </w:p>
    <w:p w14:paraId="573EBEC7" w14:textId="77777777" w:rsidR="00E3423C" w:rsidRPr="00FC7B03" w:rsidRDefault="00E3423C" w:rsidP="00E3423C">
      <w:r w:rsidRPr="00FC7B03">
        <w:rPr>
          <w:b/>
          <w:bCs/>
        </w:rPr>
        <w:t>Recommendation 2:</w:t>
      </w:r>
      <w:r w:rsidRPr="00FC7B03">
        <w:t xml:space="preserve"> Redesign delivery to increase interaction, practice and reinforcement.</w:t>
      </w:r>
    </w:p>
    <w:p w14:paraId="1D29B402" w14:textId="77777777" w:rsidR="00E3423C" w:rsidRPr="00FC7B03" w:rsidRDefault="00E3423C" w:rsidP="00E3423C">
      <w:r w:rsidRPr="00FC7B03">
        <w:t>Replace 30–40% of lecture with scenario</w:t>
      </w:r>
      <w:r w:rsidRPr="00FC7B03">
        <w:rPr>
          <w:rFonts w:ascii="Cambria Math" w:hAnsi="Cambria Math" w:cs="Cambria Math"/>
        </w:rPr>
        <w:t>‑</w:t>
      </w:r>
      <w:r w:rsidRPr="00FC7B03">
        <w:t>based activities, peer problem</w:t>
      </w:r>
      <w:r w:rsidRPr="00FC7B03">
        <w:rPr>
          <w:rFonts w:ascii="Cambria Math" w:hAnsi="Cambria Math" w:cs="Cambria Math"/>
        </w:rPr>
        <w:t>‑</w:t>
      </w:r>
      <w:r w:rsidRPr="00FC7B03">
        <w:t>solving, and time</w:t>
      </w:r>
      <w:r w:rsidRPr="00FC7B03">
        <w:rPr>
          <w:rFonts w:ascii="Cambria Math" w:hAnsi="Cambria Math" w:cs="Cambria Math"/>
        </w:rPr>
        <w:t>‑</w:t>
      </w:r>
      <w:r w:rsidRPr="00FC7B03">
        <w:t>boxed group work; embed Q&amp;A every 20</w:t>
      </w:r>
      <w:r w:rsidRPr="00FC7B03">
        <w:rPr>
          <w:rFonts w:cs="Aptos"/>
        </w:rPr>
        <w:t>–</w:t>
      </w:r>
      <w:r w:rsidRPr="00FC7B03">
        <w:t>30 minutes; add 3</w:t>
      </w:r>
      <w:r w:rsidRPr="00FC7B03">
        <w:rPr>
          <w:rFonts w:cs="Aptos"/>
        </w:rPr>
        <w:t>–</w:t>
      </w:r>
      <w:r w:rsidRPr="00FC7B03">
        <w:t>5 micro</w:t>
      </w:r>
      <w:r w:rsidRPr="00FC7B03">
        <w:rPr>
          <w:rFonts w:ascii="Cambria Math" w:hAnsi="Cambria Math" w:cs="Cambria Math"/>
        </w:rPr>
        <w:t>‑</w:t>
      </w:r>
      <w:r w:rsidRPr="00FC7B03">
        <w:t xml:space="preserve">assessments </w:t>
      </w:r>
      <w:r w:rsidRPr="00FC7B03">
        <w:lastRenderedPageBreak/>
        <w:t xml:space="preserve">aligned to objectives. This aligns to CIPD guidance on selecting methods that build capability and to evaluation practices that check progress against outcomes. </w:t>
      </w:r>
    </w:p>
    <w:p w14:paraId="63EB70CA" w14:textId="77777777" w:rsidR="00E3423C" w:rsidRPr="00FC7B03" w:rsidRDefault="00E3423C" w:rsidP="00E3423C">
      <w:r w:rsidRPr="00FC7B03">
        <w:t xml:space="preserve">Benefits: Engagement and retention improve; learners receive feedback against objectives; perceived attainment and readiness to apply rise. </w:t>
      </w:r>
    </w:p>
    <w:p w14:paraId="5A52DAD6" w14:textId="77777777" w:rsidR="00E3423C" w:rsidRPr="00FC7B03" w:rsidRDefault="00E3423C" w:rsidP="00E3423C">
      <w:r w:rsidRPr="00FC7B03">
        <w:t>Risks: Overruns or uneven facilitation; mitigate with a facilitator run</w:t>
      </w:r>
      <w:r w:rsidRPr="00FC7B03">
        <w:rPr>
          <w:rFonts w:ascii="Cambria Math" w:hAnsi="Cambria Math" w:cs="Cambria Math"/>
        </w:rPr>
        <w:t>‑</w:t>
      </w:r>
      <w:r w:rsidRPr="00FC7B03">
        <w:t xml:space="preserve">sheet and rehearsal. (CIPD stresses thoughtful method selection and delivery discipline.) </w:t>
      </w:r>
    </w:p>
    <w:p w14:paraId="37A21B56" w14:textId="77777777" w:rsidR="00E3423C" w:rsidRPr="00FC7B03" w:rsidRDefault="00E3423C" w:rsidP="00E3423C">
      <w:r w:rsidRPr="00FC7B03">
        <w:t xml:space="preserve">Financial implications: Direct: 1–2 redesign days to build scenarios, guides and checks; Indirect: marginally reduced content breadth due to activity time. If external resource is used, UK trainer contract day rates median £338/day can serve as a benchmark for feasibility and budgeting.  ROI should be evidenced through reduced rework/support queries or improved quality/throughput after the intervention, as recommended in CIPD’s evaluation/impact guidance. </w:t>
      </w:r>
    </w:p>
    <w:p w14:paraId="60FF72AE" w14:textId="77777777" w:rsidR="00E3423C" w:rsidRPr="00FC7B03" w:rsidRDefault="00E3423C" w:rsidP="00E3423C">
      <w:r w:rsidRPr="00FC7B03">
        <w:t>To conclude the feedback demonstrates solid foundations in facilitation, objectives and materials, but underlines material gaps in structure, personalisation, engagement and transfer. Implementing a light</w:t>
      </w:r>
      <w:r w:rsidRPr="00FC7B03">
        <w:rPr>
          <w:rFonts w:ascii="Cambria Math" w:hAnsi="Cambria Math" w:cs="Cambria Math"/>
        </w:rPr>
        <w:t>‑</w:t>
      </w:r>
      <w:r w:rsidRPr="00FC7B03">
        <w:t>touch diagnostic/segmentation step and an active</w:t>
      </w:r>
      <w:r w:rsidRPr="00FC7B03">
        <w:rPr>
          <w:rFonts w:ascii="Cambria Math" w:hAnsi="Cambria Math" w:cs="Cambria Math"/>
        </w:rPr>
        <w:t>‑</w:t>
      </w:r>
      <w:r w:rsidRPr="00FC7B03">
        <w:t>learning redesign</w:t>
      </w:r>
      <w:r w:rsidRPr="00FC7B03">
        <w:rPr>
          <w:rFonts w:cs="Aptos"/>
        </w:rPr>
        <w:t xml:space="preserve">, </w:t>
      </w:r>
      <w:r w:rsidRPr="00FC7B03">
        <w:t>supported by manager engagement and formative assessment</w:t>
      </w:r>
      <w:r w:rsidRPr="00FC7B03">
        <w:rPr>
          <w:rFonts w:cs="Aptos"/>
        </w:rPr>
        <w:t xml:space="preserve"> will </w:t>
      </w:r>
      <w:r w:rsidRPr="00FC7B03">
        <w:t>address these gaps in a cost</w:t>
      </w:r>
      <w:r w:rsidRPr="00FC7B03">
        <w:rPr>
          <w:rFonts w:ascii="Cambria Math" w:hAnsi="Cambria Math" w:cs="Cambria Math"/>
        </w:rPr>
        <w:t>‑</w:t>
      </w:r>
      <w:r w:rsidRPr="00FC7B03">
        <w:t>effective way. These changes are consistent with CIPD</w:t>
      </w:r>
      <w:r w:rsidRPr="00FC7B03">
        <w:rPr>
          <w:rFonts w:cs="Aptos"/>
        </w:rPr>
        <w:t>’</w:t>
      </w:r>
      <w:r w:rsidRPr="00FC7B03">
        <w:t>s evidence</w:t>
      </w:r>
      <w:r w:rsidRPr="00FC7B03">
        <w:rPr>
          <w:rFonts w:ascii="Cambria Math" w:hAnsi="Cambria Math" w:cs="Cambria Math"/>
        </w:rPr>
        <w:t>‑</w:t>
      </w:r>
      <w:r w:rsidRPr="00FC7B03">
        <w:t xml:space="preserve">based guidance on LNA, method selection, and evaluation for impact, and should lead to better engagement, clearer attainment of objectives, and stronger workplace application for future cohorts. </w:t>
      </w:r>
    </w:p>
    <w:p w14:paraId="7B629323" w14:textId="77777777" w:rsidR="00C96234" w:rsidRPr="00FC7B03" w:rsidRDefault="00C96234" w:rsidP="00C96234">
      <w:r w:rsidRPr="00FC7B03">
        <w:t> </w:t>
      </w:r>
    </w:p>
    <w:p w14:paraId="5FAEC605" w14:textId="77777777" w:rsidR="00F761D9" w:rsidRPr="00FC7B03" w:rsidRDefault="00F761D9" w:rsidP="00C96234">
      <w:r w:rsidRPr="00FC7B03">
        <w:br/>
      </w:r>
    </w:p>
    <w:p w14:paraId="55D52DF8" w14:textId="77777777" w:rsidR="00F761D9" w:rsidRPr="00FC7B03" w:rsidRDefault="00F761D9">
      <w:r w:rsidRPr="00FC7B03">
        <w:br w:type="page"/>
      </w:r>
    </w:p>
    <w:p w14:paraId="4577CB31" w14:textId="0B7BE47D" w:rsidR="00F761D9" w:rsidRPr="00FC7B03" w:rsidRDefault="00F761D9" w:rsidP="00C96234">
      <w:pPr>
        <w:rPr>
          <w:b/>
          <w:bCs/>
        </w:rPr>
      </w:pPr>
      <w:r w:rsidRPr="00FC7B03">
        <w:rPr>
          <w:b/>
          <w:bCs/>
        </w:rPr>
        <w:lastRenderedPageBreak/>
        <w:t>Bibliography</w:t>
      </w:r>
    </w:p>
    <w:p w14:paraId="0FB3A94B" w14:textId="6E517163" w:rsidR="00C96234" w:rsidRPr="00FC7B03" w:rsidRDefault="00C96234" w:rsidP="00C96234">
      <w:r w:rsidRPr="00FC7B03">
        <w:t>Adair, J (2007) Leadership and Problem Solving. London: Routledge</w:t>
      </w:r>
    </w:p>
    <w:p w14:paraId="7A725438" w14:textId="488E818E" w:rsidR="00C96234" w:rsidRPr="00FC7B03" w:rsidRDefault="00C96234" w:rsidP="00C96234">
      <w:r w:rsidRPr="00FC7B03">
        <w:t xml:space="preserve">Adair, J (2010) Decision Making and </w:t>
      </w:r>
      <w:proofErr w:type="gramStart"/>
      <w:r w:rsidRPr="00FC7B03">
        <w:t>Problem Solving</w:t>
      </w:r>
      <w:proofErr w:type="gramEnd"/>
      <w:r w:rsidRPr="00FC7B03">
        <w:t xml:space="preserve"> Strategies. London: Kogan Page</w:t>
      </w:r>
    </w:p>
    <w:p w14:paraId="0F15EE78" w14:textId="731522EE" w:rsidR="00C96234" w:rsidRPr="00FC7B03" w:rsidRDefault="00C96234" w:rsidP="00C96234">
      <w:r w:rsidRPr="00FC7B03">
        <w:t>Armstrong, M. and Taylor, S (2023) Armstrong’s Handbook of Human Resource Management Practice. 16th ed. London: Kogan Page</w:t>
      </w:r>
    </w:p>
    <w:p w14:paraId="576A2A77" w14:textId="14052500" w:rsidR="00C96234" w:rsidRPr="00FC7B03" w:rsidRDefault="00C96234" w:rsidP="00C96234">
      <w:r w:rsidRPr="00FC7B03">
        <w:t xml:space="preserve">Barends, E., Rousseau, D.M. and Briner, R.B. (2014) Evidence Based Practice: The Basic Principles. </w:t>
      </w:r>
      <w:r w:rsidRPr="00FC7B03">
        <w:t>Centre</w:t>
      </w:r>
      <w:r w:rsidRPr="00FC7B03">
        <w:t xml:space="preserve"> for Evidence Based Management (</w:t>
      </w:r>
      <w:proofErr w:type="spellStart"/>
      <w:r w:rsidRPr="00FC7B03">
        <w:t>CEBMa</w:t>
      </w:r>
      <w:proofErr w:type="spellEnd"/>
      <w:r w:rsidRPr="00FC7B03">
        <w:t xml:space="preserve">). Available at: https://cebma.org/assets/Uploads/Evidence-Based-Practice-The-Basic-Principles.pdf (Accessed: </w:t>
      </w:r>
      <w:r w:rsidR="00520704" w:rsidRPr="00FC7B03">
        <w:t>1</w:t>
      </w:r>
      <w:r w:rsidRPr="00FC7B03">
        <w:t xml:space="preserve"> February 2026).</w:t>
      </w:r>
    </w:p>
    <w:p w14:paraId="1EEBEBE7" w14:textId="162D4C76" w:rsidR="00C96234" w:rsidRPr="00FC7B03" w:rsidRDefault="00C96234" w:rsidP="00C96234">
      <w:r w:rsidRPr="00FC7B03">
        <w:t>Brookfield, S</w:t>
      </w:r>
      <w:r w:rsidR="00520704" w:rsidRPr="00FC7B03">
        <w:t xml:space="preserve"> </w:t>
      </w:r>
      <w:r w:rsidRPr="00FC7B03">
        <w:t>(2017) Becoming a Critical Thinker 2nd ed. San Francisco: Jossey Bass.</w:t>
      </w:r>
    </w:p>
    <w:p w14:paraId="5BC5BA22" w14:textId="62DB0F46" w:rsidR="00C96234" w:rsidRPr="00FC7B03" w:rsidRDefault="00C96234" w:rsidP="00C96234">
      <w:r w:rsidRPr="00FC7B03">
        <w:t>Chartered Management Institute (CMI) (2019) Making Decisions and Solving Problems. London: CMI</w:t>
      </w:r>
    </w:p>
    <w:p w14:paraId="4B82938D" w14:textId="775EB341" w:rsidR="00C96234" w:rsidRPr="00FC7B03" w:rsidRDefault="00C96234" w:rsidP="00C96234">
      <w:r w:rsidRPr="00FC7B03">
        <w:t xml:space="preserve">CMI (2020) Management and Leadership: Decision Making Frameworks. Available at: https://www.managers.org.uk (Accessed: </w:t>
      </w:r>
      <w:r w:rsidR="00520704" w:rsidRPr="00FC7B03">
        <w:t>3</w:t>
      </w:r>
      <w:r w:rsidRPr="00FC7B03">
        <w:t xml:space="preserve"> February 2026).</w:t>
      </w:r>
    </w:p>
    <w:p w14:paraId="6B6362F5" w14:textId="77777777" w:rsidR="00C96234" w:rsidRPr="00FC7B03" w:rsidRDefault="00C96234" w:rsidP="00C96234">
      <w:r w:rsidRPr="00FC7B03">
        <w:t>CIPD (2021) Ethical Practice and the Role of People Professionals. London: Chartered Institute of Personnel and Development.</w:t>
      </w:r>
    </w:p>
    <w:p w14:paraId="5ED84FEE" w14:textId="77777777" w:rsidR="00C96234" w:rsidRPr="00FC7B03" w:rsidRDefault="00C96234" w:rsidP="00C96234">
      <w:r w:rsidRPr="00FC7B03">
        <w:t>CIPD (2021) Introduction to People Practice. London: Chartered Institute of Personnel and Development.</w:t>
      </w:r>
    </w:p>
    <w:p w14:paraId="2B7F5247" w14:textId="4674FFAB" w:rsidR="00C96234" w:rsidRPr="00FC7B03" w:rsidRDefault="00C96234" w:rsidP="00C96234">
      <w:r w:rsidRPr="00FC7B03">
        <w:t xml:space="preserve">CIPD (2025a) Evidence based Practice for Effective Decision Making (Factsheet). Available at: https://www.cipd.org/en/knowledge/factsheets/evidence-based-practice-factsheet/ (Accessed: </w:t>
      </w:r>
      <w:r w:rsidR="00514B63" w:rsidRPr="00FC7B03">
        <w:t>4</w:t>
      </w:r>
      <w:r w:rsidRPr="00FC7B03">
        <w:t xml:space="preserve"> February 2026).</w:t>
      </w:r>
    </w:p>
    <w:p w14:paraId="4E842816" w14:textId="1E9799B1" w:rsidR="00C96234" w:rsidRPr="00FC7B03" w:rsidRDefault="00C96234" w:rsidP="00C96234">
      <w:r w:rsidRPr="00FC7B03">
        <w:t xml:space="preserve">CIPD (2025b) Evidence based HR: Make Better Decisions and Step Up Your Influence (Guide). Available at: https://www.cipd.org/uk/knowledge/guides/evidence-based-profession/ (Accessed: </w:t>
      </w:r>
      <w:r w:rsidR="00514B63" w:rsidRPr="00FC7B03">
        <w:t>4</w:t>
      </w:r>
      <w:r w:rsidRPr="00FC7B03">
        <w:t xml:space="preserve"> February 2026).</w:t>
      </w:r>
    </w:p>
    <w:p w14:paraId="3F02B9F8" w14:textId="77777777" w:rsidR="00C96234" w:rsidRPr="00FC7B03" w:rsidRDefault="00C96234" w:rsidP="00C96234">
      <w:r w:rsidRPr="00FC7B03">
        <w:t>CIPD (2025c) PESTLE Analysis (Factsheet). Available at: https://www.cipd.org/en/knowledge/factsheets/pestle-analysis-factsheet/ (Accessed: 7 February 2026).</w:t>
      </w:r>
    </w:p>
    <w:p w14:paraId="66A54119" w14:textId="77777777" w:rsidR="00C96234" w:rsidRPr="00FC7B03" w:rsidRDefault="00C96234" w:rsidP="00C96234">
      <w:r w:rsidRPr="00FC7B03">
        <w:t>CIPD (2025d) Learning and Development: How to Develop and Deliver Effective Learning (Guide). Available at: https://www.cipd.org/uk/knowledge/guides/learning-and-development/ (Accessed: 7 February 2026).</w:t>
      </w:r>
    </w:p>
    <w:p w14:paraId="6CBF4C66" w14:textId="77777777" w:rsidR="00C96234" w:rsidRPr="00FC7B03" w:rsidRDefault="00C96234" w:rsidP="00C96234">
      <w:r w:rsidRPr="00FC7B03">
        <w:t>CIPD (2025e) Methods of Delivering Learning Interventions (Factsheet). Available at: https://www.cipd.org/uk/knowledge/factsheets/learning-methods-factsheet/ (Accessed: 7 February 2026).</w:t>
      </w:r>
    </w:p>
    <w:p w14:paraId="01E2C99D" w14:textId="77777777" w:rsidR="00C96234" w:rsidRPr="00FC7B03" w:rsidRDefault="00C96234" w:rsidP="00C96234">
      <w:r w:rsidRPr="00FC7B03">
        <w:lastRenderedPageBreak/>
        <w:t>CIPD (2025f) Learning Evaluation, Impact and Transfer (Factsheet). Available at: https://www.cipd.org/en/knowledge/factsheets/evaluating-learning-factsheet/ (Accessed: 5 February 2026).</w:t>
      </w:r>
    </w:p>
    <w:p w14:paraId="745D3684" w14:textId="11DF6E30" w:rsidR="00C96234" w:rsidRPr="00FC7B03" w:rsidRDefault="00C96234" w:rsidP="00C96234">
      <w:r w:rsidRPr="00FC7B03">
        <w:t xml:space="preserve">CIPD (2022) Evidence based L&amp;D: Measuring Learning Transfer (Podcast). London: CIPD. Available at: https://www.cipd.org/uk/knowledge/podcasts/transfer-of-learning/ (Accessed: </w:t>
      </w:r>
      <w:r w:rsidR="00E472D7" w:rsidRPr="00FC7B03">
        <w:t>1</w:t>
      </w:r>
      <w:r w:rsidRPr="00FC7B03">
        <w:t xml:space="preserve"> February 2026)</w:t>
      </w:r>
    </w:p>
    <w:p w14:paraId="370165C9" w14:textId="77777777" w:rsidR="00C96234" w:rsidRPr="00FC7B03" w:rsidRDefault="00C96234" w:rsidP="00C96234">
      <w:r w:rsidRPr="00FC7B03">
        <w:t>Connolly, F. (2022) ‘The key role of the manager in unlocking learning transfer’, Training Industry, 2 March. Available at: https://trainingindustry.com/articles/workforce-development/the-key-role-of-the-manager-in-unlocking-learning-transfer/ (Accessed: 5 February 2026).</w:t>
      </w:r>
    </w:p>
    <w:p w14:paraId="4BAA95ED" w14:textId="76017C5D" w:rsidR="00C96234" w:rsidRPr="00FC7B03" w:rsidRDefault="00C96234" w:rsidP="00C96234">
      <w:r w:rsidRPr="00FC7B03">
        <w:t xml:space="preserve">Cottrell, S (2017) Critical Thinking Skills Effective Analysis, Argument and Reflection. 3rd </w:t>
      </w:r>
      <w:proofErr w:type="spellStart"/>
      <w:r w:rsidRPr="00FC7B03">
        <w:t>edn</w:t>
      </w:r>
      <w:proofErr w:type="spellEnd"/>
      <w:r w:rsidRPr="00FC7B03">
        <w:t>. London: Palgrave Macmillan.</w:t>
      </w:r>
    </w:p>
    <w:p w14:paraId="6A4690FE" w14:textId="01AE36FC" w:rsidR="00C96234" w:rsidRPr="00FC7B03" w:rsidRDefault="00C96234" w:rsidP="00C96234">
      <w:proofErr w:type="spellStart"/>
      <w:r w:rsidRPr="00FC7B03">
        <w:t>Facione</w:t>
      </w:r>
      <w:proofErr w:type="spellEnd"/>
      <w:r w:rsidRPr="00FC7B03">
        <w:t>, P (2015) Critical Thinking What It Is and Why It Counts. Millbrae, CA: The California Academic Press</w:t>
      </w:r>
    </w:p>
    <w:p w14:paraId="30354FB1" w14:textId="77777777" w:rsidR="00C96234" w:rsidRPr="00FC7B03" w:rsidRDefault="00C96234" w:rsidP="00C96234">
      <w:r w:rsidRPr="00FC7B03">
        <w:t>IT Jobs Watch (2026) Trainer contractor day rates (UK). Available at: https://www.itjobswatch.co.uk/contracts/uk/trainer.do (Accessed: 5 February 2026).</w:t>
      </w:r>
    </w:p>
    <w:p w14:paraId="083F16F7" w14:textId="77777777" w:rsidR="00C96234" w:rsidRPr="00FC7B03" w:rsidRDefault="00C96234" w:rsidP="00C96234">
      <w:r w:rsidRPr="00FC7B03">
        <w:t>Kaplan, R. and Norton, D. (1996) The Balanced Scorecard: Translating Strategy into Action. Boston: Harvard Business School Press.</w:t>
      </w:r>
    </w:p>
    <w:p w14:paraId="7760B727" w14:textId="77777777" w:rsidR="00C96234" w:rsidRPr="00FC7B03" w:rsidRDefault="00C96234" w:rsidP="00C96234">
      <w:r w:rsidRPr="00FC7B03">
        <w:t>Moon, J. (2013) Reflection and Employability: Reflection on Learning and Working. York: Higher Education Academy.</w:t>
      </w:r>
    </w:p>
    <w:p w14:paraId="545F4090" w14:textId="2CF4D8A4" w:rsidR="00C96234" w:rsidRPr="00FC7B03" w:rsidRDefault="00C96234" w:rsidP="00C96234">
      <w:r w:rsidRPr="00FC7B03">
        <w:t>Reed, J</w:t>
      </w:r>
      <w:r w:rsidR="00E472D7" w:rsidRPr="00FC7B03">
        <w:t xml:space="preserve"> </w:t>
      </w:r>
      <w:r w:rsidRPr="00FC7B03">
        <w:t>(2021) Evidence Based Practice for HR Professionals. London: CIPD</w:t>
      </w:r>
      <w:r w:rsidR="00E472D7" w:rsidRPr="00FC7B03">
        <w:t xml:space="preserve"> </w:t>
      </w:r>
      <w:r w:rsidRPr="00FC7B03">
        <w:t>Kogan Page.</w:t>
      </w:r>
    </w:p>
    <w:p w14:paraId="653CB5A4" w14:textId="77777777" w:rsidR="00C96234" w:rsidRPr="00FC7B03" w:rsidRDefault="00C96234" w:rsidP="00C96234">
      <w:r w:rsidRPr="00FC7B03">
        <w:t xml:space="preserve">Rousseau, D.M. (2018) ‘Evidence based management: A review of the literature’, Annual Review of Organizational Psychology and Organizational </w:t>
      </w:r>
      <w:proofErr w:type="spellStart"/>
      <w:r w:rsidRPr="00FC7B03">
        <w:t>Behavior</w:t>
      </w:r>
      <w:proofErr w:type="spellEnd"/>
      <w:r w:rsidRPr="00FC7B03">
        <w:t>, 5(1), pp. 1–22.</w:t>
      </w:r>
    </w:p>
    <w:p w14:paraId="3394FD85" w14:textId="41B34ED9" w:rsidR="00FA3347" w:rsidRPr="00FC7B03" w:rsidRDefault="00C96234" w:rsidP="00C96234">
      <w:r w:rsidRPr="00FC7B03">
        <w:t>Waite, K., Beevers, K., Small, N., Tomlinson, K. and Hussain, S. (2021) People Practice: A Complete Guide. London: CIPD</w:t>
      </w:r>
      <w:r w:rsidR="00E472D7" w:rsidRPr="00FC7B03">
        <w:t xml:space="preserve"> </w:t>
      </w:r>
      <w:r w:rsidRPr="00FC7B03">
        <w:t>Kogan Page.</w:t>
      </w:r>
    </w:p>
    <w:p w14:paraId="16E4AD1B" w14:textId="77777777" w:rsidR="00FA3347" w:rsidRPr="00FC7B03" w:rsidRDefault="00FA3347">
      <w:r w:rsidRPr="00FC7B03">
        <w:br w:type="page"/>
      </w:r>
    </w:p>
    <w:p w14:paraId="5DD1A937" w14:textId="77777777" w:rsidR="00FA3347" w:rsidRPr="00FC7B03" w:rsidRDefault="00FA3347" w:rsidP="00FA3347">
      <w:pPr>
        <w:rPr>
          <w:b/>
          <w:bCs/>
        </w:rPr>
      </w:pPr>
      <w:r w:rsidRPr="00FC7B03">
        <w:rPr>
          <w:b/>
          <w:bCs/>
        </w:rPr>
        <w:lastRenderedPageBreak/>
        <w:t>Appendix</w:t>
      </w:r>
    </w:p>
    <w:p w14:paraId="4F559CF7" w14:textId="77777777" w:rsidR="00FA3347" w:rsidRPr="00CA1362" w:rsidRDefault="00FA3347" w:rsidP="00FA3347">
      <w:r w:rsidRPr="00FC7B03">
        <w:t>Appendix 1</w:t>
      </w:r>
    </w:p>
    <w:p w14:paraId="22737E7B" w14:textId="77777777" w:rsidR="00FA3347" w:rsidRPr="000D387A" w:rsidRDefault="00FA3347" w:rsidP="00FA3347">
      <w:pPr>
        <w:rPr>
          <w:color w:val="4EA72E" w:themeColor="accent6"/>
        </w:rPr>
      </w:pPr>
      <w:r w:rsidRPr="00FC7B03">
        <w:drawing>
          <wp:inline distT="0" distB="0" distL="0" distR="0" wp14:anchorId="6C5522B0" wp14:editId="19209D72">
            <wp:extent cx="4308475" cy="3503930"/>
            <wp:effectExtent l="0" t="0" r="0" b="1270"/>
            <wp:docPr id="102278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08475" cy="3503930"/>
                    </a:xfrm>
                    <a:prstGeom prst="rect">
                      <a:avLst/>
                    </a:prstGeom>
                    <a:noFill/>
                    <a:ln>
                      <a:noFill/>
                    </a:ln>
                  </pic:spPr>
                </pic:pic>
              </a:graphicData>
            </a:graphic>
          </wp:inline>
        </w:drawing>
      </w:r>
    </w:p>
    <w:p w14:paraId="43C80ADA" w14:textId="77777777" w:rsidR="00FA3347" w:rsidRPr="00FC7B03" w:rsidRDefault="00FA3347" w:rsidP="00FA3347">
      <w:r w:rsidRPr="00FC7B03">
        <w:br/>
      </w:r>
    </w:p>
    <w:p w14:paraId="46623C62" w14:textId="77777777" w:rsidR="00E3423C" w:rsidRPr="00FC7B03" w:rsidRDefault="00E3423C" w:rsidP="00C96234">
      <w:pPr>
        <w:rPr>
          <w:b/>
          <w:bCs/>
        </w:rPr>
      </w:pPr>
    </w:p>
    <w:sectPr w:rsidR="00E3423C" w:rsidRPr="00FC7B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436298"/>
    <w:multiLevelType w:val="multilevel"/>
    <w:tmpl w:val="2DC0A3A4"/>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3385B43"/>
    <w:multiLevelType w:val="multilevel"/>
    <w:tmpl w:val="DED67A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003357850">
    <w:abstractNumId w:val="0"/>
  </w:num>
  <w:num w:numId="2" w16cid:durableId="15475241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1B6"/>
    <w:rsid w:val="000038FF"/>
    <w:rsid w:val="000558CC"/>
    <w:rsid w:val="00066806"/>
    <w:rsid w:val="00066868"/>
    <w:rsid w:val="00093661"/>
    <w:rsid w:val="00095EF5"/>
    <w:rsid w:val="000C684C"/>
    <w:rsid w:val="000D387A"/>
    <w:rsid w:val="000D5D13"/>
    <w:rsid w:val="000D74FE"/>
    <w:rsid w:val="000E2589"/>
    <w:rsid w:val="000E6DAE"/>
    <w:rsid w:val="000F1567"/>
    <w:rsid w:val="000F791F"/>
    <w:rsid w:val="00112DCA"/>
    <w:rsid w:val="00147906"/>
    <w:rsid w:val="00161503"/>
    <w:rsid w:val="001910DC"/>
    <w:rsid w:val="001A746A"/>
    <w:rsid w:val="001B4AFC"/>
    <w:rsid w:val="00246B76"/>
    <w:rsid w:val="002502AE"/>
    <w:rsid w:val="002521D1"/>
    <w:rsid w:val="002622F3"/>
    <w:rsid w:val="00282895"/>
    <w:rsid w:val="002C19B8"/>
    <w:rsid w:val="002C4330"/>
    <w:rsid w:val="002E26BD"/>
    <w:rsid w:val="002E275C"/>
    <w:rsid w:val="002E7D18"/>
    <w:rsid w:val="0030328C"/>
    <w:rsid w:val="00304AF8"/>
    <w:rsid w:val="0031774D"/>
    <w:rsid w:val="00317DDF"/>
    <w:rsid w:val="0033621C"/>
    <w:rsid w:val="00350F5A"/>
    <w:rsid w:val="0035582B"/>
    <w:rsid w:val="003606DA"/>
    <w:rsid w:val="00396C02"/>
    <w:rsid w:val="003A723E"/>
    <w:rsid w:val="003C0A35"/>
    <w:rsid w:val="003F7B63"/>
    <w:rsid w:val="004112AA"/>
    <w:rsid w:val="0045210D"/>
    <w:rsid w:val="00464B61"/>
    <w:rsid w:val="00466F00"/>
    <w:rsid w:val="00470C1D"/>
    <w:rsid w:val="0047361A"/>
    <w:rsid w:val="004A46AC"/>
    <w:rsid w:val="004D2523"/>
    <w:rsid w:val="004F5674"/>
    <w:rsid w:val="00502E9C"/>
    <w:rsid w:val="00504292"/>
    <w:rsid w:val="005149DF"/>
    <w:rsid w:val="00514B63"/>
    <w:rsid w:val="005173A9"/>
    <w:rsid w:val="00520704"/>
    <w:rsid w:val="00554014"/>
    <w:rsid w:val="00561F48"/>
    <w:rsid w:val="005666AF"/>
    <w:rsid w:val="00591352"/>
    <w:rsid w:val="00591ECC"/>
    <w:rsid w:val="0059393A"/>
    <w:rsid w:val="005B3C12"/>
    <w:rsid w:val="005D4C3E"/>
    <w:rsid w:val="006104D5"/>
    <w:rsid w:val="0069132D"/>
    <w:rsid w:val="006D73A5"/>
    <w:rsid w:val="006D79AA"/>
    <w:rsid w:val="006E2B5D"/>
    <w:rsid w:val="0070066D"/>
    <w:rsid w:val="00710C2B"/>
    <w:rsid w:val="00716948"/>
    <w:rsid w:val="0073221D"/>
    <w:rsid w:val="00776E0D"/>
    <w:rsid w:val="0079622C"/>
    <w:rsid w:val="007B513C"/>
    <w:rsid w:val="007C61E7"/>
    <w:rsid w:val="007D363A"/>
    <w:rsid w:val="007E49B9"/>
    <w:rsid w:val="00805336"/>
    <w:rsid w:val="00863BD8"/>
    <w:rsid w:val="00872465"/>
    <w:rsid w:val="00872C96"/>
    <w:rsid w:val="008E34D7"/>
    <w:rsid w:val="008E57EF"/>
    <w:rsid w:val="008F323C"/>
    <w:rsid w:val="00923E19"/>
    <w:rsid w:val="00931A5F"/>
    <w:rsid w:val="00944765"/>
    <w:rsid w:val="009706A8"/>
    <w:rsid w:val="009A2A5B"/>
    <w:rsid w:val="00A77FCB"/>
    <w:rsid w:val="00AB0123"/>
    <w:rsid w:val="00AC3F38"/>
    <w:rsid w:val="00AD556E"/>
    <w:rsid w:val="00AD6935"/>
    <w:rsid w:val="00AD7DB4"/>
    <w:rsid w:val="00AF326E"/>
    <w:rsid w:val="00B006FE"/>
    <w:rsid w:val="00B212CB"/>
    <w:rsid w:val="00B355BD"/>
    <w:rsid w:val="00B4344C"/>
    <w:rsid w:val="00B541A6"/>
    <w:rsid w:val="00B57614"/>
    <w:rsid w:val="00B80F79"/>
    <w:rsid w:val="00B94582"/>
    <w:rsid w:val="00B963B3"/>
    <w:rsid w:val="00BA5D7D"/>
    <w:rsid w:val="00BB20C4"/>
    <w:rsid w:val="00BB6AEA"/>
    <w:rsid w:val="00BD4DC9"/>
    <w:rsid w:val="00C11A38"/>
    <w:rsid w:val="00C1767B"/>
    <w:rsid w:val="00C41692"/>
    <w:rsid w:val="00C418BA"/>
    <w:rsid w:val="00C535D4"/>
    <w:rsid w:val="00C57FEA"/>
    <w:rsid w:val="00C86EE9"/>
    <w:rsid w:val="00C96234"/>
    <w:rsid w:val="00CA1362"/>
    <w:rsid w:val="00CA4AC7"/>
    <w:rsid w:val="00CA5DDF"/>
    <w:rsid w:val="00CB6E95"/>
    <w:rsid w:val="00CB7671"/>
    <w:rsid w:val="00CC7165"/>
    <w:rsid w:val="00CD3382"/>
    <w:rsid w:val="00CD4EBE"/>
    <w:rsid w:val="00CE4D5D"/>
    <w:rsid w:val="00CE791C"/>
    <w:rsid w:val="00CE7B59"/>
    <w:rsid w:val="00CF5EE1"/>
    <w:rsid w:val="00D20195"/>
    <w:rsid w:val="00D331DD"/>
    <w:rsid w:val="00D65990"/>
    <w:rsid w:val="00D739F3"/>
    <w:rsid w:val="00D83047"/>
    <w:rsid w:val="00D94F66"/>
    <w:rsid w:val="00DA126E"/>
    <w:rsid w:val="00DC4DA1"/>
    <w:rsid w:val="00DD41B6"/>
    <w:rsid w:val="00DD503B"/>
    <w:rsid w:val="00DF3C70"/>
    <w:rsid w:val="00E1111E"/>
    <w:rsid w:val="00E230F1"/>
    <w:rsid w:val="00E33B28"/>
    <w:rsid w:val="00E3423C"/>
    <w:rsid w:val="00E472D7"/>
    <w:rsid w:val="00E5686E"/>
    <w:rsid w:val="00EE1EFB"/>
    <w:rsid w:val="00EE797B"/>
    <w:rsid w:val="00EF4DAF"/>
    <w:rsid w:val="00F021B9"/>
    <w:rsid w:val="00F07FB4"/>
    <w:rsid w:val="00F11D20"/>
    <w:rsid w:val="00F33D61"/>
    <w:rsid w:val="00F5413B"/>
    <w:rsid w:val="00F556BD"/>
    <w:rsid w:val="00F67516"/>
    <w:rsid w:val="00F7140E"/>
    <w:rsid w:val="00F71E24"/>
    <w:rsid w:val="00F761D9"/>
    <w:rsid w:val="00FA3347"/>
    <w:rsid w:val="00FC7B03"/>
    <w:rsid w:val="00FE649B"/>
    <w:rsid w:val="00FE72F3"/>
    <w:rsid w:val="00FF547C"/>
    <w:rsid w:val="00FF7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F5D82"/>
  <w15:chartTrackingRefBased/>
  <w15:docId w15:val="{5AE23A54-4ACF-4780-A980-80A24A89E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41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41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41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41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41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41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41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41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41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1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41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41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41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41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41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41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41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41B6"/>
    <w:rPr>
      <w:rFonts w:eastAsiaTheme="majorEastAsia" w:cstheme="majorBidi"/>
      <w:color w:val="272727" w:themeColor="text1" w:themeTint="D8"/>
    </w:rPr>
  </w:style>
  <w:style w:type="paragraph" w:styleId="Title">
    <w:name w:val="Title"/>
    <w:basedOn w:val="Normal"/>
    <w:next w:val="Normal"/>
    <w:link w:val="TitleChar"/>
    <w:uiPriority w:val="10"/>
    <w:qFormat/>
    <w:rsid w:val="00DD41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1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1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41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41B6"/>
    <w:pPr>
      <w:spacing w:before="160"/>
      <w:jc w:val="center"/>
    </w:pPr>
    <w:rPr>
      <w:i/>
      <w:iCs/>
      <w:color w:val="404040" w:themeColor="text1" w:themeTint="BF"/>
    </w:rPr>
  </w:style>
  <w:style w:type="character" w:customStyle="1" w:styleId="QuoteChar">
    <w:name w:val="Quote Char"/>
    <w:basedOn w:val="DefaultParagraphFont"/>
    <w:link w:val="Quote"/>
    <w:uiPriority w:val="29"/>
    <w:rsid w:val="00DD41B6"/>
    <w:rPr>
      <w:i/>
      <w:iCs/>
      <w:color w:val="404040" w:themeColor="text1" w:themeTint="BF"/>
    </w:rPr>
  </w:style>
  <w:style w:type="paragraph" w:styleId="ListParagraph">
    <w:name w:val="List Paragraph"/>
    <w:basedOn w:val="Normal"/>
    <w:uiPriority w:val="34"/>
    <w:qFormat/>
    <w:rsid w:val="00DD41B6"/>
    <w:pPr>
      <w:ind w:left="720"/>
      <w:contextualSpacing/>
    </w:pPr>
  </w:style>
  <w:style w:type="character" w:styleId="IntenseEmphasis">
    <w:name w:val="Intense Emphasis"/>
    <w:basedOn w:val="DefaultParagraphFont"/>
    <w:uiPriority w:val="21"/>
    <w:qFormat/>
    <w:rsid w:val="00DD41B6"/>
    <w:rPr>
      <w:i/>
      <w:iCs/>
      <w:color w:val="0F4761" w:themeColor="accent1" w:themeShade="BF"/>
    </w:rPr>
  </w:style>
  <w:style w:type="paragraph" w:styleId="IntenseQuote">
    <w:name w:val="Intense Quote"/>
    <w:basedOn w:val="Normal"/>
    <w:next w:val="Normal"/>
    <w:link w:val="IntenseQuoteChar"/>
    <w:uiPriority w:val="30"/>
    <w:qFormat/>
    <w:rsid w:val="00DD41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41B6"/>
    <w:rPr>
      <w:i/>
      <w:iCs/>
      <w:color w:val="0F4761" w:themeColor="accent1" w:themeShade="BF"/>
    </w:rPr>
  </w:style>
  <w:style w:type="character" w:styleId="IntenseReference">
    <w:name w:val="Intense Reference"/>
    <w:basedOn w:val="DefaultParagraphFont"/>
    <w:uiPriority w:val="32"/>
    <w:qFormat/>
    <w:rsid w:val="00DD41B6"/>
    <w:rPr>
      <w:b/>
      <w:bCs/>
      <w:smallCaps/>
      <w:color w:val="0F4761" w:themeColor="accent1" w:themeShade="BF"/>
      <w:spacing w:val="5"/>
    </w:rPr>
  </w:style>
  <w:style w:type="character" w:styleId="Hyperlink">
    <w:name w:val="Hyperlink"/>
    <w:basedOn w:val="DefaultParagraphFont"/>
    <w:uiPriority w:val="99"/>
    <w:unhideWhenUsed/>
    <w:rsid w:val="00EE797B"/>
    <w:rPr>
      <w:color w:val="467886" w:themeColor="hyperlink"/>
      <w:u w:val="single"/>
    </w:rPr>
  </w:style>
  <w:style w:type="character" w:styleId="UnresolvedMention">
    <w:name w:val="Unresolved Mention"/>
    <w:basedOn w:val="DefaultParagraphFont"/>
    <w:uiPriority w:val="99"/>
    <w:semiHidden/>
    <w:unhideWhenUsed/>
    <w:rsid w:val="00EE79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4300797">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79F16F-717D-4D47-8FCC-DCA9E82C4E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4046</Words>
  <Characters>28005</Characters>
  <Application>Microsoft Office Word</Application>
  <DocSecurity>0</DocSecurity>
  <Lines>491</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WESTLAKE, Zara</dc:creator>
  <cp:keywords/>
  <dc:description/>
  <cp:lastModifiedBy>WESTLAKE, Zara</cp:lastModifiedBy>
  <cp:revision>13</cp:revision>
  <dcterms:created xsi:type="dcterms:W3CDTF">2026-02-09T23:01:00Z</dcterms:created>
  <dcterms:modified xsi:type="dcterms:W3CDTF">2026-02-09T23:22:00Z</dcterms:modified>
</cp:coreProperties>
</file>