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178026" w14:textId="77777777" w:rsidR="00CB0427" w:rsidRPr="00C95B38" w:rsidRDefault="00CB0427" w:rsidP="00C95B38">
      <w:pPr>
        <w:spacing w:line="360" w:lineRule="auto"/>
        <w:jc w:val="center"/>
        <w:rPr>
          <w:rFonts w:ascii="Times New Roman" w:eastAsia="Times New Roman" w:hAnsi="Times New Roman" w:cs="Times New Roman"/>
          <w:b/>
          <w:bCs/>
          <w:sz w:val="24"/>
          <w:szCs w:val="24"/>
          <w:highlight w:val="white"/>
        </w:rPr>
      </w:pPr>
    </w:p>
    <w:p w14:paraId="349BFB3C" w14:textId="77777777" w:rsidR="00CB0427" w:rsidRPr="00C95B38" w:rsidRDefault="00CB0427" w:rsidP="00C95B38">
      <w:pPr>
        <w:spacing w:line="360" w:lineRule="auto"/>
        <w:jc w:val="center"/>
        <w:rPr>
          <w:rFonts w:ascii="Times New Roman" w:eastAsia="Times New Roman" w:hAnsi="Times New Roman" w:cs="Times New Roman"/>
          <w:b/>
          <w:bCs/>
          <w:sz w:val="24"/>
          <w:szCs w:val="24"/>
          <w:highlight w:val="white"/>
        </w:rPr>
      </w:pPr>
    </w:p>
    <w:p w14:paraId="5F0206EF" w14:textId="77777777" w:rsidR="00CB0427" w:rsidRPr="00C95B38" w:rsidRDefault="00CB0427" w:rsidP="00C95B38">
      <w:pPr>
        <w:spacing w:line="360" w:lineRule="auto"/>
        <w:jc w:val="center"/>
        <w:rPr>
          <w:rFonts w:ascii="Times New Roman" w:eastAsia="Times New Roman" w:hAnsi="Times New Roman" w:cs="Times New Roman"/>
          <w:b/>
          <w:bCs/>
          <w:sz w:val="24"/>
          <w:szCs w:val="24"/>
          <w:highlight w:val="white"/>
        </w:rPr>
      </w:pPr>
    </w:p>
    <w:p w14:paraId="6BD0EC5E" w14:textId="77777777" w:rsidR="00CB0427" w:rsidRPr="00C95B38" w:rsidRDefault="00CB0427" w:rsidP="00C95B38">
      <w:pPr>
        <w:spacing w:line="360" w:lineRule="auto"/>
        <w:jc w:val="center"/>
        <w:rPr>
          <w:rFonts w:ascii="Times New Roman" w:eastAsia="Times New Roman" w:hAnsi="Times New Roman" w:cs="Times New Roman"/>
          <w:b/>
          <w:bCs/>
          <w:sz w:val="24"/>
          <w:szCs w:val="24"/>
          <w:highlight w:val="white"/>
        </w:rPr>
      </w:pPr>
    </w:p>
    <w:p w14:paraId="4908C16B" w14:textId="77777777" w:rsidR="00CB0427" w:rsidRPr="00C95B38" w:rsidRDefault="00CB0427" w:rsidP="00C95B38">
      <w:pPr>
        <w:spacing w:line="360" w:lineRule="auto"/>
        <w:jc w:val="center"/>
        <w:rPr>
          <w:rFonts w:ascii="Times New Roman" w:eastAsia="Times New Roman" w:hAnsi="Times New Roman" w:cs="Times New Roman"/>
          <w:b/>
          <w:bCs/>
          <w:sz w:val="24"/>
          <w:szCs w:val="24"/>
          <w:highlight w:val="white"/>
        </w:rPr>
      </w:pPr>
    </w:p>
    <w:p w14:paraId="6FF0F5AB" w14:textId="77777777" w:rsidR="00CB0427" w:rsidRPr="00C95B38" w:rsidRDefault="00CB0427" w:rsidP="00C95B38">
      <w:pPr>
        <w:spacing w:line="360" w:lineRule="auto"/>
        <w:jc w:val="center"/>
        <w:rPr>
          <w:rFonts w:ascii="Times New Roman" w:eastAsia="Times New Roman" w:hAnsi="Times New Roman" w:cs="Times New Roman"/>
          <w:b/>
          <w:bCs/>
          <w:sz w:val="24"/>
          <w:szCs w:val="24"/>
          <w:highlight w:val="white"/>
        </w:rPr>
      </w:pPr>
    </w:p>
    <w:p w14:paraId="0A0D8C1F" w14:textId="77777777" w:rsidR="00CB0427" w:rsidRPr="00C95B38" w:rsidRDefault="00CB0427" w:rsidP="00C95B38">
      <w:pPr>
        <w:spacing w:line="360" w:lineRule="auto"/>
        <w:jc w:val="center"/>
        <w:rPr>
          <w:rFonts w:ascii="Times New Roman" w:eastAsia="Times New Roman" w:hAnsi="Times New Roman" w:cs="Times New Roman"/>
          <w:b/>
          <w:bCs/>
          <w:sz w:val="24"/>
          <w:szCs w:val="24"/>
          <w:highlight w:val="white"/>
        </w:rPr>
      </w:pPr>
    </w:p>
    <w:p w14:paraId="44C5436C" w14:textId="77777777" w:rsidR="00CB0427" w:rsidRPr="00C95B38" w:rsidRDefault="00CB0427" w:rsidP="00C95B38">
      <w:pPr>
        <w:spacing w:line="360" w:lineRule="auto"/>
        <w:jc w:val="center"/>
        <w:rPr>
          <w:rFonts w:ascii="Times New Roman" w:eastAsia="Times New Roman" w:hAnsi="Times New Roman" w:cs="Times New Roman"/>
          <w:b/>
          <w:bCs/>
          <w:sz w:val="24"/>
          <w:szCs w:val="24"/>
          <w:highlight w:val="white"/>
        </w:rPr>
      </w:pPr>
    </w:p>
    <w:p w14:paraId="5EB86EFC" w14:textId="77777777" w:rsidR="00C95B38" w:rsidRDefault="00C95B38" w:rsidP="00C95B38">
      <w:pPr>
        <w:spacing w:line="360" w:lineRule="auto"/>
        <w:jc w:val="center"/>
        <w:rPr>
          <w:rFonts w:ascii="Times New Roman" w:eastAsia="Times New Roman" w:hAnsi="Times New Roman" w:cs="Times New Roman"/>
          <w:b/>
          <w:bCs/>
          <w:sz w:val="24"/>
          <w:szCs w:val="24"/>
          <w:highlight w:val="white"/>
        </w:rPr>
      </w:pPr>
    </w:p>
    <w:p w14:paraId="648690D6" w14:textId="77777777" w:rsidR="00C95B38" w:rsidRDefault="00C95B38" w:rsidP="00C95B38">
      <w:pPr>
        <w:spacing w:line="360" w:lineRule="auto"/>
        <w:jc w:val="center"/>
        <w:rPr>
          <w:rFonts w:ascii="Times New Roman" w:eastAsia="Times New Roman" w:hAnsi="Times New Roman" w:cs="Times New Roman"/>
          <w:b/>
          <w:bCs/>
          <w:sz w:val="24"/>
          <w:szCs w:val="24"/>
          <w:highlight w:val="white"/>
        </w:rPr>
      </w:pPr>
    </w:p>
    <w:p w14:paraId="196F5309" w14:textId="77777777" w:rsidR="00C95B38" w:rsidRDefault="00C95B38" w:rsidP="00C95B38">
      <w:pPr>
        <w:spacing w:line="360" w:lineRule="auto"/>
        <w:jc w:val="center"/>
        <w:rPr>
          <w:rFonts w:ascii="Times New Roman" w:eastAsia="Times New Roman" w:hAnsi="Times New Roman" w:cs="Times New Roman"/>
          <w:b/>
          <w:bCs/>
          <w:sz w:val="24"/>
          <w:szCs w:val="24"/>
          <w:highlight w:val="white"/>
        </w:rPr>
      </w:pPr>
    </w:p>
    <w:p w14:paraId="5ED14C52" w14:textId="77777777" w:rsidR="00C95B38" w:rsidRDefault="00C95B38" w:rsidP="00C95B38">
      <w:pPr>
        <w:spacing w:line="360" w:lineRule="auto"/>
        <w:jc w:val="center"/>
        <w:rPr>
          <w:rFonts w:ascii="Times New Roman" w:eastAsia="Times New Roman" w:hAnsi="Times New Roman" w:cs="Times New Roman"/>
          <w:b/>
          <w:bCs/>
          <w:sz w:val="28"/>
          <w:szCs w:val="24"/>
          <w:highlight w:val="white"/>
        </w:rPr>
      </w:pPr>
    </w:p>
    <w:p w14:paraId="1E69CDA4" w14:textId="77777777" w:rsidR="00C95B38" w:rsidRDefault="00C95B38" w:rsidP="00C95B38">
      <w:pPr>
        <w:spacing w:line="360" w:lineRule="auto"/>
        <w:jc w:val="center"/>
        <w:rPr>
          <w:rFonts w:ascii="Times New Roman" w:eastAsia="Times New Roman" w:hAnsi="Times New Roman" w:cs="Times New Roman"/>
          <w:b/>
          <w:bCs/>
          <w:sz w:val="28"/>
          <w:szCs w:val="24"/>
          <w:highlight w:val="white"/>
        </w:rPr>
      </w:pPr>
    </w:p>
    <w:p w14:paraId="5C02DCFA" w14:textId="77777777" w:rsidR="00C95B38" w:rsidRDefault="00C95B38" w:rsidP="00C95B38">
      <w:pPr>
        <w:spacing w:line="360" w:lineRule="auto"/>
        <w:jc w:val="center"/>
        <w:rPr>
          <w:rFonts w:ascii="Times New Roman" w:eastAsia="Times New Roman" w:hAnsi="Times New Roman" w:cs="Times New Roman"/>
          <w:b/>
          <w:bCs/>
          <w:sz w:val="28"/>
          <w:szCs w:val="24"/>
          <w:highlight w:val="white"/>
        </w:rPr>
      </w:pPr>
    </w:p>
    <w:p w14:paraId="74E438D6" w14:textId="77777777" w:rsidR="00CB0427" w:rsidRPr="00C95B38" w:rsidRDefault="00A2738F" w:rsidP="00C95B38">
      <w:pPr>
        <w:spacing w:line="360" w:lineRule="auto"/>
        <w:jc w:val="center"/>
        <w:rPr>
          <w:rFonts w:ascii="Times New Roman" w:eastAsia="Times New Roman" w:hAnsi="Times New Roman" w:cs="Times New Roman"/>
          <w:b/>
          <w:bCs/>
          <w:sz w:val="28"/>
          <w:szCs w:val="24"/>
          <w:highlight w:val="white"/>
        </w:rPr>
      </w:pPr>
      <w:r w:rsidRPr="00C95B38">
        <w:rPr>
          <w:rFonts w:ascii="Times New Roman" w:eastAsia="Times New Roman" w:hAnsi="Times New Roman" w:cs="Times New Roman"/>
          <w:b/>
          <w:bCs/>
          <w:sz w:val="28"/>
          <w:szCs w:val="24"/>
          <w:highlight w:val="white"/>
        </w:rPr>
        <w:t>BA (Hons) Business Management</w:t>
      </w:r>
    </w:p>
    <w:p w14:paraId="726557A9" w14:textId="77777777" w:rsidR="00CB0427" w:rsidRPr="00C95B38" w:rsidRDefault="00A2738F" w:rsidP="00C95B38">
      <w:pPr>
        <w:spacing w:line="360" w:lineRule="auto"/>
        <w:jc w:val="center"/>
        <w:rPr>
          <w:rFonts w:ascii="Times New Roman" w:eastAsia="Times New Roman" w:hAnsi="Times New Roman" w:cs="Times New Roman"/>
          <w:b/>
          <w:bCs/>
          <w:sz w:val="28"/>
          <w:szCs w:val="24"/>
          <w:highlight w:val="white"/>
        </w:rPr>
      </w:pPr>
      <w:r w:rsidRPr="00C95B38">
        <w:rPr>
          <w:rFonts w:ascii="Times New Roman" w:eastAsia="Times New Roman" w:hAnsi="Times New Roman" w:cs="Times New Roman"/>
          <w:b/>
          <w:bCs/>
          <w:sz w:val="28"/>
          <w:szCs w:val="24"/>
          <w:highlight w:val="white"/>
        </w:rPr>
        <w:t>Stakeholder Engagement</w:t>
      </w:r>
    </w:p>
    <w:p w14:paraId="34E0DA38" w14:textId="77777777" w:rsidR="00CB0427" w:rsidRDefault="00A2738F" w:rsidP="00C95B38">
      <w:pPr>
        <w:spacing w:line="360" w:lineRule="auto"/>
        <w:jc w:val="center"/>
        <w:rPr>
          <w:rFonts w:ascii="Times New Roman" w:eastAsia="Times New Roman" w:hAnsi="Times New Roman" w:cs="Times New Roman"/>
          <w:b/>
          <w:bCs/>
          <w:sz w:val="28"/>
          <w:szCs w:val="24"/>
          <w:highlight w:val="white"/>
        </w:rPr>
      </w:pPr>
      <w:r w:rsidRPr="00C95B38">
        <w:rPr>
          <w:rFonts w:ascii="Times New Roman" w:eastAsia="Times New Roman" w:hAnsi="Times New Roman" w:cs="Times New Roman"/>
          <w:b/>
          <w:bCs/>
          <w:sz w:val="28"/>
          <w:szCs w:val="24"/>
          <w:highlight w:val="white"/>
        </w:rPr>
        <w:t>LCBB4013</w:t>
      </w:r>
    </w:p>
    <w:p w14:paraId="31205882" w14:textId="77777777" w:rsidR="00C95B38" w:rsidRPr="00C95B38" w:rsidRDefault="00C95B38" w:rsidP="00C95B38">
      <w:pPr>
        <w:spacing w:line="360" w:lineRule="auto"/>
        <w:jc w:val="center"/>
        <w:rPr>
          <w:rFonts w:ascii="Times New Roman" w:eastAsia="Times New Roman" w:hAnsi="Times New Roman" w:cs="Times New Roman"/>
          <w:b/>
          <w:bCs/>
          <w:sz w:val="28"/>
          <w:szCs w:val="24"/>
          <w:highlight w:val="white"/>
        </w:rPr>
      </w:pPr>
    </w:p>
    <w:p w14:paraId="40F0359D" w14:textId="77777777" w:rsidR="00CB0427" w:rsidRPr="00C95B38" w:rsidRDefault="00A2738F" w:rsidP="00C95B38">
      <w:pPr>
        <w:spacing w:line="360" w:lineRule="auto"/>
        <w:jc w:val="center"/>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Component 1: Coursework-Portfolio</w:t>
      </w:r>
    </w:p>
    <w:p w14:paraId="5A459F53" w14:textId="77777777" w:rsidR="00CB0427" w:rsidRPr="00C95B38" w:rsidRDefault="00CB0427" w:rsidP="00C95B38">
      <w:pPr>
        <w:spacing w:line="360" w:lineRule="auto"/>
        <w:jc w:val="center"/>
        <w:rPr>
          <w:rFonts w:ascii="Times New Roman" w:eastAsia="Times New Roman" w:hAnsi="Times New Roman" w:cs="Times New Roman"/>
          <w:b/>
          <w:bCs/>
          <w:sz w:val="24"/>
          <w:szCs w:val="24"/>
          <w:highlight w:val="white"/>
        </w:rPr>
      </w:pPr>
    </w:p>
    <w:p w14:paraId="3BFE2472" w14:textId="77777777" w:rsidR="00CB0427" w:rsidRPr="00C95B38" w:rsidRDefault="00A2738F" w:rsidP="00C95B38">
      <w:pPr>
        <w:spacing w:line="360" w:lineRule="auto"/>
        <w:jc w:val="center"/>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Student Name:</w:t>
      </w:r>
      <w:r w:rsidR="00C93C21">
        <w:rPr>
          <w:rFonts w:ascii="Times New Roman" w:eastAsia="Times New Roman" w:hAnsi="Times New Roman" w:cs="Times New Roman"/>
          <w:b/>
          <w:bCs/>
          <w:sz w:val="24"/>
          <w:szCs w:val="24"/>
          <w:highlight w:val="white"/>
        </w:rPr>
        <w:t xml:space="preserve"> </w:t>
      </w:r>
      <w:proofErr w:type="spellStart"/>
      <w:r w:rsidR="00C93C21">
        <w:rPr>
          <w:rFonts w:ascii="Times New Roman" w:eastAsia="Times New Roman" w:hAnsi="Times New Roman" w:cs="Times New Roman"/>
          <w:b/>
          <w:bCs/>
          <w:sz w:val="24"/>
          <w:szCs w:val="24"/>
          <w:highlight w:val="white"/>
        </w:rPr>
        <w:t>Ioana</w:t>
      </w:r>
      <w:proofErr w:type="spellEnd"/>
      <w:r w:rsidR="00C93C21">
        <w:rPr>
          <w:rFonts w:ascii="Times New Roman" w:eastAsia="Times New Roman" w:hAnsi="Times New Roman" w:cs="Times New Roman"/>
          <w:b/>
          <w:bCs/>
          <w:sz w:val="24"/>
          <w:szCs w:val="24"/>
          <w:highlight w:val="white"/>
        </w:rPr>
        <w:t xml:space="preserve"> Alina Simon</w:t>
      </w:r>
    </w:p>
    <w:p w14:paraId="1FC8F578" w14:textId="77777777" w:rsidR="00CB0427" w:rsidRPr="00C95B38" w:rsidRDefault="00A2738F" w:rsidP="00C95B38">
      <w:pPr>
        <w:spacing w:line="360" w:lineRule="auto"/>
        <w:jc w:val="center"/>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Student ID: </w:t>
      </w:r>
      <w:r w:rsidR="00C93C21">
        <w:rPr>
          <w:rFonts w:ascii="Times New Roman" w:eastAsia="Times New Roman" w:hAnsi="Times New Roman" w:cs="Times New Roman"/>
          <w:b/>
          <w:bCs/>
          <w:sz w:val="24"/>
          <w:szCs w:val="24"/>
          <w:highlight w:val="white"/>
        </w:rPr>
        <w:t>2513662</w:t>
      </w:r>
      <w:bookmarkStart w:id="0" w:name="_GoBack"/>
      <w:bookmarkEnd w:id="0"/>
    </w:p>
    <w:p w14:paraId="7B7DBE14" w14:textId="77777777" w:rsidR="00CB0427" w:rsidRPr="00C95B38" w:rsidRDefault="00CB0427" w:rsidP="00C95B38">
      <w:pPr>
        <w:shd w:val="clear" w:color="auto" w:fill="FFFFFF"/>
        <w:spacing w:line="360" w:lineRule="auto"/>
        <w:rPr>
          <w:rFonts w:ascii="Times New Roman" w:eastAsia="Times New Roman" w:hAnsi="Times New Roman" w:cs="Times New Roman"/>
          <w:b/>
          <w:bCs/>
          <w:sz w:val="24"/>
          <w:szCs w:val="24"/>
          <w:highlight w:val="white"/>
        </w:rPr>
      </w:pPr>
    </w:p>
    <w:p w14:paraId="21F1FC07" w14:textId="77777777" w:rsidR="00CB0427" w:rsidRPr="00C95B38" w:rsidRDefault="00A2738F" w:rsidP="00C95B38">
      <w:pPr>
        <w:shd w:val="clear" w:color="auto" w:fill="FFFFFF"/>
        <w:spacing w:line="360" w:lineRule="auto"/>
        <w:rPr>
          <w:rFonts w:ascii="Times New Roman" w:eastAsia="Times New Roman" w:hAnsi="Times New Roman" w:cs="Times New Roman"/>
          <w:b/>
          <w:bCs/>
          <w:sz w:val="24"/>
          <w:szCs w:val="24"/>
          <w:highlight w:val="white"/>
        </w:rPr>
      </w:pPr>
      <w:r w:rsidRPr="00C95B38">
        <w:br w:type="page"/>
      </w:r>
    </w:p>
    <w:sdt>
      <w:sdtPr>
        <w:rPr>
          <w:rFonts w:ascii="Times New Roman" w:eastAsia="Arial" w:hAnsi="Times New Roman" w:cs="Times New Roman"/>
          <w:color w:val="000000" w:themeColor="text1"/>
          <w:sz w:val="24"/>
          <w:szCs w:val="24"/>
          <w:lang w:val="en-GB" w:eastAsia="en-GB"/>
        </w:rPr>
        <w:id w:val="-376551610"/>
        <w:docPartObj>
          <w:docPartGallery w:val="Table of Contents"/>
          <w:docPartUnique/>
        </w:docPartObj>
      </w:sdtPr>
      <w:sdtEndPr>
        <w:rPr>
          <w:b/>
          <w:bCs/>
          <w:noProof/>
        </w:rPr>
      </w:sdtEndPr>
      <w:sdtContent>
        <w:p w14:paraId="5B5E6EA2" w14:textId="77777777" w:rsidR="00C95B38" w:rsidRPr="00C95B38" w:rsidRDefault="00C95B38" w:rsidP="00C95B38">
          <w:pPr>
            <w:pStyle w:val="TOCHeading"/>
            <w:spacing w:line="360" w:lineRule="auto"/>
            <w:jc w:val="center"/>
            <w:rPr>
              <w:rFonts w:ascii="Times New Roman" w:hAnsi="Times New Roman" w:cs="Times New Roman"/>
              <w:b/>
              <w:color w:val="000000" w:themeColor="text1"/>
              <w:sz w:val="24"/>
              <w:szCs w:val="24"/>
            </w:rPr>
          </w:pPr>
          <w:r w:rsidRPr="00C95B38">
            <w:rPr>
              <w:rFonts w:ascii="Times New Roman" w:hAnsi="Times New Roman" w:cs="Times New Roman"/>
              <w:b/>
              <w:color w:val="000000" w:themeColor="text1"/>
              <w:sz w:val="24"/>
              <w:szCs w:val="24"/>
            </w:rPr>
            <w:t>Table of Contents</w:t>
          </w:r>
        </w:p>
        <w:p w14:paraId="50C731BD" w14:textId="77777777" w:rsidR="00C95B38" w:rsidRPr="00C95B38" w:rsidRDefault="00C95B38" w:rsidP="00C95B38">
          <w:pPr>
            <w:pStyle w:val="TOC1"/>
            <w:tabs>
              <w:tab w:val="right" w:leader="dot" w:pos="9019"/>
            </w:tabs>
            <w:spacing w:line="360" w:lineRule="auto"/>
            <w:jc w:val="center"/>
            <w:rPr>
              <w:rFonts w:ascii="Times New Roman" w:hAnsi="Times New Roman" w:cs="Times New Roman"/>
              <w:noProof/>
              <w:color w:val="000000" w:themeColor="text1"/>
              <w:sz w:val="24"/>
              <w:szCs w:val="24"/>
            </w:rPr>
          </w:pPr>
          <w:r w:rsidRPr="00C95B38">
            <w:rPr>
              <w:rFonts w:ascii="Times New Roman" w:hAnsi="Times New Roman" w:cs="Times New Roman"/>
              <w:b/>
              <w:bCs/>
              <w:noProof/>
              <w:color w:val="000000" w:themeColor="text1"/>
              <w:sz w:val="24"/>
              <w:szCs w:val="24"/>
            </w:rPr>
            <w:fldChar w:fldCharType="begin"/>
          </w:r>
          <w:r w:rsidRPr="00C95B38">
            <w:rPr>
              <w:rFonts w:ascii="Times New Roman" w:hAnsi="Times New Roman" w:cs="Times New Roman"/>
              <w:b/>
              <w:bCs/>
              <w:noProof/>
              <w:color w:val="000000" w:themeColor="text1"/>
              <w:sz w:val="24"/>
              <w:szCs w:val="24"/>
            </w:rPr>
            <w:instrText xml:space="preserve"> TOC \o "1-3" \h \z \u </w:instrText>
          </w:r>
          <w:r w:rsidRPr="00C95B38">
            <w:rPr>
              <w:rFonts w:ascii="Times New Roman" w:hAnsi="Times New Roman" w:cs="Times New Roman"/>
              <w:b/>
              <w:bCs/>
              <w:noProof/>
              <w:color w:val="000000" w:themeColor="text1"/>
              <w:sz w:val="24"/>
              <w:szCs w:val="24"/>
            </w:rPr>
            <w:fldChar w:fldCharType="separate"/>
          </w:r>
          <w:hyperlink w:anchor="_Toc234942908" w:history="1">
            <w:r w:rsidRPr="00C95B38">
              <w:rPr>
                <w:rStyle w:val="Hyperlink"/>
                <w:rFonts w:ascii="Times New Roman" w:hAnsi="Times New Roman" w:cs="Times New Roman"/>
                <w:noProof/>
                <w:color w:val="000000" w:themeColor="text1"/>
                <w:sz w:val="24"/>
                <w:szCs w:val="24"/>
                <w:highlight w:val="white"/>
              </w:rPr>
              <w:t>Element 1: Introduction</w:t>
            </w:r>
            <w:r w:rsidRPr="00C95B38">
              <w:rPr>
                <w:rFonts w:ascii="Times New Roman" w:hAnsi="Times New Roman" w:cs="Times New Roman"/>
                <w:noProof/>
                <w:webHidden/>
                <w:color w:val="000000" w:themeColor="text1"/>
                <w:sz w:val="24"/>
                <w:szCs w:val="24"/>
              </w:rPr>
              <w:tab/>
            </w:r>
            <w:r w:rsidRPr="00C95B38">
              <w:rPr>
                <w:rFonts w:ascii="Times New Roman" w:hAnsi="Times New Roman" w:cs="Times New Roman"/>
                <w:noProof/>
                <w:webHidden/>
                <w:color w:val="000000" w:themeColor="text1"/>
                <w:sz w:val="24"/>
                <w:szCs w:val="24"/>
              </w:rPr>
              <w:fldChar w:fldCharType="begin"/>
            </w:r>
            <w:r w:rsidRPr="00C95B38">
              <w:rPr>
                <w:rFonts w:ascii="Times New Roman" w:hAnsi="Times New Roman" w:cs="Times New Roman"/>
                <w:noProof/>
                <w:webHidden/>
                <w:color w:val="000000" w:themeColor="text1"/>
                <w:sz w:val="24"/>
                <w:szCs w:val="24"/>
              </w:rPr>
              <w:instrText xml:space="preserve"> PAGEREF _Toc234942908 \h </w:instrText>
            </w:r>
            <w:r w:rsidRPr="00C95B38">
              <w:rPr>
                <w:rFonts w:ascii="Times New Roman" w:hAnsi="Times New Roman" w:cs="Times New Roman"/>
                <w:noProof/>
                <w:webHidden/>
                <w:color w:val="000000" w:themeColor="text1"/>
                <w:sz w:val="24"/>
                <w:szCs w:val="24"/>
              </w:rPr>
            </w:r>
            <w:r w:rsidRPr="00C95B38">
              <w:rPr>
                <w:rFonts w:ascii="Times New Roman" w:hAnsi="Times New Roman" w:cs="Times New Roman"/>
                <w:noProof/>
                <w:webHidden/>
                <w:color w:val="000000" w:themeColor="text1"/>
                <w:sz w:val="24"/>
                <w:szCs w:val="24"/>
              </w:rPr>
              <w:fldChar w:fldCharType="separate"/>
            </w:r>
            <w:r w:rsidRPr="00C95B38">
              <w:rPr>
                <w:rFonts w:ascii="Times New Roman" w:hAnsi="Times New Roman" w:cs="Times New Roman"/>
                <w:noProof/>
                <w:webHidden/>
                <w:color w:val="000000" w:themeColor="text1"/>
                <w:sz w:val="24"/>
                <w:szCs w:val="24"/>
              </w:rPr>
              <w:t>2</w:t>
            </w:r>
            <w:r w:rsidRPr="00C95B38">
              <w:rPr>
                <w:rFonts w:ascii="Times New Roman" w:hAnsi="Times New Roman" w:cs="Times New Roman"/>
                <w:noProof/>
                <w:webHidden/>
                <w:color w:val="000000" w:themeColor="text1"/>
                <w:sz w:val="24"/>
                <w:szCs w:val="24"/>
              </w:rPr>
              <w:fldChar w:fldCharType="end"/>
            </w:r>
          </w:hyperlink>
        </w:p>
        <w:p w14:paraId="04CC074A" w14:textId="77777777" w:rsidR="00C95B38" w:rsidRPr="00C95B38" w:rsidRDefault="00575A3F" w:rsidP="00C95B38">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234942909" w:history="1">
            <w:r w:rsidR="00C95B38" w:rsidRPr="00C95B38">
              <w:rPr>
                <w:rStyle w:val="Hyperlink"/>
                <w:rFonts w:ascii="Times New Roman" w:hAnsi="Times New Roman" w:cs="Times New Roman"/>
                <w:noProof/>
                <w:color w:val="000000" w:themeColor="text1"/>
                <w:sz w:val="24"/>
                <w:szCs w:val="24"/>
                <w:highlight w:val="white"/>
              </w:rPr>
              <w:t>Element 2: Application to include Stakeholder Engagement Strategies</w:t>
            </w:r>
            <w:r w:rsidR="00C95B38" w:rsidRPr="00C95B38">
              <w:rPr>
                <w:rFonts w:ascii="Times New Roman" w:hAnsi="Times New Roman" w:cs="Times New Roman"/>
                <w:noProof/>
                <w:webHidden/>
                <w:color w:val="000000" w:themeColor="text1"/>
                <w:sz w:val="24"/>
                <w:szCs w:val="24"/>
              </w:rPr>
              <w:tab/>
            </w:r>
            <w:r w:rsidR="00C95B38" w:rsidRPr="00C95B38">
              <w:rPr>
                <w:rFonts w:ascii="Times New Roman" w:hAnsi="Times New Roman" w:cs="Times New Roman"/>
                <w:noProof/>
                <w:webHidden/>
                <w:color w:val="000000" w:themeColor="text1"/>
                <w:sz w:val="24"/>
                <w:szCs w:val="24"/>
              </w:rPr>
              <w:fldChar w:fldCharType="begin"/>
            </w:r>
            <w:r w:rsidR="00C95B38" w:rsidRPr="00C95B38">
              <w:rPr>
                <w:rFonts w:ascii="Times New Roman" w:hAnsi="Times New Roman" w:cs="Times New Roman"/>
                <w:noProof/>
                <w:webHidden/>
                <w:color w:val="000000" w:themeColor="text1"/>
                <w:sz w:val="24"/>
                <w:szCs w:val="24"/>
              </w:rPr>
              <w:instrText xml:space="preserve"> PAGEREF _Toc234942909 \h </w:instrText>
            </w:r>
            <w:r w:rsidR="00C95B38" w:rsidRPr="00C95B38">
              <w:rPr>
                <w:rFonts w:ascii="Times New Roman" w:hAnsi="Times New Roman" w:cs="Times New Roman"/>
                <w:noProof/>
                <w:webHidden/>
                <w:color w:val="000000" w:themeColor="text1"/>
                <w:sz w:val="24"/>
                <w:szCs w:val="24"/>
              </w:rPr>
            </w:r>
            <w:r w:rsidR="00C95B38" w:rsidRPr="00C95B38">
              <w:rPr>
                <w:rFonts w:ascii="Times New Roman" w:hAnsi="Times New Roman" w:cs="Times New Roman"/>
                <w:noProof/>
                <w:webHidden/>
                <w:color w:val="000000" w:themeColor="text1"/>
                <w:sz w:val="24"/>
                <w:szCs w:val="24"/>
              </w:rPr>
              <w:fldChar w:fldCharType="separate"/>
            </w:r>
            <w:r w:rsidR="00C95B38" w:rsidRPr="00C95B38">
              <w:rPr>
                <w:rFonts w:ascii="Times New Roman" w:hAnsi="Times New Roman" w:cs="Times New Roman"/>
                <w:noProof/>
                <w:webHidden/>
                <w:color w:val="000000" w:themeColor="text1"/>
                <w:sz w:val="24"/>
                <w:szCs w:val="24"/>
              </w:rPr>
              <w:t>4</w:t>
            </w:r>
            <w:r w:rsidR="00C95B38" w:rsidRPr="00C95B38">
              <w:rPr>
                <w:rFonts w:ascii="Times New Roman" w:hAnsi="Times New Roman" w:cs="Times New Roman"/>
                <w:noProof/>
                <w:webHidden/>
                <w:color w:val="000000" w:themeColor="text1"/>
                <w:sz w:val="24"/>
                <w:szCs w:val="24"/>
              </w:rPr>
              <w:fldChar w:fldCharType="end"/>
            </w:r>
          </w:hyperlink>
        </w:p>
        <w:p w14:paraId="22405D61" w14:textId="77777777" w:rsidR="00C95B38" w:rsidRPr="00C95B38" w:rsidRDefault="00575A3F" w:rsidP="00C95B38">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234942910" w:history="1">
            <w:r w:rsidR="00C95B38" w:rsidRPr="00C95B38">
              <w:rPr>
                <w:rStyle w:val="Hyperlink"/>
                <w:rFonts w:ascii="Times New Roman" w:hAnsi="Times New Roman" w:cs="Times New Roman"/>
                <w:noProof/>
                <w:color w:val="000000" w:themeColor="text1"/>
                <w:sz w:val="24"/>
                <w:szCs w:val="24"/>
                <w:highlight w:val="white"/>
              </w:rPr>
              <w:t>Element 3: Ethical Considerations in Stakeholders' Consultation, Participation and Feedback</w:t>
            </w:r>
            <w:r w:rsidR="00C95B38" w:rsidRPr="00C95B38">
              <w:rPr>
                <w:rFonts w:ascii="Times New Roman" w:hAnsi="Times New Roman" w:cs="Times New Roman"/>
                <w:noProof/>
                <w:webHidden/>
                <w:color w:val="000000" w:themeColor="text1"/>
                <w:sz w:val="24"/>
                <w:szCs w:val="24"/>
              </w:rPr>
              <w:tab/>
            </w:r>
            <w:r w:rsidR="00C95B38" w:rsidRPr="00C95B38">
              <w:rPr>
                <w:rFonts w:ascii="Times New Roman" w:hAnsi="Times New Roman" w:cs="Times New Roman"/>
                <w:noProof/>
                <w:webHidden/>
                <w:color w:val="000000" w:themeColor="text1"/>
                <w:sz w:val="24"/>
                <w:szCs w:val="24"/>
              </w:rPr>
              <w:fldChar w:fldCharType="begin"/>
            </w:r>
            <w:r w:rsidR="00C95B38" w:rsidRPr="00C95B38">
              <w:rPr>
                <w:rFonts w:ascii="Times New Roman" w:hAnsi="Times New Roman" w:cs="Times New Roman"/>
                <w:noProof/>
                <w:webHidden/>
                <w:color w:val="000000" w:themeColor="text1"/>
                <w:sz w:val="24"/>
                <w:szCs w:val="24"/>
              </w:rPr>
              <w:instrText xml:space="preserve"> PAGEREF _Toc234942910 \h </w:instrText>
            </w:r>
            <w:r w:rsidR="00C95B38" w:rsidRPr="00C95B38">
              <w:rPr>
                <w:rFonts w:ascii="Times New Roman" w:hAnsi="Times New Roman" w:cs="Times New Roman"/>
                <w:noProof/>
                <w:webHidden/>
                <w:color w:val="000000" w:themeColor="text1"/>
                <w:sz w:val="24"/>
                <w:szCs w:val="24"/>
              </w:rPr>
            </w:r>
            <w:r w:rsidR="00C95B38" w:rsidRPr="00C95B38">
              <w:rPr>
                <w:rFonts w:ascii="Times New Roman" w:hAnsi="Times New Roman" w:cs="Times New Roman"/>
                <w:noProof/>
                <w:webHidden/>
                <w:color w:val="000000" w:themeColor="text1"/>
                <w:sz w:val="24"/>
                <w:szCs w:val="24"/>
              </w:rPr>
              <w:fldChar w:fldCharType="separate"/>
            </w:r>
            <w:r w:rsidR="00C95B38" w:rsidRPr="00C95B38">
              <w:rPr>
                <w:rFonts w:ascii="Times New Roman" w:hAnsi="Times New Roman" w:cs="Times New Roman"/>
                <w:noProof/>
                <w:webHidden/>
                <w:color w:val="000000" w:themeColor="text1"/>
                <w:sz w:val="24"/>
                <w:szCs w:val="24"/>
              </w:rPr>
              <w:t>10</w:t>
            </w:r>
            <w:r w:rsidR="00C95B38" w:rsidRPr="00C95B38">
              <w:rPr>
                <w:rFonts w:ascii="Times New Roman" w:hAnsi="Times New Roman" w:cs="Times New Roman"/>
                <w:noProof/>
                <w:webHidden/>
                <w:color w:val="000000" w:themeColor="text1"/>
                <w:sz w:val="24"/>
                <w:szCs w:val="24"/>
              </w:rPr>
              <w:fldChar w:fldCharType="end"/>
            </w:r>
          </w:hyperlink>
        </w:p>
        <w:p w14:paraId="1A4B0E42" w14:textId="77777777" w:rsidR="00C95B38" w:rsidRPr="00C95B38" w:rsidRDefault="00575A3F" w:rsidP="00C95B38">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234942911" w:history="1">
            <w:r w:rsidR="00C95B38" w:rsidRPr="00C95B38">
              <w:rPr>
                <w:rStyle w:val="Hyperlink"/>
                <w:rFonts w:ascii="Times New Roman" w:hAnsi="Times New Roman" w:cs="Times New Roman"/>
                <w:noProof/>
                <w:color w:val="000000" w:themeColor="text1"/>
                <w:sz w:val="24"/>
                <w:szCs w:val="24"/>
                <w:highlight w:val="white"/>
              </w:rPr>
              <w:t>Element 4: Conclusion and Reflection</w:t>
            </w:r>
            <w:r w:rsidR="00C95B38" w:rsidRPr="00C95B38">
              <w:rPr>
                <w:rFonts w:ascii="Times New Roman" w:hAnsi="Times New Roman" w:cs="Times New Roman"/>
                <w:noProof/>
                <w:webHidden/>
                <w:color w:val="000000" w:themeColor="text1"/>
                <w:sz w:val="24"/>
                <w:szCs w:val="24"/>
              </w:rPr>
              <w:tab/>
            </w:r>
            <w:r w:rsidR="00C95B38" w:rsidRPr="00C95B38">
              <w:rPr>
                <w:rFonts w:ascii="Times New Roman" w:hAnsi="Times New Roman" w:cs="Times New Roman"/>
                <w:noProof/>
                <w:webHidden/>
                <w:color w:val="000000" w:themeColor="text1"/>
                <w:sz w:val="24"/>
                <w:szCs w:val="24"/>
              </w:rPr>
              <w:fldChar w:fldCharType="begin"/>
            </w:r>
            <w:r w:rsidR="00C95B38" w:rsidRPr="00C95B38">
              <w:rPr>
                <w:rFonts w:ascii="Times New Roman" w:hAnsi="Times New Roman" w:cs="Times New Roman"/>
                <w:noProof/>
                <w:webHidden/>
                <w:color w:val="000000" w:themeColor="text1"/>
                <w:sz w:val="24"/>
                <w:szCs w:val="24"/>
              </w:rPr>
              <w:instrText xml:space="preserve"> PAGEREF _Toc234942911 \h </w:instrText>
            </w:r>
            <w:r w:rsidR="00C95B38" w:rsidRPr="00C95B38">
              <w:rPr>
                <w:rFonts w:ascii="Times New Roman" w:hAnsi="Times New Roman" w:cs="Times New Roman"/>
                <w:noProof/>
                <w:webHidden/>
                <w:color w:val="000000" w:themeColor="text1"/>
                <w:sz w:val="24"/>
                <w:szCs w:val="24"/>
              </w:rPr>
            </w:r>
            <w:r w:rsidR="00C95B38" w:rsidRPr="00C95B38">
              <w:rPr>
                <w:rFonts w:ascii="Times New Roman" w:hAnsi="Times New Roman" w:cs="Times New Roman"/>
                <w:noProof/>
                <w:webHidden/>
                <w:color w:val="000000" w:themeColor="text1"/>
                <w:sz w:val="24"/>
                <w:szCs w:val="24"/>
              </w:rPr>
              <w:fldChar w:fldCharType="separate"/>
            </w:r>
            <w:r w:rsidR="00C95B38" w:rsidRPr="00C95B38">
              <w:rPr>
                <w:rFonts w:ascii="Times New Roman" w:hAnsi="Times New Roman" w:cs="Times New Roman"/>
                <w:noProof/>
                <w:webHidden/>
                <w:color w:val="000000" w:themeColor="text1"/>
                <w:sz w:val="24"/>
                <w:szCs w:val="24"/>
              </w:rPr>
              <w:t>13</w:t>
            </w:r>
            <w:r w:rsidR="00C95B38" w:rsidRPr="00C95B38">
              <w:rPr>
                <w:rFonts w:ascii="Times New Roman" w:hAnsi="Times New Roman" w:cs="Times New Roman"/>
                <w:noProof/>
                <w:webHidden/>
                <w:color w:val="000000" w:themeColor="text1"/>
                <w:sz w:val="24"/>
                <w:szCs w:val="24"/>
              </w:rPr>
              <w:fldChar w:fldCharType="end"/>
            </w:r>
          </w:hyperlink>
        </w:p>
        <w:p w14:paraId="4C6EC069" w14:textId="77777777" w:rsidR="00C95B38" w:rsidRPr="00C95B38" w:rsidRDefault="00575A3F" w:rsidP="00C95B38">
          <w:pPr>
            <w:pStyle w:val="TOC1"/>
            <w:tabs>
              <w:tab w:val="right" w:leader="dot" w:pos="9019"/>
            </w:tabs>
            <w:spacing w:line="360" w:lineRule="auto"/>
            <w:jc w:val="center"/>
            <w:rPr>
              <w:rFonts w:ascii="Times New Roman" w:hAnsi="Times New Roman" w:cs="Times New Roman"/>
              <w:noProof/>
              <w:color w:val="000000" w:themeColor="text1"/>
              <w:sz w:val="24"/>
              <w:szCs w:val="24"/>
            </w:rPr>
          </w:pPr>
          <w:hyperlink w:anchor="_Toc234942912" w:history="1">
            <w:r w:rsidR="00C95B38" w:rsidRPr="00C95B38">
              <w:rPr>
                <w:rStyle w:val="Hyperlink"/>
                <w:rFonts w:ascii="Times New Roman" w:hAnsi="Times New Roman" w:cs="Times New Roman"/>
                <w:noProof/>
                <w:color w:val="000000" w:themeColor="text1"/>
                <w:sz w:val="24"/>
                <w:szCs w:val="24"/>
                <w:highlight w:val="white"/>
              </w:rPr>
              <w:t>Reference List</w:t>
            </w:r>
            <w:r w:rsidR="00C95B38" w:rsidRPr="00C95B38">
              <w:rPr>
                <w:rFonts w:ascii="Times New Roman" w:hAnsi="Times New Roman" w:cs="Times New Roman"/>
                <w:noProof/>
                <w:webHidden/>
                <w:color w:val="000000" w:themeColor="text1"/>
                <w:sz w:val="24"/>
                <w:szCs w:val="24"/>
              </w:rPr>
              <w:tab/>
            </w:r>
            <w:r w:rsidR="00C95B38" w:rsidRPr="00C95B38">
              <w:rPr>
                <w:rFonts w:ascii="Times New Roman" w:hAnsi="Times New Roman" w:cs="Times New Roman"/>
                <w:noProof/>
                <w:webHidden/>
                <w:color w:val="000000" w:themeColor="text1"/>
                <w:sz w:val="24"/>
                <w:szCs w:val="24"/>
              </w:rPr>
              <w:fldChar w:fldCharType="begin"/>
            </w:r>
            <w:r w:rsidR="00C95B38" w:rsidRPr="00C95B38">
              <w:rPr>
                <w:rFonts w:ascii="Times New Roman" w:hAnsi="Times New Roman" w:cs="Times New Roman"/>
                <w:noProof/>
                <w:webHidden/>
                <w:color w:val="000000" w:themeColor="text1"/>
                <w:sz w:val="24"/>
                <w:szCs w:val="24"/>
              </w:rPr>
              <w:instrText xml:space="preserve"> PAGEREF _Toc234942912 \h </w:instrText>
            </w:r>
            <w:r w:rsidR="00C95B38" w:rsidRPr="00C95B38">
              <w:rPr>
                <w:rFonts w:ascii="Times New Roman" w:hAnsi="Times New Roman" w:cs="Times New Roman"/>
                <w:noProof/>
                <w:webHidden/>
                <w:color w:val="000000" w:themeColor="text1"/>
                <w:sz w:val="24"/>
                <w:szCs w:val="24"/>
              </w:rPr>
            </w:r>
            <w:r w:rsidR="00C95B38" w:rsidRPr="00C95B38">
              <w:rPr>
                <w:rFonts w:ascii="Times New Roman" w:hAnsi="Times New Roman" w:cs="Times New Roman"/>
                <w:noProof/>
                <w:webHidden/>
                <w:color w:val="000000" w:themeColor="text1"/>
                <w:sz w:val="24"/>
                <w:szCs w:val="24"/>
              </w:rPr>
              <w:fldChar w:fldCharType="separate"/>
            </w:r>
            <w:r w:rsidR="00C95B38" w:rsidRPr="00C95B38">
              <w:rPr>
                <w:rFonts w:ascii="Times New Roman" w:hAnsi="Times New Roman" w:cs="Times New Roman"/>
                <w:noProof/>
                <w:webHidden/>
                <w:color w:val="000000" w:themeColor="text1"/>
                <w:sz w:val="24"/>
                <w:szCs w:val="24"/>
              </w:rPr>
              <w:t>16</w:t>
            </w:r>
            <w:r w:rsidR="00C95B38" w:rsidRPr="00C95B38">
              <w:rPr>
                <w:rFonts w:ascii="Times New Roman" w:hAnsi="Times New Roman" w:cs="Times New Roman"/>
                <w:noProof/>
                <w:webHidden/>
                <w:color w:val="000000" w:themeColor="text1"/>
                <w:sz w:val="24"/>
                <w:szCs w:val="24"/>
              </w:rPr>
              <w:fldChar w:fldCharType="end"/>
            </w:r>
          </w:hyperlink>
        </w:p>
        <w:p w14:paraId="4FD84C18" w14:textId="77777777" w:rsidR="00C95B38" w:rsidRPr="00C95B38" w:rsidRDefault="00C95B38" w:rsidP="00C95B38">
          <w:pPr>
            <w:spacing w:line="360" w:lineRule="auto"/>
            <w:jc w:val="center"/>
            <w:rPr>
              <w:rFonts w:ascii="Times New Roman" w:hAnsi="Times New Roman" w:cs="Times New Roman"/>
              <w:color w:val="000000" w:themeColor="text1"/>
              <w:sz w:val="24"/>
              <w:szCs w:val="24"/>
            </w:rPr>
          </w:pPr>
          <w:r w:rsidRPr="00C95B38">
            <w:rPr>
              <w:rFonts w:ascii="Times New Roman" w:hAnsi="Times New Roman" w:cs="Times New Roman"/>
              <w:b/>
              <w:bCs/>
              <w:noProof/>
              <w:color w:val="000000" w:themeColor="text1"/>
              <w:sz w:val="24"/>
              <w:szCs w:val="24"/>
            </w:rPr>
            <w:fldChar w:fldCharType="end"/>
          </w:r>
        </w:p>
      </w:sdtContent>
    </w:sdt>
    <w:p w14:paraId="37EC074A" w14:textId="77777777" w:rsidR="00C95B38" w:rsidRDefault="00C95B38">
      <w:pPr>
        <w:rPr>
          <w:rFonts w:ascii="Times New Roman" w:hAnsi="Times New Roman"/>
          <w:b/>
          <w:sz w:val="24"/>
          <w:szCs w:val="40"/>
          <w:highlight w:val="white"/>
        </w:rPr>
      </w:pPr>
      <w:bookmarkStart w:id="1" w:name="_Toc234942908"/>
      <w:r>
        <w:rPr>
          <w:highlight w:val="white"/>
        </w:rPr>
        <w:br w:type="page"/>
      </w:r>
    </w:p>
    <w:p w14:paraId="74E0822A" w14:textId="77777777" w:rsidR="00CB0427" w:rsidRPr="00C95B38" w:rsidRDefault="00C95B38" w:rsidP="00C95B38">
      <w:pPr>
        <w:pStyle w:val="Heading1"/>
        <w:spacing w:before="0" w:after="0"/>
        <w:rPr>
          <w:highlight w:val="white"/>
        </w:rPr>
      </w:pPr>
      <w:r>
        <w:rPr>
          <w:highlight w:val="white"/>
        </w:rPr>
        <w:lastRenderedPageBreak/>
        <w:t xml:space="preserve">Element 1: </w:t>
      </w:r>
      <w:r w:rsidR="00A2738F" w:rsidRPr="00C95B38">
        <w:rPr>
          <w:highlight w:val="white"/>
        </w:rPr>
        <w:t>Introduction</w:t>
      </w:r>
      <w:bookmarkEnd w:id="1"/>
    </w:p>
    <w:p w14:paraId="63EE6EC1"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Overview of the project </w:t>
      </w:r>
    </w:p>
    <w:p w14:paraId="4D1BD8B9"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Lower Thames Crossing refers to a UK-based project to develop a transportation system by building a 14.5-mile route linking the M25 and the A2. Reportedly, </w:t>
      </w:r>
      <w:r w:rsidR="00C95B38" w:rsidRPr="00C95B38">
        <w:rPr>
          <w:rFonts w:ascii="Times New Roman" w:eastAsia="Times New Roman" w:hAnsi="Times New Roman" w:cs="Times New Roman"/>
          <w:sz w:val="24"/>
          <w:szCs w:val="24"/>
          <w:highlight w:val="white"/>
        </w:rPr>
        <w:t>a fresh round of government spending cuts after the minister confirmed the long-awaited £11 billion scheme remains on track (Greenway, 2026) has affected this project</w:t>
      </w:r>
      <w:r w:rsidRPr="00C95B38">
        <w:rPr>
          <w:rFonts w:ascii="Times New Roman" w:eastAsia="Times New Roman" w:hAnsi="Times New Roman" w:cs="Times New Roman"/>
          <w:sz w:val="24"/>
          <w:szCs w:val="24"/>
          <w:highlight w:val="white"/>
        </w:rPr>
        <w:t xml:space="preserve">. The key partners of this project include Bouygues </w:t>
      </w:r>
      <w:proofErr w:type="spellStart"/>
      <w:r w:rsidRPr="00C95B38">
        <w:rPr>
          <w:rFonts w:ascii="Times New Roman" w:eastAsia="Times New Roman" w:hAnsi="Times New Roman" w:cs="Times New Roman"/>
          <w:sz w:val="24"/>
          <w:szCs w:val="24"/>
          <w:highlight w:val="white"/>
        </w:rPr>
        <w:t>Travaux</w:t>
      </w:r>
      <w:proofErr w:type="spellEnd"/>
      <w:r w:rsidRPr="00C95B38">
        <w:rPr>
          <w:rFonts w:ascii="Times New Roman" w:eastAsia="Times New Roman" w:hAnsi="Times New Roman" w:cs="Times New Roman"/>
          <w:sz w:val="24"/>
          <w:szCs w:val="24"/>
          <w:highlight w:val="white"/>
        </w:rPr>
        <w:t xml:space="preserve"> Publics, Murphy, Balfour Beatty, and Skanska for </w:t>
      </w:r>
      <w:r w:rsidR="00C95B38" w:rsidRPr="00C95B38">
        <w:rPr>
          <w:rFonts w:ascii="Times New Roman" w:eastAsia="Times New Roman" w:hAnsi="Times New Roman" w:cs="Times New Roman"/>
          <w:sz w:val="24"/>
          <w:szCs w:val="24"/>
          <w:highlight w:val="white"/>
        </w:rPr>
        <w:t>construction</w:t>
      </w:r>
      <w:r w:rsidRPr="00C95B38">
        <w:rPr>
          <w:rFonts w:ascii="Times New Roman" w:eastAsia="Times New Roman" w:hAnsi="Times New Roman" w:cs="Times New Roman"/>
          <w:sz w:val="24"/>
          <w:szCs w:val="24"/>
          <w:highlight w:val="white"/>
        </w:rPr>
        <w:t xml:space="preserve"> and Jacobs for project management and control. Preparatory work has already begun, whereas the main full construction and tunnelling for the Lower Thames Crossing will begin in 2028 (</w:t>
      </w:r>
      <w:proofErr w:type="spellStart"/>
      <w:r w:rsidRPr="00C95B38">
        <w:rPr>
          <w:rFonts w:ascii="Times New Roman" w:eastAsia="Times New Roman" w:hAnsi="Times New Roman" w:cs="Times New Roman"/>
          <w:sz w:val="24"/>
          <w:szCs w:val="24"/>
          <w:highlight w:val="white"/>
        </w:rPr>
        <w:t>Stevanovic</w:t>
      </w:r>
      <w:proofErr w:type="spellEnd"/>
      <w:r w:rsidRPr="00C95B38">
        <w:rPr>
          <w:rFonts w:ascii="Times New Roman" w:eastAsia="Times New Roman" w:hAnsi="Times New Roman" w:cs="Times New Roman"/>
          <w:sz w:val="24"/>
          <w:szCs w:val="24"/>
          <w:highlight w:val="white"/>
        </w:rPr>
        <w:t>, 2025). National Hig</w:t>
      </w:r>
      <w:r w:rsidR="00C95B38">
        <w:rPr>
          <w:rFonts w:ascii="Times New Roman" w:eastAsia="Times New Roman" w:hAnsi="Times New Roman" w:cs="Times New Roman"/>
          <w:sz w:val="24"/>
          <w:szCs w:val="24"/>
          <w:highlight w:val="white"/>
        </w:rPr>
        <w:t>hways would manage this project like</w:t>
      </w:r>
      <w:r w:rsidRPr="00C95B38">
        <w:rPr>
          <w:rFonts w:ascii="Times New Roman" w:eastAsia="Times New Roman" w:hAnsi="Times New Roman" w:cs="Times New Roman"/>
          <w:sz w:val="24"/>
          <w:szCs w:val="24"/>
          <w:highlight w:val="white"/>
        </w:rPr>
        <w:t xml:space="preserve"> the 14.5-mile route linking Essex and Kent through the longest road tunnel in the UK, focusing on decreasing Dartford Crossing congestion (</w:t>
      </w:r>
      <w:proofErr w:type="spellStart"/>
      <w:r w:rsidRPr="00C95B38">
        <w:rPr>
          <w:rFonts w:ascii="Times New Roman" w:eastAsia="Times New Roman" w:hAnsi="Times New Roman" w:cs="Times New Roman"/>
          <w:sz w:val="24"/>
          <w:szCs w:val="24"/>
          <w:highlight w:val="white"/>
        </w:rPr>
        <w:t>Partington</w:t>
      </w:r>
      <w:proofErr w:type="spellEnd"/>
      <w:r w:rsidRPr="00C95B38">
        <w:rPr>
          <w:rFonts w:ascii="Times New Roman" w:eastAsia="Times New Roman" w:hAnsi="Times New Roman" w:cs="Times New Roman"/>
          <w:sz w:val="24"/>
          <w:szCs w:val="24"/>
          <w:highlight w:val="white"/>
        </w:rPr>
        <w:t xml:space="preserve">, 2026). The scope of the proposed project is to build two massive, long tunnels under the River Thames. Additionally, this project also aims to create tunnel parts and control systems such as emergency pathways and entry buildings, keeping the tunnels safe and running well. This project is officially focused on completing and opening the new road and tunnels to traffic by the end of 2032. </w:t>
      </w:r>
    </w:p>
    <w:p w14:paraId="40561FA7"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br w:type="page"/>
      </w:r>
    </w:p>
    <w:p w14:paraId="43091977"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Relevance of the Project </w:t>
      </w:r>
    </w:p>
    <w:p w14:paraId="4F22D53A"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Lower Thames Crossing is a massive transport system project aiming to build the UK’s largest road tunnel (23 km) between Kent and Essex. This project will successfully bypass the heavily congested Dartford Crossing and reduce the regional travel times. In addition, this project directly links UK Ports to the North and Midlands, heavily streamlining freight and driving commercial connectivity (Whitehouse, 2025). As per these two points of relevance, it can be stated that the Lower Thames Crossing Tunnel project will unlock economic growth by reducing transit times and streamlining freight, cementing UK international trade and domestic supply chains. </w:t>
      </w:r>
    </w:p>
    <w:p w14:paraId="065AFA99"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Key stakeholders and Impact of the project on stakeholders </w:t>
      </w:r>
    </w:p>
    <w:p w14:paraId="6B4C81F7"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potential six stakeholders of this project are government, local residents, investors, suppliers, community members, and employees. </w:t>
      </w:r>
    </w:p>
    <w:p w14:paraId="7122DE62"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i/>
          <w:iCs/>
          <w:sz w:val="24"/>
          <w:szCs w:val="24"/>
          <w:highlight w:val="white"/>
        </w:rPr>
      </w:pPr>
      <w:r w:rsidRPr="00C95B38">
        <w:rPr>
          <w:rFonts w:ascii="Times New Roman" w:eastAsia="Times New Roman" w:hAnsi="Times New Roman" w:cs="Times New Roman"/>
          <w:b/>
          <w:bCs/>
          <w:i/>
          <w:iCs/>
          <w:sz w:val="24"/>
          <w:szCs w:val="24"/>
          <w:highlight w:val="white"/>
        </w:rPr>
        <w:t xml:space="preserve">Local residents </w:t>
      </w:r>
    </w:p>
    <w:p w14:paraId="61BA46F7"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Experience faster, less congested local roads as it reveals the Dartford Crossing</w:t>
      </w:r>
    </w:p>
    <w:p w14:paraId="42416B30"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i/>
          <w:iCs/>
          <w:sz w:val="24"/>
          <w:szCs w:val="24"/>
          <w:highlight w:val="white"/>
        </w:rPr>
      </w:pPr>
      <w:r w:rsidRPr="00C95B38">
        <w:rPr>
          <w:rFonts w:ascii="Times New Roman" w:eastAsia="Times New Roman" w:hAnsi="Times New Roman" w:cs="Times New Roman"/>
          <w:b/>
          <w:bCs/>
          <w:i/>
          <w:iCs/>
          <w:sz w:val="24"/>
          <w:szCs w:val="24"/>
          <w:highlight w:val="white"/>
        </w:rPr>
        <w:t xml:space="preserve">Investors </w:t>
      </w:r>
    </w:p>
    <w:p w14:paraId="62B9FB22"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They take back secure, stable infrastructural returns through private financing initiatives </w:t>
      </w:r>
    </w:p>
    <w:p w14:paraId="13E43A5F"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i/>
          <w:iCs/>
          <w:sz w:val="24"/>
          <w:szCs w:val="24"/>
          <w:highlight w:val="white"/>
        </w:rPr>
      </w:pPr>
      <w:r w:rsidRPr="00C95B38">
        <w:rPr>
          <w:rFonts w:ascii="Times New Roman" w:eastAsia="Times New Roman" w:hAnsi="Times New Roman" w:cs="Times New Roman"/>
          <w:b/>
          <w:bCs/>
          <w:i/>
          <w:iCs/>
          <w:sz w:val="24"/>
          <w:szCs w:val="24"/>
          <w:highlight w:val="white"/>
        </w:rPr>
        <w:t xml:space="preserve">Suppliers </w:t>
      </w:r>
    </w:p>
    <w:p w14:paraId="359FFB05"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They gain long-term revenue through the project contracts </w:t>
      </w:r>
    </w:p>
    <w:p w14:paraId="556DC49C"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i/>
          <w:iCs/>
          <w:sz w:val="24"/>
          <w:szCs w:val="24"/>
          <w:highlight w:val="white"/>
        </w:rPr>
      </w:pPr>
      <w:r w:rsidRPr="00C95B38">
        <w:rPr>
          <w:rFonts w:ascii="Times New Roman" w:eastAsia="Times New Roman" w:hAnsi="Times New Roman" w:cs="Times New Roman"/>
          <w:b/>
          <w:bCs/>
          <w:i/>
          <w:iCs/>
          <w:sz w:val="24"/>
          <w:szCs w:val="24"/>
          <w:highlight w:val="white"/>
        </w:rPr>
        <w:t xml:space="preserve">Community members </w:t>
      </w:r>
    </w:p>
    <w:p w14:paraId="6F1C6DAF"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They receive new green logistics such as woodlands and walking paths </w:t>
      </w:r>
    </w:p>
    <w:p w14:paraId="30A8CAAF"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i/>
          <w:iCs/>
          <w:sz w:val="24"/>
          <w:szCs w:val="24"/>
          <w:highlight w:val="white"/>
        </w:rPr>
      </w:pPr>
      <w:r w:rsidRPr="00C95B38">
        <w:rPr>
          <w:rFonts w:ascii="Times New Roman" w:eastAsia="Times New Roman" w:hAnsi="Times New Roman" w:cs="Times New Roman"/>
          <w:b/>
          <w:bCs/>
          <w:i/>
          <w:iCs/>
          <w:sz w:val="24"/>
          <w:szCs w:val="24"/>
          <w:highlight w:val="white"/>
        </w:rPr>
        <w:t xml:space="preserve">Employees </w:t>
      </w:r>
    </w:p>
    <w:p w14:paraId="56747C02"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sz w:val="24"/>
          <w:szCs w:val="24"/>
          <w:highlight w:val="white"/>
        </w:rPr>
        <w:t xml:space="preserve">They acquire thousands of construction jobs as well as skill training </w:t>
      </w:r>
    </w:p>
    <w:p w14:paraId="4DC629CC" w14:textId="77777777" w:rsidR="00CB0427" w:rsidRPr="00C95B38" w:rsidRDefault="00A2738F" w:rsidP="00C95B38">
      <w:pPr>
        <w:shd w:val="clear" w:color="auto" w:fill="FFFFFF"/>
        <w:spacing w:line="360" w:lineRule="auto"/>
        <w:rPr>
          <w:rFonts w:ascii="Times New Roman" w:eastAsia="Times New Roman" w:hAnsi="Times New Roman" w:cs="Times New Roman"/>
          <w:b/>
          <w:bCs/>
          <w:sz w:val="24"/>
          <w:szCs w:val="24"/>
          <w:highlight w:val="white"/>
        </w:rPr>
      </w:pPr>
      <w:r w:rsidRPr="00C95B38">
        <w:br w:type="page"/>
      </w:r>
    </w:p>
    <w:p w14:paraId="463E657B" w14:textId="77777777" w:rsidR="00CB0427" w:rsidRPr="00C95B38" w:rsidRDefault="00C95B38" w:rsidP="00C95B38">
      <w:pPr>
        <w:pStyle w:val="Heading1"/>
        <w:spacing w:before="0" w:after="0"/>
        <w:rPr>
          <w:highlight w:val="white"/>
        </w:rPr>
      </w:pPr>
      <w:bookmarkStart w:id="2" w:name="_Toc234942909"/>
      <w:r w:rsidRPr="00C95B38">
        <w:rPr>
          <w:highlight w:val="white"/>
        </w:rPr>
        <w:t xml:space="preserve">Element 2: </w:t>
      </w:r>
      <w:r w:rsidR="00A2738F" w:rsidRPr="00C95B38">
        <w:rPr>
          <w:highlight w:val="white"/>
        </w:rPr>
        <w:t>Application to include Stakeholder Engagement Strategies</w:t>
      </w:r>
      <w:bookmarkEnd w:id="2"/>
      <w:r w:rsidR="00A2738F" w:rsidRPr="00C95B38">
        <w:rPr>
          <w:highlight w:val="white"/>
        </w:rPr>
        <w:t xml:space="preserve"> </w:t>
      </w:r>
    </w:p>
    <w:p w14:paraId="62C7E883"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Power, influence, and interest table for stakeholders </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253"/>
        <w:gridCol w:w="2252"/>
        <w:gridCol w:w="2252"/>
        <w:gridCol w:w="2252"/>
      </w:tblGrid>
      <w:tr w:rsidR="00CB0427" w:rsidRPr="00C95B38" w14:paraId="18230A4D" w14:textId="77777777" w:rsidTr="00CD70E9">
        <w:tc>
          <w:tcPr>
            <w:tcW w:w="1250" w:type="pct"/>
            <w:shd w:val="clear" w:color="auto" w:fill="auto"/>
            <w:tcMar>
              <w:top w:w="100" w:type="dxa"/>
              <w:left w:w="100" w:type="dxa"/>
              <w:bottom w:w="100" w:type="dxa"/>
              <w:right w:w="100" w:type="dxa"/>
            </w:tcMar>
          </w:tcPr>
          <w:p w14:paraId="2A2FD8B6"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Stakeholder</w:t>
            </w:r>
          </w:p>
        </w:tc>
        <w:tc>
          <w:tcPr>
            <w:tcW w:w="1250" w:type="pct"/>
            <w:shd w:val="clear" w:color="auto" w:fill="auto"/>
            <w:tcMar>
              <w:top w:w="100" w:type="dxa"/>
              <w:left w:w="100" w:type="dxa"/>
              <w:bottom w:w="100" w:type="dxa"/>
              <w:right w:w="100" w:type="dxa"/>
            </w:tcMar>
          </w:tcPr>
          <w:p w14:paraId="08997FE8"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Level of Power</w:t>
            </w:r>
          </w:p>
        </w:tc>
        <w:tc>
          <w:tcPr>
            <w:tcW w:w="1250" w:type="pct"/>
            <w:shd w:val="clear" w:color="auto" w:fill="auto"/>
            <w:tcMar>
              <w:top w:w="100" w:type="dxa"/>
              <w:left w:w="100" w:type="dxa"/>
              <w:bottom w:w="100" w:type="dxa"/>
              <w:right w:w="100" w:type="dxa"/>
            </w:tcMar>
          </w:tcPr>
          <w:p w14:paraId="03CCAD31"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Level of Interest</w:t>
            </w:r>
          </w:p>
        </w:tc>
        <w:tc>
          <w:tcPr>
            <w:tcW w:w="1250" w:type="pct"/>
            <w:shd w:val="clear" w:color="auto" w:fill="auto"/>
            <w:tcMar>
              <w:top w:w="100" w:type="dxa"/>
              <w:left w:w="100" w:type="dxa"/>
              <w:bottom w:w="100" w:type="dxa"/>
              <w:right w:w="100" w:type="dxa"/>
            </w:tcMar>
          </w:tcPr>
          <w:p w14:paraId="5E1CF655"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Influence</w:t>
            </w:r>
          </w:p>
        </w:tc>
      </w:tr>
      <w:tr w:rsidR="00CB0427" w:rsidRPr="00C95B38" w14:paraId="618AE867" w14:textId="77777777" w:rsidTr="00CD70E9">
        <w:tc>
          <w:tcPr>
            <w:tcW w:w="1250" w:type="pct"/>
            <w:shd w:val="clear" w:color="auto" w:fill="auto"/>
            <w:tcMar>
              <w:top w:w="100" w:type="dxa"/>
              <w:left w:w="100" w:type="dxa"/>
              <w:bottom w:w="100" w:type="dxa"/>
              <w:right w:w="100" w:type="dxa"/>
            </w:tcMar>
          </w:tcPr>
          <w:p w14:paraId="134EE346"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Government </w:t>
            </w:r>
          </w:p>
        </w:tc>
        <w:tc>
          <w:tcPr>
            <w:tcW w:w="1250" w:type="pct"/>
            <w:shd w:val="clear" w:color="auto" w:fill="auto"/>
            <w:tcMar>
              <w:top w:w="100" w:type="dxa"/>
              <w:left w:w="100" w:type="dxa"/>
              <w:bottom w:w="100" w:type="dxa"/>
              <w:right w:w="100" w:type="dxa"/>
            </w:tcMar>
          </w:tcPr>
          <w:p w14:paraId="5471A9DA"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High</w:t>
            </w:r>
          </w:p>
        </w:tc>
        <w:tc>
          <w:tcPr>
            <w:tcW w:w="1250" w:type="pct"/>
            <w:shd w:val="clear" w:color="auto" w:fill="auto"/>
            <w:tcMar>
              <w:top w:w="100" w:type="dxa"/>
              <w:left w:w="100" w:type="dxa"/>
              <w:bottom w:w="100" w:type="dxa"/>
              <w:right w:w="100" w:type="dxa"/>
            </w:tcMar>
          </w:tcPr>
          <w:p w14:paraId="278DFD98"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High </w:t>
            </w:r>
          </w:p>
        </w:tc>
        <w:tc>
          <w:tcPr>
            <w:tcW w:w="1250" w:type="pct"/>
            <w:shd w:val="clear" w:color="auto" w:fill="auto"/>
            <w:tcMar>
              <w:top w:w="100" w:type="dxa"/>
              <w:left w:w="100" w:type="dxa"/>
              <w:bottom w:w="100" w:type="dxa"/>
              <w:right w:w="100" w:type="dxa"/>
            </w:tcMar>
          </w:tcPr>
          <w:p w14:paraId="0D466B31"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High </w:t>
            </w:r>
          </w:p>
        </w:tc>
      </w:tr>
      <w:tr w:rsidR="00CB0427" w:rsidRPr="00C95B38" w14:paraId="60487413" w14:textId="77777777" w:rsidTr="00CD70E9">
        <w:tc>
          <w:tcPr>
            <w:tcW w:w="1250" w:type="pct"/>
            <w:shd w:val="clear" w:color="auto" w:fill="auto"/>
            <w:tcMar>
              <w:top w:w="100" w:type="dxa"/>
              <w:left w:w="100" w:type="dxa"/>
              <w:bottom w:w="100" w:type="dxa"/>
              <w:right w:w="100" w:type="dxa"/>
            </w:tcMar>
          </w:tcPr>
          <w:p w14:paraId="29029AB3"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Investors </w:t>
            </w:r>
          </w:p>
        </w:tc>
        <w:tc>
          <w:tcPr>
            <w:tcW w:w="1250" w:type="pct"/>
            <w:shd w:val="clear" w:color="auto" w:fill="auto"/>
            <w:tcMar>
              <w:top w:w="100" w:type="dxa"/>
              <w:left w:w="100" w:type="dxa"/>
              <w:bottom w:w="100" w:type="dxa"/>
              <w:right w:w="100" w:type="dxa"/>
            </w:tcMar>
          </w:tcPr>
          <w:p w14:paraId="63F5925A" w14:textId="77777777" w:rsidR="00CB0427" w:rsidRPr="00C95B38" w:rsidRDefault="00A2738F" w:rsidP="00C95B38">
            <w:pPr>
              <w:widowControl w:val="0"/>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High</w:t>
            </w:r>
          </w:p>
        </w:tc>
        <w:tc>
          <w:tcPr>
            <w:tcW w:w="1250" w:type="pct"/>
            <w:shd w:val="clear" w:color="auto" w:fill="auto"/>
            <w:tcMar>
              <w:top w:w="100" w:type="dxa"/>
              <w:left w:w="100" w:type="dxa"/>
              <w:bottom w:w="100" w:type="dxa"/>
              <w:right w:w="100" w:type="dxa"/>
            </w:tcMar>
          </w:tcPr>
          <w:p w14:paraId="5EFC71EB" w14:textId="77777777" w:rsidR="00CB0427" w:rsidRPr="00C95B38" w:rsidRDefault="00A2738F" w:rsidP="00C95B38">
            <w:pPr>
              <w:widowControl w:val="0"/>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High </w:t>
            </w:r>
          </w:p>
        </w:tc>
        <w:tc>
          <w:tcPr>
            <w:tcW w:w="1250" w:type="pct"/>
            <w:shd w:val="clear" w:color="auto" w:fill="auto"/>
            <w:tcMar>
              <w:top w:w="100" w:type="dxa"/>
              <w:left w:w="100" w:type="dxa"/>
              <w:bottom w:w="100" w:type="dxa"/>
              <w:right w:w="100" w:type="dxa"/>
            </w:tcMar>
          </w:tcPr>
          <w:p w14:paraId="15AB1B71" w14:textId="77777777" w:rsidR="00CB0427" w:rsidRPr="00C95B38" w:rsidRDefault="00A2738F" w:rsidP="00C95B38">
            <w:pPr>
              <w:widowControl w:val="0"/>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High </w:t>
            </w:r>
          </w:p>
        </w:tc>
      </w:tr>
      <w:tr w:rsidR="00CB0427" w:rsidRPr="00C95B38" w14:paraId="422315CE" w14:textId="77777777" w:rsidTr="00CD70E9">
        <w:tc>
          <w:tcPr>
            <w:tcW w:w="1250" w:type="pct"/>
            <w:shd w:val="clear" w:color="auto" w:fill="auto"/>
            <w:tcMar>
              <w:top w:w="100" w:type="dxa"/>
              <w:left w:w="100" w:type="dxa"/>
              <w:bottom w:w="100" w:type="dxa"/>
              <w:right w:w="100" w:type="dxa"/>
            </w:tcMar>
          </w:tcPr>
          <w:p w14:paraId="5699D551"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Community members </w:t>
            </w:r>
          </w:p>
        </w:tc>
        <w:tc>
          <w:tcPr>
            <w:tcW w:w="1250" w:type="pct"/>
            <w:shd w:val="clear" w:color="auto" w:fill="auto"/>
            <w:tcMar>
              <w:top w:w="100" w:type="dxa"/>
              <w:left w:w="100" w:type="dxa"/>
              <w:bottom w:w="100" w:type="dxa"/>
              <w:right w:w="100" w:type="dxa"/>
            </w:tcMar>
          </w:tcPr>
          <w:p w14:paraId="66996B27"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Low </w:t>
            </w:r>
          </w:p>
        </w:tc>
        <w:tc>
          <w:tcPr>
            <w:tcW w:w="1250" w:type="pct"/>
            <w:shd w:val="clear" w:color="auto" w:fill="auto"/>
            <w:tcMar>
              <w:top w:w="100" w:type="dxa"/>
              <w:left w:w="100" w:type="dxa"/>
              <w:bottom w:w="100" w:type="dxa"/>
              <w:right w:w="100" w:type="dxa"/>
            </w:tcMar>
          </w:tcPr>
          <w:p w14:paraId="26B09222"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High </w:t>
            </w:r>
          </w:p>
        </w:tc>
        <w:tc>
          <w:tcPr>
            <w:tcW w:w="1250" w:type="pct"/>
            <w:shd w:val="clear" w:color="auto" w:fill="auto"/>
            <w:tcMar>
              <w:top w:w="100" w:type="dxa"/>
              <w:left w:w="100" w:type="dxa"/>
              <w:bottom w:w="100" w:type="dxa"/>
              <w:right w:w="100" w:type="dxa"/>
            </w:tcMar>
          </w:tcPr>
          <w:p w14:paraId="5EE2E975"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Medium </w:t>
            </w:r>
          </w:p>
        </w:tc>
      </w:tr>
      <w:tr w:rsidR="00CB0427" w:rsidRPr="00C95B38" w14:paraId="3C19B24A" w14:textId="77777777" w:rsidTr="00CD70E9">
        <w:tc>
          <w:tcPr>
            <w:tcW w:w="1250" w:type="pct"/>
            <w:shd w:val="clear" w:color="auto" w:fill="auto"/>
            <w:tcMar>
              <w:top w:w="100" w:type="dxa"/>
              <w:left w:w="100" w:type="dxa"/>
              <w:bottom w:w="100" w:type="dxa"/>
              <w:right w:w="100" w:type="dxa"/>
            </w:tcMar>
          </w:tcPr>
          <w:p w14:paraId="570853AE"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Suppliers </w:t>
            </w:r>
          </w:p>
        </w:tc>
        <w:tc>
          <w:tcPr>
            <w:tcW w:w="1250" w:type="pct"/>
            <w:shd w:val="clear" w:color="auto" w:fill="auto"/>
            <w:tcMar>
              <w:top w:w="100" w:type="dxa"/>
              <w:left w:w="100" w:type="dxa"/>
              <w:bottom w:w="100" w:type="dxa"/>
              <w:right w:w="100" w:type="dxa"/>
            </w:tcMar>
          </w:tcPr>
          <w:p w14:paraId="757F1DDD"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Low </w:t>
            </w:r>
          </w:p>
        </w:tc>
        <w:tc>
          <w:tcPr>
            <w:tcW w:w="1250" w:type="pct"/>
            <w:shd w:val="clear" w:color="auto" w:fill="auto"/>
            <w:tcMar>
              <w:top w:w="100" w:type="dxa"/>
              <w:left w:w="100" w:type="dxa"/>
              <w:bottom w:w="100" w:type="dxa"/>
              <w:right w:w="100" w:type="dxa"/>
            </w:tcMar>
          </w:tcPr>
          <w:p w14:paraId="28A99774"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Low </w:t>
            </w:r>
          </w:p>
        </w:tc>
        <w:tc>
          <w:tcPr>
            <w:tcW w:w="1250" w:type="pct"/>
            <w:shd w:val="clear" w:color="auto" w:fill="auto"/>
            <w:tcMar>
              <w:top w:w="100" w:type="dxa"/>
              <w:left w:w="100" w:type="dxa"/>
              <w:bottom w:w="100" w:type="dxa"/>
              <w:right w:w="100" w:type="dxa"/>
            </w:tcMar>
          </w:tcPr>
          <w:p w14:paraId="0D2413D6"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Low </w:t>
            </w:r>
          </w:p>
        </w:tc>
      </w:tr>
      <w:tr w:rsidR="00CB0427" w:rsidRPr="00C95B38" w14:paraId="0A079025" w14:textId="77777777" w:rsidTr="00CD70E9">
        <w:tc>
          <w:tcPr>
            <w:tcW w:w="1250" w:type="pct"/>
            <w:shd w:val="clear" w:color="auto" w:fill="auto"/>
            <w:tcMar>
              <w:top w:w="100" w:type="dxa"/>
              <w:left w:w="100" w:type="dxa"/>
              <w:bottom w:w="100" w:type="dxa"/>
              <w:right w:w="100" w:type="dxa"/>
            </w:tcMar>
          </w:tcPr>
          <w:p w14:paraId="40D9878A"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Employees </w:t>
            </w:r>
          </w:p>
        </w:tc>
        <w:tc>
          <w:tcPr>
            <w:tcW w:w="1250" w:type="pct"/>
            <w:shd w:val="clear" w:color="auto" w:fill="auto"/>
            <w:tcMar>
              <w:top w:w="100" w:type="dxa"/>
              <w:left w:w="100" w:type="dxa"/>
              <w:bottom w:w="100" w:type="dxa"/>
              <w:right w:w="100" w:type="dxa"/>
            </w:tcMar>
          </w:tcPr>
          <w:p w14:paraId="74319DFC"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High</w:t>
            </w:r>
          </w:p>
        </w:tc>
        <w:tc>
          <w:tcPr>
            <w:tcW w:w="1250" w:type="pct"/>
            <w:shd w:val="clear" w:color="auto" w:fill="auto"/>
            <w:tcMar>
              <w:top w:w="100" w:type="dxa"/>
              <w:left w:w="100" w:type="dxa"/>
              <w:bottom w:w="100" w:type="dxa"/>
              <w:right w:w="100" w:type="dxa"/>
            </w:tcMar>
          </w:tcPr>
          <w:p w14:paraId="2E86B91F"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Low </w:t>
            </w:r>
          </w:p>
        </w:tc>
        <w:tc>
          <w:tcPr>
            <w:tcW w:w="1250" w:type="pct"/>
            <w:shd w:val="clear" w:color="auto" w:fill="auto"/>
            <w:tcMar>
              <w:top w:w="100" w:type="dxa"/>
              <w:left w:w="100" w:type="dxa"/>
              <w:bottom w:w="100" w:type="dxa"/>
              <w:right w:w="100" w:type="dxa"/>
            </w:tcMar>
          </w:tcPr>
          <w:p w14:paraId="01789562"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Low </w:t>
            </w:r>
          </w:p>
        </w:tc>
      </w:tr>
      <w:tr w:rsidR="00CB0427" w:rsidRPr="00C95B38" w14:paraId="1056E1A4" w14:textId="77777777" w:rsidTr="00CD70E9">
        <w:tc>
          <w:tcPr>
            <w:tcW w:w="1250" w:type="pct"/>
            <w:shd w:val="clear" w:color="auto" w:fill="auto"/>
            <w:tcMar>
              <w:top w:w="100" w:type="dxa"/>
              <w:left w:w="100" w:type="dxa"/>
              <w:bottom w:w="100" w:type="dxa"/>
              <w:right w:w="100" w:type="dxa"/>
            </w:tcMar>
          </w:tcPr>
          <w:p w14:paraId="5F31901E"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Local Residents </w:t>
            </w:r>
          </w:p>
        </w:tc>
        <w:tc>
          <w:tcPr>
            <w:tcW w:w="1250" w:type="pct"/>
            <w:shd w:val="clear" w:color="auto" w:fill="auto"/>
            <w:tcMar>
              <w:top w:w="100" w:type="dxa"/>
              <w:left w:w="100" w:type="dxa"/>
              <w:bottom w:w="100" w:type="dxa"/>
              <w:right w:w="100" w:type="dxa"/>
            </w:tcMar>
          </w:tcPr>
          <w:p w14:paraId="0B72A87B"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Low </w:t>
            </w:r>
          </w:p>
        </w:tc>
        <w:tc>
          <w:tcPr>
            <w:tcW w:w="1250" w:type="pct"/>
            <w:shd w:val="clear" w:color="auto" w:fill="auto"/>
            <w:tcMar>
              <w:top w:w="100" w:type="dxa"/>
              <w:left w:w="100" w:type="dxa"/>
              <w:bottom w:w="100" w:type="dxa"/>
              <w:right w:w="100" w:type="dxa"/>
            </w:tcMar>
          </w:tcPr>
          <w:p w14:paraId="48B61CBF"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High </w:t>
            </w:r>
          </w:p>
        </w:tc>
        <w:tc>
          <w:tcPr>
            <w:tcW w:w="1250" w:type="pct"/>
            <w:shd w:val="clear" w:color="auto" w:fill="auto"/>
            <w:tcMar>
              <w:top w:w="100" w:type="dxa"/>
              <w:left w:w="100" w:type="dxa"/>
              <w:bottom w:w="100" w:type="dxa"/>
              <w:right w:w="100" w:type="dxa"/>
            </w:tcMar>
          </w:tcPr>
          <w:p w14:paraId="0D79AFB8" w14:textId="77777777" w:rsidR="00CB0427" w:rsidRPr="00C95B38" w:rsidRDefault="00A2738F" w:rsidP="00C95B38">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Medium </w:t>
            </w:r>
          </w:p>
        </w:tc>
      </w:tr>
    </w:tbl>
    <w:p w14:paraId="701B021A" w14:textId="77777777" w:rsidR="00CB0427" w:rsidRPr="00C95B38" w:rsidRDefault="00A2738F" w:rsidP="00C95B38">
      <w:pPr>
        <w:shd w:val="clear" w:color="auto" w:fill="FFFFFF"/>
        <w:spacing w:line="360" w:lineRule="auto"/>
        <w:jc w:val="center"/>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Table 1: Power, Influence and Interest Table </w:t>
      </w:r>
    </w:p>
    <w:p w14:paraId="572CA21F"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sz w:val="24"/>
          <w:szCs w:val="24"/>
          <w:highlight w:val="white"/>
        </w:rPr>
        <w:t xml:space="preserve">Based on Table 1, it can be stated that the government and investors have power, interest, and strong influence on the LTC project plan in the future. The government and investors may hold high power, interest, and influence as both stakeholders of the LTC project offer funding, approve statutory permissions, and shape overarching National Highway Policies and other relevant restrictions. On the other hand, local residents and community members have low formal power and high interest in the chosen transportation development project in the UK. Both stakeholders would be impacted by the Lower Thames Crossing Tunnel environmental as well as traffic changes, which makes them have medium influence through public consultations. As per the opinion of Chang and Tanner (2022), transportation projects need to be managed to align with local requirements, helping to prevent neighbourhood disruption and minimise negative environmental or economic impacts on residents. In this context, the LTC project manager must prioritise the minimal influence and high interest of the local residents and community members while executing the plan. In addition, suppliers possess low power, interest, and influence over the entire project design, as both stakeholders primarily execute predefined contractual roles and responsibilities. The employees have high power and low interest and influence, as employees are the key individuals to execute the entire project plan from start to end. </w:t>
      </w:r>
      <w:r w:rsidRPr="00C95B38">
        <w:br w:type="page"/>
      </w:r>
    </w:p>
    <w:p w14:paraId="665450B5"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Stakeholder Map</w:t>
      </w:r>
    </w:p>
    <w:p w14:paraId="4BA91A9A" w14:textId="77777777" w:rsidR="00CB0427" w:rsidRPr="00C95B38" w:rsidRDefault="00A2738F" w:rsidP="00C95B38">
      <w:pPr>
        <w:shd w:val="clear" w:color="auto" w:fill="FFFFFF"/>
        <w:spacing w:line="360" w:lineRule="auto"/>
        <w:jc w:val="center"/>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noProof/>
          <w:sz w:val="24"/>
          <w:szCs w:val="24"/>
          <w:highlight w:val="white"/>
        </w:rPr>
        <w:drawing>
          <wp:inline distT="114300" distB="114300" distL="114300" distR="114300" wp14:anchorId="4E03A6C0" wp14:editId="7D20EA5D">
            <wp:extent cx="4676775" cy="3086100"/>
            <wp:effectExtent l="19050" t="19050" r="28575" b="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677314" cy="3086456"/>
                    </a:xfrm>
                    <a:prstGeom prst="rect">
                      <a:avLst/>
                    </a:prstGeom>
                    <a:ln w="12700">
                      <a:solidFill>
                        <a:srgbClr val="000000"/>
                      </a:solidFill>
                      <a:prstDash val="solid"/>
                    </a:ln>
                  </pic:spPr>
                </pic:pic>
              </a:graphicData>
            </a:graphic>
          </wp:inline>
        </w:drawing>
      </w:r>
    </w:p>
    <w:p w14:paraId="316E6089" w14:textId="77777777" w:rsidR="00CB0427" w:rsidRPr="00C95B38" w:rsidRDefault="00A2738F" w:rsidP="00C95B38">
      <w:pPr>
        <w:shd w:val="clear" w:color="auto" w:fill="FFFFFF"/>
        <w:spacing w:line="360" w:lineRule="auto"/>
        <w:jc w:val="center"/>
        <w:rPr>
          <w:rFonts w:ascii="Times New Roman" w:eastAsia="Times New Roman" w:hAnsi="Times New Roman" w:cs="Times New Roman"/>
          <w:sz w:val="24"/>
          <w:szCs w:val="24"/>
          <w:highlight w:val="white"/>
        </w:rPr>
      </w:pPr>
      <w:r w:rsidRPr="00C95B38">
        <w:rPr>
          <w:rFonts w:ascii="Times New Roman" w:eastAsia="Times New Roman" w:hAnsi="Times New Roman" w:cs="Times New Roman"/>
          <w:b/>
          <w:bCs/>
          <w:sz w:val="24"/>
          <w:szCs w:val="24"/>
          <w:highlight w:val="white"/>
        </w:rPr>
        <w:t xml:space="preserve">Figure 1: Stakeholder Map of LTC project </w:t>
      </w:r>
    </w:p>
    <w:p w14:paraId="727A3265"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sz w:val="24"/>
          <w:szCs w:val="24"/>
          <w:highlight w:val="white"/>
        </w:rPr>
        <w:t xml:space="preserve">The figure one indicates a stakeholder map where the six stakeholders of the LTC project are segregated as per their power and interest. According to Guise </w:t>
      </w:r>
      <w:r w:rsidRPr="00C95B38">
        <w:rPr>
          <w:rFonts w:ascii="Times New Roman" w:eastAsia="Times New Roman" w:hAnsi="Times New Roman" w:cs="Times New Roman"/>
          <w:i/>
          <w:iCs/>
          <w:sz w:val="24"/>
          <w:szCs w:val="24"/>
          <w:highlight w:val="white"/>
        </w:rPr>
        <w:t xml:space="preserve">et al. </w:t>
      </w:r>
      <w:r w:rsidRPr="00C95B38">
        <w:rPr>
          <w:rFonts w:ascii="Times New Roman" w:eastAsia="Times New Roman" w:hAnsi="Times New Roman" w:cs="Times New Roman"/>
          <w:sz w:val="24"/>
          <w:szCs w:val="24"/>
          <w:highlight w:val="white"/>
        </w:rPr>
        <w:t xml:space="preserve">(2024), a stakeholder matrix has been described as an approach or analytical practice utilised to generate knowledge regarding actors like individuals, groups, or companies of relevance to a policy or processes. For the LTC tunnel project plan in the UK, it is required to understand the power and interest of the stakeholders to ensure resources would be allocated successfully. Investors and governments have high power, high interest, as they can mandate policies, fund the £11 billion scheme, and handle </w:t>
      </w:r>
      <w:r w:rsidR="00C95B38" w:rsidRPr="00C95B38">
        <w:rPr>
          <w:rFonts w:ascii="Times New Roman" w:eastAsia="Times New Roman" w:hAnsi="Times New Roman" w:cs="Times New Roman"/>
          <w:sz w:val="24"/>
          <w:szCs w:val="24"/>
          <w:highlight w:val="white"/>
        </w:rPr>
        <w:t>challenges, which require</w:t>
      </w:r>
      <w:r w:rsidRPr="00C95B38">
        <w:rPr>
          <w:rFonts w:ascii="Times New Roman" w:eastAsia="Times New Roman" w:hAnsi="Times New Roman" w:cs="Times New Roman"/>
          <w:sz w:val="24"/>
          <w:szCs w:val="24"/>
          <w:highlight w:val="white"/>
        </w:rPr>
        <w:t xml:space="preserve"> active involvement. Employees have high power, low interest, as they possess critical construction expertise that would keep them informed to prevent delays. On the other hand, suppliers have low power and low interest, whereas the project manager needs to make a contract with them to tackle materials, requiring minimal active management unless logistics challenges arise. In addition, community members and local residents have low power and low </w:t>
      </w:r>
      <w:r w:rsidR="00C95B38" w:rsidRPr="00C95B38">
        <w:rPr>
          <w:rFonts w:ascii="Times New Roman" w:eastAsia="Times New Roman" w:hAnsi="Times New Roman" w:cs="Times New Roman"/>
          <w:sz w:val="24"/>
          <w:szCs w:val="24"/>
          <w:highlight w:val="white"/>
        </w:rPr>
        <w:t>interest,</w:t>
      </w:r>
      <w:r w:rsidRPr="00C95B38">
        <w:rPr>
          <w:rFonts w:ascii="Times New Roman" w:eastAsia="Times New Roman" w:hAnsi="Times New Roman" w:cs="Times New Roman"/>
          <w:sz w:val="24"/>
          <w:szCs w:val="24"/>
          <w:highlight w:val="white"/>
        </w:rPr>
        <w:t xml:space="preserve"> as they will experience local disruption and limited influence on the project. These stakeholders would be tracked to address any escalating environmental and quality-of-life concerns during the project execution. </w:t>
      </w:r>
      <w:r w:rsidRPr="00C95B38">
        <w:br w:type="page"/>
      </w:r>
    </w:p>
    <w:p w14:paraId="54EC4999"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b/>
          <w:bCs/>
          <w:sz w:val="24"/>
          <w:szCs w:val="24"/>
          <w:highlight w:val="white"/>
        </w:rPr>
        <w:t xml:space="preserve">Communication Plan and consultation strategy </w:t>
      </w:r>
    </w:p>
    <w:tbl>
      <w:tblPr>
        <w:tblStyle w:val="a0"/>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253"/>
        <w:gridCol w:w="2252"/>
        <w:gridCol w:w="2252"/>
        <w:gridCol w:w="2252"/>
      </w:tblGrid>
      <w:tr w:rsidR="00CB0427" w:rsidRPr="00C95B38" w14:paraId="024AA880" w14:textId="77777777" w:rsidTr="00CD70E9">
        <w:tc>
          <w:tcPr>
            <w:tcW w:w="1250" w:type="pct"/>
            <w:shd w:val="clear" w:color="auto" w:fill="auto"/>
            <w:tcMar>
              <w:top w:w="100" w:type="dxa"/>
              <w:left w:w="100" w:type="dxa"/>
              <w:bottom w:w="100" w:type="dxa"/>
              <w:right w:w="100" w:type="dxa"/>
            </w:tcMar>
          </w:tcPr>
          <w:p w14:paraId="07D044A2"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Stakeholders</w:t>
            </w:r>
          </w:p>
        </w:tc>
        <w:tc>
          <w:tcPr>
            <w:tcW w:w="1250" w:type="pct"/>
            <w:shd w:val="clear" w:color="auto" w:fill="auto"/>
            <w:tcMar>
              <w:top w:w="100" w:type="dxa"/>
              <w:left w:w="100" w:type="dxa"/>
              <w:bottom w:w="100" w:type="dxa"/>
              <w:right w:w="100" w:type="dxa"/>
            </w:tcMar>
          </w:tcPr>
          <w:p w14:paraId="5BE5AA5B"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Information to share </w:t>
            </w:r>
          </w:p>
        </w:tc>
        <w:tc>
          <w:tcPr>
            <w:tcW w:w="1250" w:type="pct"/>
            <w:shd w:val="clear" w:color="auto" w:fill="auto"/>
            <w:tcMar>
              <w:top w:w="100" w:type="dxa"/>
              <w:left w:w="100" w:type="dxa"/>
              <w:bottom w:w="100" w:type="dxa"/>
              <w:right w:w="100" w:type="dxa"/>
            </w:tcMar>
          </w:tcPr>
          <w:p w14:paraId="14C5450B"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Timing to communicate with the stakeholders </w:t>
            </w:r>
          </w:p>
        </w:tc>
        <w:tc>
          <w:tcPr>
            <w:tcW w:w="1250" w:type="pct"/>
            <w:shd w:val="clear" w:color="auto" w:fill="auto"/>
            <w:tcMar>
              <w:top w:w="100" w:type="dxa"/>
              <w:left w:w="100" w:type="dxa"/>
              <w:bottom w:w="100" w:type="dxa"/>
              <w:right w:w="100" w:type="dxa"/>
            </w:tcMar>
          </w:tcPr>
          <w:p w14:paraId="6EF6849F"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Medium of communication </w:t>
            </w:r>
          </w:p>
        </w:tc>
      </w:tr>
      <w:tr w:rsidR="00CB0427" w:rsidRPr="00C95B38" w14:paraId="77DA6652" w14:textId="77777777" w:rsidTr="00CD70E9">
        <w:tc>
          <w:tcPr>
            <w:tcW w:w="1250" w:type="pct"/>
            <w:shd w:val="clear" w:color="auto" w:fill="auto"/>
            <w:tcMar>
              <w:top w:w="100" w:type="dxa"/>
              <w:left w:w="100" w:type="dxa"/>
              <w:bottom w:w="100" w:type="dxa"/>
              <w:right w:w="100" w:type="dxa"/>
            </w:tcMar>
          </w:tcPr>
          <w:p w14:paraId="052ED6CC"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Government </w:t>
            </w:r>
          </w:p>
        </w:tc>
        <w:tc>
          <w:tcPr>
            <w:tcW w:w="1250" w:type="pct"/>
            <w:shd w:val="clear" w:color="auto" w:fill="auto"/>
            <w:tcMar>
              <w:top w:w="100" w:type="dxa"/>
              <w:left w:w="100" w:type="dxa"/>
              <w:bottom w:w="100" w:type="dxa"/>
              <w:right w:w="100" w:type="dxa"/>
            </w:tcMar>
          </w:tcPr>
          <w:p w14:paraId="70F30E99"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LTC project lead may share the information regarding project delivery milestones, budget updates, risk mitigation planning, and preventative measures </w:t>
            </w:r>
          </w:p>
        </w:tc>
        <w:tc>
          <w:tcPr>
            <w:tcW w:w="1250" w:type="pct"/>
            <w:shd w:val="clear" w:color="auto" w:fill="auto"/>
            <w:tcMar>
              <w:top w:w="100" w:type="dxa"/>
              <w:left w:w="100" w:type="dxa"/>
              <w:bottom w:w="100" w:type="dxa"/>
              <w:right w:w="100" w:type="dxa"/>
            </w:tcMar>
          </w:tcPr>
          <w:p w14:paraId="37840726"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Quarterly or during key project phases </w:t>
            </w:r>
          </w:p>
        </w:tc>
        <w:tc>
          <w:tcPr>
            <w:tcW w:w="1250" w:type="pct"/>
            <w:shd w:val="clear" w:color="auto" w:fill="auto"/>
            <w:tcMar>
              <w:top w:w="100" w:type="dxa"/>
              <w:left w:w="100" w:type="dxa"/>
              <w:bottom w:w="100" w:type="dxa"/>
              <w:right w:w="100" w:type="dxa"/>
            </w:tcMar>
          </w:tcPr>
          <w:p w14:paraId="5F130602"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project lead may use Email and conduct meetings with the government for sharing detailed regulatory and financial reporting </w:t>
            </w:r>
          </w:p>
        </w:tc>
      </w:tr>
      <w:tr w:rsidR="00CB0427" w:rsidRPr="00C95B38" w14:paraId="7E1CFC45" w14:textId="77777777" w:rsidTr="00CD70E9">
        <w:tc>
          <w:tcPr>
            <w:tcW w:w="1250" w:type="pct"/>
            <w:shd w:val="clear" w:color="auto" w:fill="auto"/>
            <w:tcMar>
              <w:top w:w="100" w:type="dxa"/>
              <w:left w:w="100" w:type="dxa"/>
              <w:bottom w:w="100" w:type="dxa"/>
              <w:right w:w="100" w:type="dxa"/>
            </w:tcMar>
          </w:tcPr>
          <w:p w14:paraId="109451B3"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Local Residents </w:t>
            </w:r>
          </w:p>
        </w:tc>
        <w:tc>
          <w:tcPr>
            <w:tcW w:w="1250" w:type="pct"/>
            <w:shd w:val="clear" w:color="auto" w:fill="auto"/>
            <w:tcMar>
              <w:top w:w="100" w:type="dxa"/>
              <w:left w:w="100" w:type="dxa"/>
              <w:bottom w:w="100" w:type="dxa"/>
              <w:right w:w="100" w:type="dxa"/>
            </w:tcMar>
          </w:tcPr>
          <w:p w14:paraId="250F07E3"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information regarding construction schedules, traffic and noise management actions, and local benefits would be shared by the project manager </w:t>
            </w:r>
          </w:p>
        </w:tc>
        <w:tc>
          <w:tcPr>
            <w:tcW w:w="1250" w:type="pct"/>
            <w:shd w:val="clear" w:color="auto" w:fill="auto"/>
            <w:tcMar>
              <w:top w:w="100" w:type="dxa"/>
              <w:left w:w="100" w:type="dxa"/>
              <w:bottom w:w="100" w:type="dxa"/>
              <w:right w:w="100" w:type="dxa"/>
            </w:tcMar>
          </w:tcPr>
          <w:p w14:paraId="4CAE4A5C"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Monthly</w:t>
            </w:r>
          </w:p>
        </w:tc>
        <w:tc>
          <w:tcPr>
            <w:tcW w:w="1250" w:type="pct"/>
            <w:shd w:val="clear" w:color="auto" w:fill="auto"/>
            <w:tcMar>
              <w:top w:w="100" w:type="dxa"/>
              <w:left w:w="100" w:type="dxa"/>
              <w:bottom w:w="100" w:type="dxa"/>
              <w:right w:w="100" w:type="dxa"/>
            </w:tcMar>
          </w:tcPr>
          <w:p w14:paraId="55677C6B"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Letters or newspapers are the key mediums that may help the project manager of LTC to reach a broader audience effectively </w:t>
            </w:r>
          </w:p>
        </w:tc>
      </w:tr>
      <w:tr w:rsidR="00CB0427" w:rsidRPr="00C95B38" w14:paraId="06C039C5" w14:textId="77777777" w:rsidTr="00CD70E9">
        <w:tc>
          <w:tcPr>
            <w:tcW w:w="1250" w:type="pct"/>
            <w:shd w:val="clear" w:color="auto" w:fill="auto"/>
            <w:tcMar>
              <w:top w:w="100" w:type="dxa"/>
              <w:left w:w="100" w:type="dxa"/>
              <w:bottom w:w="100" w:type="dxa"/>
              <w:right w:w="100" w:type="dxa"/>
            </w:tcMar>
          </w:tcPr>
          <w:p w14:paraId="3906D662"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Investors </w:t>
            </w:r>
          </w:p>
        </w:tc>
        <w:tc>
          <w:tcPr>
            <w:tcW w:w="1250" w:type="pct"/>
            <w:shd w:val="clear" w:color="auto" w:fill="auto"/>
            <w:tcMar>
              <w:top w:w="100" w:type="dxa"/>
              <w:left w:w="100" w:type="dxa"/>
              <w:bottom w:w="100" w:type="dxa"/>
              <w:right w:w="100" w:type="dxa"/>
            </w:tcMar>
          </w:tcPr>
          <w:p w14:paraId="565B360E"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key information such as ROI projections, funding mechanisms, and expenditure reports would be shared by the project lead </w:t>
            </w:r>
          </w:p>
        </w:tc>
        <w:tc>
          <w:tcPr>
            <w:tcW w:w="1250" w:type="pct"/>
            <w:shd w:val="clear" w:color="auto" w:fill="auto"/>
            <w:tcMar>
              <w:top w:w="100" w:type="dxa"/>
              <w:left w:w="100" w:type="dxa"/>
              <w:bottom w:w="100" w:type="dxa"/>
              <w:right w:w="100" w:type="dxa"/>
            </w:tcMar>
          </w:tcPr>
          <w:p w14:paraId="0435A9BB"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Monthly </w:t>
            </w:r>
          </w:p>
        </w:tc>
        <w:tc>
          <w:tcPr>
            <w:tcW w:w="1250" w:type="pct"/>
            <w:shd w:val="clear" w:color="auto" w:fill="auto"/>
            <w:tcMar>
              <w:top w:w="100" w:type="dxa"/>
              <w:left w:w="100" w:type="dxa"/>
              <w:bottom w:w="100" w:type="dxa"/>
              <w:right w:w="100" w:type="dxa"/>
            </w:tcMar>
          </w:tcPr>
          <w:p w14:paraId="19BD1AF7"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project manager will use Email to share sensitive financial information with the investors </w:t>
            </w:r>
          </w:p>
        </w:tc>
      </w:tr>
      <w:tr w:rsidR="00CB0427" w:rsidRPr="00C95B38" w14:paraId="32D5A944" w14:textId="77777777" w:rsidTr="00CD70E9">
        <w:tc>
          <w:tcPr>
            <w:tcW w:w="1250" w:type="pct"/>
            <w:shd w:val="clear" w:color="auto" w:fill="auto"/>
            <w:tcMar>
              <w:top w:w="100" w:type="dxa"/>
              <w:left w:w="100" w:type="dxa"/>
              <w:bottom w:w="100" w:type="dxa"/>
              <w:right w:w="100" w:type="dxa"/>
            </w:tcMar>
          </w:tcPr>
          <w:p w14:paraId="1774EB59"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Suppliers </w:t>
            </w:r>
          </w:p>
        </w:tc>
        <w:tc>
          <w:tcPr>
            <w:tcW w:w="1250" w:type="pct"/>
            <w:shd w:val="clear" w:color="auto" w:fill="auto"/>
            <w:tcMar>
              <w:top w:w="100" w:type="dxa"/>
              <w:left w:w="100" w:type="dxa"/>
              <w:bottom w:w="100" w:type="dxa"/>
              <w:right w:w="100" w:type="dxa"/>
            </w:tcMar>
          </w:tcPr>
          <w:p w14:paraId="7B757252"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project lead will share key information such as tendering opportunities, procurement rules, and technical spaces </w:t>
            </w:r>
          </w:p>
        </w:tc>
        <w:tc>
          <w:tcPr>
            <w:tcW w:w="1250" w:type="pct"/>
            <w:shd w:val="clear" w:color="auto" w:fill="auto"/>
            <w:tcMar>
              <w:top w:w="100" w:type="dxa"/>
              <w:left w:w="100" w:type="dxa"/>
              <w:bottom w:w="100" w:type="dxa"/>
              <w:right w:w="100" w:type="dxa"/>
            </w:tcMar>
          </w:tcPr>
          <w:p w14:paraId="63AFAE72"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Ongoing </w:t>
            </w:r>
          </w:p>
        </w:tc>
        <w:tc>
          <w:tcPr>
            <w:tcW w:w="1250" w:type="pct"/>
            <w:shd w:val="clear" w:color="auto" w:fill="auto"/>
            <w:tcMar>
              <w:top w:w="100" w:type="dxa"/>
              <w:left w:w="100" w:type="dxa"/>
              <w:bottom w:w="100" w:type="dxa"/>
              <w:right w:w="100" w:type="dxa"/>
            </w:tcMar>
          </w:tcPr>
          <w:p w14:paraId="65C43297" w14:textId="77777777" w:rsidR="00CB0427" w:rsidRPr="00C95B38" w:rsidRDefault="00A2738F" w:rsidP="00C95B38">
            <w:pPr>
              <w:widowControl w:val="0"/>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Email and Telephone are the two key suitable mediums that would be used by the project manager, enabling direct, fast negotiations and clarifications </w:t>
            </w:r>
          </w:p>
        </w:tc>
      </w:tr>
      <w:tr w:rsidR="00CB0427" w:rsidRPr="00C95B38" w14:paraId="35721716" w14:textId="77777777" w:rsidTr="00CD70E9">
        <w:tc>
          <w:tcPr>
            <w:tcW w:w="1250" w:type="pct"/>
            <w:shd w:val="clear" w:color="auto" w:fill="auto"/>
            <w:tcMar>
              <w:top w:w="100" w:type="dxa"/>
              <w:left w:w="100" w:type="dxa"/>
              <w:bottom w:w="100" w:type="dxa"/>
              <w:right w:w="100" w:type="dxa"/>
            </w:tcMar>
          </w:tcPr>
          <w:p w14:paraId="49CB6A72"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Community Members </w:t>
            </w:r>
          </w:p>
        </w:tc>
        <w:tc>
          <w:tcPr>
            <w:tcW w:w="1250" w:type="pct"/>
            <w:shd w:val="clear" w:color="auto" w:fill="auto"/>
            <w:tcMar>
              <w:top w:w="100" w:type="dxa"/>
              <w:left w:w="100" w:type="dxa"/>
              <w:bottom w:w="100" w:type="dxa"/>
              <w:right w:w="100" w:type="dxa"/>
            </w:tcMar>
          </w:tcPr>
          <w:p w14:paraId="1BBF81F7"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Environmental mitigation, job creation, and public green spaces are the key information that would be shared with community members </w:t>
            </w:r>
          </w:p>
        </w:tc>
        <w:tc>
          <w:tcPr>
            <w:tcW w:w="1250" w:type="pct"/>
            <w:shd w:val="clear" w:color="auto" w:fill="auto"/>
            <w:tcMar>
              <w:top w:w="100" w:type="dxa"/>
              <w:left w:w="100" w:type="dxa"/>
              <w:bottom w:w="100" w:type="dxa"/>
              <w:right w:w="100" w:type="dxa"/>
            </w:tcMar>
          </w:tcPr>
          <w:p w14:paraId="1CE99F73"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Quarterly </w:t>
            </w:r>
          </w:p>
        </w:tc>
        <w:tc>
          <w:tcPr>
            <w:tcW w:w="1250" w:type="pct"/>
            <w:shd w:val="clear" w:color="auto" w:fill="auto"/>
            <w:tcMar>
              <w:top w:w="100" w:type="dxa"/>
              <w:left w:w="100" w:type="dxa"/>
              <w:bottom w:w="100" w:type="dxa"/>
              <w:right w:w="100" w:type="dxa"/>
            </w:tcMar>
          </w:tcPr>
          <w:p w14:paraId="4996B387"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use of newspapers can be a significant medium, increasing broad public reach for announcing community consultations and ecological updates </w:t>
            </w:r>
          </w:p>
        </w:tc>
      </w:tr>
      <w:tr w:rsidR="00CB0427" w:rsidRPr="00C95B38" w14:paraId="4ECB6D1C" w14:textId="77777777" w:rsidTr="00CD70E9">
        <w:tc>
          <w:tcPr>
            <w:tcW w:w="1250" w:type="pct"/>
            <w:shd w:val="clear" w:color="auto" w:fill="auto"/>
            <w:tcMar>
              <w:top w:w="100" w:type="dxa"/>
              <w:left w:w="100" w:type="dxa"/>
              <w:bottom w:w="100" w:type="dxa"/>
              <w:right w:w="100" w:type="dxa"/>
            </w:tcMar>
          </w:tcPr>
          <w:p w14:paraId="74EC870C"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Employees </w:t>
            </w:r>
          </w:p>
        </w:tc>
        <w:tc>
          <w:tcPr>
            <w:tcW w:w="1250" w:type="pct"/>
            <w:shd w:val="clear" w:color="auto" w:fill="auto"/>
            <w:tcMar>
              <w:top w:w="100" w:type="dxa"/>
              <w:left w:w="100" w:type="dxa"/>
              <w:bottom w:w="100" w:type="dxa"/>
              <w:right w:w="100" w:type="dxa"/>
            </w:tcMar>
          </w:tcPr>
          <w:p w14:paraId="3105D251"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Health and safety, HR practices and policies, and Site updates are the key data that need to be shared with employees </w:t>
            </w:r>
          </w:p>
        </w:tc>
        <w:tc>
          <w:tcPr>
            <w:tcW w:w="1250" w:type="pct"/>
            <w:shd w:val="clear" w:color="auto" w:fill="auto"/>
            <w:tcMar>
              <w:top w:w="100" w:type="dxa"/>
              <w:left w:w="100" w:type="dxa"/>
              <w:bottom w:w="100" w:type="dxa"/>
              <w:right w:w="100" w:type="dxa"/>
            </w:tcMar>
          </w:tcPr>
          <w:p w14:paraId="47624A1D"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Weekly </w:t>
            </w:r>
          </w:p>
        </w:tc>
        <w:tc>
          <w:tcPr>
            <w:tcW w:w="1250" w:type="pct"/>
            <w:shd w:val="clear" w:color="auto" w:fill="auto"/>
            <w:tcMar>
              <w:top w:w="100" w:type="dxa"/>
              <w:left w:w="100" w:type="dxa"/>
              <w:bottom w:w="100" w:type="dxa"/>
              <w:right w:w="100" w:type="dxa"/>
            </w:tcMar>
          </w:tcPr>
          <w:p w14:paraId="20C20876" w14:textId="77777777" w:rsidR="00CB0427" w:rsidRPr="00C95B38" w:rsidRDefault="00A2738F" w:rsidP="00C95B38">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project manager will use telephone or email as tools to ensure immediate safety alerts and operational directives </w:t>
            </w:r>
          </w:p>
        </w:tc>
      </w:tr>
    </w:tbl>
    <w:p w14:paraId="6D25A7A2" w14:textId="77777777" w:rsidR="00CB0427" w:rsidRPr="00C95B38" w:rsidRDefault="00A2738F" w:rsidP="00C95B38">
      <w:pPr>
        <w:shd w:val="clear" w:color="auto" w:fill="FFFFFF"/>
        <w:spacing w:line="360" w:lineRule="auto"/>
        <w:jc w:val="center"/>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Table 2: Communication and Consultation Planning </w:t>
      </w:r>
    </w:p>
    <w:p w14:paraId="589CD13C"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br w:type="page"/>
      </w:r>
    </w:p>
    <w:p w14:paraId="1313CD7B"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i/>
          <w:iCs/>
          <w:sz w:val="24"/>
          <w:szCs w:val="24"/>
          <w:highlight w:val="white"/>
        </w:rPr>
      </w:pPr>
      <w:r w:rsidRPr="00C95B38">
        <w:rPr>
          <w:rFonts w:ascii="Times New Roman" w:eastAsia="Times New Roman" w:hAnsi="Times New Roman" w:cs="Times New Roman"/>
          <w:b/>
          <w:bCs/>
          <w:i/>
          <w:iCs/>
          <w:sz w:val="24"/>
          <w:szCs w:val="24"/>
          <w:highlight w:val="white"/>
        </w:rPr>
        <w:t xml:space="preserve">Justification </w:t>
      </w:r>
    </w:p>
    <w:p w14:paraId="79BEA39F"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According to Table 2, it can be stated that government and regulatory bodies are the prime stakeholders of the LTC project. The LTC project lead can share the data regarding project delivery milestones, budget updates, risk mitigation planning, and preventative measures with the government or regulatory bodies, ensuring the transparency of the planning and achieving governmental support. Based on the statements of Celestin </w:t>
      </w:r>
      <w:r w:rsidRPr="00C95B38">
        <w:rPr>
          <w:rFonts w:ascii="Times New Roman" w:eastAsia="Times New Roman" w:hAnsi="Times New Roman" w:cs="Times New Roman"/>
          <w:i/>
          <w:iCs/>
          <w:sz w:val="24"/>
          <w:szCs w:val="24"/>
          <w:highlight w:val="white"/>
        </w:rPr>
        <w:t>et al.</w:t>
      </w:r>
      <w:r w:rsidRPr="00C95B38">
        <w:rPr>
          <w:rFonts w:ascii="Times New Roman" w:eastAsia="Times New Roman" w:hAnsi="Times New Roman" w:cs="Times New Roman"/>
          <w:sz w:val="24"/>
          <w:szCs w:val="24"/>
          <w:highlight w:val="white"/>
        </w:rPr>
        <w:t xml:space="preserve"> (2022), email is a communication tool to share updates or communicate with concerned individuals. In this context, the LTC project lead will use email or conduct a meeting with the government to share detailed regulatory and financial reporting. It may satisfy the government’s needs for strict financial and regulatory compliance. </w:t>
      </w:r>
    </w:p>
    <w:p w14:paraId="219816F4"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The LTC project lead will adopt a dual-channel communication and consultation plan, strategically tailoring data to address distinct stakeholder needs, which ensures project efficiency and transparency. Based on the statements of Pinto</w:t>
      </w:r>
      <w:r w:rsidRPr="00C95B38">
        <w:rPr>
          <w:rFonts w:ascii="Times New Roman" w:eastAsia="Times New Roman" w:hAnsi="Times New Roman" w:cs="Times New Roman"/>
          <w:i/>
          <w:iCs/>
          <w:sz w:val="24"/>
          <w:szCs w:val="24"/>
          <w:highlight w:val="white"/>
        </w:rPr>
        <w:t xml:space="preserve"> et al.</w:t>
      </w:r>
      <w:r w:rsidRPr="00C95B38">
        <w:rPr>
          <w:rFonts w:ascii="Times New Roman" w:eastAsia="Times New Roman" w:hAnsi="Times New Roman" w:cs="Times New Roman"/>
          <w:sz w:val="24"/>
          <w:szCs w:val="24"/>
          <w:highlight w:val="white"/>
        </w:rPr>
        <w:t xml:space="preserve"> (2022), project outcomes may be judged in terms of resulting benefits, commercial success, sustainability, and stakeholder satisfaction. In this context, monthly letters and newspapers can help the LTC project to broadly reach the wider public in the UK. It indicates a mass communication management plan, offering accessible updates on construction schedules, traffic management, and local benefits, decreasing community disruptions and increasing satisfaction among local residents. Moreover, the project lead of LTC can also use monthly emails to deliver confidential financial data like ROI projections and expenditure reports to their investors. </w:t>
      </w:r>
      <w:r w:rsidR="00C95B38" w:rsidRPr="00C95B38">
        <w:rPr>
          <w:rFonts w:ascii="Times New Roman" w:eastAsia="Times New Roman" w:hAnsi="Times New Roman" w:cs="Times New Roman"/>
          <w:sz w:val="24"/>
          <w:szCs w:val="24"/>
          <w:highlight w:val="white"/>
        </w:rPr>
        <w:t>A direct, one-to-one channel</w:t>
      </w:r>
      <w:r w:rsidRPr="00C95B38">
        <w:rPr>
          <w:rFonts w:ascii="Times New Roman" w:eastAsia="Times New Roman" w:hAnsi="Times New Roman" w:cs="Times New Roman"/>
          <w:sz w:val="24"/>
          <w:szCs w:val="24"/>
          <w:highlight w:val="white"/>
        </w:rPr>
        <w:t xml:space="preserve"> may protect sensitive commercial data while sharing key financial information with key stakeholders as a secure way to evaluate project justification. </w:t>
      </w:r>
    </w:p>
    <w:p w14:paraId="62B562C9" w14:textId="77777777" w:rsidR="00C95B38" w:rsidRDefault="00C95B38" w:rsidP="00C95B38">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type="page"/>
      </w:r>
    </w:p>
    <w:p w14:paraId="639B922F"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sz w:val="24"/>
          <w:szCs w:val="24"/>
          <w:highlight w:val="white"/>
        </w:rPr>
        <w:t xml:space="preserve">The consultation and communication plan for the LCT transportation project can be highly targeted to ensure stakeholder engagement and project success. For suppliers, ongoing email and telephone channels may enable direct and fast negotiations. This process is justified by the requirement for technical agility and strict compliance with procurement practices and policies. According to </w:t>
      </w:r>
      <w:proofErr w:type="spellStart"/>
      <w:r w:rsidRPr="00C95B38">
        <w:rPr>
          <w:rFonts w:ascii="Times New Roman" w:eastAsia="Times New Roman" w:hAnsi="Times New Roman" w:cs="Times New Roman"/>
          <w:sz w:val="24"/>
          <w:szCs w:val="24"/>
          <w:highlight w:val="white"/>
        </w:rPr>
        <w:t>Babaei</w:t>
      </w:r>
      <w:proofErr w:type="spellEnd"/>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 xml:space="preserve">et al. </w:t>
      </w:r>
      <w:r w:rsidRPr="00C95B38">
        <w:rPr>
          <w:rFonts w:ascii="Times New Roman" w:eastAsia="Times New Roman" w:hAnsi="Times New Roman" w:cs="Times New Roman"/>
          <w:sz w:val="24"/>
          <w:szCs w:val="24"/>
          <w:highlight w:val="white"/>
        </w:rPr>
        <w:t xml:space="preserve">(2023), local community engagement (LCE) consists of collecting the views of local individuals and incorporating them into project decisions. For these stakeholders, quarterly newspaper announcements may build public trust towards the LCT project plan. It can be highly justified by the requirement for transparency on environmental mitigation, green spaces, and job creation, which prevents misinformation and fosters long-term social values. However, weekly sharing of HR policies, safety and health may build trust and operational clarity among the employees. In this context, the project manager of LCT may use telephones and emails, ensuring immediate safety alerts and fast operational directives. Therefore, these actions may foster a transparent culture as well as a highly responsive, safe work environment, leading to increased involvement of the employees towards the project execution. </w:t>
      </w:r>
      <w:r w:rsidRPr="00C95B38">
        <w:br w:type="page"/>
      </w:r>
    </w:p>
    <w:p w14:paraId="6243F4C2" w14:textId="77777777" w:rsidR="00CB0427" w:rsidRPr="00C95B38" w:rsidRDefault="00C95B38" w:rsidP="00C95B38">
      <w:pPr>
        <w:pStyle w:val="Heading1"/>
        <w:spacing w:before="0" w:after="0"/>
        <w:rPr>
          <w:highlight w:val="white"/>
        </w:rPr>
      </w:pPr>
      <w:bookmarkStart w:id="3" w:name="_Toc234942910"/>
      <w:r>
        <w:rPr>
          <w:highlight w:val="white"/>
        </w:rPr>
        <w:t xml:space="preserve">Element 3: </w:t>
      </w:r>
      <w:r w:rsidR="00A2738F" w:rsidRPr="00C95B38">
        <w:rPr>
          <w:highlight w:val="white"/>
        </w:rPr>
        <w:t>Ethical Considerations in Stakeholders' Consultation, Participation and Feedback</w:t>
      </w:r>
      <w:bookmarkEnd w:id="3"/>
      <w:r w:rsidR="00A2738F" w:rsidRPr="00C95B38">
        <w:rPr>
          <w:highlight w:val="white"/>
        </w:rPr>
        <w:t xml:space="preserve"> </w:t>
      </w:r>
    </w:p>
    <w:p w14:paraId="64118E97"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Method of consultation </w:t>
      </w:r>
    </w:p>
    <w:p w14:paraId="10982813" w14:textId="77777777" w:rsidR="00CB0427" w:rsidRPr="00C95B38" w:rsidRDefault="00A2738F" w:rsidP="00C95B38">
      <w:pPr>
        <w:shd w:val="clear" w:color="auto" w:fill="FFFFFF"/>
        <w:spacing w:line="360" w:lineRule="auto"/>
        <w:jc w:val="both"/>
        <w:rPr>
          <w:rFonts w:ascii="Times New Roman" w:eastAsia="Times New Roman" w:hAnsi="Times New Roman" w:cs="Times New Roman"/>
          <w:i/>
          <w:iCs/>
          <w:sz w:val="24"/>
          <w:szCs w:val="24"/>
          <w:highlight w:val="white"/>
        </w:rPr>
      </w:pPr>
      <w:r w:rsidRPr="00C95B38">
        <w:rPr>
          <w:rFonts w:ascii="Times New Roman" w:eastAsia="Times New Roman" w:hAnsi="Times New Roman" w:cs="Times New Roman"/>
          <w:i/>
          <w:iCs/>
          <w:sz w:val="24"/>
          <w:szCs w:val="24"/>
          <w:highlight w:val="white"/>
        </w:rPr>
        <w:t xml:space="preserve">Statutory Public Consultations </w:t>
      </w:r>
    </w:p>
    <w:p w14:paraId="384625FD"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A statutory Public Consultation refers to a legally mandated practice where the project manager formally presents their plans to the public and allows their stakeholders to voice concerns. According to Koch </w:t>
      </w:r>
      <w:r w:rsidRPr="00C95B38">
        <w:rPr>
          <w:rFonts w:ascii="Times New Roman" w:eastAsia="Times New Roman" w:hAnsi="Times New Roman" w:cs="Times New Roman"/>
          <w:i/>
          <w:iCs/>
          <w:sz w:val="24"/>
          <w:szCs w:val="24"/>
          <w:highlight w:val="white"/>
        </w:rPr>
        <w:t>et al.</w:t>
      </w:r>
      <w:r w:rsidRPr="00C95B38">
        <w:rPr>
          <w:rFonts w:ascii="Times New Roman" w:eastAsia="Times New Roman" w:hAnsi="Times New Roman" w:cs="Times New Roman"/>
          <w:sz w:val="24"/>
          <w:szCs w:val="24"/>
          <w:highlight w:val="white"/>
        </w:rPr>
        <w:t xml:space="preserve"> (2022), a statutory public consultation is essential to ensure transparency, increase community trust, reduce opposition, and develop project designs to benefit broader society. The project owner of </w:t>
      </w:r>
      <w:r w:rsidR="00C95B38" w:rsidRPr="00C95B38">
        <w:rPr>
          <w:rFonts w:ascii="Times New Roman" w:eastAsia="Times New Roman" w:hAnsi="Times New Roman" w:cs="Times New Roman"/>
          <w:sz w:val="24"/>
          <w:szCs w:val="24"/>
          <w:highlight w:val="white"/>
        </w:rPr>
        <w:t>LTC hosts</w:t>
      </w:r>
      <w:r w:rsidRPr="00C95B38">
        <w:rPr>
          <w:rFonts w:ascii="Times New Roman" w:eastAsia="Times New Roman" w:hAnsi="Times New Roman" w:cs="Times New Roman"/>
          <w:sz w:val="24"/>
          <w:szCs w:val="24"/>
          <w:highlight w:val="white"/>
        </w:rPr>
        <w:t xml:space="preserve"> public information events, exhibitions, and workshops with their stakeholders. Reportedly, 24 public information events have been conducted in the UK to offer opportunities for individuals to talk to the project team regarding the project proposals (</w:t>
      </w:r>
      <w:proofErr w:type="spellStart"/>
      <w:r w:rsidRPr="00C95B38">
        <w:rPr>
          <w:rFonts w:ascii="Times New Roman" w:eastAsia="Times New Roman" w:hAnsi="Times New Roman" w:cs="Times New Roman"/>
          <w:sz w:val="24"/>
          <w:szCs w:val="24"/>
          <w:highlight w:val="white"/>
        </w:rPr>
        <w:t>Nationalhighways</w:t>
      </w:r>
      <w:proofErr w:type="spellEnd"/>
      <w:r w:rsidRPr="00C95B38">
        <w:rPr>
          <w:rFonts w:ascii="Times New Roman" w:eastAsia="Times New Roman" w:hAnsi="Times New Roman" w:cs="Times New Roman"/>
          <w:sz w:val="24"/>
          <w:szCs w:val="24"/>
          <w:highlight w:val="white"/>
        </w:rPr>
        <w:t xml:space="preserve">, 2025). These methods can also help the project owner of LTC to review maps, environmental plans, and offer direct commentary to their stakeholders. </w:t>
      </w:r>
    </w:p>
    <w:p w14:paraId="762C2084" w14:textId="77777777" w:rsidR="00CB0427" w:rsidRPr="00C95B38" w:rsidRDefault="00A2738F" w:rsidP="00C95B38">
      <w:pPr>
        <w:shd w:val="clear" w:color="auto" w:fill="FFFFFF"/>
        <w:spacing w:line="360" w:lineRule="auto"/>
        <w:jc w:val="both"/>
        <w:rPr>
          <w:rFonts w:ascii="Times New Roman" w:eastAsia="Times New Roman" w:hAnsi="Times New Roman" w:cs="Times New Roman"/>
          <w:i/>
          <w:iCs/>
          <w:sz w:val="24"/>
          <w:szCs w:val="24"/>
          <w:highlight w:val="white"/>
        </w:rPr>
      </w:pPr>
      <w:r w:rsidRPr="00C95B38">
        <w:rPr>
          <w:rFonts w:ascii="Times New Roman" w:eastAsia="Times New Roman" w:hAnsi="Times New Roman" w:cs="Times New Roman"/>
          <w:i/>
          <w:iCs/>
          <w:sz w:val="24"/>
          <w:szCs w:val="24"/>
          <w:highlight w:val="white"/>
        </w:rPr>
        <w:t xml:space="preserve">Digital engagement </w:t>
      </w:r>
    </w:p>
    <w:p w14:paraId="15E85E58"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Digital engagement refers to a process to interact with people through online channels, consolidating interactions into centralised data, which is vital for building lasting, personalised relationships (</w:t>
      </w:r>
      <w:proofErr w:type="spellStart"/>
      <w:r w:rsidRPr="00C95B38">
        <w:rPr>
          <w:rFonts w:ascii="Times New Roman" w:eastAsia="Times New Roman" w:hAnsi="Times New Roman" w:cs="Times New Roman"/>
          <w:sz w:val="24"/>
          <w:szCs w:val="24"/>
          <w:highlight w:val="white"/>
        </w:rPr>
        <w:t>Darvidou</w:t>
      </w:r>
      <w:proofErr w:type="spellEnd"/>
      <w:r w:rsidRPr="00C95B38">
        <w:rPr>
          <w:rFonts w:ascii="Times New Roman" w:eastAsia="Times New Roman" w:hAnsi="Times New Roman" w:cs="Times New Roman"/>
          <w:sz w:val="24"/>
          <w:szCs w:val="24"/>
          <w:highlight w:val="white"/>
        </w:rPr>
        <w:t xml:space="preserve">, 2024). The LTC project will use dedicated project portals and virtual exhibitions to enable stakeholders to access data and submit written feedback remotely. </w:t>
      </w:r>
    </w:p>
    <w:p w14:paraId="0E780926" w14:textId="77777777" w:rsidR="00CB0427" w:rsidRPr="00C95B38" w:rsidRDefault="00A2738F" w:rsidP="00C95B38">
      <w:pPr>
        <w:shd w:val="clear" w:color="auto" w:fill="FFFFFF"/>
        <w:spacing w:line="360" w:lineRule="auto"/>
        <w:jc w:val="both"/>
        <w:rPr>
          <w:rFonts w:ascii="Times New Roman" w:eastAsia="Times New Roman" w:hAnsi="Times New Roman" w:cs="Times New Roman"/>
          <w:i/>
          <w:iCs/>
          <w:sz w:val="24"/>
          <w:szCs w:val="24"/>
          <w:highlight w:val="white"/>
        </w:rPr>
      </w:pPr>
      <w:r w:rsidRPr="00C95B38">
        <w:rPr>
          <w:rFonts w:ascii="Times New Roman" w:eastAsia="Times New Roman" w:hAnsi="Times New Roman" w:cs="Times New Roman"/>
          <w:i/>
          <w:iCs/>
          <w:sz w:val="24"/>
          <w:szCs w:val="24"/>
          <w:highlight w:val="white"/>
        </w:rPr>
        <w:t xml:space="preserve">Employee and Union Liaison </w:t>
      </w:r>
    </w:p>
    <w:p w14:paraId="2E03AC9B"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An employee and union liaison communicates between project management and employees, which ensures smooth operations, addressing grievances, and handling compliance with Labour Relations Rules. The LTC project can manage regular communication platforms with labour unions and workforce representatives about safety, employment standards, and skill training. </w:t>
      </w:r>
    </w:p>
    <w:p w14:paraId="5E0179D1" w14:textId="77777777" w:rsidR="00CB0427" w:rsidRPr="00C95B38" w:rsidRDefault="00A2738F" w:rsidP="00C95B38">
      <w:pPr>
        <w:shd w:val="clear" w:color="auto" w:fill="FFFFFF"/>
        <w:spacing w:line="360" w:lineRule="auto"/>
        <w:jc w:val="both"/>
        <w:rPr>
          <w:rFonts w:ascii="Times New Roman" w:eastAsia="Times New Roman" w:hAnsi="Times New Roman" w:cs="Times New Roman"/>
          <w:i/>
          <w:iCs/>
          <w:sz w:val="24"/>
          <w:szCs w:val="24"/>
          <w:highlight w:val="white"/>
        </w:rPr>
      </w:pPr>
      <w:r w:rsidRPr="00C95B38">
        <w:rPr>
          <w:rFonts w:ascii="Times New Roman" w:eastAsia="Times New Roman" w:hAnsi="Times New Roman" w:cs="Times New Roman"/>
          <w:i/>
          <w:iCs/>
          <w:sz w:val="24"/>
          <w:szCs w:val="24"/>
          <w:highlight w:val="white"/>
        </w:rPr>
        <w:t xml:space="preserve">Supplier or Investor Forums </w:t>
      </w:r>
    </w:p>
    <w:p w14:paraId="79AB3A03"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A supplier or investor forum refers to an organised event that connects a project plan with funding sources and key service providers (Sun </w:t>
      </w:r>
      <w:r w:rsidRPr="00C95B38">
        <w:rPr>
          <w:rFonts w:ascii="Times New Roman" w:eastAsia="Times New Roman" w:hAnsi="Times New Roman" w:cs="Times New Roman"/>
          <w:i/>
          <w:iCs/>
          <w:sz w:val="24"/>
          <w:szCs w:val="24"/>
          <w:highlight w:val="white"/>
        </w:rPr>
        <w:t>et al.</w:t>
      </w:r>
      <w:r w:rsidRPr="00C95B38">
        <w:rPr>
          <w:rFonts w:ascii="Times New Roman" w:eastAsia="Times New Roman" w:hAnsi="Times New Roman" w:cs="Times New Roman"/>
          <w:sz w:val="24"/>
          <w:szCs w:val="24"/>
          <w:highlight w:val="white"/>
        </w:rPr>
        <w:t xml:space="preserve"> 2025). The LTC project manager can arrange B2B networking events and financial briefings to discuss PFI (private financing initiatives) and contract scopes with investors and suppliers. </w:t>
      </w:r>
    </w:p>
    <w:p w14:paraId="38DD854B" w14:textId="77777777" w:rsidR="00C95B38" w:rsidRDefault="00C95B38" w:rsidP="00C95B38">
      <w:pP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br w:type="page"/>
      </w:r>
    </w:p>
    <w:p w14:paraId="254F5FFF"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Ethical considerations, bias and DEI </w:t>
      </w:r>
    </w:p>
    <w:p w14:paraId="712273A1" w14:textId="77777777" w:rsidR="00CB0427" w:rsidRPr="00C95B38" w:rsidRDefault="00A2738F" w:rsidP="00C95B38">
      <w:pPr>
        <w:shd w:val="clear" w:color="auto" w:fill="FFFFFF"/>
        <w:spacing w:line="360" w:lineRule="auto"/>
        <w:jc w:val="both"/>
        <w:rPr>
          <w:rFonts w:ascii="Times New Roman" w:eastAsia="Times New Roman" w:hAnsi="Times New Roman" w:cs="Times New Roman"/>
          <w:i/>
          <w:iCs/>
          <w:sz w:val="24"/>
          <w:szCs w:val="24"/>
          <w:highlight w:val="white"/>
        </w:rPr>
      </w:pPr>
      <w:r w:rsidRPr="00C95B38">
        <w:rPr>
          <w:rFonts w:ascii="Times New Roman" w:eastAsia="Times New Roman" w:hAnsi="Times New Roman" w:cs="Times New Roman"/>
          <w:i/>
          <w:iCs/>
          <w:sz w:val="24"/>
          <w:szCs w:val="24"/>
          <w:highlight w:val="white"/>
        </w:rPr>
        <w:t xml:space="preserve">Data anonymity and consent </w:t>
      </w:r>
    </w:p>
    <w:p w14:paraId="51BAD7F4"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project manager of TLC needs to ensure every personal data collected from the community members as well as local residents is securely stored in compliance with data privacy regulations. Reportedly, the Data Protection Act (DPA) of the UK controls the utilisation of personal data and rights of individuals to ask for data about themselves (UK Government, 2025). LTC project lead can handle data privacy by offering clear, multilingual consent notices to laws, recording affirmative consent, and providing a withdrawal mechanism, enforcing data minimisation, and using secure systems to protect stakeholders. </w:t>
      </w:r>
    </w:p>
    <w:p w14:paraId="07FB9E36" w14:textId="77777777" w:rsidR="00CB0427" w:rsidRPr="00C95B38" w:rsidRDefault="00A2738F" w:rsidP="00C95B38">
      <w:pPr>
        <w:shd w:val="clear" w:color="auto" w:fill="FFFFFF"/>
        <w:spacing w:line="360" w:lineRule="auto"/>
        <w:jc w:val="both"/>
        <w:rPr>
          <w:rFonts w:ascii="Times New Roman" w:eastAsia="Times New Roman" w:hAnsi="Times New Roman" w:cs="Times New Roman"/>
          <w:i/>
          <w:iCs/>
          <w:sz w:val="24"/>
          <w:szCs w:val="24"/>
          <w:highlight w:val="white"/>
        </w:rPr>
      </w:pPr>
      <w:r w:rsidRPr="00C95B38">
        <w:rPr>
          <w:rFonts w:ascii="Times New Roman" w:eastAsia="Times New Roman" w:hAnsi="Times New Roman" w:cs="Times New Roman"/>
          <w:i/>
          <w:iCs/>
          <w:sz w:val="24"/>
          <w:szCs w:val="24"/>
          <w:highlight w:val="white"/>
        </w:rPr>
        <w:t>DEI</w:t>
      </w:r>
    </w:p>
    <w:p w14:paraId="5AF126AD"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project lead of LTC can ensure consultation materials would be accessible to every demographic, such as non-English speakers, people with disabilities, and marginalised community groups. According to </w:t>
      </w:r>
      <w:proofErr w:type="spellStart"/>
      <w:r w:rsidRPr="00C95B38">
        <w:rPr>
          <w:rFonts w:ascii="Times New Roman" w:eastAsia="Times New Roman" w:hAnsi="Times New Roman" w:cs="Times New Roman"/>
          <w:sz w:val="24"/>
          <w:szCs w:val="24"/>
          <w:highlight w:val="white"/>
        </w:rPr>
        <w:t>Nwoga</w:t>
      </w:r>
      <w:proofErr w:type="spellEnd"/>
      <w:r w:rsidRPr="00C95B38">
        <w:rPr>
          <w:rFonts w:ascii="Times New Roman" w:eastAsia="Times New Roman" w:hAnsi="Times New Roman" w:cs="Times New Roman"/>
          <w:sz w:val="24"/>
          <w:szCs w:val="24"/>
          <w:highlight w:val="white"/>
        </w:rPr>
        <w:t xml:space="preserve"> (2023), the management of DEI in project consultation enhances innovation, decreases groupthink, and fosters broader market information, which provides </w:t>
      </w:r>
      <w:r w:rsidR="00C95B38" w:rsidRPr="00C95B38">
        <w:rPr>
          <w:rFonts w:ascii="Times New Roman" w:eastAsia="Times New Roman" w:hAnsi="Times New Roman" w:cs="Times New Roman"/>
          <w:sz w:val="24"/>
          <w:szCs w:val="24"/>
          <w:highlight w:val="white"/>
        </w:rPr>
        <w:t>high quality</w:t>
      </w:r>
      <w:r w:rsidRPr="00C95B38">
        <w:rPr>
          <w:rFonts w:ascii="Times New Roman" w:eastAsia="Times New Roman" w:hAnsi="Times New Roman" w:cs="Times New Roman"/>
          <w:sz w:val="24"/>
          <w:szCs w:val="24"/>
          <w:highlight w:val="white"/>
        </w:rPr>
        <w:t xml:space="preserve"> and culturally resonant project results. The ethical considerations of LTC also involve offering translated materials, accessible venues, and inclusive digital interfaces. </w:t>
      </w:r>
    </w:p>
    <w:p w14:paraId="7065A95D" w14:textId="77777777" w:rsidR="00C95B38" w:rsidRDefault="00C95B38" w:rsidP="00C95B38">
      <w:pPr>
        <w:rPr>
          <w:rFonts w:ascii="Times New Roman" w:eastAsia="Times New Roman" w:hAnsi="Times New Roman" w:cs="Times New Roman"/>
          <w:i/>
          <w:iCs/>
          <w:sz w:val="24"/>
          <w:szCs w:val="24"/>
          <w:highlight w:val="white"/>
        </w:rPr>
      </w:pPr>
      <w:r>
        <w:rPr>
          <w:rFonts w:ascii="Times New Roman" w:eastAsia="Times New Roman" w:hAnsi="Times New Roman" w:cs="Times New Roman"/>
          <w:i/>
          <w:iCs/>
          <w:sz w:val="24"/>
          <w:szCs w:val="24"/>
          <w:highlight w:val="white"/>
        </w:rPr>
        <w:br w:type="page"/>
      </w:r>
    </w:p>
    <w:p w14:paraId="071F51EB" w14:textId="77777777" w:rsidR="00CB0427" w:rsidRPr="00C95B38" w:rsidRDefault="00A2738F" w:rsidP="00C95B38">
      <w:pPr>
        <w:shd w:val="clear" w:color="auto" w:fill="FFFFFF"/>
        <w:spacing w:line="360" w:lineRule="auto"/>
        <w:jc w:val="both"/>
        <w:rPr>
          <w:rFonts w:ascii="Times New Roman" w:eastAsia="Times New Roman" w:hAnsi="Times New Roman" w:cs="Times New Roman"/>
          <w:i/>
          <w:iCs/>
          <w:sz w:val="24"/>
          <w:szCs w:val="24"/>
          <w:highlight w:val="white"/>
        </w:rPr>
      </w:pPr>
      <w:r w:rsidRPr="00C95B38">
        <w:rPr>
          <w:rFonts w:ascii="Times New Roman" w:eastAsia="Times New Roman" w:hAnsi="Times New Roman" w:cs="Times New Roman"/>
          <w:i/>
          <w:iCs/>
          <w:sz w:val="24"/>
          <w:szCs w:val="24"/>
          <w:highlight w:val="white"/>
        </w:rPr>
        <w:t xml:space="preserve">Mitigating bias </w:t>
      </w:r>
    </w:p>
    <w:p w14:paraId="57966508"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project manager of LTC can take proactive measures to prevent confirmation bias, such as highlighting </w:t>
      </w:r>
      <w:r w:rsidR="00C95B38" w:rsidRPr="00C95B38">
        <w:rPr>
          <w:rFonts w:ascii="Times New Roman" w:eastAsia="Times New Roman" w:hAnsi="Times New Roman" w:cs="Times New Roman"/>
          <w:sz w:val="24"/>
          <w:szCs w:val="24"/>
          <w:highlight w:val="white"/>
        </w:rPr>
        <w:t>favourable</w:t>
      </w:r>
      <w:r w:rsidRPr="00C95B38">
        <w:rPr>
          <w:rFonts w:ascii="Times New Roman" w:eastAsia="Times New Roman" w:hAnsi="Times New Roman" w:cs="Times New Roman"/>
          <w:sz w:val="24"/>
          <w:szCs w:val="24"/>
          <w:highlight w:val="white"/>
        </w:rPr>
        <w:t xml:space="preserve"> feedback and geographic bias, like over-representing certain boroughs over others. All feedback from the stakeholders, both positive and negative, must </w:t>
      </w:r>
      <w:r w:rsidR="00C95B38">
        <w:rPr>
          <w:rFonts w:ascii="Times New Roman" w:eastAsia="Times New Roman" w:hAnsi="Times New Roman" w:cs="Times New Roman"/>
          <w:sz w:val="24"/>
          <w:szCs w:val="24"/>
          <w:highlight w:val="white"/>
        </w:rPr>
        <w:t>record and address</w:t>
      </w:r>
      <w:r w:rsidRPr="00C95B38">
        <w:rPr>
          <w:rFonts w:ascii="Times New Roman" w:eastAsia="Times New Roman" w:hAnsi="Times New Roman" w:cs="Times New Roman"/>
          <w:sz w:val="24"/>
          <w:szCs w:val="24"/>
          <w:highlight w:val="white"/>
        </w:rPr>
        <w:t xml:space="preserve"> by the project lead, leading to reduced bias during the project execution. </w:t>
      </w:r>
    </w:p>
    <w:p w14:paraId="3FAEDABE"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Feedback collection and review </w:t>
      </w:r>
    </w:p>
    <w:p w14:paraId="320A8803" w14:textId="77777777" w:rsidR="00CB0427" w:rsidRPr="00C95B38" w:rsidRDefault="00A2738F" w:rsidP="00C95B38">
      <w:pPr>
        <w:shd w:val="clear" w:color="auto" w:fill="FFFFFF"/>
        <w:spacing w:line="360" w:lineRule="auto"/>
        <w:jc w:val="both"/>
        <w:rPr>
          <w:rFonts w:ascii="Times New Roman" w:eastAsia="Times New Roman" w:hAnsi="Times New Roman" w:cs="Times New Roman"/>
          <w:i/>
          <w:iCs/>
          <w:sz w:val="24"/>
          <w:szCs w:val="24"/>
          <w:highlight w:val="white"/>
        </w:rPr>
      </w:pPr>
      <w:r w:rsidRPr="00C95B38">
        <w:rPr>
          <w:rFonts w:ascii="Times New Roman" w:eastAsia="Times New Roman" w:hAnsi="Times New Roman" w:cs="Times New Roman"/>
          <w:i/>
          <w:iCs/>
          <w:sz w:val="24"/>
          <w:szCs w:val="24"/>
          <w:highlight w:val="white"/>
        </w:rPr>
        <w:t xml:space="preserve">Logging and Categorisation </w:t>
      </w:r>
    </w:p>
    <w:p w14:paraId="59109E86"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All feedback on the LTC project would be collected through public portals and workshops, and the information would be tracked to support project teams in easily organising, reviewing, and responding to stakeholders' input. According to </w:t>
      </w:r>
      <w:proofErr w:type="spellStart"/>
      <w:r w:rsidRPr="00C95B38">
        <w:rPr>
          <w:rFonts w:ascii="Times New Roman" w:eastAsia="Times New Roman" w:hAnsi="Times New Roman" w:cs="Times New Roman"/>
          <w:sz w:val="24"/>
          <w:szCs w:val="24"/>
          <w:highlight w:val="white"/>
        </w:rPr>
        <w:t>Gbabo</w:t>
      </w:r>
      <w:proofErr w:type="spellEnd"/>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et al.</w:t>
      </w:r>
      <w:r w:rsidRPr="00C95B38">
        <w:rPr>
          <w:rFonts w:ascii="Times New Roman" w:eastAsia="Times New Roman" w:hAnsi="Times New Roman" w:cs="Times New Roman"/>
          <w:sz w:val="24"/>
          <w:szCs w:val="24"/>
          <w:highlight w:val="white"/>
        </w:rPr>
        <w:t xml:space="preserve"> (2023), value realisation models incorporate stakeholders' benefits that contribute to building trust, increasing transparency, and fostering collaboration. The project manager of LTC will collect the stakeholders' information through public portals and make responses coded by stakeholder categories like employee, supplier, and local resident, developing trust among them. </w:t>
      </w:r>
    </w:p>
    <w:p w14:paraId="6D9E66CC" w14:textId="77777777" w:rsidR="00CB0427" w:rsidRPr="00C95B38" w:rsidRDefault="00A2738F" w:rsidP="00C95B38">
      <w:pPr>
        <w:shd w:val="clear" w:color="auto" w:fill="FFFFFF"/>
        <w:spacing w:line="360" w:lineRule="auto"/>
        <w:jc w:val="both"/>
        <w:rPr>
          <w:rFonts w:ascii="Times New Roman" w:eastAsia="Times New Roman" w:hAnsi="Times New Roman" w:cs="Times New Roman"/>
          <w:i/>
          <w:iCs/>
          <w:sz w:val="24"/>
          <w:szCs w:val="24"/>
          <w:highlight w:val="white"/>
        </w:rPr>
      </w:pPr>
      <w:r w:rsidRPr="00C95B38">
        <w:rPr>
          <w:rFonts w:ascii="Times New Roman" w:eastAsia="Times New Roman" w:hAnsi="Times New Roman" w:cs="Times New Roman"/>
          <w:i/>
          <w:iCs/>
          <w:sz w:val="24"/>
          <w:szCs w:val="24"/>
          <w:highlight w:val="white"/>
        </w:rPr>
        <w:t xml:space="preserve">Impact Analysis and Review </w:t>
      </w:r>
    </w:p>
    <w:p w14:paraId="70DAA46E"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A dedicated review team would be developed by the LTC project to evaluate the collected feedback from the stakeholders against project constraints and environmental standards, including green logistics and woodlands. The essential concerns and suggestions would be forwarded to the project engineering and design teams for successfully executing the plan. </w:t>
      </w:r>
    </w:p>
    <w:p w14:paraId="0EE307C6" w14:textId="77777777" w:rsidR="00CB0427" w:rsidRPr="00C95B38" w:rsidRDefault="00A2738F" w:rsidP="00C95B38">
      <w:pPr>
        <w:shd w:val="clear" w:color="auto" w:fill="FFFFFF"/>
        <w:spacing w:line="360" w:lineRule="auto"/>
        <w:jc w:val="both"/>
        <w:rPr>
          <w:rFonts w:ascii="Times New Roman" w:eastAsia="Times New Roman" w:hAnsi="Times New Roman" w:cs="Times New Roman"/>
          <w:i/>
          <w:iCs/>
          <w:sz w:val="24"/>
          <w:szCs w:val="24"/>
          <w:highlight w:val="white"/>
        </w:rPr>
      </w:pPr>
      <w:r w:rsidRPr="00C95B38">
        <w:rPr>
          <w:rFonts w:ascii="Times New Roman" w:eastAsia="Times New Roman" w:hAnsi="Times New Roman" w:cs="Times New Roman"/>
          <w:i/>
          <w:iCs/>
          <w:sz w:val="24"/>
          <w:szCs w:val="24"/>
          <w:highlight w:val="white"/>
        </w:rPr>
        <w:t xml:space="preserve">Feedback Loops </w:t>
      </w:r>
    </w:p>
    <w:p w14:paraId="36ADFB7D"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The LTC manager can publish a formal ‘Statement of Community Consultation’ report before executing the project and during the project. According to </w:t>
      </w:r>
      <w:proofErr w:type="spellStart"/>
      <w:r w:rsidRPr="00C95B38">
        <w:rPr>
          <w:rFonts w:ascii="Times New Roman" w:eastAsia="Times New Roman" w:hAnsi="Times New Roman" w:cs="Times New Roman"/>
          <w:sz w:val="24"/>
          <w:szCs w:val="24"/>
          <w:highlight w:val="white"/>
        </w:rPr>
        <w:t>Smaniotto</w:t>
      </w:r>
      <w:proofErr w:type="spellEnd"/>
      <w:r w:rsidRPr="00C95B38">
        <w:rPr>
          <w:rFonts w:ascii="Times New Roman" w:eastAsia="Times New Roman" w:hAnsi="Times New Roman" w:cs="Times New Roman"/>
          <w:sz w:val="24"/>
          <w:szCs w:val="24"/>
          <w:highlight w:val="white"/>
        </w:rPr>
        <w:t xml:space="preserve"> Costa (2023), statements of community consultation reports include details of the proposals and the planning process to consult with the local community. This documentation may outline the feedback received and its influence on the final design, and offer justifications for the reason that certain community requirements could not be implemented in future. </w:t>
      </w:r>
      <w:r w:rsidRPr="00C95B38">
        <w:br w:type="page"/>
      </w:r>
    </w:p>
    <w:p w14:paraId="4B95CBF7" w14:textId="77777777" w:rsidR="00CB0427" w:rsidRPr="00C95B38" w:rsidRDefault="00C95B38" w:rsidP="00C95B38">
      <w:pPr>
        <w:pStyle w:val="Heading1"/>
        <w:spacing w:before="0" w:after="0"/>
        <w:rPr>
          <w:highlight w:val="white"/>
        </w:rPr>
      </w:pPr>
      <w:bookmarkStart w:id="4" w:name="_Toc234942911"/>
      <w:r>
        <w:rPr>
          <w:highlight w:val="white"/>
        </w:rPr>
        <w:t xml:space="preserve">Element 4: </w:t>
      </w:r>
      <w:r w:rsidR="00A2738F" w:rsidRPr="00C95B38">
        <w:rPr>
          <w:highlight w:val="white"/>
        </w:rPr>
        <w:t>Conclusion and Reflection</w:t>
      </w:r>
      <w:bookmarkEnd w:id="4"/>
      <w:r w:rsidR="00A2738F" w:rsidRPr="00C95B38">
        <w:rPr>
          <w:highlight w:val="white"/>
        </w:rPr>
        <w:t xml:space="preserve"> </w:t>
      </w:r>
    </w:p>
    <w:p w14:paraId="4CBEAF9A"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Conclusion </w:t>
      </w:r>
    </w:p>
    <w:p w14:paraId="4A637DDD"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sz w:val="24"/>
          <w:szCs w:val="24"/>
          <w:highlight w:val="white"/>
        </w:rPr>
        <w:t xml:space="preserve">In conclusion, it can be stated that stakeholder management refers to a key initiative that needs to be managed by project managers to achieve valuable outcomes while executing a project or new initiative. The research mainly highlights that the LTC (Lower Thames Crossing) is a proposed UK transport development </w:t>
      </w:r>
      <w:r w:rsidR="00C95B38">
        <w:rPr>
          <w:rFonts w:ascii="Times New Roman" w:eastAsia="Times New Roman" w:hAnsi="Times New Roman" w:cs="Times New Roman"/>
          <w:sz w:val="24"/>
          <w:szCs w:val="24"/>
          <w:highlight w:val="white"/>
        </w:rPr>
        <w:t>plan</w:t>
      </w:r>
      <w:r w:rsidRPr="00C95B38">
        <w:rPr>
          <w:rFonts w:ascii="Times New Roman" w:eastAsia="Times New Roman" w:hAnsi="Times New Roman" w:cs="Times New Roman"/>
          <w:sz w:val="24"/>
          <w:szCs w:val="24"/>
          <w:highlight w:val="white"/>
        </w:rPr>
        <w:t xml:space="preserve"> targeting to relieve Dartford Crossing congestion. The understanding of the power interests of the key stakeholders of this project through using a stakeholder matrix or framework increases the opportunity to develop communication planning for successfully involving them. This report also highlights the key methods of consultation, ethical considerations to collect data, tackle bias and manage DEI, as well as successfully collect and review the feedback of the relevant stakeholders to effectively run the entire project plan in the future. Hence, it can be stated that these practices ensure fair representation, secure participatory privacy, and reduce discrimination among employees. The integration of these practices with diverse stakeholders' feedback may increase sustainability, trust, minimise operational challenges, and long-term success. </w:t>
      </w:r>
    </w:p>
    <w:p w14:paraId="65E055BC"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Reflection </w:t>
      </w:r>
    </w:p>
    <w:p w14:paraId="6A45EDF4"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i/>
          <w:iCs/>
          <w:sz w:val="24"/>
          <w:szCs w:val="24"/>
          <w:highlight w:val="white"/>
        </w:rPr>
      </w:pPr>
      <w:r w:rsidRPr="00C95B38">
        <w:rPr>
          <w:rFonts w:ascii="Times New Roman" w:eastAsia="Times New Roman" w:hAnsi="Times New Roman" w:cs="Times New Roman"/>
          <w:b/>
          <w:bCs/>
          <w:i/>
          <w:iCs/>
          <w:sz w:val="24"/>
          <w:szCs w:val="24"/>
          <w:highlight w:val="white"/>
        </w:rPr>
        <w:t xml:space="preserve">Concrete experiences </w:t>
      </w:r>
    </w:p>
    <w:p w14:paraId="17C68F9F"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I have gained significant knowledge regarding the importance of effective stakeholder engagement for project success and sustainability. According to Wu </w:t>
      </w:r>
      <w:r w:rsidRPr="00C95B38">
        <w:rPr>
          <w:rFonts w:ascii="Times New Roman" w:eastAsia="Times New Roman" w:hAnsi="Times New Roman" w:cs="Times New Roman"/>
          <w:i/>
          <w:iCs/>
          <w:sz w:val="24"/>
          <w:szCs w:val="24"/>
          <w:highlight w:val="white"/>
        </w:rPr>
        <w:t>et al.</w:t>
      </w:r>
      <w:r w:rsidRPr="00C95B38">
        <w:rPr>
          <w:rFonts w:ascii="Times New Roman" w:eastAsia="Times New Roman" w:hAnsi="Times New Roman" w:cs="Times New Roman"/>
          <w:sz w:val="24"/>
          <w:szCs w:val="24"/>
          <w:highlight w:val="white"/>
        </w:rPr>
        <w:t xml:space="preserve"> (2023), effective stakeholder involvement is a cornerstone of project sustainability. I believe that any project may gain real-world grounding, foster community ownership, and adapt to challenges by directly involving stakeholders to ensure long-term resilience. Additionally, meeting the </w:t>
      </w:r>
      <w:r w:rsidR="00C95B38" w:rsidRPr="00C95B38">
        <w:rPr>
          <w:rFonts w:ascii="Times New Roman" w:eastAsia="Times New Roman" w:hAnsi="Times New Roman" w:cs="Times New Roman"/>
          <w:sz w:val="24"/>
          <w:szCs w:val="24"/>
          <w:highlight w:val="white"/>
        </w:rPr>
        <w:t>stakeholder’s</w:t>
      </w:r>
      <w:r w:rsidRPr="00C95B38">
        <w:rPr>
          <w:rFonts w:ascii="Times New Roman" w:eastAsia="Times New Roman" w:hAnsi="Times New Roman" w:cs="Times New Roman"/>
          <w:sz w:val="24"/>
          <w:szCs w:val="24"/>
          <w:highlight w:val="white"/>
        </w:rPr>
        <w:t xml:space="preserve"> needs may allow for direct and hands-on engagement. In my opinion, during transportation system development projects such as the LTC Tunnel project in the UK, involving local residents and community members taught me the significance of listening to lived realities rather than simply relying on top-down information. </w:t>
      </w:r>
    </w:p>
    <w:p w14:paraId="37808268" w14:textId="77777777" w:rsidR="00C95B38" w:rsidRDefault="00C95B38" w:rsidP="00C95B38">
      <w:pPr>
        <w:rPr>
          <w:rFonts w:ascii="Times New Roman" w:eastAsia="Times New Roman" w:hAnsi="Times New Roman" w:cs="Times New Roman"/>
          <w:b/>
          <w:bCs/>
          <w:i/>
          <w:iCs/>
          <w:sz w:val="24"/>
          <w:szCs w:val="24"/>
          <w:highlight w:val="white"/>
        </w:rPr>
      </w:pPr>
      <w:r>
        <w:rPr>
          <w:rFonts w:ascii="Times New Roman" w:eastAsia="Times New Roman" w:hAnsi="Times New Roman" w:cs="Times New Roman"/>
          <w:b/>
          <w:bCs/>
          <w:i/>
          <w:iCs/>
          <w:sz w:val="24"/>
          <w:szCs w:val="24"/>
          <w:highlight w:val="white"/>
        </w:rPr>
        <w:br w:type="page"/>
      </w:r>
    </w:p>
    <w:p w14:paraId="581799BC"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i/>
          <w:iCs/>
          <w:sz w:val="24"/>
          <w:szCs w:val="24"/>
          <w:highlight w:val="white"/>
        </w:rPr>
      </w:pPr>
      <w:r w:rsidRPr="00C95B38">
        <w:rPr>
          <w:rFonts w:ascii="Times New Roman" w:eastAsia="Times New Roman" w:hAnsi="Times New Roman" w:cs="Times New Roman"/>
          <w:b/>
          <w:bCs/>
          <w:i/>
          <w:iCs/>
          <w:sz w:val="24"/>
          <w:szCs w:val="24"/>
          <w:highlight w:val="white"/>
        </w:rPr>
        <w:t xml:space="preserve">Reflective observation </w:t>
      </w:r>
    </w:p>
    <w:p w14:paraId="1C71A5DA"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I felt knowledgeable after getting the point that stakeholder involvement is critical for project success as it protects vital buy-in, handles expectations, and reduces resistance. After gaining knowledge regarding these, I also felt motivated to implement the stakeholder management actions in future projects as a project manager. It may increase my opportunity to successfully lead projects and manage sustainability, leading to securing my professional job roles in the future as a project manager. According to the LTC Tunnel project plan, I also observed that employees, local residents, community members, suppliers, investors, and governments are the key stakeholders that need to be managed by developing effective communication and consultation methods. Hence, the adoption of the communication and consultation methods is significant for the project, leading to increased involvement and interest among the stakeholders towards the project. </w:t>
      </w:r>
    </w:p>
    <w:p w14:paraId="4EF46CE4"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i/>
          <w:iCs/>
          <w:sz w:val="24"/>
          <w:szCs w:val="24"/>
          <w:highlight w:val="white"/>
        </w:rPr>
      </w:pPr>
      <w:r w:rsidRPr="00C95B38">
        <w:rPr>
          <w:rFonts w:ascii="Times New Roman" w:eastAsia="Times New Roman" w:hAnsi="Times New Roman" w:cs="Times New Roman"/>
          <w:b/>
          <w:bCs/>
          <w:i/>
          <w:iCs/>
          <w:sz w:val="24"/>
          <w:szCs w:val="24"/>
          <w:highlight w:val="white"/>
        </w:rPr>
        <w:t xml:space="preserve">Abstract conceptualisation </w:t>
      </w:r>
    </w:p>
    <w:p w14:paraId="120258B9"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I observed that effective stakeholder engagement increases decision-making, proactive risk mitigation, and supports lasting sustainability within the project planning. According to Awa </w:t>
      </w:r>
      <w:r w:rsidRPr="00C95B38">
        <w:rPr>
          <w:rFonts w:ascii="Times New Roman" w:eastAsia="Times New Roman" w:hAnsi="Times New Roman" w:cs="Times New Roman"/>
          <w:i/>
          <w:iCs/>
          <w:sz w:val="24"/>
          <w:szCs w:val="24"/>
          <w:highlight w:val="white"/>
        </w:rPr>
        <w:t>et al.</w:t>
      </w:r>
      <w:r w:rsidRPr="00C95B38">
        <w:rPr>
          <w:rFonts w:ascii="Times New Roman" w:eastAsia="Times New Roman" w:hAnsi="Times New Roman" w:cs="Times New Roman"/>
          <w:sz w:val="24"/>
          <w:szCs w:val="24"/>
          <w:highlight w:val="white"/>
        </w:rPr>
        <w:t xml:space="preserve"> (2024), organisations prioritise diverse stakeholder information to increase trust of stakeholders towards operations, which also helps in addressing community, economic and environmental trends. In my opinion, during a project, it is required to collect diverse opinions of the different stakeholders in the communities and manage DEI policy in the workplace, meeting community, economic and environmental trends successfully. Active stakeholder involvement may also increase my understanding to improve proactive risk mitigation, such as identifying early hidden challenges, which prevents costly delays. Moreover, strong management of stakeholders can also foster long-term collaboration, which ensures project goals endure beyond initial delivery. </w:t>
      </w:r>
    </w:p>
    <w:p w14:paraId="7F126847" w14:textId="77777777" w:rsidR="00C95B38" w:rsidRDefault="00C95B38" w:rsidP="00C95B38">
      <w:pPr>
        <w:rPr>
          <w:rFonts w:ascii="Times New Roman" w:eastAsia="Times New Roman" w:hAnsi="Times New Roman" w:cs="Times New Roman"/>
          <w:b/>
          <w:bCs/>
          <w:i/>
          <w:iCs/>
          <w:sz w:val="24"/>
          <w:szCs w:val="24"/>
          <w:highlight w:val="white"/>
        </w:rPr>
      </w:pPr>
      <w:r>
        <w:rPr>
          <w:rFonts w:ascii="Times New Roman" w:eastAsia="Times New Roman" w:hAnsi="Times New Roman" w:cs="Times New Roman"/>
          <w:b/>
          <w:bCs/>
          <w:i/>
          <w:iCs/>
          <w:sz w:val="24"/>
          <w:szCs w:val="24"/>
          <w:highlight w:val="white"/>
        </w:rPr>
        <w:br w:type="page"/>
      </w:r>
    </w:p>
    <w:p w14:paraId="0037590B" w14:textId="77777777" w:rsidR="00CB0427" w:rsidRPr="00C95B38" w:rsidRDefault="00A2738F" w:rsidP="00C95B38">
      <w:pPr>
        <w:shd w:val="clear" w:color="auto" w:fill="FFFFFF"/>
        <w:spacing w:line="360" w:lineRule="auto"/>
        <w:jc w:val="both"/>
        <w:rPr>
          <w:rFonts w:ascii="Times New Roman" w:eastAsia="Times New Roman" w:hAnsi="Times New Roman" w:cs="Times New Roman"/>
          <w:b/>
          <w:bCs/>
          <w:i/>
          <w:iCs/>
          <w:sz w:val="24"/>
          <w:szCs w:val="24"/>
          <w:highlight w:val="white"/>
        </w:rPr>
      </w:pPr>
      <w:r w:rsidRPr="00C95B38">
        <w:rPr>
          <w:rFonts w:ascii="Times New Roman" w:eastAsia="Times New Roman" w:hAnsi="Times New Roman" w:cs="Times New Roman"/>
          <w:b/>
          <w:bCs/>
          <w:i/>
          <w:iCs/>
          <w:sz w:val="24"/>
          <w:szCs w:val="24"/>
          <w:highlight w:val="white"/>
        </w:rPr>
        <w:t xml:space="preserve">Active experimentation </w:t>
      </w:r>
    </w:p>
    <w:p w14:paraId="665FA82D" w14:textId="77777777" w:rsidR="00CB0427" w:rsidRPr="00C95B38" w:rsidRDefault="00A2738F" w:rsidP="00C95B38">
      <w:pPr>
        <w:shd w:val="clear" w:color="auto" w:fill="FFFFFF"/>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After addressing the importance of stakeholder engagement in achieving project success and sustainability, I believe that tailoring communication, active feedback loops, and collaborative planning are key actions to increase collaboration among stakeholders. In my opinion, a project manager needs to deliver consistent, customised project updates to meet the particular requirements of diverse stakeholders. Additionally, project managers also need to develop transparent channels or platforms where stakeholders may freely voice concerns and share information. Collaborative planning, such as involving stakeholders early in decision-making, can also be a significant action that may help project managers to build a sense of ownership among stakeholders. Thus, it can be stated that these strategic plan adoptions are necessary and required planning have to be adopted by project managers to increase stakeholder engagement during a project to achieve success and sustainability. </w:t>
      </w:r>
    </w:p>
    <w:p w14:paraId="7EC3B47D" w14:textId="77777777" w:rsidR="00CB0427" w:rsidRPr="00C95B38" w:rsidRDefault="00CB0427" w:rsidP="00C95B38">
      <w:pPr>
        <w:shd w:val="clear" w:color="auto" w:fill="FFFFFF"/>
        <w:spacing w:line="360" w:lineRule="auto"/>
        <w:jc w:val="both"/>
        <w:rPr>
          <w:rFonts w:ascii="Times New Roman" w:eastAsia="Times New Roman" w:hAnsi="Times New Roman" w:cs="Times New Roman"/>
          <w:b/>
          <w:bCs/>
          <w:sz w:val="24"/>
          <w:szCs w:val="24"/>
          <w:highlight w:val="white"/>
        </w:rPr>
      </w:pPr>
    </w:p>
    <w:p w14:paraId="34F02E73" w14:textId="77777777" w:rsidR="00CB0427" w:rsidRPr="00C95B38" w:rsidRDefault="00CB0427" w:rsidP="00C95B38">
      <w:pPr>
        <w:shd w:val="clear" w:color="auto" w:fill="FFFFFF"/>
        <w:spacing w:line="360" w:lineRule="auto"/>
        <w:jc w:val="both"/>
        <w:rPr>
          <w:rFonts w:ascii="Times New Roman" w:eastAsia="Times New Roman" w:hAnsi="Times New Roman" w:cs="Times New Roman"/>
          <w:sz w:val="24"/>
          <w:szCs w:val="24"/>
          <w:highlight w:val="white"/>
        </w:rPr>
      </w:pPr>
    </w:p>
    <w:p w14:paraId="7D32C22C" w14:textId="77777777" w:rsidR="00CB0427" w:rsidRPr="00C95B38" w:rsidRDefault="00CB0427" w:rsidP="00C95B38">
      <w:pPr>
        <w:shd w:val="clear" w:color="auto" w:fill="FFFFFF"/>
        <w:spacing w:line="360" w:lineRule="auto"/>
        <w:rPr>
          <w:rFonts w:ascii="Times New Roman" w:eastAsia="Times New Roman" w:hAnsi="Times New Roman" w:cs="Times New Roman"/>
          <w:b/>
          <w:bCs/>
          <w:sz w:val="24"/>
          <w:szCs w:val="24"/>
          <w:highlight w:val="white"/>
        </w:rPr>
      </w:pPr>
    </w:p>
    <w:p w14:paraId="1F500E5E" w14:textId="77777777" w:rsidR="00CB0427" w:rsidRPr="00C95B38" w:rsidRDefault="00CB0427" w:rsidP="00C95B38">
      <w:pPr>
        <w:shd w:val="clear" w:color="auto" w:fill="FFFFFF"/>
        <w:spacing w:line="360" w:lineRule="auto"/>
        <w:rPr>
          <w:rFonts w:ascii="Times New Roman" w:eastAsia="Times New Roman" w:hAnsi="Times New Roman" w:cs="Times New Roman"/>
          <w:b/>
          <w:bCs/>
          <w:sz w:val="24"/>
          <w:szCs w:val="24"/>
          <w:highlight w:val="white"/>
        </w:rPr>
      </w:pPr>
    </w:p>
    <w:p w14:paraId="5D43F3B4" w14:textId="77777777" w:rsidR="00CB0427" w:rsidRPr="00C95B38" w:rsidRDefault="00CB0427" w:rsidP="00C95B38">
      <w:pPr>
        <w:shd w:val="clear" w:color="auto" w:fill="FFFFFF"/>
        <w:spacing w:line="360" w:lineRule="auto"/>
        <w:rPr>
          <w:rFonts w:ascii="Times New Roman" w:eastAsia="Times New Roman" w:hAnsi="Times New Roman" w:cs="Times New Roman"/>
          <w:b/>
          <w:bCs/>
          <w:sz w:val="24"/>
          <w:szCs w:val="24"/>
          <w:highlight w:val="white"/>
        </w:rPr>
      </w:pPr>
    </w:p>
    <w:p w14:paraId="12E92C24" w14:textId="77777777" w:rsidR="00CB0427" w:rsidRPr="00C95B38" w:rsidRDefault="00A2738F" w:rsidP="00C95B38">
      <w:pPr>
        <w:shd w:val="clear" w:color="auto" w:fill="FFFFFF"/>
        <w:spacing w:line="360" w:lineRule="auto"/>
        <w:rPr>
          <w:rFonts w:ascii="Times New Roman" w:eastAsia="Times New Roman" w:hAnsi="Times New Roman" w:cs="Times New Roman"/>
          <w:b/>
          <w:bCs/>
          <w:sz w:val="24"/>
          <w:szCs w:val="24"/>
          <w:highlight w:val="white"/>
        </w:rPr>
      </w:pPr>
      <w:r w:rsidRPr="00C95B38">
        <w:br w:type="page"/>
      </w:r>
    </w:p>
    <w:p w14:paraId="164F1C33" w14:textId="77777777" w:rsidR="00CB0427" w:rsidRPr="00C95B38" w:rsidRDefault="00A2738F" w:rsidP="00C95B38">
      <w:pPr>
        <w:pStyle w:val="Heading1"/>
        <w:spacing w:before="0" w:after="0"/>
        <w:rPr>
          <w:highlight w:val="white"/>
        </w:rPr>
      </w:pPr>
      <w:bookmarkStart w:id="5" w:name="_Toc234942912"/>
      <w:r w:rsidRPr="00C95B38">
        <w:rPr>
          <w:highlight w:val="white"/>
        </w:rPr>
        <w:t>Reference List</w:t>
      </w:r>
      <w:bookmarkEnd w:id="5"/>
      <w:r w:rsidRPr="00C95B38">
        <w:rPr>
          <w:highlight w:val="white"/>
        </w:rPr>
        <w:t xml:space="preserve"> </w:t>
      </w:r>
    </w:p>
    <w:p w14:paraId="73F99010"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Awa, H.O., </w:t>
      </w:r>
      <w:proofErr w:type="spellStart"/>
      <w:r w:rsidRPr="00C95B38">
        <w:rPr>
          <w:rFonts w:ascii="Times New Roman" w:eastAsia="Times New Roman" w:hAnsi="Times New Roman" w:cs="Times New Roman"/>
          <w:sz w:val="24"/>
          <w:szCs w:val="24"/>
          <w:highlight w:val="white"/>
        </w:rPr>
        <w:t>Etim</w:t>
      </w:r>
      <w:proofErr w:type="spellEnd"/>
      <w:r w:rsidRPr="00C95B38">
        <w:rPr>
          <w:rFonts w:ascii="Times New Roman" w:eastAsia="Times New Roman" w:hAnsi="Times New Roman" w:cs="Times New Roman"/>
          <w:sz w:val="24"/>
          <w:szCs w:val="24"/>
          <w:highlight w:val="white"/>
        </w:rPr>
        <w:t xml:space="preserve">, W. and </w:t>
      </w:r>
      <w:proofErr w:type="spellStart"/>
      <w:r w:rsidRPr="00C95B38">
        <w:rPr>
          <w:rFonts w:ascii="Times New Roman" w:eastAsia="Times New Roman" w:hAnsi="Times New Roman" w:cs="Times New Roman"/>
          <w:sz w:val="24"/>
          <w:szCs w:val="24"/>
          <w:highlight w:val="white"/>
        </w:rPr>
        <w:t>Ogbonda</w:t>
      </w:r>
      <w:proofErr w:type="spellEnd"/>
      <w:r w:rsidRPr="00C95B38">
        <w:rPr>
          <w:rFonts w:ascii="Times New Roman" w:eastAsia="Times New Roman" w:hAnsi="Times New Roman" w:cs="Times New Roman"/>
          <w:sz w:val="24"/>
          <w:szCs w:val="24"/>
          <w:highlight w:val="white"/>
        </w:rPr>
        <w:t xml:space="preserve">, E., (2024). Stakeholders, stakeholder theory and corporate social responsibility (CSR). </w:t>
      </w:r>
      <w:r w:rsidRPr="00C95B38">
        <w:rPr>
          <w:rFonts w:ascii="Times New Roman" w:eastAsia="Times New Roman" w:hAnsi="Times New Roman" w:cs="Times New Roman"/>
          <w:i/>
          <w:iCs/>
          <w:sz w:val="24"/>
          <w:szCs w:val="24"/>
          <w:highlight w:val="white"/>
        </w:rPr>
        <w:t>International Journal of Corporate Social Responsibility</w:t>
      </w:r>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9</w:t>
      </w:r>
      <w:r w:rsidRPr="00C95B38">
        <w:rPr>
          <w:rFonts w:ascii="Times New Roman" w:eastAsia="Times New Roman" w:hAnsi="Times New Roman" w:cs="Times New Roman"/>
          <w:sz w:val="24"/>
          <w:szCs w:val="24"/>
          <w:highlight w:val="white"/>
        </w:rPr>
        <w:t xml:space="preserve">(1), p.11. </w:t>
      </w:r>
      <w:hyperlink r:id="rId8">
        <w:r w:rsidRPr="00C95B38">
          <w:rPr>
            <w:rFonts w:ascii="Times New Roman" w:eastAsia="Times New Roman" w:hAnsi="Times New Roman" w:cs="Times New Roman"/>
            <w:sz w:val="24"/>
            <w:szCs w:val="24"/>
            <w:highlight w:val="white"/>
          </w:rPr>
          <w:t>https://link.springer.com/content/pdf/10.1186/s40991-024-00094-y.pdf</w:t>
        </w:r>
      </w:hyperlink>
    </w:p>
    <w:p w14:paraId="4818B737"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proofErr w:type="spellStart"/>
      <w:r w:rsidRPr="00C95B38">
        <w:rPr>
          <w:rFonts w:ascii="Times New Roman" w:eastAsia="Times New Roman" w:hAnsi="Times New Roman" w:cs="Times New Roman"/>
          <w:sz w:val="24"/>
          <w:szCs w:val="24"/>
          <w:highlight w:val="white"/>
        </w:rPr>
        <w:t>Babaei</w:t>
      </w:r>
      <w:proofErr w:type="spellEnd"/>
      <w:r w:rsidRPr="00C95B38">
        <w:rPr>
          <w:rFonts w:ascii="Times New Roman" w:eastAsia="Times New Roman" w:hAnsi="Times New Roman" w:cs="Times New Roman"/>
          <w:sz w:val="24"/>
          <w:szCs w:val="24"/>
          <w:highlight w:val="white"/>
        </w:rPr>
        <w:t xml:space="preserve">, A., Locatelli, G. and </w:t>
      </w:r>
      <w:proofErr w:type="spellStart"/>
      <w:r w:rsidRPr="00C95B38">
        <w:rPr>
          <w:rFonts w:ascii="Times New Roman" w:eastAsia="Times New Roman" w:hAnsi="Times New Roman" w:cs="Times New Roman"/>
          <w:sz w:val="24"/>
          <w:szCs w:val="24"/>
          <w:highlight w:val="white"/>
        </w:rPr>
        <w:t>Sainati</w:t>
      </w:r>
      <w:proofErr w:type="spellEnd"/>
      <w:r w:rsidRPr="00C95B38">
        <w:rPr>
          <w:rFonts w:ascii="Times New Roman" w:eastAsia="Times New Roman" w:hAnsi="Times New Roman" w:cs="Times New Roman"/>
          <w:sz w:val="24"/>
          <w:szCs w:val="24"/>
          <w:highlight w:val="white"/>
        </w:rPr>
        <w:t xml:space="preserve">, T., (2023). Local community engagement as a practice: an investigation of local community engagement issues and their impact on transport megaprojects' social value. </w:t>
      </w:r>
      <w:r w:rsidRPr="00C95B38">
        <w:rPr>
          <w:rFonts w:ascii="Times New Roman" w:eastAsia="Times New Roman" w:hAnsi="Times New Roman" w:cs="Times New Roman"/>
          <w:i/>
          <w:iCs/>
          <w:sz w:val="24"/>
          <w:szCs w:val="24"/>
          <w:highlight w:val="white"/>
        </w:rPr>
        <w:t>International Journal of Managing Projects in Business</w:t>
      </w:r>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16</w:t>
      </w:r>
      <w:r w:rsidRPr="00C95B38">
        <w:rPr>
          <w:rFonts w:ascii="Times New Roman" w:eastAsia="Times New Roman" w:hAnsi="Times New Roman" w:cs="Times New Roman"/>
          <w:sz w:val="24"/>
          <w:szCs w:val="24"/>
          <w:highlight w:val="white"/>
        </w:rPr>
        <w:t xml:space="preserve">(3), pp.448-474. </w:t>
      </w:r>
      <w:hyperlink r:id="rId9">
        <w:r w:rsidRPr="00C95B38">
          <w:rPr>
            <w:rFonts w:ascii="Times New Roman" w:eastAsia="Times New Roman" w:hAnsi="Times New Roman" w:cs="Times New Roman"/>
            <w:sz w:val="24"/>
            <w:szCs w:val="24"/>
            <w:highlight w:val="white"/>
          </w:rPr>
          <w:t>https://re.public.polimi.it/bitstream/11311/1257467/1/Local%20com.pdf</w:t>
        </w:r>
      </w:hyperlink>
      <w:r w:rsidRPr="00C95B38">
        <w:rPr>
          <w:rFonts w:ascii="Times New Roman" w:eastAsia="Times New Roman" w:hAnsi="Times New Roman" w:cs="Times New Roman"/>
          <w:sz w:val="24"/>
          <w:szCs w:val="24"/>
          <w:highlight w:val="white"/>
        </w:rPr>
        <w:t xml:space="preserve"> </w:t>
      </w:r>
    </w:p>
    <w:p w14:paraId="77398721"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Celestin, M., Paul, H.J. and Clementine, N., (2022). Analysis of effective communication and project success: Survey on electricity access roll-out project at EDCL-EARP. </w:t>
      </w:r>
      <w:proofErr w:type="spellStart"/>
      <w:r w:rsidRPr="00C95B38">
        <w:rPr>
          <w:rFonts w:ascii="Times New Roman" w:eastAsia="Times New Roman" w:hAnsi="Times New Roman" w:cs="Times New Roman"/>
          <w:i/>
          <w:iCs/>
          <w:sz w:val="24"/>
          <w:szCs w:val="24"/>
          <w:highlight w:val="white"/>
        </w:rPr>
        <w:t>Brainae</w:t>
      </w:r>
      <w:proofErr w:type="spellEnd"/>
      <w:r w:rsidRPr="00C95B38">
        <w:rPr>
          <w:rFonts w:ascii="Times New Roman" w:eastAsia="Times New Roman" w:hAnsi="Times New Roman" w:cs="Times New Roman"/>
          <w:i/>
          <w:iCs/>
          <w:sz w:val="24"/>
          <w:szCs w:val="24"/>
          <w:highlight w:val="white"/>
        </w:rPr>
        <w:t xml:space="preserve"> Journal of Business, Sciences and Technology</w:t>
      </w:r>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7</w:t>
      </w:r>
      <w:r w:rsidRPr="00C95B38">
        <w:rPr>
          <w:rFonts w:ascii="Times New Roman" w:eastAsia="Times New Roman" w:hAnsi="Times New Roman" w:cs="Times New Roman"/>
          <w:sz w:val="24"/>
          <w:szCs w:val="24"/>
          <w:highlight w:val="white"/>
        </w:rPr>
        <w:t xml:space="preserve">(1). </w:t>
      </w:r>
      <w:hyperlink r:id="rId10">
        <w:r w:rsidRPr="00C95B38">
          <w:rPr>
            <w:rFonts w:ascii="Times New Roman" w:eastAsia="Times New Roman" w:hAnsi="Times New Roman" w:cs="Times New Roman"/>
            <w:sz w:val="24"/>
            <w:szCs w:val="24"/>
            <w:highlight w:val="white"/>
          </w:rPr>
          <w:t>https://www.researchgate.net/profile/Prof-Celestin/publication/368831211_Analysis_of_Effective_Communication_and_Project_Success_Survey_on_Electricity_Access_Roll_Out_Project_at_EDCL_-EARP/links/63fc6be6b1704f343f871313/Analysis-of-Effective-Communication-and-Project-Success-Survey-on-Electricity-Access-Roll-Out-Project-at-EDCL-EARP.pdf</w:t>
        </w:r>
      </w:hyperlink>
      <w:r w:rsidRPr="00C95B38">
        <w:rPr>
          <w:rFonts w:ascii="Times New Roman" w:eastAsia="Times New Roman" w:hAnsi="Times New Roman" w:cs="Times New Roman"/>
          <w:sz w:val="24"/>
          <w:szCs w:val="24"/>
          <w:highlight w:val="white"/>
        </w:rPr>
        <w:t xml:space="preserve"> </w:t>
      </w:r>
    </w:p>
    <w:p w14:paraId="7501E822"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Chang, S.E. and Tanner, A., (2022). A community impact scale for regional disaster planning with transportation disruption. </w:t>
      </w:r>
      <w:r w:rsidRPr="00C95B38">
        <w:rPr>
          <w:rFonts w:ascii="Times New Roman" w:eastAsia="Times New Roman" w:hAnsi="Times New Roman" w:cs="Times New Roman"/>
          <w:i/>
          <w:iCs/>
          <w:sz w:val="24"/>
          <w:szCs w:val="24"/>
          <w:highlight w:val="white"/>
        </w:rPr>
        <w:t>Natural Hazards Review</w:t>
      </w:r>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23</w:t>
      </w:r>
      <w:r w:rsidRPr="00C95B38">
        <w:rPr>
          <w:rFonts w:ascii="Times New Roman" w:eastAsia="Times New Roman" w:hAnsi="Times New Roman" w:cs="Times New Roman"/>
          <w:sz w:val="24"/>
          <w:szCs w:val="24"/>
          <w:highlight w:val="white"/>
        </w:rPr>
        <w:t xml:space="preserve">(3), p.04022019. </w:t>
      </w:r>
      <w:hyperlink r:id="rId11">
        <w:r w:rsidRPr="00C95B38">
          <w:rPr>
            <w:rFonts w:ascii="Times New Roman" w:eastAsia="Times New Roman" w:hAnsi="Times New Roman" w:cs="Times New Roman"/>
            <w:sz w:val="24"/>
            <w:szCs w:val="24"/>
            <w:highlight w:val="white"/>
          </w:rPr>
          <w:t>https://ascelibrary.org/doi/pdf/10.1061/%28ASCE%29NH.1527-6996.0000563</w:t>
        </w:r>
      </w:hyperlink>
      <w:r w:rsidRPr="00C95B38">
        <w:rPr>
          <w:rFonts w:ascii="Times New Roman" w:eastAsia="Times New Roman" w:hAnsi="Times New Roman" w:cs="Times New Roman"/>
          <w:sz w:val="24"/>
          <w:szCs w:val="24"/>
          <w:highlight w:val="white"/>
        </w:rPr>
        <w:t xml:space="preserve"> </w:t>
      </w:r>
    </w:p>
    <w:p w14:paraId="653356F6"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proofErr w:type="spellStart"/>
      <w:r w:rsidRPr="00C95B38">
        <w:rPr>
          <w:rFonts w:ascii="Times New Roman" w:eastAsia="Times New Roman" w:hAnsi="Times New Roman" w:cs="Times New Roman"/>
          <w:sz w:val="24"/>
          <w:szCs w:val="24"/>
          <w:highlight w:val="white"/>
        </w:rPr>
        <w:t>Darvidou</w:t>
      </w:r>
      <w:proofErr w:type="spellEnd"/>
      <w:r w:rsidRPr="00C95B38">
        <w:rPr>
          <w:rFonts w:ascii="Times New Roman" w:eastAsia="Times New Roman" w:hAnsi="Times New Roman" w:cs="Times New Roman"/>
          <w:sz w:val="24"/>
          <w:szCs w:val="24"/>
          <w:highlight w:val="white"/>
        </w:rPr>
        <w:t xml:space="preserve">, K., (2024). Omnichannel marketing in the digital age: Creating consistent, personalized and connected customer experiences. </w:t>
      </w:r>
      <w:proofErr w:type="spellStart"/>
      <w:r w:rsidRPr="00C95B38">
        <w:rPr>
          <w:rFonts w:ascii="Times New Roman" w:eastAsia="Times New Roman" w:hAnsi="Times New Roman" w:cs="Times New Roman"/>
          <w:i/>
          <w:iCs/>
          <w:sz w:val="24"/>
          <w:szCs w:val="24"/>
          <w:highlight w:val="white"/>
        </w:rPr>
        <w:t>Technium</w:t>
      </w:r>
      <w:proofErr w:type="spellEnd"/>
      <w:r w:rsidRPr="00C95B38">
        <w:rPr>
          <w:rFonts w:ascii="Times New Roman" w:eastAsia="Times New Roman" w:hAnsi="Times New Roman" w:cs="Times New Roman"/>
          <w:i/>
          <w:iCs/>
          <w:sz w:val="24"/>
          <w:szCs w:val="24"/>
          <w:highlight w:val="white"/>
        </w:rPr>
        <w:t xml:space="preserve"> Business and Management</w:t>
      </w:r>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10</w:t>
      </w:r>
      <w:r w:rsidRPr="00C95B38">
        <w:rPr>
          <w:rFonts w:ascii="Times New Roman" w:eastAsia="Times New Roman" w:hAnsi="Times New Roman" w:cs="Times New Roman"/>
          <w:sz w:val="24"/>
          <w:szCs w:val="24"/>
          <w:highlight w:val="white"/>
        </w:rPr>
        <w:t xml:space="preserve">, pp.34-54. </w:t>
      </w:r>
      <w:hyperlink r:id="rId12">
        <w:r w:rsidRPr="00C95B38">
          <w:rPr>
            <w:rFonts w:ascii="Times New Roman" w:eastAsia="Times New Roman" w:hAnsi="Times New Roman" w:cs="Times New Roman"/>
            <w:sz w:val="24"/>
            <w:szCs w:val="24"/>
            <w:highlight w:val="white"/>
          </w:rPr>
          <w:t>https://pdfs.semanticscholar.org/1c59/2a4545a5e7968b709784a9016395e35c86a6.pdf</w:t>
        </w:r>
      </w:hyperlink>
      <w:r w:rsidRPr="00C95B38">
        <w:rPr>
          <w:rFonts w:ascii="Times New Roman" w:eastAsia="Times New Roman" w:hAnsi="Times New Roman" w:cs="Times New Roman"/>
          <w:sz w:val="24"/>
          <w:szCs w:val="24"/>
          <w:highlight w:val="white"/>
        </w:rPr>
        <w:t xml:space="preserve"> </w:t>
      </w:r>
    </w:p>
    <w:p w14:paraId="7D9C09E2"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proofErr w:type="spellStart"/>
      <w:r w:rsidRPr="00C95B38">
        <w:rPr>
          <w:rFonts w:ascii="Times New Roman" w:eastAsia="Times New Roman" w:hAnsi="Times New Roman" w:cs="Times New Roman"/>
          <w:sz w:val="24"/>
          <w:szCs w:val="24"/>
          <w:highlight w:val="white"/>
        </w:rPr>
        <w:t>Gbabo</w:t>
      </w:r>
      <w:proofErr w:type="spellEnd"/>
      <w:r w:rsidRPr="00C95B38">
        <w:rPr>
          <w:rFonts w:ascii="Times New Roman" w:eastAsia="Times New Roman" w:hAnsi="Times New Roman" w:cs="Times New Roman"/>
          <w:sz w:val="24"/>
          <w:szCs w:val="24"/>
          <w:highlight w:val="white"/>
        </w:rPr>
        <w:t xml:space="preserve">, E.Y., </w:t>
      </w:r>
      <w:proofErr w:type="spellStart"/>
      <w:r w:rsidRPr="00C95B38">
        <w:rPr>
          <w:rFonts w:ascii="Times New Roman" w:eastAsia="Times New Roman" w:hAnsi="Times New Roman" w:cs="Times New Roman"/>
          <w:sz w:val="24"/>
          <w:szCs w:val="24"/>
          <w:highlight w:val="white"/>
        </w:rPr>
        <w:t>Okenwa</w:t>
      </w:r>
      <w:proofErr w:type="spellEnd"/>
      <w:r w:rsidRPr="00C95B38">
        <w:rPr>
          <w:rFonts w:ascii="Times New Roman" w:eastAsia="Times New Roman" w:hAnsi="Times New Roman" w:cs="Times New Roman"/>
          <w:sz w:val="24"/>
          <w:szCs w:val="24"/>
          <w:highlight w:val="white"/>
        </w:rPr>
        <w:t xml:space="preserve">, O.K. and </w:t>
      </w:r>
      <w:proofErr w:type="spellStart"/>
      <w:r w:rsidRPr="00C95B38">
        <w:rPr>
          <w:rFonts w:ascii="Times New Roman" w:eastAsia="Times New Roman" w:hAnsi="Times New Roman" w:cs="Times New Roman"/>
          <w:sz w:val="24"/>
          <w:szCs w:val="24"/>
          <w:highlight w:val="white"/>
        </w:rPr>
        <w:t>Chima</w:t>
      </w:r>
      <w:proofErr w:type="spellEnd"/>
      <w:r w:rsidRPr="00C95B38">
        <w:rPr>
          <w:rFonts w:ascii="Times New Roman" w:eastAsia="Times New Roman" w:hAnsi="Times New Roman" w:cs="Times New Roman"/>
          <w:sz w:val="24"/>
          <w:szCs w:val="24"/>
          <w:highlight w:val="white"/>
        </w:rPr>
        <w:t xml:space="preserve">, P.E., (2023). Designing Value Realization Models for Stakeholder Benefits in Long-Term Energy Projects. </w:t>
      </w:r>
      <w:hyperlink r:id="rId13">
        <w:r w:rsidRPr="00C95B38">
          <w:rPr>
            <w:rFonts w:ascii="Times New Roman" w:eastAsia="Times New Roman" w:hAnsi="Times New Roman" w:cs="Times New Roman"/>
            <w:sz w:val="24"/>
            <w:szCs w:val="24"/>
            <w:highlight w:val="white"/>
          </w:rPr>
          <w:t>https://gisrrj.com/paper/GISRRJ236512.pdf</w:t>
        </w:r>
      </w:hyperlink>
      <w:r w:rsidRPr="00C95B38">
        <w:rPr>
          <w:rFonts w:ascii="Times New Roman" w:eastAsia="Times New Roman" w:hAnsi="Times New Roman" w:cs="Times New Roman"/>
          <w:sz w:val="24"/>
          <w:szCs w:val="24"/>
          <w:highlight w:val="white"/>
        </w:rPr>
        <w:t xml:space="preserve"> </w:t>
      </w:r>
    </w:p>
    <w:p w14:paraId="6634203B"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Greenway, N. (2026). Lower Thames Crossing spared after government spending cuts announced. [</w:t>
      </w:r>
      <w:proofErr w:type="gramStart"/>
      <w:r w:rsidRPr="00C95B38">
        <w:rPr>
          <w:rFonts w:ascii="Times New Roman" w:eastAsia="Times New Roman" w:hAnsi="Times New Roman" w:cs="Times New Roman"/>
          <w:sz w:val="24"/>
          <w:szCs w:val="24"/>
          <w:highlight w:val="white"/>
        </w:rPr>
        <w:t>online</w:t>
      </w:r>
      <w:proofErr w:type="gramEnd"/>
      <w:r w:rsidRPr="00C95B38">
        <w:rPr>
          <w:rFonts w:ascii="Times New Roman" w:eastAsia="Times New Roman" w:hAnsi="Times New Roman" w:cs="Times New Roman"/>
          <w:sz w:val="24"/>
          <w:szCs w:val="24"/>
          <w:highlight w:val="white"/>
        </w:rPr>
        <w:t xml:space="preserve">] 2 July. Available at: https://www.bbc.com/news/articles/cg534dq787do [Accessed 12 July 2026]. </w:t>
      </w:r>
    </w:p>
    <w:p w14:paraId="78C55E75"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Guise, V., Chambers, M., </w:t>
      </w:r>
      <w:proofErr w:type="spellStart"/>
      <w:r w:rsidRPr="00C95B38">
        <w:rPr>
          <w:rFonts w:ascii="Times New Roman" w:eastAsia="Times New Roman" w:hAnsi="Times New Roman" w:cs="Times New Roman"/>
          <w:sz w:val="24"/>
          <w:szCs w:val="24"/>
          <w:highlight w:val="white"/>
        </w:rPr>
        <w:t>Lyng</w:t>
      </w:r>
      <w:proofErr w:type="spellEnd"/>
      <w:r w:rsidRPr="00C95B38">
        <w:rPr>
          <w:rFonts w:ascii="Times New Roman" w:eastAsia="Times New Roman" w:hAnsi="Times New Roman" w:cs="Times New Roman"/>
          <w:sz w:val="24"/>
          <w:szCs w:val="24"/>
          <w:highlight w:val="white"/>
        </w:rPr>
        <w:t xml:space="preserve">, H.B., </w:t>
      </w:r>
      <w:proofErr w:type="spellStart"/>
      <w:r w:rsidRPr="00C95B38">
        <w:rPr>
          <w:rFonts w:ascii="Times New Roman" w:eastAsia="Times New Roman" w:hAnsi="Times New Roman" w:cs="Times New Roman"/>
          <w:sz w:val="24"/>
          <w:szCs w:val="24"/>
          <w:highlight w:val="white"/>
        </w:rPr>
        <w:t>Haraldseid-Driftland</w:t>
      </w:r>
      <w:proofErr w:type="spellEnd"/>
      <w:r w:rsidRPr="00C95B38">
        <w:rPr>
          <w:rFonts w:ascii="Times New Roman" w:eastAsia="Times New Roman" w:hAnsi="Times New Roman" w:cs="Times New Roman"/>
          <w:sz w:val="24"/>
          <w:szCs w:val="24"/>
          <w:highlight w:val="white"/>
        </w:rPr>
        <w:t xml:space="preserve">, C., </w:t>
      </w:r>
      <w:proofErr w:type="spellStart"/>
      <w:r w:rsidRPr="00C95B38">
        <w:rPr>
          <w:rFonts w:ascii="Times New Roman" w:eastAsia="Times New Roman" w:hAnsi="Times New Roman" w:cs="Times New Roman"/>
          <w:sz w:val="24"/>
          <w:szCs w:val="24"/>
          <w:highlight w:val="white"/>
        </w:rPr>
        <w:t>Schibevaag</w:t>
      </w:r>
      <w:proofErr w:type="spellEnd"/>
      <w:r w:rsidRPr="00C95B38">
        <w:rPr>
          <w:rFonts w:ascii="Times New Roman" w:eastAsia="Times New Roman" w:hAnsi="Times New Roman" w:cs="Times New Roman"/>
          <w:sz w:val="24"/>
          <w:szCs w:val="24"/>
          <w:highlight w:val="white"/>
        </w:rPr>
        <w:t xml:space="preserve">, L., </w:t>
      </w:r>
      <w:proofErr w:type="spellStart"/>
      <w:r w:rsidRPr="00C95B38">
        <w:rPr>
          <w:rFonts w:ascii="Times New Roman" w:eastAsia="Times New Roman" w:hAnsi="Times New Roman" w:cs="Times New Roman"/>
          <w:sz w:val="24"/>
          <w:szCs w:val="24"/>
          <w:highlight w:val="white"/>
        </w:rPr>
        <w:t>Fagerdal</w:t>
      </w:r>
      <w:proofErr w:type="spellEnd"/>
      <w:r w:rsidRPr="00C95B38">
        <w:rPr>
          <w:rFonts w:ascii="Times New Roman" w:eastAsia="Times New Roman" w:hAnsi="Times New Roman" w:cs="Times New Roman"/>
          <w:sz w:val="24"/>
          <w:szCs w:val="24"/>
          <w:highlight w:val="white"/>
        </w:rPr>
        <w:t xml:space="preserve">, B., </w:t>
      </w:r>
      <w:proofErr w:type="spellStart"/>
      <w:r w:rsidRPr="00C95B38">
        <w:rPr>
          <w:rFonts w:ascii="Times New Roman" w:eastAsia="Times New Roman" w:hAnsi="Times New Roman" w:cs="Times New Roman"/>
          <w:sz w:val="24"/>
          <w:szCs w:val="24"/>
          <w:highlight w:val="white"/>
        </w:rPr>
        <w:t>Dombestein</w:t>
      </w:r>
      <w:proofErr w:type="spellEnd"/>
      <w:r w:rsidRPr="00C95B38">
        <w:rPr>
          <w:rFonts w:ascii="Times New Roman" w:eastAsia="Times New Roman" w:hAnsi="Times New Roman" w:cs="Times New Roman"/>
          <w:sz w:val="24"/>
          <w:szCs w:val="24"/>
          <w:highlight w:val="white"/>
        </w:rPr>
        <w:t xml:space="preserve">, H., </w:t>
      </w:r>
      <w:proofErr w:type="spellStart"/>
      <w:r w:rsidRPr="00C95B38">
        <w:rPr>
          <w:rFonts w:ascii="Times New Roman" w:eastAsia="Times New Roman" w:hAnsi="Times New Roman" w:cs="Times New Roman"/>
          <w:sz w:val="24"/>
          <w:szCs w:val="24"/>
          <w:highlight w:val="white"/>
        </w:rPr>
        <w:t>Ree</w:t>
      </w:r>
      <w:proofErr w:type="spellEnd"/>
      <w:r w:rsidRPr="00C95B38">
        <w:rPr>
          <w:rFonts w:ascii="Times New Roman" w:eastAsia="Times New Roman" w:hAnsi="Times New Roman" w:cs="Times New Roman"/>
          <w:sz w:val="24"/>
          <w:szCs w:val="24"/>
          <w:highlight w:val="white"/>
        </w:rPr>
        <w:t xml:space="preserve">, E. and </w:t>
      </w:r>
      <w:proofErr w:type="spellStart"/>
      <w:r w:rsidRPr="00C95B38">
        <w:rPr>
          <w:rFonts w:ascii="Times New Roman" w:eastAsia="Times New Roman" w:hAnsi="Times New Roman" w:cs="Times New Roman"/>
          <w:sz w:val="24"/>
          <w:szCs w:val="24"/>
          <w:highlight w:val="white"/>
        </w:rPr>
        <w:t>Wiig</w:t>
      </w:r>
      <w:proofErr w:type="spellEnd"/>
      <w:r w:rsidRPr="00C95B38">
        <w:rPr>
          <w:rFonts w:ascii="Times New Roman" w:eastAsia="Times New Roman" w:hAnsi="Times New Roman" w:cs="Times New Roman"/>
          <w:sz w:val="24"/>
          <w:szCs w:val="24"/>
          <w:highlight w:val="white"/>
        </w:rPr>
        <w:t xml:space="preserve">, S., (2024). Identifying, categorising, and mapping actors involved in resilience in healthcare: a qualitative stakeholder analysis. </w:t>
      </w:r>
      <w:r w:rsidRPr="00C95B38">
        <w:rPr>
          <w:rFonts w:ascii="Times New Roman" w:eastAsia="Times New Roman" w:hAnsi="Times New Roman" w:cs="Times New Roman"/>
          <w:i/>
          <w:iCs/>
          <w:sz w:val="24"/>
          <w:szCs w:val="24"/>
          <w:highlight w:val="white"/>
        </w:rPr>
        <w:t>BMC Health Services Research</w:t>
      </w:r>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24</w:t>
      </w:r>
      <w:r w:rsidRPr="00C95B38">
        <w:rPr>
          <w:rFonts w:ascii="Times New Roman" w:eastAsia="Times New Roman" w:hAnsi="Times New Roman" w:cs="Times New Roman"/>
          <w:sz w:val="24"/>
          <w:szCs w:val="24"/>
          <w:highlight w:val="white"/>
        </w:rPr>
        <w:t xml:space="preserve">(1), p.230. </w:t>
      </w:r>
      <w:hyperlink r:id="rId14">
        <w:r w:rsidRPr="00C95B38">
          <w:rPr>
            <w:rFonts w:ascii="Times New Roman" w:eastAsia="Times New Roman" w:hAnsi="Times New Roman" w:cs="Times New Roman"/>
            <w:sz w:val="24"/>
            <w:szCs w:val="24"/>
            <w:highlight w:val="white"/>
          </w:rPr>
          <w:t>https://link.springer.com/content/pdf/10.1186/s12913-024-10654-4.pdf</w:t>
        </w:r>
      </w:hyperlink>
      <w:r w:rsidRPr="00C95B38">
        <w:rPr>
          <w:rFonts w:ascii="Times New Roman" w:eastAsia="Times New Roman" w:hAnsi="Times New Roman" w:cs="Times New Roman"/>
          <w:sz w:val="24"/>
          <w:szCs w:val="24"/>
          <w:highlight w:val="white"/>
        </w:rPr>
        <w:t xml:space="preserve"> </w:t>
      </w:r>
    </w:p>
    <w:p w14:paraId="46C5A557"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Koch, B.A., </w:t>
      </w:r>
      <w:proofErr w:type="spellStart"/>
      <w:r w:rsidRPr="00C95B38">
        <w:rPr>
          <w:rFonts w:ascii="Times New Roman" w:eastAsia="Times New Roman" w:hAnsi="Times New Roman" w:cs="Times New Roman"/>
          <w:sz w:val="24"/>
          <w:szCs w:val="24"/>
          <w:highlight w:val="white"/>
        </w:rPr>
        <w:t>Borghetti</w:t>
      </w:r>
      <w:proofErr w:type="spellEnd"/>
      <w:r w:rsidRPr="00C95B38">
        <w:rPr>
          <w:rFonts w:ascii="Times New Roman" w:eastAsia="Times New Roman" w:hAnsi="Times New Roman" w:cs="Times New Roman"/>
          <w:sz w:val="24"/>
          <w:szCs w:val="24"/>
          <w:highlight w:val="white"/>
        </w:rPr>
        <w:t xml:space="preserve">, J.S., </w:t>
      </w:r>
      <w:proofErr w:type="spellStart"/>
      <w:r w:rsidRPr="00C95B38">
        <w:rPr>
          <w:rFonts w:ascii="Times New Roman" w:eastAsia="Times New Roman" w:hAnsi="Times New Roman" w:cs="Times New Roman"/>
          <w:sz w:val="24"/>
          <w:szCs w:val="24"/>
          <w:highlight w:val="white"/>
        </w:rPr>
        <w:t>Machnikowski</w:t>
      </w:r>
      <w:proofErr w:type="spellEnd"/>
      <w:r w:rsidRPr="00C95B38">
        <w:rPr>
          <w:rFonts w:ascii="Times New Roman" w:eastAsia="Times New Roman" w:hAnsi="Times New Roman" w:cs="Times New Roman"/>
          <w:sz w:val="24"/>
          <w:szCs w:val="24"/>
          <w:highlight w:val="white"/>
        </w:rPr>
        <w:t xml:space="preserve">, P., </w:t>
      </w:r>
      <w:proofErr w:type="spellStart"/>
      <w:r w:rsidRPr="00C95B38">
        <w:rPr>
          <w:rFonts w:ascii="Times New Roman" w:eastAsia="Times New Roman" w:hAnsi="Times New Roman" w:cs="Times New Roman"/>
          <w:sz w:val="24"/>
          <w:szCs w:val="24"/>
          <w:highlight w:val="white"/>
        </w:rPr>
        <w:t>Pichonnaz</w:t>
      </w:r>
      <w:proofErr w:type="spellEnd"/>
      <w:r w:rsidRPr="00C95B38">
        <w:rPr>
          <w:rFonts w:ascii="Times New Roman" w:eastAsia="Times New Roman" w:hAnsi="Times New Roman" w:cs="Times New Roman"/>
          <w:sz w:val="24"/>
          <w:szCs w:val="24"/>
          <w:highlight w:val="white"/>
        </w:rPr>
        <w:t xml:space="preserve">, P., Rodriguez de las Heras </w:t>
      </w:r>
      <w:proofErr w:type="spellStart"/>
      <w:r w:rsidRPr="00C95B38">
        <w:rPr>
          <w:rFonts w:ascii="Times New Roman" w:eastAsia="Times New Roman" w:hAnsi="Times New Roman" w:cs="Times New Roman"/>
          <w:sz w:val="24"/>
          <w:szCs w:val="24"/>
          <w:highlight w:val="white"/>
        </w:rPr>
        <w:t>Ballell</w:t>
      </w:r>
      <w:proofErr w:type="spellEnd"/>
      <w:r w:rsidRPr="00C95B38">
        <w:rPr>
          <w:rFonts w:ascii="Times New Roman" w:eastAsia="Times New Roman" w:hAnsi="Times New Roman" w:cs="Times New Roman"/>
          <w:sz w:val="24"/>
          <w:szCs w:val="24"/>
          <w:highlight w:val="white"/>
        </w:rPr>
        <w:t xml:space="preserve">, T., </w:t>
      </w:r>
      <w:proofErr w:type="spellStart"/>
      <w:r w:rsidRPr="00C95B38">
        <w:rPr>
          <w:rFonts w:ascii="Times New Roman" w:eastAsia="Times New Roman" w:hAnsi="Times New Roman" w:cs="Times New Roman"/>
          <w:sz w:val="24"/>
          <w:szCs w:val="24"/>
          <w:highlight w:val="white"/>
        </w:rPr>
        <w:t>Twigg-Flesner</w:t>
      </w:r>
      <w:proofErr w:type="spellEnd"/>
      <w:r w:rsidRPr="00C95B38">
        <w:rPr>
          <w:rFonts w:ascii="Times New Roman" w:eastAsia="Times New Roman" w:hAnsi="Times New Roman" w:cs="Times New Roman"/>
          <w:sz w:val="24"/>
          <w:szCs w:val="24"/>
          <w:highlight w:val="white"/>
        </w:rPr>
        <w:t xml:space="preserve">, C. and </w:t>
      </w:r>
      <w:proofErr w:type="spellStart"/>
      <w:r w:rsidRPr="00C95B38">
        <w:rPr>
          <w:rFonts w:ascii="Times New Roman" w:eastAsia="Times New Roman" w:hAnsi="Times New Roman" w:cs="Times New Roman"/>
          <w:sz w:val="24"/>
          <w:szCs w:val="24"/>
          <w:highlight w:val="white"/>
        </w:rPr>
        <w:t>Wendehorst</w:t>
      </w:r>
      <w:proofErr w:type="spellEnd"/>
      <w:r w:rsidRPr="00C95B38">
        <w:rPr>
          <w:rFonts w:ascii="Times New Roman" w:eastAsia="Times New Roman" w:hAnsi="Times New Roman" w:cs="Times New Roman"/>
          <w:sz w:val="24"/>
          <w:szCs w:val="24"/>
          <w:highlight w:val="white"/>
        </w:rPr>
        <w:t xml:space="preserve">, C., (2022). Response of the European law institute to the public consultation on civil liability–adapting liability rules to the digital age and artificial intelligence. </w:t>
      </w:r>
      <w:r w:rsidRPr="00C95B38">
        <w:rPr>
          <w:rFonts w:ascii="Times New Roman" w:eastAsia="Times New Roman" w:hAnsi="Times New Roman" w:cs="Times New Roman"/>
          <w:i/>
          <w:iCs/>
          <w:sz w:val="24"/>
          <w:szCs w:val="24"/>
          <w:highlight w:val="white"/>
        </w:rPr>
        <w:t>Journal of European Tort Law</w:t>
      </w:r>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13</w:t>
      </w:r>
      <w:r w:rsidRPr="00C95B38">
        <w:rPr>
          <w:rFonts w:ascii="Times New Roman" w:eastAsia="Times New Roman" w:hAnsi="Times New Roman" w:cs="Times New Roman"/>
          <w:sz w:val="24"/>
          <w:szCs w:val="24"/>
          <w:highlight w:val="white"/>
        </w:rPr>
        <w:t xml:space="preserve">(1), pp.25-63. </w:t>
      </w:r>
      <w:hyperlink r:id="rId15">
        <w:r w:rsidRPr="00C95B38">
          <w:rPr>
            <w:rFonts w:ascii="Times New Roman" w:eastAsia="Times New Roman" w:hAnsi="Times New Roman" w:cs="Times New Roman"/>
            <w:sz w:val="24"/>
            <w:szCs w:val="24"/>
            <w:highlight w:val="white"/>
          </w:rPr>
          <w:t>https://www.degruyterbrill.com/document/doi/10.1515/jetl-2022-0002/html</w:t>
        </w:r>
      </w:hyperlink>
      <w:r w:rsidRPr="00C95B38">
        <w:rPr>
          <w:rFonts w:ascii="Times New Roman" w:eastAsia="Times New Roman" w:hAnsi="Times New Roman" w:cs="Times New Roman"/>
          <w:sz w:val="24"/>
          <w:szCs w:val="24"/>
          <w:highlight w:val="white"/>
        </w:rPr>
        <w:t xml:space="preserve"> </w:t>
      </w:r>
    </w:p>
    <w:p w14:paraId="2764D7BE"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proofErr w:type="spellStart"/>
      <w:r w:rsidRPr="00C95B38">
        <w:rPr>
          <w:rFonts w:ascii="Times New Roman" w:eastAsia="Times New Roman" w:hAnsi="Times New Roman" w:cs="Times New Roman"/>
          <w:sz w:val="24"/>
          <w:szCs w:val="24"/>
          <w:highlight w:val="white"/>
        </w:rPr>
        <w:t>Nationalhighways</w:t>
      </w:r>
      <w:proofErr w:type="spellEnd"/>
      <w:r w:rsidRPr="00C95B38">
        <w:rPr>
          <w:rFonts w:ascii="Times New Roman" w:eastAsia="Times New Roman" w:hAnsi="Times New Roman" w:cs="Times New Roman"/>
          <w:sz w:val="24"/>
          <w:szCs w:val="24"/>
          <w:highlight w:val="white"/>
        </w:rPr>
        <w:t xml:space="preserve">, (2025). </w:t>
      </w:r>
      <w:r w:rsidRPr="00C95B38">
        <w:rPr>
          <w:rFonts w:ascii="Times New Roman" w:eastAsia="Times New Roman" w:hAnsi="Times New Roman" w:cs="Times New Roman"/>
          <w:i/>
          <w:iCs/>
          <w:sz w:val="24"/>
          <w:szCs w:val="24"/>
          <w:highlight w:val="white"/>
        </w:rPr>
        <w:t>Lower Thames Crossing.</w:t>
      </w:r>
      <w:r w:rsidRPr="00C95B38">
        <w:rPr>
          <w:rFonts w:ascii="Times New Roman" w:eastAsia="Times New Roman" w:hAnsi="Times New Roman" w:cs="Times New Roman"/>
          <w:sz w:val="24"/>
          <w:szCs w:val="24"/>
          <w:highlight w:val="white"/>
        </w:rPr>
        <w:t xml:space="preserve"> Available at: </w:t>
      </w:r>
      <w:hyperlink r:id="rId16">
        <w:r w:rsidRPr="00C95B38">
          <w:rPr>
            <w:rFonts w:ascii="Times New Roman" w:eastAsia="Times New Roman" w:hAnsi="Times New Roman" w:cs="Times New Roman"/>
            <w:sz w:val="24"/>
            <w:szCs w:val="24"/>
            <w:highlight w:val="white"/>
          </w:rPr>
          <w:t>https://nationalhighways.citizenspace.com/ltc/lower-thames-crossing-consultation/supporting_documents/Highways%20Englands%20Response%20to%20Consultation.pdf</w:t>
        </w:r>
      </w:hyperlink>
      <w:r w:rsidRPr="00C95B38">
        <w:rPr>
          <w:rFonts w:ascii="Times New Roman" w:eastAsia="Times New Roman" w:hAnsi="Times New Roman" w:cs="Times New Roman"/>
          <w:sz w:val="24"/>
          <w:szCs w:val="24"/>
          <w:highlight w:val="white"/>
        </w:rPr>
        <w:t xml:space="preserve"> [Accessed 14 July 2026].</w:t>
      </w:r>
    </w:p>
    <w:p w14:paraId="62B56565"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proofErr w:type="spellStart"/>
      <w:r w:rsidRPr="00C95B38">
        <w:rPr>
          <w:rFonts w:ascii="Times New Roman" w:eastAsia="Times New Roman" w:hAnsi="Times New Roman" w:cs="Times New Roman"/>
          <w:sz w:val="24"/>
          <w:szCs w:val="24"/>
          <w:highlight w:val="white"/>
        </w:rPr>
        <w:t>Nwoga</w:t>
      </w:r>
      <w:proofErr w:type="spellEnd"/>
      <w:r w:rsidRPr="00C95B38">
        <w:rPr>
          <w:rFonts w:ascii="Times New Roman" w:eastAsia="Times New Roman" w:hAnsi="Times New Roman" w:cs="Times New Roman"/>
          <w:sz w:val="24"/>
          <w:szCs w:val="24"/>
          <w:highlight w:val="white"/>
        </w:rPr>
        <w:t xml:space="preserve">, A., (2023). Breaking the invisible wall: Barriers to DEI program implementation. </w:t>
      </w:r>
      <w:r w:rsidRPr="00C95B38">
        <w:rPr>
          <w:rFonts w:ascii="Times New Roman" w:eastAsia="Times New Roman" w:hAnsi="Times New Roman" w:cs="Times New Roman"/>
          <w:i/>
          <w:iCs/>
          <w:sz w:val="24"/>
          <w:szCs w:val="24"/>
          <w:highlight w:val="white"/>
        </w:rPr>
        <w:t>Open Journal of Business and Management</w:t>
      </w:r>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11</w:t>
      </w:r>
      <w:r w:rsidRPr="00C95B38">
        <w:rPr>
          <w:rFonts w:ascii="Times New Roman" w:eastAsia="Times New Roman" w:hAnsi="Times New Roman" w:cs="Times New Roman"/>
          <w:sz w:val="24"/>
          <w:szCs w:val="24"/>
          <w:highlight w:val="white"/>
        </w:rPr>
        <w:t xml:space="preserve">(4), pp.1787-1815. </w:t>
      </w:r>
      <w:hyperlink r:id="rId17">
        <w:r w:rsidRPr="00C95B38">
          <w:rPr>
            <w:rFonts w:ascii="Times New Roman" w:eastAsia="Times New Roman" w:hAnsi="Times New Roman" w:cs="Times New Roman"/>
            <w:sz w:val="24"/>
            <w:szCs w:val="24"/>
            <w:highlight w:val="white"/>
          </w:rPr>
          <w:t>https://www.scirp.net/pdf/ojbm_2023072614190840.pdf</w:t>
        </w:r>
      </w:hyperlink>
      <w:r w:rsidRPr="00C95B38">
        <w:rPr>
          <w:rFonts w:ascii="Times New Roman" w:eastAsia="Times New Roman" w:hAnsi="Times New Roman" w:cs="Times New Roman"/>
          <w:sz w:val="24"/>
          <w:szCs w:val="24"/>
          <w:highlight w:val="white"/>
        </w:rPr>
        <w:t xml:space="preserve"> </w:t>
      </w:r>
    </w:p>
    <w:p w14:paraId="63FFB792"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proofErr w:type="spellStart"/>
      <w:r w:rsidRPr="00C95B38">
        <w:rPr>
          <w:rFonts w:ascii="Times New Roman" w:eastAsia="Times New Roman" w:hAnsi="Times New Roman" w:cs="Times New Roman"/>
          <w:sz w:val="24"/>
          <w:szCs w:val="24"/>
          <w:highlight w:val="white"/>
        </w:rPr>
        <w:t>Partington</w:t>
      </w:r>
      <w:proofErr w:type="spellEnd"/>
      <w:r w:rsidRPr="00C95B38">
        <w:rPr>
          <w:rFonts w:ascii="Times New Roman" w:eastAsia="Times New Roman" w:hAnsi="Times New Roman" w:cs="Times New Roman"/>
          <w:sz w:val="24"/>
          <w:szCs w:val="24"/>
          <w:highlight w:val="white"/>
        </w:rPr>
        <w:t xml:space="preserve">, R. (2026). </w:t>
      </w:r>
      <w:r w:rsidRPr="00C95B38">
        <w:rPr>
          <w:rFonts w:ascii="Times New Roman" w:eastAsia="Times New Roman" w:hAnsi="Times New Roman" w:cs="Times New Roman"/>
          <w:i/>
          <w:iCs/>
          <w:sz w:val="24"/>
          <w:szCs w:val="24"/>
          <w:highlight w:val="white"/>
        </w:rPr>
        <w:t>UK’s public spending watchdog to investigate Lower Thames Crossing project</w:t>
      </w:r>
      <w:r w:rsidRPr="00C95B38">
        <w:rPr>
          <w:rFonts w:ascii="Times New Roman" w:eastAsia="Times New Roman" w:hAnsi="Times New Roman" w:cs="Times New Roman"/>
          <w:sz w:val="24"/>
          <w:szCs w:val="24"/>
          <w:highlight w:val="white"/>
        </w:rPr>
        <w:t>. [</w:t>
      </w:r>
      <w:proofErr w:type="gramStart"/>
      <w:r w:rsidRPr="00C95B38">
        <w:rPr>
          <w:rFonts w:ascii="Times New Roman" w:eastAsia="Times New Roman" w:hAnsi="Times New Roman" w:cs="Times New Roman"/>
          <w:sz w:val="24"/>
          <w:szCs w:val="24"/>
          <w:highlight w:val="white"/>
        </w:rPr>
        <w:t>online</w:t>
      </w:r>
      <w:proofErr w:type="gramEnd"/>
      <w:r w:rsidRPr="00C95B38">
        <w:rPr>
          <w:rFonts w:ascii="Times New Roman" w:eastAsia="Times New Roman" w:hAnsi="Times New Roman" w:cs="Times New Roman"/>
          <w:sz w:val="24"/>
          <w:szCs w:val="24"/>
          <w:highlight w:val="white"/>
        </w:rPr>
        <w:t>] The Guardian. Available at: https://www.theguardian.com/uk-news/2026/jul/12/public-spending-watchdog-investigate-lower-thames-crossing-project [Accessed 12 July 2026].</w:t>
      </w:r>
    </w:p>
    <w:p w14:paraId="64323ABF"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Pinto, J.K., Davis, K., </w:t>
      </w:r>
      <w:proofErr w:type="spellStart"/>
      <w:r w:rsidRPr="00C95B38">
        <w:rPr>
          <w:rFonts w:ascii="Times New Roman" w:eastAsia="Times New Roman" w:hAnsi="Times New Roman" w:cs="Times New Roman"/>
          <w:sz w:val="24"/>
          <w:szCs w:val="24"/>
          <w:highlight w:val="white"/>
        </w:rPr>
        <w:t>Ika</w:t>
      </w:r>
      <w:proofErr w:type="spellEnd"/>
      <w:r w:rsidRPr="00C95B38">
        <w:rPr>
          <w:rFonts w:ascii="Times New Roman" w:eastAsia="Times New Roman" w:hAnsi="Times New Roman" w:cs="Times New Roman"/>
          <w:sz w:val="24"/>
          <w:szCs w:val="24"/>
          <w:highlight w:val="white"/>
        </w:rPr>
        <w:t xml:space="preserve">, L.A., </w:t>
      </w:r>
      <w:proofErr w:type="spellStart"/>
      <w:r w:rsidRPr="00C95B38">
        <w:rPr>
          <w:rFonts w:ascii="Times New Roman" w:eastAsia="Times New Roman" w:hAnsi="Times New Roman" w:cs="Times New Roman"/>
          <w:sz w:val="24"/>
          <w:szCs w:val="24"/>
          <w:highlight w:val="white"/>
        </w:rPr>
        <w:t>Jugdev</w:t>
      </w:r>
      <w:proofErr w:type="spellEnd"/>
      <w:r w:rsidRPr="00C95B38">
        <w:rPr>
          <w:rFonts w:ascii="Times New Roman" w:eastAsia="Times New Roman" w:hAnsi="Times New Roman" w:cs="Times New Roman"/>
          <w:sz w:val="24"/>
          <w:szCs w:val="24"/>
          <w:highlight w:val="white"/>
        </w:rPr>
        <w:t xml:space="preserve">, K. and </w:t>
      </w:r>
      <w:proofErr w:type="spellStart"/>
      <w:r w:rsidRPr="00C95B38">
        <w:rPr>
          <w:rFonts w:ascii="Times New Roman" w:eastAsia="Times New Roman" w:hAnsi="Times New Roman" w:cs="Times New Roman"/>
          <w:sz w:val="24"/>
          <w:szCs w:val="24"/>
          <w:highlight w:val="white"/>
        </w:rPr>
        <w:t>Zwikael</w:t>
      </w:r>
      <w:proofErr w:type="spellEnd"/>
      <w:r w:rsidRPr="00C95B38">
        <w:rPr>
          <w:rFonts w:ascii="Times New Roman" w:eastAsia="Times New Roman" w:hAnsi="Times New Roman" w:cs="Times New Roman"/>
          <w:sz w:val="24"/>
          <w:szCs w:val="24"/>
          <w:highlight w:val="white"/>
        </w:rPr>
        <w:t xml:space="preserve">, O., (2022). Coming to terms with project success: Current perspectives and future challenges. </w:t>
      </w:r>
      <w:r w:rsidRPr="00C95B38">
        <w:rPr>
          <w:rFonts w:ascii="Times New Roman" w:eastAsia="Times New Roman" w:hAnsi="Times New Roman" w:cs="Times New Roman"/>
          <w:i/>
          <w:iCs/>
          <w:sz w:val="24"/>
          <w:szCs w:val="24"/>
          <w:highlight w:val="white"/>
        </w:rPr>
        <w:t>International Journal of Project Management</w:t>
      </w:r>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40</w:t>
      </w:r>
      <w:r w:rsidRPr="00C95B38">
        <w:rPr>
          <w:rFonts w:ascii="Times New Roman" w:eastAsia="Times New Roman" w:hAnsi="Times New Roman" w:cs="Times New Roman"/>
          <w:sz w:val="24"/>
          <w:szCs w:val="24"/>
          <w:highlight w:val="white"/>
        </w:rPr>
        <w:t xml:space="preserve">(7), pp.831-834. </w:t>
      </w:r>
      <w:hyperlink r:id="rId18">
        <w:r w:rsidRPr="00C95B38">
          <w:rPr>
            <w:rFonts w:ascii="Times New Roman" w:eastAsia="Times New Roman" w:hAnsi="Times New Roman" w:cs="Times New Roman"/>
            <w:sz w:val="24"/>
            <w:szCs w:val="24"/>
            <w:highlight w:val="white"/>
          </w:rPr>
          <w:t>https://dspace.lib.cranfield.ac.uk/bitstreams/dc8101eb-3279-4b59-a3b9-07d94ad5014c/download</w:t>
        </w:r>
      </w:hyperlink>
      <w:r w:rsidRPr="00C95B38">
        <w:rPr>
          <w:rFonts w:ascii="Times New Roman" w:eastAsia="Times New Roman" w:hAnsi="Times New Roman" w:cs="Times New Roman"/>
          <w:sz w:val="24"/>
          <w:szCs w:val="24"/>
          <w:highlight w:val="white"/>
        </w:rPr>
        <w:t xml:space="preserve"> </w:t>
      </w:r>
    </w:p>
    <w:p w14:paraId="7604A200"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proofErr w:type="spellStart"/>
      <w:r w:rsidRPr="00C95B38">
        <w:rPr>
          <w:rFonts w:ascii="Times New Roman" w:eastAsia="Times New Roman" w:hAnsi="Times New Roman" w:cs="Times New Roman"/>
          <w:sz w:val="24"/>
          <w:szCs w:val="24"/>
          <w:highlight w:val="white"/>
        </w:rPr>
        <w:t>Smaniotto</w:t>
      </w:r>
      <w:proofErr w:type="spellEnd"/>
      <w:r w:rsidRPr="00C95B38">
        <w:rPr>
          <w:rFonts w:ascii="Times New Roman" w:eastAsia="Times New Roman" w:hAnsi="Times New Roman" w:cs="Times New Roman"/>
          <w:sz w:val="24"/>
          <w:szCs w:val="24"/>
          <w:highlight w:val="white"/>
        </w:rPr>
        <w:t xml:space="preserve"> Costa, C., </w:t>
      </w:r>
      <w:proofErr w:type="spellStart"/>
      <w:r w:rsidRPr="00C95B38">
        <w:rPr>
          <w:rFonts w:ascii="Times New Roman" w:eastAsia="Times New Roman" w:hAnsi="Times New Roman" w:cs="Times New Roman"/>
          <w:sz w:val="24"/>
          <w:szCs w:val="24"/>
          <w:highlight w:val="white"/>
        </w:rPr>
        <w:t>Volzone</w:t>
      </w:r>
      <w:proofErr w:type="spellEnd"/>
      <w:r w:rsidRPr="00C95B38">
        <w:rPr>
          <w:rFonts w:ascii="Times New Roman" w:eastAsia="Times New Roman" w:hAnsi="Times New Roman" w:cs="Times New Roman"/>
          <w:sz w:val="24"/>
          <w:szCs w:val="24"/>
          <w:highlight w:val="white"/>
        </w:rPr>
        <w:t xml:space="preserve">, R., </w:t>
      </w:r>
      <w:proofErr w:type="spellStart"/>
      <w:r w:rsidRPr="00C95B38">
        <w:rPr>
          <w:rFonts w:ascii="Times New Roman" w:eastAsia="Times New Roman" w:hAnsi="Times New Roman" w:cs="Times New Roman"/>
          <w:sz w:val="24"/>
          <w:szCs w:val="24"/>
          <w:highlight w:val="white"/>
        </w:rPr>
        <w:t>Ruchinskaya</w:t>
      </w:r>
      <w:proofErr w:type="spellEnd"/>
      <w:r w:rsidRPr="00C95B38">
        <w:rPr>
          <w:rFonts w:ascii="Times New Roman" w:eastAsia="Times New Roman" w:hAnsi="Times New Roman" w:cs="Times New Roman"/>
          <w:sz w:val="24"/>
          <w:szCs w:val="24"/>
          <w:highlight w:val="white"/>
        </w:rPr>
        <w:t xml:space="preserve">, T., </w:t>
      </w:r>
      <w:proofErr w:type="spellStart"/>
      <w:r w:rsidRPr="00C95B38">
        <w:rPr>
          <w:rFonts w:ascii="Times New Roman" w:eastAsia="Times New Roman" w:hAnsi="Times New Roman" w:cs="Times New Roman"/>
          <w:sz w:val="24"/>
          <w:szCs w:val="24"/>
          <w:highlight w:val="white"/>
        </w:rPr>
        <w:t>Solano</w:t>
      </w:r>
      <w:proofErr w:type="spellEnd"/>
      <w:r w:rsidRPr="00C95B38">
        <w:rPr>
          <w:rFonts w:ascii="Times New Roman" w:eastAsia="Times New Roman" w:hAnsi="Times New Roman" w:cs="Times New Roman"/>
          <w:sz w:val="24"/>
          <w:szCs w:val="24"/>
          <w:highlight w:val="white"/>
        </w:rPr>
        <w:t xml:space="preserve"> </w:t>
      </w:r>
      <w:proofErr w:type="spellStart"/>
      <w:r w:rsidRPr="00C95B38">
        <w:rPr>
          <w:rFonts w:ascii="Times New Roman" w:eastAsia="Times New Roman" w:hAnsi="Times New Roman" w:cs="Times New Roman"/>
          <w:sz w:val="24"/>
          <w:szCs w:val="24"/>
          <w:highlight w:val="white"/>
        </w:rPr>
        <w:t>Báez</w:t>
      </w:r>
      <w:proofErr w:type="spellEnd"/>
      <w:r w:rsidRPr="00C95B38">
        <w:rPr>
          <w:rFonts w:ascii="Times New Roman" w:eastAsia="Times New Roman" w:hAnsi="Times New Roman" w:cs="Times New Roman"/>
          <w:sz w:val="24"/>
          <w:szCs w:val="24"/>
          <w:highlight w:val="white"/>
        </w:rPr>
        <w:t xml:space="preserve">, M.D.C., Menezes, M., </w:t>
      </w:r>
      <w:proofErr w:type="spellStart"/>
      <w:r w:rsidRPr="00C95B38">
        <w:rPr>
          <w:rFonts w:ascii="Times New Roman" w:eastAsia="Times New Roman" w:hAnsi="Times New Roman" w:cs="Times New Roman"/>
          <w:sz w:val="24"/>
          <w:szCs w:val="24"/>
          <w:highlight w:val="white"/>
        </w:rPr>
        <w:t>Ercan</w:t>
      </w:r>
      <w:proofErr w:type="spellEnd"/>
      <w:r w:rsidRPr="00C95B38">
        <w:rPr>
          <w:rFonts w:ascii="Times New Roman" w:eastAsia="Times New Roman" w:hAnsi="Times New Roman" w:cs="Times New Roman"/>
          <w:sz w:val="24"/>
          <w:szCs w:val="24"/>
          <w:highlight w:val="white"/>
        </w:rPr>
        <w:t xml:space="preserve">, M.A. and </w:t>
      </w:r>
      <w:proofErr w:type="spellStart"/>
      <w:r w:rsidRPr="00C95B38">
        <w:rPr>
          <w:rFonts w:ascii="Times New Roman" w:eastAsia="Times New Roman" w:hAnsi="Times New Roman" w:cs="Times New Roman"/>
          <w:sz w:val="24"/>
          <w:szCs w:val="24"/>
          <w:highlight w:val="white"/>
        </w:rPr>
        <w:t>Rollandi</w:t>
      </w:r>
      <w:proofErr w:type="spellEnd"/>
      <w:r w:rsidRPr="00C95B38">
        <w:rPr>
          <w:rFonts w:ascii="Times New Roman" w:eastAsia="Times New Roman" w:hAnsi="Times New Roman" w:cs="Times New Roman"/>
          <w:sz w:val="24"/>
          <w:szCs w:val="24"/>
          <w:highlight w:val="white"/>
        </w:rPr>
        <w:t xml:space="preserve">, A., (2023). Smart thinking on co-creation and engagement: Searchlight on underground built heritage. </w:t>
      </w:r>
      <w:r w:rsidRPr="00C95B38">
        <w:rPr>
          <w:rFonts w:ascii="Times New Roman" w:eastAsia="Times New Roman" w:hAnsi="Times New Roman" w:cs="Times New Roman"/>
          <w:i/>
          <w:iCs/>
          <w:sz w:val="24"/>
          <w:szCs w:val="24"/>
          <w:highlight w:val="white"/>
        </w:rPr>
        <w:t>Smart Cities</w:t>
      </w:r>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6</w:t>
      </w:r>
      <w:r w:rsidRPr="00C95B38">
        <w:rPr>
          <w:rFonts w:ascii="Times New Roman" w:eastAsia="Times New Roman" w:hAnsi="Times New Roman" w:cs="Times New Roman"/>
          <w:sz w:val="24"/>
          <w:szCs w:val="24"/>
          <w:highlight w:val="white"/>
        </w:rPr>
        <w:t xml:space="preserve">(1), pp.392-409. </w:t>
      </w:r>
      <w:hyperlink r:id="rId19">
        <w:r w:rsidRPr="00C95B38">
          <w:rPr>
            <w:rFonts w:ascii="Times New Roman" w:eastAsia="Times New Roman" w:hAnsi="Times New Roman" w:cs="Times New Roman"/>
            <w:sz w:val="24"/>
            <w:szCs w:val="24"/>
            <w:highlight w:val="white"/>
          </w:rPr>
          <w:t>https://www.mdpi.com/2624-6511/6/1/19</w:t>
        </w:r>
      </w:hyperlink>
      <w:r w:rsidRPr="00C95B38">
        <w:rPr>
          <w:rFonts w:ascii="Times New Roman" w:eastAsia="Times New Roman" w:hAnsi="Times New Roman" w:cs="Times New Roman"/>
          <w:sz w:val="24"/>
          <w:szCs w:val="24"/>
          <w:highlight w:val="white"/>
        </w:rPr>
        <w:t xml:space="preserve"> </w:t>
      </w:r>
    </w:p>
    <w:p w14:paraId="2AC7DA6E"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proofErr w:type="spellStart"/>
      <w:r w:rsidRPr="00C95B38">
        <w:rPr>
          <w:rFonts w:ascii="Times New Roman" w:eastAsia="Times New Roman" w:hAnsi="Times New Roman" w:cs="Times New Roman"/>
          <w:sz w:val="24"/>
          <w:szCs w:val="24"/>
          <w:highlight w:val="white"/>
        </w:rPr>
        <w:t>Stevanovic</w:t>
      </w:r>
      <w:proofErr w:type="spellEnd"/>
      <w:r w:rsidRPr="00C95B38">
        <w:rPr>
          <w:rFonts w:ascii="Times New Roman" w:eastAsia="Times New Roman" w:hAnsi="Times New Roman" w:cs="Times New Roman"/>
          <w:sz w:val="24"/>
          <w:szCs w:val="24"/>
          <w:highlight w:val="white"/>
        </w:rPr>
        <w:t xml:space="preserve">, A. (2025). Lower Thames </w:t>
      </w:r>
      <w:proofErr w:type="gramStart"/>
      <w:r w:rsidRPr="00C95B38">
        <w:rPr>
          <w:rFonts w:ascii="Times New Roman" w:eastAsia="Times New Roman" w:hAnsi="Times New Roman" w:cs="Times New Roman"/>
          <w:sz w:val="24"/>
          <w:szCs w:val="24"/>
          <w:highlight w:val="white"/>
        </w:rPr>
        <w:t>Crossing</w:t>
      </w:r>
      <w:proofErr w:type="gramEnd"/>
      <w:r w:rsidRPr="00C95B38">
        <w:rPr>
          <w:rFonts w:ascii="Times New Roman" w:eastAsia="Times New Roman" w:hAnsi="Times New Roman" w:cs="Times New Roman"/>
          <w:sz w:val="24"/>
          <w:szCs w:val="24"/>
          <w:highlight w:val="white"/>
        </w:rPr>
        <w:t xml:space="preserve"> </w:t>
      </w:r>
      <w:proofErr w:type="spellStart"/>
      <w:r w:rsidRPr="00C95B38">
        <w:rPr>
          <w:rFonts w:ascii="Times New Roman" w:eastAsia="Times New Roman" w:hAnsi="Times New Roman" w:cs="Times New Roman"/>
          <w:sz w:val="24"/>
          <w:szCs w:val="24"/>
          <w:highlight w:val="white"/>
        </w:rPr>
        <w:t>tunneling</w:t>
      </w:r>
      <w:proofErr w:type="spellEnd"/>
      <w:r w:rsidRPr="00C95B38">
        <w:rPr>
          <w:rFonts w:ascii="Times New Roman" w:eastAsia="Times New Roman" w:hAnsi="Times New Roman" w:cs="Times New Roman"/>
          <w:sz w:val="24"/>
          <w:szCs w:val="24"/>
          <w:highlight w:val="white"/>
        </w:rPr>
        <w:t xml:space="preserve"> set to begin in 2028. [</w:t>
      </w:r>
      <w:proofErr w:type="gramStart"/>
      <w:r w:rsidRPr="00C95B38">
        <w:rPr>
          <w:rFonts w:ascii="Times New Roman" w:eastAsia="Times New Roman" w:hAnsi="Times New Roman" w:cs="Times New Roman"/>
          <w:sz w:val="24"/>
          <w:szCs w:val="24"/>
          <w:highlight w:val="white"/>
        </w:rPr>
        <w:t>online</w:t>
      </w:r>
      <w:proofErr w:type="gramEnd"/>
      <w:r w:rsidRPr="00C95B38">
        <w:rPr>
          <w:rFonts w:ascii="Times New Roman" w:eastAsia="Times New Roman" w:hAnsi="Times New Roman" w:cs="Times New Roman"/>
          <w:sz w:val="24"/>
          <w:szCs w:val="24"/>
          <w:highlight w:val="white"/>
        </w:rPr>
        <w:t>] 3 Dec. Available at: https://www.bbc.com/news/articles/ckgm7z5z7y2o [Accessed 12 July 2026].</w:t>
      </w:r>
    </w:p>
    <w:p w14:paraId="50136E53"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Sun, Z., Sun, X., Wang, W. and Wang, W., (2025). Digital transformation and greenwashing in environmental, social, and governance disclosure: does investor attention matter</w:t>
      </w:r>
      <w:proofErr w:type="gramStart"/>
      <w:r w:rsidRPr="00C95B38">
        <w:rPr>
          <w:rFonts w:ascii="Times New Roman" w:eastAsia="Times New Roman" w:hAnsi="Times New Roman" w:cs="Times New Roman"/>
          <w:sz w:val="24"/>
          <w:szCs w:val="24"/>
          <w:highlight w:val="white"/>
        </w:rPr>
        <w:t>?.</w:t>
      </w:r>
      <w:proofErr w:type="gramEnd"/>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Business Ethics, the Environment &amp; Responsibility</w:t>
      </w:r>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34</w:t>
      </w:r>
      <w:r w:rsidRPr="00C95B38">
        <w:rPr>
          <w:rFonts w:ascii="Times New Roman" w:eastAsia="Times New Roman" w:hAnsi="Times New Roman" w:cs="Times New Roman"/>
          <w:sz w:val="24"/>
          <w:szCs w:val="24"/>
          <w:highlight w:val="white"/>
        </w:rPr>
        <w:t xml:space="preserve">(1), pp.81-102. </w:t>
      </w:r>
      <w:hyperlink r:id="rId20">
        <w:r w:rsidRPr="00C95B38">
          <w:rPr>
            <w:rFonts w:ascii="Times New Roman" w:eastAsia="Times New Roman" w:hAnsi="Times New Roman" w:cs="Times New Roman"/>
            <w:sz w:val="24"/>
            <w:szCs w:val="24"/>
            <w:highlight w:val="white"/>
          </w:rPr>
          <w:t>https://www.researchgate.net/profile/Xiao-Sun-91/publication/373235193_Digital_transformation_and_greenwashing_in_environmental_social_and_governance_disclosure_Does_investor_attention_matter/links/6535d04f73a2865c7ac98e7d/Digital-transformation-and-greenwashing-in-environmental-social-and-governance-disclosure-Does-investor-attention-matter.pdf</w:t>
        </w:r>
      </w:hyperlink>
      <w:r w:rsidRPr="00C95B38">
        <w:rPr>
          <w:rFonts w:ascii="Times New Roman" w:eastAsia="Times New Roman" w:hAnsi="Times New Roman" w:cs="Times New Roman"/>
          <w:sz w:val="24"/>
          <w:szCs w:val="24"/>
          <w:highlight w:val="white"/>
        </w:rPr>
        <w:t xml:space="preserve"> </w:t>
      </w:r>
    </w:p>
    <w:p w14:paraId="147C411E"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 xml:space="preserve">UK Government (2025). </w:t>
      </w:r>
      <w:r w:rsidRPr="00C95B38">
        <w:rPr>
          <w:rFonts w:ascii="Times New Roman" w:eastAsia="Times New Roman" w:hAnsi="Times New Roman" w:cs="Times New Roman"/>
          <w:i/>
          <w:iCs/>
          <w:sz w:val="24"/>
          <w:szCs w:val="24"/>
          <w:highlight w:val="white"/>
        </w:rPr>
        <w:t>Data Protection Act</w:t>
      </w:r>
      <w:r w:rsidRPr="00C95B38">
        <w:rPr>
          <w:rFonts w:ascii="Times New Roman" w:eastAsia="Times New Roman" w:hAnsi="Times New Roman" w:cs="Times New Roman"/>
          <w:sz w:val="24"/>
          <w:szCs w:val="24"/>
          <w:highlight w:val="white"/>
        </w:rPr>
        <w:t>. [</w:t>
      </w:r>
      <w:proofErr w:type="gramStart"/>
      <w:r w:rsidRPr="00C95B38">
        <w:rPr>
          <w:rFonts w:ascii="Times New Roman" w:eastAsia="Times New Roman" w:hAnsi="Times New Roman" w:cs="Times New Roman"/>
          <w:sz w:val="24"/>
          <w:szCs w:val="24"/>
          <w:highlight w:val="white"/>
        </w:rPr>
        <w:t>online</w:t>
      </w:r>
      <w:proofErr w:type="gramEnd"/>
      <w:r w:rsidRPr="00C95B38">
        <w:rPr>
          <w:rFonts w:ascii="Times New Roman" w:eastAsia="Times New Roman" w:hAnsi="Times New Roman" w:cs="Times New Roman"/>
          <w:sz w:val="24"/>
          <w:szCs w:val="24"/>
          <w:highlight w:val="white"/>
        </w:rPr>
        <w:t xml:space="preserve">] Gov.uk. Available at: https://www.gov.uk/data-protection [Accessed 14 July 2026]. </w:t>
      </w:r>
    </w:p>
    <w:p w14:paraId="7DDAE300" w14:textId="77777777" w:rsidR="00C95B38" w:rsidRPr="00C95B38" w:rsidRDefault="00C95B38" w:rsidP="00C95B38">
      <w:pPr>
        <w:spacing w:line="360" w:lineRule="auto"/>
        <w:jc w:val="both"/>
        <w:rPr>
          <w:rFonts w:ascii="Times New Roman" w:eastAsia="Times New Roman" w:hAnsi="Times New Roman" w:cs="Times New Roman"/>
          <w:sz w:val="24"/>
          <w:szCs w:val="24"/>
          <w:highlight w:val="white"/>
        </w:rPr>
      </w:pPr>
      <w:r w:rsidRPr="00C95B38">
        <w:rPr>
          <w:rFonts w:ascii="Times New Roman" w:eastAsia="Times New Roman" w:hAnsi="Times New Roman" w:cs="Times New Roman"/>
          <w:sz w:val="24"/>
          <w:szCs w:val="24"/>
          <w:highlight w:val="white"/>
        </w:rPr>
        <w:t>Whitehouse, E. (2025). Budget 2025: Lower Thames Crossing to get extra £891m. [</w:t>
      </w:r>
      <w:proofErr w:type="gramStart"/>
      <w:r w:rsidRPr="00C95B38">
        <w:rPr>
          <w:rFonts w:ascii="Times New Roman" w:eastAsia="Times New Roman" w:hAnsi="Times New Roman" w:cs="Times New Roman"/>
          <w:sz w:val="24"/>
          <w:szCs w:val="24"/>
          <w:highlight w:val="white"/>
        </w:rPr>
        <w:t>online</w:t>
      </w:r>
      <w:proofErr w:type="gramEnd"/>
      <w:r w:rsidRPr="00C95B38">
        <w:rPr>
          <w:rFonts w:ascii="Times New Roman" w:eastAsia="Times New Roman" w:hAnsi="Times New Roman" w:cs="Times New Roman"/>
          <w:sz w:val="24"/>
          <w:szCs w:val="24"/>
          <w:highlight w:val="white"/>
        </w:rPr>
        <w:t>] 26 Nov. Available at: https://www.bbc.com/news/articles/ce8qee5n7zzo [Accessed 12 July 2026].</w:t>
      </w:r>
    </w:p>
    <w:p w14:paraId="514385AA" w14:textId="77777777" w:rsidR="00C95B38" w:rsidRPr="00C95B38" w:rsidRDefault="00C95B38" w:rsidP="00C95B38">
      <w:pPr>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sz w:val="24"/>
          <w:szCs w:val="24"/>
          <w:highlight w:val="white"/>
        </w:rPr>
        <w:t xml:space="preserve">Wu, S.W., Yan, Y., Pan, J. and Wu, K.S., (2023). Linking sustainable project management with construction project success: moderating influence of stakeholder engagement. </w:t>
      </w:r>
      <w:r w:rsidRPr="00C95B38">
        <w:rPr>
          <w:rFonts w:ascii="Times New Roman" w:eastAsia="Times New Roman" w:hAnsi="Times New Roman" w:cs="Times New Roman"/>
          <w:i/>
          <w:iCs/>
          <w:sz w:val="24"/>
          <w:szCs w:val="24"/>
          <w:highlight w:val="white"/>
        </w:rPr>
        <w:t>Buildings</w:t>
      </w:r>
      <w:r w:rsidRPr="00C95B38">
        <w:rPr>
          <w:rFonts w:ascii="Times New Roman" w:eastAsia="Times New Roman" w:hAnsi="Times New Roman" w:cs="Times New Roman"/>
          <w:sz w:val="24"/>
          <w:szCs w:val="24"/>
          <w:highlight w:val="white"/>
        </w:rPr>
        <w:t xml:space="preserve">, </w:t>
      </w:r>
      <w:r w:rsidRPr="00C95B38">
        <w:rPr>
          <w:rFonts w:ascii="Times New Roman" w:eastAsia="Times New Roman" w:hAnsi="Times New Roman" w:cs="Times New Roman"/>
          <w:i/>
          <w:iCs/>
          <w:sz w:val="24"/>
          <w:szCs w:val="24"/>
          <w:highlight w:val="white"/>
        </w:rPr>
        <w:t>13</w:t>
      </w:r>
      <w:r w:rsidRPr="00C95B38">
        <w:rPr>
          <w:rFonts w:ascii="Times New Roman" w:eastAsia="Times New Roman" w:hAnsi="Times New Roman" w:cs="Times New Roman"/>
          <w:sz w:val="24"/>
          <w:szCs w:val="24"/>
          <w:highlight w:val="white"/>
        </w:rPr>
        <w:t xml:space="preserve">(10), p.2634. </w:t>
      </w:r>
      <w:hyperlink r:id="rId21">
        <w:r w:rsidRPr="00C95B38">
          <w:rPr>
            <w:rFonts w:ascii="Times New Roman" w:eastAsia="Times New Roman" w:hAnsi="Times New Roman" w:cs="Times New Roman"/>
            <w:sz w:val="24"/>
            <w:szCs w:val="24"/>
            <w:highlight w:val="white"/>
          </w:rPr>
          <w:t>https://www.mdpi.com/2075-5309/13/10/2634</w:t>
        </w:r>
      </w:hyperlink>
      <w:r w:rsidRPr="00C95B38">
        <w:rPr>
          <w:rFonts w:ascii="Times New Roman" w:eastAsia="Times New Roman" w:hAnsi="Times New Roman" w:cs="Times New Roman"/>
          <w:sz w:val="24"/>
          <w:szCs w:val="24"/>
          <w:highlight w:val="white"/>
        </w:rPr>
        <w:t xml:space="preserve"> </w:t>
      </w:r>
      <w:r w:rsidRPr="00C95B38">
        <w:br w:type="page"/>
      </w:r>
    </w:p>
    <w:p w14:paraId="266B9E9B" w14:textId="77777777" w:rsidR="00CB0427" w:rsidRPr="00C95B38" w:rsidRDefault="00A2738F" w:rsidP="00C95B38">
      <w:pPr>
        <w:shd w:val="clear" w:color="auto" w:fill="FFFFFF"/>
        <w:spacing w:line="360" w:lineRule="auto"/>
        <w:jc w:val="center"/>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b/>
          <w:bCs/>
          <w:sz w:val="24"/>
          <w:szCs w:val="24"/>
          <w:highlight w:val="white"/>
        </w:rPr>
        <w:t xml:space="preserve">GAI Declaration </w:t>
      </w:r>
    </w:p>
    <w:p w14:paraId="09B05D9B" w14:textId="77777777" w:rsidR="00CB0427" w:rsidRPr="00C95B38" w:rsidRDefault="00A2738F" w:rsidP="00C95B38">
      <w:pPr>
        <w:spacing w:line="360" w:lineRule="auto"/>
        <w:jc w:val="both"/>
        <w:rPr>
          <w:rFonts w:ascii="Times New Roman" w:eastAsia="Times New Roman" w:hAnsi="Times New Roman" w:cs="Times New Roman"/>
          <w:b/>
          <w:bCs/>
          <w:sz w:val="24"/>
          <w:szCs w:val="24"/>
          <w:highlight w:val="white"/>
        </w:rPr>
      </w:pPr>
      <w:r w:rsidRPr="00C95B38">
        <w:rPr>
          <w:rFonts w:ascii="Times New Roman" w:eastAsia="Times New Roman" w:hAnsi="Times New Roman" w:cs="Times New Roman"/>
          <w:sz w:val="24"/>
          <w:szCs w:val="24"/>
          <w:highlight w:val="white"/>
        </w:rPr>
        <w:t xml:space="preserve">I hereby declare that the work is original, produced by applying independent thinking and research skills. I have acknowledged the use of resources within the study through proper in-text citations reflecting effective alignment with academic integrity principles. </w:t>
      </w:r>
    </w:p>
    <w:sectPr w:rsidR="00CB0427" w:rsidRPr="00C95B38">
      <w:footerReference w:type="default" r:id="rId2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F8CCFF" w14:textId="77777777" w:rsidR="00BE298B" w:rsidRDefault="00BE298B" w:rsidP="00C95B38">
      <w:pPr>
        <w:spacing w:line="240" w:lineRule="auto"/>
      </w:pPr>
      <w:r>
        <w:separator/>
      </w:r>
    </w:p>
  </w:endnote>
  <w:endnote w:type="continuationSeparator" w:id="0">
    <w:p w14:paraId="64E04BE7" w14:textId="77777777" w:rsidR="00BE298B" w:rsidRDefault="00BE298B" w:rsidP="00C95B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381FFB66-F71E-4428-BAC7-4080923F8C96}"/>
  </w:font>
  <w:font w:name="Calibri">
    <w:panose1 w:val="020F0502020204030204"/>
    <w:charset w:val="00"/>
    <w:family w:val="swiss"/>
    <w:pitch w:val="variable"/>
    <w:sig w:usb0="E4002EFF" w:usb1="C200247B" w:usb2="00000009" w:usb3="00000000" w:csb0="000001FF" w:csb1="00000000"/>
    <w:embedRegular r:id="rId2" w:fontKey="{67B25CA0-75AF-4DCB-A0D2-D026467A6689}"/>
  </w:font>
  <w:font w:name="Cambria">
    <w:panose1 w:val="02040503050406030204"/>
    <w:charset w:val="00"/>
    <w:family w:val="roman"/>
    <w:pitch w:val="variable"/>
    <w:sig w:usb0="E00006FF" w:usb1="420024FF" w:usb2="02000000" w:usb3="00000000" w:csb0="0000019F" w:csb1="00000000"/>
    <w:embedRegular r:id="rId3" w:fontKey="{43A78FB7-C27C-482C-9A41-235B513AABE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2231340"/>
      <w:docPartObj>
        <w:docPartGallery w:val="Page Numbers (Bottom of Page)"/>
        <w:docPartUnique/>
      </w:docPartObj>
    </w:sdtPr>
    <w:sdtEndPr>
      <w:rPr>
        <w:rFonts w:ascii="Times New Roman" w:hAnsi="Times New Roman" w:cs="Times New Roman"/>
        <w:noProof/>
        <w:sz w:val="20"/>
      </w:rPr>
    </w:sdtEndPr>
    <w:sdtContent>
      <w:p w14:paraId="4B0CD9CC" w14:textId="79DED5B6" w:rsidR="00C95B38" w:rsidRPr="00C95B38" w:rsidRDefault="00C95B38">
        <w:pPr>
          <w:pStyle w:val="Footer"/>
          <w:jc w:val="right"/>
          <w:rPr>
            <w:rFonts w:ascii="Times New Roman" w:hAnsi="Times New Roman" w:cs="Times New Roman"/>
            <w:sz w:val="20"/>
          </w:rPr>
        </w:pPr>
        <w:r w:rsidRPr="00C95B38">
          <w:rPr>
            <w:rFonts w:ascii="Times New Roman" w:hAnsi="Times New Roman" w:cs="Times New Roman"/>
            <w:sz w:val="20"/>
          </w:rPr>
          <w:fldChar w:fldCharType="begin"/>
        </w:r>
        <w:r w:rsidRPr="00C95B38">
          <w:rPr>
            <w:rFonts w:ascii="Times New Roman" w:hAnsi="Times New Roman" w:cs="Times New Roman"/>
            <w:sz w:val="20"/>
          </w:rPr>
          <w:instrText xml:space="preserve"> PAGE   \* MERGEFORMAT </w:instrText>
        </w:r>
        <w:r w:rsidRPr="00C95B38">
          <w:rPr>
            <w:rFonts w:ascii="Times New Roman" w:hAnsi="Times New Roman" w:cs="Times New Roman"/>
            <w:sz w:val="20"/>
          </w:rPr>
          <w:fldChar w:fldCharType="separate"/>
        </w:r>
        <w:r w:rsidR="004D7CDA">
          <w:rPr>
            <w:rFonts w:ascii="Times New Roman" w:hAnsi="Times New Roman" w:cs="Times New Roman"/>
            <w:noProof/>
            <w:sz w:val="20"/>
          </w:rPr>
          <w:t>20</w:t>
        </w:r>
        <w:r w:rsidRPr="00C95B38">
          <w:rPr>
            <w:rFonts w:ascii="Times New Roman" w:hAnsi="Times New Roman" w:cs="Times New Roman"/>
            <w:noProof/>
            <w:sz w:val="20"/>
          </w:rPr>
          <w:fldChar w:fldCharType="end"/>
        </w:r>
      </w:p>
    </w:sdtContent>
  </w:sdt>
  <w:p w14:paraId="470C5315" w14:textId="77777777" w:rsidR="00C95B38" w:rsidRDefault="00C95B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ECCA36" w14:textId="77777777" w:rsidR="00BE298B" w:rsidRDefault="00BE298B" w:rsidP="00C95B38">
      <w:pPr>
        <w:spacing w:line="240" w:lineRule="auto"/>
      </w:pPr>
      <w:r>
        <w:separator/>
      </w:r>
    </w:p>
  </w:footnote>
  <w:footnote w:type="continuationSeparator" w:id="0">
    <w:p w14:paraId="7F7324DE" w14:textId="77777777" w:rsidR="00BE298B" w:rsidRDefault="00BE298B" w:rsidP="00C95B3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427"/>
    <w:rsid w:val="004D7CDA"/>
    <w:rsid w:val="00A2738F"/>
    <w:rsid w:val="00BE298B"/>
    <w:rsid w:val="00C93C21"/>
    <w:rsid w:val="00C95B38"/>
    <w:rsid w:val="00CB0427"/>
    <w:rsid w:val="00CD70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2B162"/>
  <w15:docId w15:val="{CCB4D0A9-6594-47AC-8BCC-B52AF6D9C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C95B38"/>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95B3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B38"/>
    <w:rPr>
      <w:rFonts w:ascii="Segoe UI" w:hAnsi="Segoe UI" w:cs="Segoe UI"/>
      <w:sz w:val="18"/>
      <w:szCs w:val="18"/>
    </w:rPr>
  </w:style>
  <w:style w:type="paragraph" w:styleId="Header">
    <w:name w:val="header"/>
    <w:basedOn w:val="Normal"/>
    <w:link w:val="HeaderChar"/>
    <w:uiPriority w:val="99"/>
    <w:unhideWhenUsed/>
    <w:rsid w:val="00C95B38"/>
    <w:pPr>
      <w:tabs>
        <w:tab w:val="center" w:pos="4513"/>
        <w:tab w:val="right" w:pos="9026"/>
      </w:tabs>
      <w:spacing w:line="240" w:lineRule="auto"/>
    </w:pPr>
  </w:style>
  <w:style w:type="character" w:customStyle="1" w:styleId="HeaderChar">
    <w:name w:val="Header Char"/>
    <w:basedOn w:val="DefaultParagraphFont"/>
    <w:link w:val="Header"/>
    <w:uiPriority w:val="99"/>
    <w:rsid w:val="00C95B38"/>
  </w:style>
  <w:style w:type="paragraph" w:styleId="Footer">
    <w:name w:val="footer"/>
    <w:basedOn w:val="Normal"/>
    <w:link w:val="FooterChar"/>
    <w:uiPriority w:val="99"/>
    <w:unhideWhenUsed/>
    <w:rsid w:val="00C95B38"/>
    <w:pPr>
      <w:tabs>
        <w:tab w:val="center" w:pos="4513"/>
        <w:tab w:val="right" w:pos="9026"/>
      </w:tabs>
      <w:spacing w:line="240" w:lineRule="auto"/>
    </w:pPr>
  </w:style>
  <w:style w:type="character" w:customStyle="1" w:styleId="FooterChar">
    <w:name w:val="Footer Char"/>
    <w:basedOn w:val="DefaultParagraphFont"/>
    <w:link w:val="Footer"/>
    <w:uiPriority w:val="99"/>
    <w:rsid w:val="00C95B38"/>
  </w:style>
  <w:style w:type="paragraph" w:styleId="TOCHeading">
    <w:name w:val="TOC Heading"/>
    <w:basedOn w:val="Heading1"/>
    <w:next w:val="Normal"/>
    <w:uiPriority w:val="39"/>
    <w:unhideWhenUsed/>
    <w:qFormat/>
    <w:rsid w:val="00C95B3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95B38"/>
    <w:pPr>
      <w:spacing w:after="100"/>
    </w:pPr>
  </w:style>
  <w:style w:type="character" w:styleId="Hyperlink">
    <w:name w:val="Hyperlink"/>
    <w:basedOn w:val="DefaultParagraphFont"/>
    <w:uiPriority w:val="99"/>
    <w:unhideWhenUsed/>
    <w:rsid w:val="00C95B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link.springer.com/content/pdf/10.1186/s40991-024-00094-y.pdf" TargetMode="External"/><Relationship Id="rId13" Type="http://schemas.openxmlformats.org/officeDocument/2006/relationships/hyperlink" Target="https://gisrrj.com/paper/GISRRJ236512.pdf" TargetMode="External"/><Relationship Id="rId18" Type="http://schemas.openxmlformats.org/officeDocument/2006/relationships/hyperlink" Target="https://dspace.lib.cranfield.ac.uk/bitstreams/dc8101eb-3279-4b59-a3b9-07d94ad5014c/download" TargetMode="External"/><Relationship Id="rId3" Type="http://schemas.openxmlformats.org/officeDocument/2006/relationships/settings" Target="settings.xml"/><Relationship Id="rId21" Type="http://schemas.openxmlformats.org/officeDocument/2006/relationships/hyperlink" Target="https://www.mdpi.com/2075-5309/13/10/2634" TargetMode="External"/><Relationship Id="rId7" Type="http://schemas.openxmlformats.org/officeDocument/2006/relationships/image" Target="media/image1.png"/><Relationship Id="rId12" Type="http://schemas.openxmlformats.org/officeDocument/2006/relationships/hyperlink" Target="https://pdfs.semanticscholar.org/1c59/2a4545a5e7968b709784a9016395e35c86a6.pdf" TargetMode="External"/><Relationship Id="rId17" Type="http://schemas.openxmlformats.org/officeDocument/2006/relationships/hyperlink" Target="https://www.scirp.net/pdf/ojbm_2023072614190840.pdf" TargetMode="External"/><Relationship Id="rId2" Type="http://schemas.openxmlformats.org/officeDocument/2006/relationships/styles" Target="styles.xml"/><Relationship Id="rId16" Type="http://schemas.openxmlformats.org/officeDocument/2006/relationships/hyperlink" Target="https://nationalhighways.citizenspace.com/ltc/lower-thames-crossing-consultation/supporting_documents/Highways%20Englands%20Response%20to%20Consultation.pdf" TargetMode="External"/><Relationship Id="rId20" Type="http://schemas.openxmlformats.org/officeDocument/2006/relationships/hyperlink" Target="https://www.researchgate.net/profile/Xiao-Sun-91/publication/373235193_Digital_transformation_and_greenwashing_in_environmental_social_and_governance_disclosure_Does_investor_attention_matter/links/6535d04f73a2865c7ac98e7d/Digital-transformation-and-greenwashing-in-environmental-social-and-governance-disclosure-Does-investor-attention-matter.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celibrary.org/doi/pdf/10.1061/%28ASCE%29NH.1527-6996.0000563"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egruyterbrill.com/document/doi/10.1515/jetl-2022-0002/html" TargetMode="External"/><Relationship Id="rId23" Type="http://schemas.openxmlformats.org/officeDocument/2006/relationships/fontTable" Target="fontTable.xml"/><Relationship Id="rId10" Type="http://schemas.openxmlformats.org/officeDocument/2006/relationships/hyperlink" Target="https://www.researchgate.net/profile/Prof-Celestin/publication/368831211_Analysis_of_Effective_Communication_and_Project_Success_Survey_on_Electricity_Access_Roll_Out_Project_at_EDCL_-EARP/links/63fc6be6b1704f343f871313/Analysis-of-Effective-Communication-and-Project-Success-Survey-on-Electricity-Access-Roll-Out-Project-at-EDCL-EARP.pdf" TargetMode="External"/><Relationship Id="rId19" Type="http://schemas.openxmlformats.org/officeDocument/2006/relationships/hyperlink" Target="https://www.mdpi.com/2624-6511/6/1/19" TargetMode="External"/><Relationship Id="rId4" Type="http://schemas.openxmlformats.org/officeDocument/2006/relationships/webSettings" Target="webSettings.xml"/><Relationship Id="rId9" Type="http://schemas.openxmlformats.org/officeDocument/2006/relationships/hyperlink" Target="https://re.public.polimi.it/bitstream/11311/1257467/1/Local%20com.pdf" TargetMode="External"/><Relationship Id="rId14" Type="http://schemas.openxmlformats.org/officeDocument/2006/relationships/hyperlink" Target="https://link.springer.com/content/pdf/10.1186/s12913-024-10654-4.pdf"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5E0E9-8CF2-4215-9DC9-85EAA97EE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4447</Words>
  <Characters>25351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2026-07-29T16:11:00Z</dcterms:created>
  <dcterms:modified xsi:type="dcterms:W3CDTF">2026-07-29T16:11:00Z</dcterms:modified>
</cp:coreProperties>
</file>