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2583573"/>
        <w:docPartObj>
          <w:docPartGallery w:val="Cover Pages"/>
          <w:docPartUnique/>
        </w:docPartObj>
      </w:sdtPr>
      <w:sdtContent>
        <w:p w14:paraId="3B695C95" w14:textId="5BB58CDF" w:rsidR="00C533A8" w:rsidRPr="00947E2A" w:rsidRDefault="000A3800" w:rsidP="00C533A8">
          <w:pPr>
            <w:spacing w:after="0" w:line="360" w:lineRule="auto"/>
            <w:jc w:val="center"/>
            <w:rPr>
              <w:rFonts w:ascii="Times New Roman" w:eastAsia="SimSun" w:hAnsi="Times New Roman" w:cs="Times New Roman"/>
              <w:b/>
              <w:bCs/>
              <w:kern w:val="24"/>
              <w:sz w:val="32"/>
              <w:szCs w:val="32"/>
              <w:lang w:val="en-US" w:eastAsia="ja-JP"/>
              <w14:ligatures w14:val="none"/>
            </w:rPr>
          </w:pPr>
          <w:r>
            <w:rPr>
              <w:noProof/>
            </w:rPr>
            <w:drawing>
              <wp:anchor distT="0" distB="0" distL="114300" distR="114300" simplePos="0" relativeHeight="251658256" behindDoc="1" locked="0" layoutInCell="1" allowOverlap="1" wp14:anchorId="328FEA70" wp14:editId="77F3C37E">
                <wp:simplePos x="0" y="0"/>
                <wp:positionH relativeFrom="page">
                  <wp:align>left</wp:align>
                </wp:positionH>
                <wp:positionV relativeFrom="paragraph">
                  <wp:posOffset>40640</wp:posOffset>
                </wp:positionV>
                <wp:extent cx="7588250" cy="7914005"/>
                <wp:effectExtent l="0" t="0" r="0" b="0"/>
                <wp:wrapTight wrapText="bothSides">
                  <wp:wrapPolygon edited="0">
                    <wp:start x="0" y="0"/>
                    <wp:lineTo x="0" y="21525"/>
                    <wp:lineTo x="21528" y="21525"/>
                    <wp:lineTo x="21528" y="0"/>
                    <wp:lineTo x="0" y="0"/>
                  </wp:wrapPolygon>
                </wp:wrapTight>
                <wp:docPr id="1192473189" name="Picture 5" descr="A coffee mugs and pen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73189" name="Picture 5" descr="A coffee mugs and pens on a table&#10;&#10;AI-generated content may be incorrect."/>
                        <pic:cNvPicPr/>
                      </pic:nvPicPr>
                      <pic:blipFill rotWithShape="1">
                        <a:blip r:embed="rId11" cstate="print">
                          <a:alphaModFix amt="30000"/>
                          <a:extLst>
                            <a:ext uri="{28A0092B-C50C-407E-A947-70E740481C1C}">
                              <a14:useLocalDpi xmlns:a14="http://schemas.microsoft.com/office/drawing/2010/main" val="0"/>
                            </a:ext>
                          </a:extLst>
                        </a:blip>
                        <a:srcRect b="8668"/>
                        <a:stretch>
                          <a:fillRect/>
                        </a:stretch>
                      </pic:blipFill>
                      <pic:spPr bwMode="auto">
                        <a:xfrm>
                          <a:off x="0" y="0"/>
                          <a:ext cx="7588250" cy="7914005"/>
                        </a:xfrm>
                        <a:prstGeom prst="rect">
                          <a:avLst/>
                        </a:prstGeom>
                        <a:ln>
                          <a:noFill/>
                        </a:ln>
                        <a:effectLst>
                          <a:reflection endPos="0" dist="508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45C" w:rsidRPr="00805F79">
            <w:rPr>
              <w:noProof/>
            </w:rPr>
            <w:drawing>
              <wp:anchor distT="0" distB="0" distL="114300" distR="114300" simplePos="0" relativeHeight="251658253" behindDoc="0" locked="0" layoutInCell="1" allowOverlap="1" wp14:anchorId="703C0D98" wp14:editId="60D2CEC8">
                <wp:simplePos x="0" y="0"/>
                <wp:positionH relativeFrom="column">
                  <wp:posOffset>1916430</wp:posOffset>
                </wp:positionH>
                <wp:positionV relativeFrom="paragraph">
                  <wp:posOffset>49530</wp:posOffset>
                </wp:positionV>
                <wp:extent cx="2054225" cy="2834640"/>
                <wp:effectExtent l="0" t="0" r="0" b="0"/>
                <wp:wrapThrough wrapText="bothSides">
                  <wp:wrapPolygon edited="0">
                    <wp:start x="10015" y="0"/>
                    <wp:lineTo x="7812" y="2323"/>
                    <wp:lineTo x="9615" y="4790"/>
                    <wp:lineTo x="6410" y="5661"/>
                    <wp:lineTo x="4006" y="6532"/>
                    <wp:lineTo x="4006" y="7113"/>
                    <wp:lineTo x="2404" y="7839"/>
                    <wp:lineTo x="1602" y="8710"/>
                    <wp:lineTo x="0" y="10887"/>
                    <wp:lineTo x="0" y="14371"/>
                    <wp:lineTo x="601" y="16839"/>
                    <wp:lineTo x="3205" y="18726"/>
                    <wp:lineTo x="3806" y="19452"/>
                    <wp:lineTo x="7612" y="20903"/>
                    <wp:lineTo x="9615" y="21194"/>
                    <wp:lineTo x="11418" y="21194"/>
                    <wp:lineTo x="13020" y="20903"/>
                    <wp:lineTo x="17227" y="19306"/>
                    <wp:lineTo x="17026" y="18726"/>
                    <wp:lineTo x="17828" y="18726"/>
                    <wp:lineTo x="20231" y="16984"/>
                    <wp:lineTo x="20231" y="16403"/>
                    <wp:lineTo x="21032" y="14081"/>
                    <wp:lineTo x="21032" y="11758"/>
                    <wp:lineTo x="20031" y="9000"/>
                    <wp:lineTo x="16626" y="6677"/>
                    <wp:lineTo x="15223" y="5952"/>
                    <wp:lineTo x="11818" y="4790"/>
                    <wp:lineTo x="13421" y="2468"/>
                    <wp:lineTo x="11017" y="0"/>
                    <wp:lineTo x="10015" y="0"/>
                  </wp:wrapPolygon>
                </wp:wrapThrough>
                <wp:docPr id="3" name="Picture 2" descr="A logo on a wall&#10;&#10;AI-generated content may be incorrect.">
                  <a:extLst xmlns:a="http://schemas.openxmlformats.org/drawingml/2006/main">
                    <a:ext uri="{FF2B5EF4-FFF2-40B4-BE49-F238E27FC236}">
                      <a16:creationId xmlns:a16="http://schemas.microsoft.com/office/drawing/2014/main" id="{5FE8389D-4FA1-F6CA-9A94-BE5166BF19CC}"/>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ogo on a wall&#10;&#10;AI-generated content may be incorrect.">
                          <a:extLst>
                            <a:ext uri="{FF2B5EF4-FFF2-40B4-BE49-F238E27FC236}">
                              <a16:creationId xmlns:a16="http://schemas.microsoft.com/office/drawing/2014/main" id="{5FE8389D-4FA1-F6CA-9A94-BE5166BF19CC}"/>
                            </a:ext>
                            <a:ext uri="{C183D7F6-B498-43B3-948B-1728B52AA6E4}">
                              <adec:decorative xmlns:adec="http://schemas.microsoft.com/office/drawing/2017/decorative" val="0"/>
                            </a:ext>
                          </a:extLst>
                        </pic:cNvPr>
                        <pic:cNvPicPr>
                          <a:picLocks noChangeAspect="1"/>
                        </pic:cNvPicPr>
                      </pic:nvPicPr>
                      <pic:blipFill>
                        <a:blip r:embed="rId12" cstate="print">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rcRect l="25011" t="8931" r="21405" b="17108"/>
                        <a:stretch>
                          <a:fillRect/>
                        </a:stretch>
                      </pic:blipFill>
                      <pic:spPr>
                        <a:xfrm>
                          <a:off x="0" y="0"/>
                          <a:ext cx="2054225" cy="2834640"/>
                        </a:xfrm>
                        <a:prstGeom prst="rect">
                          <a:avLst/>
                        </a:prstGeom>
                      </pic:spPr>
                    </pic:pic>
                  </a:graphicData>
                </a:graphic>
                <wp14:sizeRelH relativeFrom="page">
                  <wp14:pctWidth>0</wp14:pctWidth>
                </wp14:sizeRelH>
                <wp14:sizeRelV relativeFrom="page">
                  <wp14:pctHeight>0</wp14:pctHeight>
                </wp14:sizeRelV>
              </wp:anchor>
            </w:drawing>
          </w:r>
          <w:r w:rsidR="00CF72AB">
            <w:rPr>
              <w:noProof/>
            </w:rPr>
            <mc:AlternateContent>
              <mc:Choice Requires="wps">
                <w:drawing>
                  <wp:anchor distT="0" distB="0" distL="114300" distR="114300" simplePos="0" relativeHeight="251658243" behindDoc="1" locked="0" layoutInCell="1" allowOverlap="1" wp14:anchorId="28187FBA" wp14:editId="09524206">
                    <wp:simplePos x="0" y="0"/>
                    <wp:positionH relativeFrom="page">
                      <wp:align>left</wp:align>
                    </wp:positionH>
                    <wp:positionV relativeFrom="paragraph">
                      <wp:posOffset>-923925</wp:posOffset>
                    </wp:positionV>
                    <wp:extent cx="7588332" cy="11115304"/>
                    <wp:effectExtent l="0" t="0" r="12700" b="10160"/>
                    <wp:wrapNone/>
                    <wp:docPr id="959980667" name="Rectangle 3"/>
                    <wp:cNvGraphicFramePr/>
                    <a:graphic xmlns:a="http://schemas.openxmlformats.org/drawingml/2006/main">
                      <a:graphicData uri="http://schemas.microsoft.com/office/word/2010/wordprocessingShape">
                        <wps:wsp>
                          <wps:cNvSpPr/>
                          <wps:spPr>
                            <a:xfrm>
                              <a:off x="0" y="0"/>
                              <a:ext cx="7588332" cy="11115304"/>
                            </a:xfrm>
                            <a:prstGeom prst="rect">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F64C0" id="Rectangle 3" o:spid="_x0000_s1026" style="position:absolute;margin-left:0;margin-top:-72.75pt;width:597.5pt;height:875.2pt;z-index:-251658237;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" fillcolor="#d7cfbf [2894]" strokecolor="#1f0a03 [484]" strokeweight="1pt">
                    <w10:wrap anchorx="page"/>
                  </v:rect>
                </w:pict>
              </mc:Fallback>
            </mc:AlternateContent>
          </w:r>
          <w:r w:rsidR="00CF72AB">
            <w:rPr>
              <w:noProof/>
            </w:rPr>
            <mc:AlternateContent>
              <mc:Choice Requires="wpg">
                <w:drawing>
                  <wp:anchor distT="0" distB="0" distL="114300" distR="114300" simplePos="0" relativeHeight="251658252" behindDoc="1" locked="0" layoutInCell="1" allowOverlap="1" wp14:anchorId="2D60079C" wp14:editId="5EDE2BCD">
                    <wp:simplePos x="0" y="0"/>
                    <wp:positionH relativeFrom="page">
                      <wp:posOffset>451262</wp:posOffset>
                    </wp:positionH>
                    <wp:positionV relativeFrom="margin">
                      <wp:posOffset>41564</wp:posOffset>
                    </wp:positionV>
                    <wp:extent cx="6697683" cy="9915525"/>
                    <wp:effectExtent l="0" t="0" r="8255" b="9525"/>
                    <wp:wrapNone/>
                    <wp:docPr id="119" name="Group 121"/>
                    <wp:cNvGraphicFramePr/>
                    <a:graphic xmlns:a="http://schemas.openxmlformats.org/drawingml/2006/main">
                      <a:graphicData uri="http://schemas.microsoft.com/office/word/2010/wordprocessingGroup">
                        <wpg:wgp>
                          <wpg:cNvGrpSpPr/>
                          <wpg:grpSpPr>
                            <a:xfrm>
                              <a:off x="0" y="0"/>
                              <a:ext cx="6697683" cy="9915525"/>
                              <a:chOff x="0" y="0"/>
                              <a:chExt cx="6858000" cy="9271750"/>
                            </a:xfrm>
                          </wpg:grpSpPr>
                          <wps:wsp>
                            <wps:cNvPr id="120" name="Rectangle 120"/>
                            <wps:cNvSpPr/>
                            <wps:spPr>
                              <a:xfrm>
                                <a:off x="0" y="7315200"/>
                                <a:ext cx="6858000" cy="143182"/>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10490" w:type="dxa"/>
                                    <w:tblInd w:w="-714" w:type="dxa"/>
                                    <w:tblLook w:val="04A0" w:firstRow="1" w:lastRow="0" w:firstColumn="1" w:lastColumn="0" w:noHBand="0" w:noVBand="1"/>
                                  </w:tblPr>
                                  <w:tblGrid>
                                    <w:gridCol w:w="2972"/>
                                    <w:gridCol w:w="7518"/>
                                  </w:tblGrid>
                                  <w:tr w:rsidR="00CD5603" w14:paraId="0D3BEF0C"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CDC8" w:themeFill="accent2" w:themeFillTint="33"/>
                                      </w:tcPr>
                                      <w:p w14:paraId="74AC4A4B" w14:textId="0C0F0527" w:rsidR="00CD5603" w:rsidRPr="00BC55F2" w:rsidRDefault="00CD5603" w:rsidP="00CD5603">
                                        <w:pPr>
                                          <w:rPr>
                                            <w:rFonts w:ascii="Montserrat SemiBold" w:hAnsi="Montserrat SemiBold"/>
                                            <w:b/>
                                            <w:bCs/>
                                            <w:sz w:val="28"/>
                                            <w:szCs w:val="28"/>
                                          </w:rPr>
                                        </w:pPr>
                                        <w:r w:rsidRPr="00BC55F2">
                                          <w:rPr>
                                            <w:rFonts w:ascii="Montserrat SemiBold" w:hAnsi="Montserrat SemiBold"/>
                                            <w:b/>
                                            <w:bCs/>
                                            <w:sz w:val="28"/>
                                            <w:szCs w:val="28"/>
                                          </w:rPr>
                                          <w:t>Prepared for:</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CDC8" w:themeFill="accent2" w:themeFillTint="33"/>
                                      </w:tcPr>
                                      <w:p w14:paraId="10AB0DC5" w14:textId="3D343E68" w:rsidR="00CD5603" w:rsidRPr="00BC55F2" w:rsidRDefault="00CD5603" w:rsidP="00CD5603">
                                        <w:pPr>
                                          <w:rPr>
                                            <w:rFonts w:ascii="Montserrat SemiBold" w:hAnsi="Montserrat SemiBold"/>
                                            <w:b/>
                                            <w:bCs/>
                                            <w:sz w:val="28"/>
                                            <w:szCs w:val="28"/>
                                          </w:rPr>
                                        </w:pPr>
                                        <w:r w:rsidRPr="00BC55F2">
                                          <w:rPr>
                                            <w:rFonts w:ascii="Montserrat SemiBold" w:hAnsi="Montserrat SemiBold"/>
                                            <w:b/>
                                            <w:bCs/>
                                            <w:sz w:val="28"/>
                                            <w:szCs w:val="28"/>
                                          </w:rPr>
                                          <w:t>ACE Capital Projects LTD</w:t>
                                        </w:r>
                                      </w:p>
                                    </w:tc>
                                  </w:tr>
                                  <w:tr w:rsidR="00CD5603" w14:paraId="6C9605B4"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99C92" w:themeFill="accent2" w:themeFillTint="66"/>
                                      </w:tcPr>
                                      <w:p w14:paraId="4F4E66D7" w14:textId="795503E2"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Project:</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99C92" w:themeFill="accent2" w:themeFillTint="66"/>
                                      </w:tcPr>
                                      <w:p w14:paraId="0DCC2AE3" w14:textId="11D12F4D"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Centre of Excellence for Construction Training</w:t>
                                        </w:r>
                                      </w:p>
                                    </w:tc>
                                  </w:tr>
                                  <w:tr w:rsidR="00CD5603" w14:paraId="73D27502"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E6A5C" w:themeFill="accent2" w:themeFillTint="99"/>
                                      </w:tcPr>
                                      <w:p w14:paraId="5265AFEB" w14:textId="585342F1"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Location:</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E6A5C" w:themeFill="accent2" w:themeFillTint="99"/>
                                      </w:tcPr>
                                      <w:p w14:paraId="221AA902" w14:textId="6EC7307D"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Off Island Road, SA1, Swansea</w:t>
                                        </w:r>
                                      </w:p>
                                    </w:tc>
                                  </w:tr>
                                  <w:tr w:rsidR="007D4FBF" w14:paraId="238F38AF"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9B2D1F" w:themeFill="accent2"/>
                                      </w:tcPr>
                                      <w:p w14:paraId="54240FAE" w14:textId="2166F2C8" w:rsidR="007D4FBF" w:rsidRPr="00BC55F2" w:rsidRDefault="007D4FBF">
                                        <w:pPr>
                                          <w:rPr>
                                            <w:rFonts w:ascii="Montserrat SemiBold" w:hAnsi="Montserrat SemiBold"/>
                                            <w:b/>
                                            <w:bCs/>
                                            <w:sz w:val="28"/>
                                            <w:szCs w:val="28"/>
                                          </w:rPr>
                                        </w:pPr>
                                        <w:r w:rsidRPr="00BC55F2">
                                          <w:rPr>
                                            <w:rFonts w:ascii="Montserrat SemiBold" w:hAnsi="Montserrat SemiBold"/>
                                            <w:b/>
                                            <w:bCs/>
                                            <w:sz w:val="28"/>
                                            <w:szCs w:val="28"/>
                                          </w:rPr>
                                          <w:t>Prepared By:</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9B2D1F" w:themeFill="accent2"/>
                                      </w:tcPr>
                                      <w:p w14:paraId="067A7961" w14:textId="5D34FA2B" w:rsidR="007D4FBF" w:rsidRPr="00BC55F2" w:rsidRDefault="007D4FBF">
                                        <w:pPr>
                                          <w:rPr>
                                            <w:rFonts w:ascii="Montserrat SemiBold" w:hAnsi="Montserrat SemiBold"/>
                                            <w:b/>
                                            <w:bCs/>
                                            <w:sz w:val="28"/>
                                            <w:szCs w:val="28"/>
                                          </w:rPr>
                                        </w:pPr>
                                        <w:r w:rsidRPr="00BC55F2">
                                          <w:rPr>
                                            <w:rFonts w:ascii="Montserrat SemiBold" w:hAnsi="Montserrat SemiBold"/>
                                            <w:b/>
                                            <w:bCs/>
                                            <w:sz w:val="28"/>
                                            <w:szCs w:val="28"/>
                                          </w:rPr>
                                          <w:t>Tawe Construction Swansea</w:t>
                                        </w:r>
                                      </w:p>
                                    </w:tc>
                                  </w:tr>
                                </w:tbl>
                                <w:p w14:paraId="6D441FA1" w14:textId="77777777" w:rsidR="00E674E4" w:rsidRDefault="00E674E4"/>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sdt>
                                  <w:sdtPr>
                                    <w:rPr>
                                      <w:rFonts w:ascii="Montserrat" w:hAnsi="Montserrat"/>
                                      <w:color w:val="F9D8CD" w:themeColor="accent1" w:themeTint="33"/>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F9379FD" w14:textId="0D0DB069" w:rsidR="00E674E4" w:rsidRPr="006A645C" w:rsidRDefault="00D97244">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Kieran Bowen – Quantity Surveyor</w:t>
                                      </w:r>
                                    </w:p>
                                  </w:sdtContent>
                                </w:sdt>
                                <w:p w14:paraId="07BBCF75" w14:textId="0EF75CDA" w:rsidR="00E674E4" w:rsidRPr="006A645C" w:rsidRDefault="00000000">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922067218"/>
                                      <w:dataBinding w:prefixMappings="xmlns:ns0='http://schemas.openxmlformats.org/officeDocument/2006/extended-properties' " w:xpath="/ns0:Properties[1]/ns0:Company[1]" w:storeItemID="{6668398D-A668-4E3E-A5EB-62B293D839F1}"/>
                                      <w:text/>
                                    </w:sdtPr>
                                    <w:sdtContent>
                                      <w:r w:rsidR="00E674E4" w:rsidRPr="006A645C">
                                        <w:rPr>
                                          <w:rFonts w:ascii="Montserrat SemiBold" w:hAnsi="Montserrat SemiBold"/>
                                          <w:caps/>
                                          <w:color w:val="F9D8CD" w:themeColor="accent1" w:themeTint="33"/>
                                        </w:rPr>
                                        <w:t>Tawe Constr</w:t>
                                      </w:r>
                                      <w:r w:rsidR="00D26D6A" w:rsidRPr="006A645C">
                                        <w:rPr>
                                          <w:rFonts w:ascii="Montserrat SemiBold" w:hAnsi="Montserrat SemiBold"/>
                                          <w:caps/>
                                          <w:color w:val="F9D8CD" w:themeColor="accent1" w:themeTint="33"/>
                                        </w:rPr>
                                        <w:t>u</w:t>
                                      </w:r>
                                      <w:r w:rsidR="00E674E4" w:rsidRPr="006A645C">
                                        <w:rPr>
                                          <w:rFonts w:ascii="Montserrat SemiBold" w:hAnsi="Montserrat SemiBold"/>
                                          <w:caps/>
                                          <w:color w:val="F9D8CD" w:themeColor="accent1" w:themeTint="33"/>
                                        </w:rPr>
                                        <w:t>ction</w:t>
                                      </w:r>
                                    </w:sdtContent>
                                  </w:sdt>
                                  <w:r w:rsidR="00E674E4" w:rsidRPr="006A645C">
                                    <w:rPr>
                                      <w:rFonts w:ascii="Montserrat" w:hAnsi="Montserrat"/>
                                      <w:caps/>
                                      <w:color w:val="F9D8CD" w:themeColor="accent1" w:themeTint="33"/>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D60079C" id="Group 121" o:spid="_x0000_s1026" style="position:absolute;left:0;text-align:left;margin-left:35.55pt;margin-top:3.25pt;width:527.4pt;height:780.75pt;z-index:-251658228;mso-position-horizontal-relative:page;mso-position-vertical-relative:margin"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" fillcolor="#bdb096 [2414]" stroked="f" strokeweight="1p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tbl>
                            <w:tblPr>
                              <w:tblStyle w:val="TableGrid"/>
                              <w:tblW w:w="10490" w:type="dxa"/>
                              <w:tblInd w:w="-714" w:type="dxa"/>
                              <w:tblLook w:val="04A0" w:firstRow="1" w:lastRow="0" w:firstColumn="1" w:lastColumn="0" w:noHBand="0" w:noVBand="1"/>
                            </w:tblPr>
                            <w:tblGrid>
                              <w:gridCol w:w="2972"/>
                              <w:gridCol w:w="7518"/>
                            </w:tblGrid>
                            <w:tr w:rsidR="00CD5603" w14:paraId="0D3BEF0C"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CDC8" w:themeFill="accent2" w:themeFillTint="33"/>
                                </w:tcPr>
                                <w:p w14:paraId="74AC4A4B" w14:textId="0C0F0527" w:rsidR="00CD5603" w:rsidRPr="00BC55F2" w:rsidRDefault="00CD5603" w:rsidP="00CD5603">
                                  <w:pPr>
                                    <w:rPr>
                                      <w:rFonts w:ascii="Montserrat SemiBold" w:hAnsi="Montserrat SemiBold"/>
                                      <w:b/>
                                      <w:bCs/>
                                      <w:sz w:val="28"/>
                                      <w:szCs w:val="28"/>
                                    </w:rPr>
                                  </w:pPr>
                                  <w:r w:rsidRPr="00BC55F2">
                                    <w:rPr>
                                      <w:rFonts w:ascii="Montserrat SemiBold" w:hAnsi="Montserrat SemiBold"/>
                                      <w:b/>
                                      <w:bCs/>
                                      <w:sz w:val="28"/>
                                      <w:szCs w:val="28"/>
                                    </w:rPr>
                                    <w:t>Prepared for:</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F4CDC8" w:themeFill="accent2" w:themeFillTint="33"/>
                                </w:tcPr>
                                <w:p w14:paraId="10AB0DC5" w14:textId="3D343E68" w:rsidR="00CD5603" w:rsidRPr="00BC55F2" w:rsidRDefault="00CD5603" w:rsidP="00CD5603">
                                  <w:pPr>
                                    <w:rPr>
                                      <w:rFonts w:ascii="Montserrat SemiBold" w:hAnsi="Montserrat SemiBold"/>
                                      <w:b/>
                                      <w:bCs/>
                                      <w:sz w:val="28"/>
                                      <w:szCs w:val="28"/>
                                    </w:rPr>
                                  </w:pPr>
                                  <w:r w:rsidRPr="00BC55F2">
                                    <w:rPr>
                                      <w:rFonts w:ascii="Montserrat SemiBold" w:hAnsi="Montserrat SemiBold"/>
                                      <w:b/>
                                      <w:bCs/>
                                      <w:sz w:val="28"/>
                                      <w:szCs w:val="28"/>
                                    </w:rPr>
                                    <w:t>ACE Capital Projects LTD</w:t>
                                  </w:r>
                                </w:p>
                              </w:tc>
                            </w:tr>
                            <w:tr w:rsidR="00CD5603" w14:paraId="6C9605B4"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99C92" w:themeFill="accent2" w:themeFillTint="66"/>
                                </w:tcPr>
                                <w:p w14:paraId="4F4E66D7" w14:textId="795503E2"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Project:</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E99C92" w:themeFill="accent2" w:themeFillTint="66"/>
                                </w:tcPr>
                                <w:p w14:paraId="0DCC2AE3" w14:textId="11D12F4D"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Centre of Excellence for Construction Training</w:t>
                                  </w:r>
                                </w:p>
                              </w:tc>
                            </w:tr>
                            <w:tr w:rsidR="00CD5603" w14:paraId="73D27502"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E6A5C" w:themeFill="accent2" w:themeFillTint="99"/>
                                </w:tcPr>
                                <w:p w14:paraId="5265AFEB" w14:textId="585342F1"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Location:</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DE6A5C" w:themeFill="accent2" w:themeFillTint="99"/>
                                </w:tcPr>
                                <w:p w14:paraId="221AA902" w14:textId="6EC7307D" w:rsidR="00CD5603" w:rsidRPr="00BC55F2" w:rsidRDefault="00CD5603">
                                  <w:pPr>
                                    <w:rPr>
                                      <w:rFonts w:ascii="Montserrat SemiBold" w:hAnsi="Montserrat SemiBold"/>
                                      <w:b/>
                                      <w:bCs/>
                                      <w:sz w:val="28"/>
                                      <w:szCs w:val="28"/>
                                    </w:rPr>
                                  </w:pPr>
                                  <w:r w:rsidRPr="00BC55F2">
                                    <w:rPr>
                                      <w:rFonts w:ascii="Montserrat SemiBold" w:hAnsi="Montserrat SemiBold"/>
                                      <w:b/>
                                      <w:bCs/>
                                      <w:sz w:val="28"/>
                                      <w:szCs w:val="28"/>
                                    </w:rPr>
                                    <w:t>Off Island Road, SA1, Swansea</w:t>
                                  </w:r>
                                </w:p>
                              </w:tc>
                            </w:tr>
                            <w:tr w:rsidR="007D4FBF" w14:paraId="238F38AF" w14:textId="77777777" w:rsidTr="00BC55F2">
                              <w:tc>
                                <w:tcPr>
                                  <w:tcW w:w="297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9B2D1F" w:themeFill="accent2"/>
                                </w:tcPr>
                                <w:p w14:paraId="54240FAE" w14:textId="2166F2C8" w:rsidR="007D4FBF" w:rsidRPr="00BC55F2" w:rsidRDefault="007D4FBF">
                                  <w:pPr>
                                    <w:rPr>
                                      <w:rFonts w:ascii="Montserrat SemiBold" w:hAnsi="Montserrat SemiBold"/>
                                      <w:b/>
                                      <w:bCs/>
                                      <w:sz w:val="28"/>
                                      <w:szCs w:val="28"/>
                                    </w:rPr>
                                  </w:pPr>
                                  <w:r w:rsidRPr="00BC55F2">
                                    <w:rPr>
                                      <w:rFonts w:ascii="Montserrat SemiBold" w:hAnsi="Montserrat SemiBold"/>
                                      <w:b/>
                                      <w:bCs/>
                                      <w:sz w:val="28"/>
                                      <w:szCs w:val="28"/>
                                    </w:rPr>
                                    <w:t>Prepared By:</w:t>
                                  </w:r>
                                </w:p>
                              </w:tc>
                              <w:tc>
                                <w:tcPr>
                                  <w:tcW w:w="7518"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9B2D1F" w:themeFill="accent2"/>
                                </w:tcPr>
                                <w:p w14:paraId="067A7961" w14:textId="5D34FA2B" w:rsidR="007D4FBF" w:rsidRPr="00BC55F2" w:rsidRDefault="007D4FBF">
                                  <w:pPr>
                                    <w:rPr>
                                      <w:rFonts w:ascii="Montserrat SemiBold" w:hAnsi="Montserrat SemiBold"/>
                                      <w:b/>
                                      <w:bCs/>
                                      <w:sz w:val="28"/>
                                      <w:szCs w:val="28"/>
                                    </w:rPr>
                                  </w:pPr>
                                  <w:r w:rsidRPr="00BC55F2">
                                    <w:rPr>
                                      <w:rFonts w:ascii="Montserrat SemiBold" w:hAnsi="Montserrat SemiBold"/>
                                      <w:b/>
                                      <w:bCs/>
                                      <w:sz w:val="28"/>
                                      <w:szCs w:val="28"/>
                                    </w:rPr>
                                    <w:t>Tawe Construction Swansea</w:t>
                                  </w:r>
                                </w:p>
                              </w:tc>
                            </w:tr>
                          </w:tbl>
                          <w:p w14:paraId="6D441FA1" w14:textId="77777777" w:rsidR="00E674E4" w:rsidRDefault="00E674E4"/>
                        </w:txbxContent>
                      </v:textbox>
                    </v:shape>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" fillcolor="#d34817 [3204]" stroked="f">
                      <v:textbox inset="36pt,14.4pt,36pt,36pt">
                        <w:txbxContent>
                          <w:sdt>
                            <w:sdtPr>
                              <w:rPr>
                                <w:rFonts w:ascii="Montserrat" w:hAnsi="Montserrat"/>
                                <w:color w:val="F9D8CD" w:themeColor="accent1" w:themeTint="33"/>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F9379FD" w14:textId="0D0DB069" w:rsidR="00E674E4" w:rsidRPr="006A645C" w:rsidRDefault="00D97244">
                                <w:pPr>
                                  <w:pStyle w:val="NoSpacing"/>
                                  <w:rPr>
                                    <w:rFonts w:ascii="Montserrat" w:hAnsi="Montserrat"/>
                                    <w:color w:val="F9D8CD" w:themeColor="accent1" w:themeTint="33"/>
                                    <w:sz w:val="32"/>
                                    <w:szCs w:val="32"/>
                                  </w:rPr>
                                </w:pPr>
                                <w:r>
                                  <w:rPr>
                                    <w:rFonts w:ascii="Montserrat" w:hAnsi="Montserrat"/>
                                    <w:color w:val="F9D8CD" w:themeColor="accent1" w:themeTint="33"/>
                                    <w:sz w:val="32"/>
                                    <w:szCs w:val="32"/>
                                  </w:rPr>
                                  <w:t>Kieran Bowen – Quantity Surveyor</w:t>
                                </w:r>
                              </w:p>
                            </w:sdtContent>
                          </w:sdt>
                          <w:p w14:paraId="07BBCF75" w14:textId="0EF75CDA" w:rsidR="00E674E4" w:rsidRPr="006A645C" w:rsidRDefault="00000000">
                            <w:pPr>
                              <w:pStyle w:val="NoSpacing"/>
                              <w:rPr>
                                <w:rFonts w:ascii="Montserrat" w:hAnsi="Montserrat"/>
                                <w:caps/>
                                <w:color w:val="F9D8CD" w:themeColor="accent1" w:themeTint="33"/>
                              </w:rPr>
                            </w:pPr>
                            <w:sdt>
                              <w:sdtPr>
                                <w:rPr>
                                  <w:rFonts w:ascii="Montserrat SemiBold" w:hAnsi="Montserrat SemiBold"/>
                                  <w:caps/>
                                  <w:color w:val="F9D8CD" w:themeColor="accent1" w:themeTint="33"/>
                                </w:rPr>
                                <w:alias w:val="Company"/>
                                <w:tag w:val=""/>
                                <w:id w:val="922067218"/>
                                <w:dataBinding w:prefixMappings="xmlns:ns0='http://schemas.openxmlformats.org/officeDocument/2006/extended-properties' " w:xpath="/ns0:Properties[1]/ns0:Company[1]" w:storeItemID="{6668398D-A668-4E3E-A5EB-62B293D839F1}"/>
                                <w:text/>
                              </w:sdtPr>
                              <w:sdtContent>
                                <w:r w:rsidR="00E674E4" w:rsidRPr="006A645C">
                                  <w:rPr>
                                    <w:rFonts w:ascii="Montserrat SemiBold" w:hAnsi="Montserrat SemiBold"/>
                                    <w:caps/>
                                    <w:color w:val="F9D8CD" w:themeColor="accent1" w:themeTint="33"/>
                                  </w:rPr>
                                  <w:t>Tawe Constr</w:t>
                                </w:r>
                                <w:r w:rsidR="00D26D6A" w:rsidRPr="006A645C">
                                  <w:rPr>
                                    <w:rFonts w:ascii="Montserrat SemiBold" w:hAnsi="Montserrat SemiBold"/>
                                    <w:caps/>
                                    <w:color w:val="F9D8CD" w:themeColor="accent1" w:themeTint="33"/>
                                  </w:rPr>
                                  <w:t>u</w:t>
                                </w:r>
                                <w:r w:rsidR="00E674E4" w:rsidRPr="006A645C">
                                  <w:rPr>
                                    <w:rFonts w:ascii="Montserrat SemiBold" w:hAnsi="Montserrat SemiBold"/>
                                    <w:caps/>
                                    <w:color w:val="F9D8CD" w:themeColor="accent1" w:themeTint="33"/>
                                  </w:rPr>
                                  <w:t>ction</w:t>
                                </w:r>
                              </w:sdtContent>
                            </w:sdt>
                            <w:r w:rsidR="00E674E4" w:rsidRPr="006A645C">
                              <w:rPr>
                                <w:rFonts w:ascii="Montserrat" w:hAnsi="Montserrat"/>
                                <w:caps/>
                                <w:color w:val="F9D8CD" w:themeColor="accent1" w:themeTint="33"/>
                              </w:rPr>
                              <w:t xml:space="preserve"> </w:t>
                            </w:r>
                          </w:p>
                        </w:txbxContent>
                      </v:textbox>
                    </v:rect>
                    <w10:wrap anchorx="page" anchory="margin"/>
                  </v:group>
                </w:pict>
              </mc:Fallback>
            </mc:AlternateContent>
          </w:r>
          <w:r w:rsidR="00575F72">
            <w:rPr>
              <w:noProof/>
            </w:rPr>
            <w:drawing>
              <wp:anchor distT="0" distB="0" distL="114300" distR="114300" simplePos="0" relativeHeight="251658254" behindDoc="0" locked="0" layoutInCell="1" allowOverlap="1" wp14:anchorId="3683D37F" wp14:editId="781470A7">
                <wp:simplePos x="0" y="0"/>
                <wp:positionH relativeFrom="margin">
                  <wp:align>right</wp:align>
                </wp:positionH>
                <wp:positionV relativeFrom="paragraph">
                  <wp:posOffset>8433198</wp:posOffset>
                </wp:positionV>
                <wp:extent cx="1625600" cy="828675"/>
                <wp:effectExtent l="0" t="0" r="0" b="0"/>
                <wp:wrapThrough wrapText="bothSides">
                  <wp:wrapPolygon edited="0">
                    <wp:start x="10378" y="2483"/>
                    <wp:lineTo x="6581" y="7448"/>
                    <wp:lineTo x="6075" y="8441"/>
                    <wp:lineTo x="6834" y="14400"/>
                    <wp:lineTo x="7594" y="16386"/>
                    <wp:lineTo x="8859" y="17379"/>
                    <wp:lineTo x="12909" y="17379"/>
                    <wp:lineTo x="14175" y="16386"/>
                    <wp:lineTo x="15441" y="13903"/>
                    <wp:lineTo x="15441" y="11421"/>
                    <wp:lineTo x="14428" y="8938"/>
                    <wp:lineTo x="11644" y="2483"/>
                    <wp:lineTo x="10378" y="2483"/>
                  </wp:wrapPolygon>
                </wp:wrapThrough>
                <wp:docPr id="4672604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4198" b="24811"/>
                        <a:stretch>
                          <a:fillRect/>
                        </a:stretch>
                      </pic:blipFill>
                      <pic:spPr bwMode="auto">
                        <a:xfrm>
                          <a:off x="0" y="0"/>
                          <a:ext cx="1625600" cy="828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Content>
    </w:sdt>
    <w:p w14:paraId="5411941F" w14:textId="77777777" w:rsidR="00C533A8" w:rsidRPr="00947E2A" w:rsidRDefault="00C533A8" w:rsidP="00C533A8">
      <w:pPr>
        <w:spacing w:after="0" w:line="360" w:lineRule="auto"/>
        <w:jc w:val="center"/>
        <w:rPr>
          <w:rFonts w:ascii="Times New Roman" w:eastAsia="SimSun" w:hAnsi="Times New Roman" w:cs="Times New Roman"/>
          <w:b/>
          <w:bCs/>
          <w:kern w:val="24"/>
          <w:sz w:val="32"/>
          <w:szCs w:val="32"/>
          <w:lang w:val="en-US" w:eastAsia="ja-JP"/>
          <w14:ligatures w14:val="none"/>
        </w:rPr>
      </w:pPr>
    </w:p>
    <w:p w14:paraId="416C5ADA" w14:textId="77777777" w:rsidR="00C533A8" w:rsidRPr="00947E2A" w:rsidRDefault="00C533A8" w:rsidP="00C533A8">
      <w:pPr>
        <w:spacing w:after="0" w:line="360" w:lineRule="auto"/>
        <w:jc w:val="center"/>
        <w:rPr>
          <w:rFonts w:ascii="Times New Roman" w:eastAsia="SimSun" w:hAnsi="Times New Roman" w:cs="Times New Roman"/>
          <w:b/>
          <w:bCs/>
          <w:kern w:val="24"/>
          <w:sz w:val="32"/>
          <w:szCs w:val="32"/>
          <w:lang w:val="en-US" w:eastAsia="ja-JP"/>
          <w14:ligatures w14:val="none"/>
        </w:rPr>
      </w:pPr>
    </w:p>
    <w:p w14:paraId="74E6451E" w14:textId="77777777" w:rsidR="00C533A8" w:rsidRPr="00947E2A" w:rsidRDefault="00C533A8" w:rsidP="00C533A8">
      <w:pPr>
        <w:spacing w:after="0" w:line="360" w:lineRule="auto"/>
        <w:rPr>
          <w:rFonts w:ascii="Times New Roman" w:eastAsia="SimSun" w:hAnsi="Times New Roman" w:cs="Times New Roman"/>
          <w:b/>
          <w:bCs/>
          <w:kern w:val="24"/>
          <w:sz w:val="32"/>
          <w:szCs w:val="32"/>
          <w:lang w:val="en-US" w:eastAsia="ja-JP"/>
          <w14:ligatures w14:val="none"/>
        </w:rPr>
      </w:pPr>
    </w:p>
    <w:p w14:paraId="40F68DA1" w14:textId="77777777" w:rsidR="00C533A8" w:rsidRPr="00947E2A" w:rsidRDefault="00C533A8" w:rsidP="00C533A8">
      <w:pPr>
        <w:spacing w:after="0" w:line="360" w:lineRule="auto"/>
        <w:jc w:val="center"/>
        <w:rPr>
          <w:rFonts w:ascii="Times New Roman" w:eastAsia="SimSun" w:hAnsi="Times New Roman" w:cs="Times New Roman"/>
          <w:b/>
          <w:bCs/>
          <w:kern w:val="24"/>
          <w:sz w:val="32"/>
          <w:szCs w:val="32"/>
          <w:lang w:val="en-US" w:eastAsia="ja-JP"/>
          <w14:ligatures w14:val="none"/>
        </w:rPr>
      </w:pPr>
    </w:p>
    <w:p w14:paraId="4DA42B89" w14:textId="77777777" w:rsidR="00C533A8" w:rsidRPr="009E1A59" w:rsidRDefault="00C533A8" w:rsidP="009E1A59">
      <w:pPr>
        <w:spacing w:after="0" w:line="360" w:lineRule="auto"/>
        <w:jc w:val="center"/>
        <w:rPr>
          <w:rFonts w:ascii="Times New Roman" w:eastAsia="SimSun" w:hAnsi="Times New Roman" w:cs="Times New Roman"/>
          <w:b/>
          <w:bCs/>
          <w:kern w:val="24"/>
          <w:sz w:val="32"/>
          <w:szCs w:val="32"/>
          <w:lang w:val="en-US" w:eastAsia="ja-JP"/>
          <w14:ligatures w14:val="none"/>
        </w:rPr>
      </w:pPr>
      <w:r w:rsidRPr="009E1A59">
        <w:rPr>
          <w:rFonts w:ascii="Times New Roman" w:eastAsia="SimSun" w:hAnsi="Times New Roman" w:cs="Times New Roman"/>
          <w:b/>
          <w:bCs/>
          <w:kern w:val="24"/>
          <w:sz w:val="32"/>
          <w:szCs w:val="32"/>
          <w:lang w:val="en-US" w:eastAsia="ja-JP"/>
          <w14:ligatures w14:val="none"/>
        </w:rPr>
        <w:t>Integrated Project – Tawe Construction</w:t>
      </w:r>
    </w:p>
    <w:p w14:paraId="4B1CAD97" w14:textId="780D8963" w:rsidR="000A569C" w:rsidRPr="009E1A59" w:rsidRDefault="000A569C" w:rsidP="009E1A59">
      <w:pPr>
        <w:spacing w:after="0" w:line="360" w:lineRule="auto"/>
        <w:jc w:val="center"/>
        <w:rPr>
          <w:rFonts w:ascii="Times New Roman" w:eastAsia="SimSun" w:hAnsi="Times New Roman" w:cs="Times New Roman"/>
          <w:b/>
          <w:bCs/>
          <w:kern w:val="24"/>
          <w:sz w:val="32"/>
          <w:szCs w:val="32"/>
          <w:lang w:val="en-US" w:eastAsia="ja-JP"/>
          <w14:ligatures w14:val="none"/>
        </w:rPr>
      </w:pPr>
      <w:r w:rsidRPr="009E1A59">
        <w:rPr>
          <w:rFonts w:ascii="Times New Roman" w:eastAsia="SimSun" w:hAnsi="Times New Roman" w:cs="Times New Roman"/>
          <w:b/>
          <w:bCs/>
          <w:kern w:val="24"/>
          <w:sz w:val="32"/>
          <w:szCs w:val="32"/>
          <w:lang w:val="en-US" w:eastAsia="ja-JP"/>
          <w14:ligatures w14:val="none"/>
        </w:rPr>
        <w:t>Main Document</w:t>
      </w:r>
    </w:p>
    <w:p w14:paraId="2E26FCA4" w14:textId="77777777" w:rsidR="00C533A8" w:rsidRPr="009E1A59" w:rsidRDefault="00C533A8"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28B6D933" w14:textId="77777777" w:rsidR="00C533A8" w:rsidRPr="009E1A59" w:rsidRDefault="00C533A8" w:rsidP="009E1A59">
      <w:pPr>
        <w:spacing w:after="0" w:line="360" w:lineRule="auto"/>
        <w:jc w:val="center"/>
        <w:rPr>
          <w:rFonts w:ascii="Times New Roman" w:eastAsia="SimSun" w:hAnsi="Times New Roman" w:cs="Times New Roman"/>
          <w:kern w:val="24"/>
          <w:sz w:val="32"/>
          <w:szCs w:val="32"/>
          <w:lang w:val="en-US" w:eastAsia="ja-JP"/>
          <w14:ligatures w14:val="none"/>
        </w:rPr>
      </w:pPr>
      <w:r w:rsidRPr="009E1A59">
        <w:rPr>
          <w:rFonts w:ascii="Times New Roman" w:eastAsia="SimSun" w:hAnsi="Times New Roman" w:cs="Times New Roman"/>
          <w:kern w:val="24"/>
          <w:sz w:val="32"/>
          <w:szCs w:val="32"/>
          <w:lang w:val="en-US" w:eastAsia="ja-JP"/>
          <w14:ligatures w14:val="none"/>
        </w:rPr>
        <w:t>Kieran John Bowen – 1801413</w:t>
      </w:r>
    </w:p>
    <w:p w14:paraId="09B74728" w14:textId="77777777" w:rsidR="00C533A8" w:rsidRPr="009E1A59" w:rsidRDefault="00C533A8" w:rsidP="009E1A59">
      <w:pPr>
        <w:spacing w:after="0" w:line="360" w:lineRule="auto"/>
        <w:jc w:val="center"/>
        <w:rPr>
          <w:rFonts w:ascii="Times New Roman" w:eastAsia="SimSun" w:hAnsi="Times New Roman" w:cs="Times New Roman"/>
          <w:kern w:val="24"/>
          <w:sz w:val="32"/>
          <w:szCs w:val="32"/>
          <w:lang w:val="en-US" w:eastAsia="ja-JP"/>
          <w14:ligatures w14:val="none"/>
        </w:rPr>
      </w:pPr>
      <w:r w:rsidRPr="009E1A59">
        <w:rPr>
          <w:rFonts w:ascii="Times New Roman" w:eastAsia="SimSun" w:hAnsi="Times New Roman" w:cs="Times New Roman"/>
          <w:kern w:val="24"/>
          <w:sz w:val="32"/>
          <w:szCs w:val="32"/>
          <w:lang w:val="en-US" w:eastAsia="ja-JP"/>
          <w14:ligatures w14:val="none"/>
        </w:rPr>
        <w:t>Quantity Surveyor</w:t>
      </w:r>
    </w:p>
    <w:p w14:paraId="0C832057" w14:textId="77777777" w:rsidR="000A569C" w:rsidRPr="009E1A59" w:rsidRDefault="000A569C" w:rsidP="009E1A59">
      <w:pPr>
        <w:spacing w:after="0" w:line="360" w:lineRule="auto"/>
        <w:jc w:val="center"/>
        <w:rPr>
          <w:rFonts w:ascii="Times New Roman" w:eastAsia="SimSun" w:hAnsi="Times New Roman" w:cs="Times New Roman"/>
          <w:kern w:val="24"/>
          <w:sz w:val="32"/>
          <w:szCs w:val="32"/>
          <w:lang w:val="en-US" w:eastAsia="ja-JP"/>
          <w14:ligatures w14:val="none"/>
        </w:rPr>
      </w:pPr>
    </w:p>
    <w:p w14:paraId="573183E6" w14:textId="77777777" w:rsidR="00C533A8" w:rsidRPr="009E1A59" w:rsidRDefault="00C533A8" w:rsidP="009E1A59">
      <w:pPr>
        <w:spacing w:after="0" w:line="360" w:lineRule="auto"/>
        <w:ind w:firstLine="720"/>
        <w:jc w:val="center"/>
        <w:rPr>
          <w:rFonts w:ascii="Times New Roman" w:eastAsia="SimSun" w:hAnsi="Times New Roman" w:cs="Times New Roman"/>
          <w:kern w:val="24"/>
          <w:sz w:val="28"/>
          <w:szCs w:val="28"/>
          <w:lang w:val="en-US" w:eastAsia="ja-JP"/>
          <w14:ligatures w14:val="none"/>
        </w:rPr>
      </w:pPr>
      <w:r w:rsidRPr="009E1A59">
        <w:rPr>
          <w:rFonts w:ascii="Times New Roman" w:eastAsia="SimSun" w:hAnsi="Times New Roman" w:cs="Times New Roman"/>
          <w:noProof/>
          <w:kern w:val="24"/>
          <w:sz w:val="28"/>
          <w:szCs w:val="28"/>
          <w:lang w:val="en-US" w:eastAsia="ja-JP"/>
          <w14:ligatures w14:val="none"/>
        </w:rPr>
        <w:drawing>
          <wp:inline distT="0" distB="0" distL="0" distR="0" wp14:anchorId="671A151E" wp14:editId="6EA9195B">
            <wp:extent cx="4980940" cy="1706880"/>
            <wp:effectExtent l="0" t="0" r="0" b="7620"/>
            <wp:docPr id="428005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0940" cy="1706880"/>
                    </a:xfrm>
                    <a:prstGeom prst="rect">
                      <a:avLst/>
                    </a:prstGeom>
                    <a:noFill/>
                  </pic:spPr>
                </pic:pic>
              </a:graphicData>
            </a:graphic>
          </wp:inline>
        </w:drawing>
      </w:r>
    </w:p>
    <w:p w14:paraId="219DFB81" w14:textId="1132FF31" w:rsidR="00C533A8" w:rsidRPr="009E1A59" w:rsidRDefault="00C533A8" w:rsidP="009E1A59">
      <w:pPr>
        <w:spacing w:after="0" w:line="360" w:lineRule="auto"/>
        <w:rPr>
          <w:rFonts w:ascii="Times New Roman" w:eastAsia="SimSun" w:hAnsi="Times New Roman" w:cs="Times New Roman"/>
          <w:kern w:val="24"/>
          <w:sz w:val="28"/>
          <w:szCs w:val="28"/>
          <w:lang w:val="en-US" w:eastAsia="ja-JP"/>
          <w14:ligatures w14:val="none"/>
        </w:rPr>
      </w:pPr>
      <w:bookmarkStart w:id="0" w:name="_Hlk218601075"/>
      <w:bookmarkStart w:id="1" w:name="_Hlk218601093"/>
    </w:p>
    <w:p w14:paraId="3C79AC84"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6F5BFE57"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2BEB730E"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4218443F"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4D5C6449"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0CDCA148"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0D8EC548"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770FEB28"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54E13A1C"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2D24AE71" w14:textId="77777777" w:rsidR="00947E2A" w:rsidRPr="009E1A59" w:rsidRDefault="00947E2A" w:rsidP="009E1A59">
      <w:pPr>
        <w:spacing w:after="0" w:line="360" w:lineRule="auto"/>
        <w:rPr>
          <w:rFonts w:ascii="Times New Roman" w:eastAsia="SimSun" w:hAnsi="Times New Roman" w:cs="Times New Roman"/>
          <w:kern w:val="24"/>
          <w:sz w:val="28"/>
          <w:szCs w:val="28"/>
          <w:lang w:val="en-US" w:eastAsia="ja-JP"/>
          <w14:ligatures w14:val="none"/>
        </w:rPr>
      </w:pPr>
    </w:p>
    <w:p w14:paraId="44C63B63" w14:textId="77777777" w:rsidR="00C533A8" w:rsidRPr="009E1A59" w:rsidRDefault="00C533A8" w:rsidP="009E1A59">
      <w:pPr>
        <w:spacing w:after="0" w:line="360" w:lineRule="auto"/>
        <w:rPr>
          <w:rFonts w:ascii="Times New Roman" w:eastAsia="SimSun" w:hAnsi="Times New Roman" w:cs="Times New Roman"/>
          <w:b/>
          <w:bCs/>
          <w:kern w:val="24"/>
          <w:sz w:val="28"/>
          <w:szCs w:val="28"/>
          <w:u w:val="single"/>
          <w:lang w:val="en-US" w:eastAsia="ja-JP"/>
          <w14:ligatures w14:val="none"/>
        </w:rPr>
      </w:pPr>
      <w:r w:rsidRPr="009E1A59">
        <w:rPr>
          <w:rFonts w:ascii="Times New Roman" w:eastAsia="SimSun" w:hAnsi="Times New Roman" w:cs="Times New Roman"/>
          <w:b/>
          <w:bCs/>
          <w:kern w:val="24"/>
          <w:sz w:val="32"/>
          <w:szCs w:val="32"/>
          <w:u w:val="single"/>
          <w:lang w:val="en-US" w:eastAsia="ja-JP"/>
          <w14:ligatures w14:val="none"/>
        </w:rPr>
        <w:lastRenderedPageBreak/>
        <w:t>Table of Contents</w:t>
      </w:r>
      <w:bookmarkEnd w:id="0"/>
    </w:p>
    <w:bookmarkEnd w:id="1"/>
    <w:p w14:paraId="03E10F4C" w14:textId="77777777" w:rsidR="00C533A8" w:rsidRPr="009E1A59" w:rsidRDefault="00C533A8" w:rsidP="009E1A59">
      <w:pPr>
        <w:spacing w:after="0" w:line="360" w:lineRule="auto"/>
        <w:jc w:val="both"/>
        <w:rPr>
          <w:rFonts w:ascii="Times New Roman" w:eastAsia="SimSun" w:hAnsi="Times New Roman" w:cs="Times New Roman"/>
          <w:kern w:val="24"/>
          <w:lang w:val="en-US" w:eastAsia="ja-JP"/>
          <w14:ligatures w14:val="none"/>
        </w:rPr>
      </w:pPr>
    </w:p>
    <w:p w14:paraId="441F7F5E" w14:textId="29D43C7C" w:rsidR="004645EA" w:rsidRDefault="00C533A8">
      <w:pPr>
        <w:pStyle w:val="TOC2"/>
        <w:tabs>
          <w:tab w:val="left" w:pos="960"/>
          <w:tab w:val="right" w:leader="underscore" w:pos="9016"/>
        </w:tabs>
        <w:rPr>
          <w:rFonts w:eastAsiaTheme="minorEastAsia"/>
          <w:noProof/>
          <w:lang w:eastAsia="en-GB"/>
        </w:rPr>
      </w:pPr>
      <w:r w:rsidRPr="009E1A59">
        <w:rPr>
          <w:rFonts w:ascii="Times New Roman" w:eastAsia="SimSun" w:hAnsi="Times New Roman" w:cs="Times New Roman"/>
          <w:kern w:val="24"/>
          <w:lang w:val="en-US" w:eastAsia="ja-JP"/>
          <w14:ligatures w14:val="none"/>
        </w:rPr>
        <w:fldChar w:fldCharType="begin"/>
      </w:r>
      <w:r w:rsidRPr="009E1A59">
        <w:rPr>
          <w:rFonts w:ascii="Times New Roman" w:eastAsia="SimSun" w:hAnsi="Times New Roman" w:cs="Times New Roman"/>
          <w:kern w:val="24"/>
          <w:lang w:val="en-US" w:eastAsia="ja-JP"/>
          <w14:ligatures w14:val="none"/>
        </w:rPr>
        <w:instrText xml:space="preserve"> TOC \o "1-3" \h \z \u </w:instrText>
      </w:r>
      <w:r w:rsidRPr="009E1A59">
        <w:rPr>
          <w:rFonts w:ascii="Times New Roman" w:eastAsia="SimSun" w:hAnsi="Times New Roman" w:cs="Times New Roman"/>
          <w:kern w:val="24"/>
          <w:lang w:val="en-US" w:eastAsia="ja-JP"/>
          <w14:ligatures w14:val="none"/>
        </w:rPr>
        <w:fldChar w:fldCharType="separate"/>
      </w:r>
      <w:hyperlink w:anchor="_Toc229591928" w:history="1">
        <w:r w:rsidR="004645EA" w:rsidRPr="00E64577">
          <w:rPr>
            <w:rStyle w:val="Hyperlink"/>
            <w:rFonts w:ascii="Times New Roman" w:hAnsi="Times New Roman" w:cs="Times New Roman"/>
            <w:noProof/>
          </w:rPr>
          <w:t>1.0</w:t>
        </w:r>
        <w:r w:rsidR="004645EA">
          <w:rPr>
            <w:rFonts w:eastAsiaTheme="minorEastAsia"/>
            <w:noProof/>
            <w:lang w:eastAsia="en-GB"/>
          </w:rPr>
          <w:tab/>
        </w:r>
        <w:r w:rsidR="004645EA" w:rsidRPr="00E64577">
          <w:rPr>
            <w:rStyle w:val="Hyperlink"/>
            <w:rFonts w:ascii="Times New Roman" w:hAnsi="Times New Roman" w:cs="Times New Roman"/>
            <w:noProof/>
          </w:rPr>
          <w:t>Social Aspects</w:t>
        </w:r>
        <w:r w:rsidR="004645EA">
          <w:rPr>
            <w:noProof/>
            <w:webHidden/>
          </w:rPr>
          <w:tab/>
        </w:r>
        <w:r w:rsidR="004645EA">
          <w:rPr>
            <w:noProof/>
            <w:webHidden/>
          </w:rPr>
          <w:fldChar w:fldCharType="begin"/>
        </w:r>
        <w:r w:rsidR="004645EA">
          <w:rPr>
            <w:noProof/>
            <w:webHidden/>
          </w:rPr>
          <w:instrText xml:space="preserve"> PAGEREF _Toc229591928 \h </w:instrText>
        </w:r>
        <w:r w:rsidR="004645EA">
          <w:rPr>
            <w:noProof/>
            <w:webHidden/>
          </w:rPr>
        </w:r>
        <w:r w:rsidR="004645EA">
          <w:rPr>
            <w:noProof/>
            <w:webHidden/>
          </w:rPr>
          <w:fldChar w:fldCharType="separate"/>
        </w:r>
        <w:r w:rsidR="004645EA">
          <w:rPr>
            <w:noProof/>
            <w:webHidden/>
          </w:rPr>
          <w:t>2</w:t>
        </w:r>
        <w:r w:rsidR="004645EA">
          <w:rPr>
            <w:noProof/>
            <w:webHidden/>
          </w:rPr>
          <w:fldChar w:fldCharType="end"/>
        </w:r>
      </w:hyperlink>
    </w:p>
    <w:p w14:paraId="076605BB" w14:textId="6B728CEB" w:rsidR="004645EA" w:rsidRDefault="004645EA">
      <w:pPr>
        <w:pStyle w:val="TOC2"/>
        <w:tabs>
          <w:tab w:val="left" w:pos="960"/>
          <w:tab w:val="right" w:leader="underscore" w:pos="9016"/>
        </w:tabs>
        <w:rPr>
          <w:rFonts w:eastAsiaTheme="minorEastAsia"/>
          <w:noProof/>
          <w:lang w:eastAsia="en-GB"/>
        </w:rPr>
      </w:pPr>
      <w:hyperlink w:anchor="_Toc229591929" w:history="1">
        <w:r w:rsidRPr="00E64577">
          <w:rPr>
            <w:rStyle w:val="Hyperlink"/>
            <w:rFonts w:ascii="Times New Roman" w:hAnsi="Times New Roman" w:cs="Times New Roman"/>
            <w:noProof/>
          </w:rPr>
          <w:t>1.1</w:t>
        </w:r>
        <w:r>
          <w:rPr>
            <w:rFonts w:eastAsiaTheme="minorEastAsia"/>
            <w:noProof/>
            <w:lang w:eastAsia="en-GB"/>
          </w:rPr>
          <w:tab/>
        </w:r>
        <w:r w:rsidRPr="00E64577">
          <w:rPr>
            <w:rStyle w:val="Hyperlink"/>
            <w:rFonts w:ascii="Times New Roman" w:hAnsi="Times New Roman" w:cs="Times New Roman"/>
            <w:noProof/>
          </w:rPr>
          <w:t>Introduction: Social Sustainability and Community Value</w:t>
        </w:r>
        <w:r>
          <w:rPr>
            <w:noProof/>
            <w:webHidden/>
          </w:rPr>
          <w:tab/>
        </w:r>
        <w:r>
          <w:rPr>
            <w:noProof/>
            <w:webHidden/>
          </w:rPr>
          <w:fldChar w:fldCharType="begin"/>
        </w:r>
        <w:r>
          <w:rPr>
            <w:noProof/>
            <w:webHidden/>
          </w:rPr>
          <w:instrText xml:space="preserve"> PAGEREF _Toc229591929 \h </w:instrText>
        </w:r>
        <w:r>
          <w:rPr>
            <w:noProof/>
            <w:webHidden/>
          </w:rPr>
        </w:r>
        <w:r>
          <w:rPr>
            <w:noProof/>
            <w:webHidden/>
          </w:rPr>
          <w:fldChar w:fldCharType="separate"/>
        </w:r>
        <w:r>
          <w:rPr>
            <w:noProof/>
            <w:webHidden/>
          </w:rPr>
          <w:t>2</w:t>
        </w:r>
        <w:r>
          <w:rPr>
            <w:noProof/>
            <w:webHidden/>
          </w:rPr>
          <w:fldChar w:fldCharType="end"/>
        </w:r>
      </w:hyperlink>
    </w:p>
    <w:p w14:paraId="6FF67C78" w14:textId="05E62289" w:rsidR="004645EA" w:rsidRDefault="004645EA">
      <w:pPr>
        <w:pStyle w:val="TOC2"/>
        <w:tabs>
          <w:tab w:val="left" w:pos="960"/>
          <w:tab w:val="right" w:leader="underscore" w:pos="9016"/>
        </w:tabs>
        <w:rPr>
          <w:rFonts w:eastAsiaTheme="minorEastAsia"/>
          <w:noProof/>
          <w:lang w:eastAsia="en-GB"/>
        </w:rPr>
      </w:pPr>
      <w:hyperlink w:anchor="_Toc229591930" w:history="1">
        <w:r w:rsidRPr="00E64577">
          <w:rPr>
            <w:rStyle w:val="Hyperlink"/>
            <w:rFonts w:ascii="Times New Roman" w:hAnsi="Times New Roman" w:cs="Times New Roman"/>
            <w:noProof/>
          </w:rPr>
          <w:t>1.2</w:t>
        </w:r>
        <w:r>
          <w:rPr>
            <w:rFonts w:eastAsiaTheme="minorEastAsia"/>
            <w:noProof/>
            <w:lang w:eastAsia="en-GB"/>
          </w:rPr>
          <w:tab/>
        </w:r>
        <w:r w:rsidRPr="00E64577">
          <w:rPr>
            <w:rStyle w:val="Hyperlink"/>
            <w:rFonts w:ascii="Times New Roman" w:hAnsi="Times New Roman" w:cs="Times New Roman"/>
            <w:noProof/>
          </w:rPr>
          <w:t>Inclusive Design, Wellbeing and User Experience</w:t>
        </w:r>
        <w:r>
          <w:rPr>
            <w:noProof/>
            <w:webHidden/>
          </w:rPr>
          <w:tab/>
        </w:r>
        <w:r>
          <w:rPr>
            <w:noProof/>
            <w:webHidden/>
          </w:rPr>
          <w:fldChar w:fldCharType="begin"/>
        </w:r>
        <w:r>
          <w:rPr>
            <w:noProof/>
            <w:webHidden/>
          </w:rPr>
          <w:instrText xml:space="preserve"> PAGEREF _Toc229591930 \h </w:instrText>
        </w:r>
        <w:r>
          <w:rPr>
            <w:noProof/>
            <w:webHidden/>
          </w:rPr>
        </w:r>
        <w:r>
          <w:rPr>
            <w:noProof/>
            <w:webHidden/>
          </w:rPr>
          <w:fldChar w:fldCharType="separate"/>
        </w:r>
        <w:r>
          <w:rPr>
            <w:noProof/>
            <w:webHidden/>
          </w:rPr>
          <w:t>4</w:t>
        </w:r>
        <w:r>
          <w:rPr>
            <w:noProof/>
            <w:webHidden/>
          </w:rPr>
          <w:fldChar w:fldCharType="end"/>
        </w:r>
      </w:hyperlink>
    </w:p>
    <w:p w14:paraId="5E1207DF" w14:textId="4BE0819E" w:rsidR="004645EA" w:rsidRDefault="004645EA">
      <w:pPr>
        <w:pStyle w:val="TOC2"/>
        <w:tabs>
          <w:tab w:val="left" w:pos="960"/>
          <w:tab w:val="right" w:leader="underscore" w:pos="9016"/>
        </w:tabs>
        <w:rPr>
          <w:rFonts w:eastAsiaTheme="minorEastAsia"/>
          <w:noProof/>
          <w:lang w:eastAsia="en-GB"/>
        </w:rPr>
      </w:pPr>
      <w:hyperlink w:anchor="_Toc229591931" w:history="1">
        <w:r w:rsidRPr="00E64577">
          <w:rPr>
            <w:rStyle w:val="Hyperlink"/>
            <w:rFonts w:ascii="Times New Roman" w:hAnsi="Times New Roman" w:cs="Times New Roman"/>
            <w:noProof/>
          </w:rPr>
          <w:t>1.3</w:t>
        </w:r>
        <w:r>
          <w:rPr>
            <w:rFonts w:eastAsiaTheme="minorEastAsia"/>
            <w:noProof/>
            <w:lang w:eastAsia="en-GB"/>
          </w:rPr>
          <w:tab/>
        </w:r>
        <w:r w:rsidRPr="00E64577">
          <w:rPr>
            <w:rStyle w:val="Hyperlink"/>
            <w:rFonts w:ascii="Times New Roman" w:hAnsi="Times New Roman" w:cs="Times New Roman"/>
            <w:noProof/>
          </w:rPr>
          <w:t>Social Value in Construction and Long-Term Impact</w:t>
        </w:r>
        <w:r>
          <w:rPr>
            <w:noProof/>
            <w:webHidden/>
          </w:rPr>
          <w:tab/>
        </w:r>
        <w:r>
          <w:rPr>
            <w:noProof/>
            <w:webHidden/>
          </w:rPr>
          <w:fldChar w:fldCharType="begin"/>
        </w:r>
        <w:r>
          <w:rPr>
            <w:noProof/>
            <w:webHidden/>
          </w:rPr>
          <w:instrText xml:space="preserve"> PAGEREF _Toc229591931 \h </w:instrText>
        </w:r>
        <w:r>
          <w:rPr>
            <w:noProof/>
            <w:webHidden/>
          </w:rPr>
        </w:r>
        <w:r>
          <w:rPr>
            <w:noProof/>
            <w:webHidden/>
          </w:rPr>
          <w:fldChar w:fldCharType="separate"/>
        </w:r>
        <w:r>
          <w:rPr>
            <w:noProof/>
            <w:webHidden/>
          </w:rPr>
          <w:t>5</w:t>
        </w:r>
        <w:r>
          <w:rPr>
            <w:noProof/>
            <w:webHidden/>
          </w:rPr>
          <w:fldChar w:fldCharType="end"/>
        </w:r>
      </w:hyperlink>
    </w:p>
    <w:p w14:paraId="74C4CEA6" w14:textId="771210DE" w:rsidR="004645EA" w:rsidRDefault="004645EA">
      <w:pPr>
        <w:pStyle w:val="TOC2"/>
        <w:tabs>
          <w:tab w:val="left" w:pos="960"/>
          <w:tab w:val="right" w:leader="underscore" w:pos="9016"/>
        </w:tabs>
        <w:rPr>
          <w:rFonts w:eastAsiaTheme="minorEastAsia"/>
          <w:noProof/>
          <w:lang w:eastAsia="en-GB"/>
        </w:rPr>
      </w:pPr>
      <w:hyperlink w:anchor="_Toc229591932" w:history="1">
        <w:r w:rsidRPr="00E64577">
          <w:rPr>
            <w:rStyle w:val="Hyperlink"/>
            <w:rFonts w:ascii="Times New Roman" w:hAnsi="Times New Roman" w:cs="Times New Roman"/>
            <w:noProof/>
          </w:rPr>
          <w:t>1.4</w:t>
        </w:r>
        <w:r>
          <w:rPr>
            <w:rFonts w:eastAsiaTheme="minorEastAsia"/>
            <w:noProof/>
            <w:lang w:eastAsia="en-GB"/>
          </w:rPr>
          <w:tab/>
        </w:r>
        <w:r w:rsidRPr="00E64577">
          <w:rPr>
            <w:rStyle w:val="Hyperlink"/>
            <w:rFonts w:ascii="Times New Roman" w:hAnsi="Times New Roman" w:cs="Times New Roman"/>
            <w:noProof/>
          </w:rPr>
          <w:t>Quantifying Social Value and Alignment with Cost Plan</w:t>
        </w:r>
        <w:r>
          <w:rPr>
            <w:noProof/>
            <w:webHidden/>
          </w:rPr>
          <w:tab/>
        </w:r>
        <w:r>
          <w:rPr>
            <w:noProof/>
            <w:webHidden/>
          </w:rPr>
          <w:fldChar w:fldCharType="begin"/>
        </w:r>
        <w:r>
          <w:rPr>
            <w:noProof/>
            <w:webHidden/>
          </w:rPr>
          <w:instrText xml:space="preserve"> PAGEREF _Toc229591932 \h </w:instrText>
        </w:r>
        <w:r>
          <w:rPr>
            <w:noProof/>
            <w:webHidden/>
          </w:rPr>
        </w:r>
        <w:r>
          <w:rPr>
            <w:noProof/>
            <w:webHidden/>
          </w:rPr>
          <w:fldChar w:fldCharType="separate"/>
        </w:r>
        <w:r>
          <w:rPr>
            <w:noProof/>
            <w:webHidden/>
          </w:rPr>
          <w:t>6</w:t>
        </w:r>
        <w:r>
          <w:rPr>
            <w:noProof/>
            <w:webHidden/>
          </w:rPr>
          <w:fldChar w:fldCharType="end"/>
        </w:r>
      </w:hyperlink>
    </w:p>
    <w:p w14:paraId="3D38B1F0" w14:textId="1D8E2FE0" w:rsidR="004645EA" w:rsidRDefault="004645EA">
      <w:pPr>
        <w:pStyle w:val="TOC2"/>
        <w:tabs>
          <w:tab w:val="left" w:pos="960"/>
          <w:tab w:val="right" w:leader="underscore" w:pos="9016"/>
        </w:tabs>
        <w:rPr>
          <w:rFonts w:eastAsiaTheme="minorEastAsia"/>
          <w:noProof/>
          <w:lang w:eastAsia="en-GB"/>
        </w:rPr>
      </w:pPr>
      <w:hyperlink w:anchor="_Toc229591933" w:history="1">
        <w:r w:rsidRPr="00E64577">
          <w:rPr>
            <w:rStyle w:val="Hyperlink"/>
            <w:rFonts w:ascii="Times New Roman" w:hAnsi="Times New Roman" w:cs="Times New Roman"/>
            <w:noProof/>
          </w:rPr>
          <w:t>1.5</w:t>
        </w:r>
        <w:r>
          <w:rPr>
            <w:rFonts w:eastAsiaTheme="minorEastAsia"/>
            <w:noProof/>
            <w:lang w:eastAsia="en-GB"/>
          </w:rPr>
          <w:tab/>
        </w:r>
        <w:r w:rsidRPr="00E6457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_Toc229591933 \h </w:instrText>
        </w:r>
        <w:r>
          <w:rPr>
            <w:noProof/>
            <w:webHidden/>
          </w:rPr>
        </w:r>
        <w:r>
          <w:rPr>
            <w:noProof/>
            <w:webHidden/>
          </w:rPr>
          <w:fldChar w:fldCharType="separate"/>
        </w:r>
        <w:r>
          <w:rPr>
            <w:noProof/>
            <w:webHidden/>
          </w:rPr>
          <w:t>7</w:t>
        </w:r>
        <w:r>
          <w:rPr>
            <w:noProof/>
            <w:webHidden/>
          </w:rPr>
          <w:fldChar w:fldCharType="end"/>
        </w:r>
      </w:hyperlink>
    </w:p>
    <w:p w14:paraId="430F12F0" w14:textId="175BB884" w:rsidR="004645EA" w:rsidRDefault="004645EA">
      <w:pPr>
        <w:pStyle w:val="TOC2"/>
        <w:tabs>
          <w:tab w:val="left" w:pos="960"/>
          <w:tab w:val="right" w:leader="underscore" w:pos="9016"/>
        </w:tabs>
        <w:rPr>
          <w:rFonts w:eastAsiaTheme="minorEastAsia"/>
          <w:noProof/>
          <w:lang w:eastAsia="en-GB"/>
        </w:rPr>
      </w:pPr>
      <w:hyperlink w:anchor="_Toc229591934" w:history="1">
        <w:r w:rsidRPr="00E64577">
          <w:rPr>
            <w:rStyle w:val="Hyperlink"/>
            <w:rFonts w:ascii="Times New Roman" w:hAnsi="Times New Roman" w:cs="Times New Roman"/>
            <w:noProof/>
          </w:rPr>
          <w:t>2.0</w:t>
        </w:r>
        <w:r>
          <w:rPr>
            <w:rFonts w:eastAsiaTheme="minorEastAsia"/>
            <w:noProof/>
            <w:lang w:eastAsia="en-GB"/>
          </w:rPr>
          <w:tab/>
        </w:r>
        <w:r w:rsidRPr="00E64577">
          <w:rPr>
            <w:rStyle w:val="Hyperlink"/>
            <w:rFonts w:ascii="Times New Roman" w:hAnsi="Times New Roman" w:cs="Times New Roman"/>
            <w:noProof/>
          </w:rPr>
          <w:t>Economic comparisons for the Client</w:t>
        </w:r>
        <w:r>
          <w:rPr>
            <w:noProof/>
            <w:webHidden/>
          </w:rPr>
          <w:tab/>
        </w:r>
        <w:r>
          <w:rPr>
            <w:noProof/>
            <w:webHidden/>
          </w:rPr>
          <w:fldChar w:fldCharType="begin"/>
        </w:r>
        <w:r>
          <w:rPr>
            <w:noProof/>
            <w:webHidden/>
          </w:rPr>
          <w:instrText xml:space="preserve"> PAGEREF _Toc229591934 \h </w:instrText>
        </w:r>
        <w:r>
          <w:rPr>
            <w:noProof/>
            <w:webHidden/>
          </w:rPr>
        </w:r>
        <w:r>
          <w:rPr>
            <w:noProof/>
            <w:webHidden/>
          </w:rPr>
          <w:fldChar w:fldCharType="separate"/>
        </w:r>
        <w:r>
          <w:rPr>
            <w:noProof/>
            <w:webHidden/>
          </w:rPr>
          <w:t>0</w:t>
        </w:r>
        <w:r>
          <w:rPr>
            <w:noProof/>
            <w:webHidden/>
          </w:rPr>
          <w:fldChar w:fldCharType="end"/>
        </w:r>
      </w:hyperlink>
    </w:p>
    <w:p w14:paraId="3456575B" w14:textId="210F91B8" w:rsidR="004645EA" w:rsidRDefault="004645EA">
      <w:pPr>
        <w:pStyle w:val="TOC2"/>
        <w:tabs>
          <w:tab w:val="left" w:pos="960"/>
          <w:tab w:val="right" w:leader="underscore" w:pos="9016"/>
        </w:tabs>
        <w:rPr>
          <w:rFonts w:eastAsiaTheme="minorEastAsia"/>
          <w:noProof/>
          <w:lang w:eastAsia="en-GB"/>
        </w:rPr>
      </w:pPr>
      <w:hyperlink w:anchor="_Toc229591935" w:history="1">
        <w:r w:rsidRPr="00E64577">
          <w:rPr>
            <w:rStyle w:val="Hyperlink"/>
            <w:rFonts w:ascii="Times New Roman" w:hAnsi="Times New Roman" w:cs="Times New Roman"/>
            <w:noProof/>
          </w:rPr>
          <w:t>2.1</w:t>
        </w:r>
        <w:r>
          <w:rPr>
            <w:rFonts w:eastAsiaTheme="minorEastAsia"/>
            <w:noProof/>
            <w:lang w:eastAsia="en-GB"/>
          </w:rPr>
          <w:tab/>
        </w:r>
        <w:r w:rsidRPr="00E6457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_Toc229591935 \h </w:instrText>
        </w:r>
        <w:r>
          <w:rPr>
            <w:noProof/>
            <w:webHidden/>
          </w:rPr>
        </w:r>
        <w:r>
          <w:rPr>
            <w:noProof/>
            <w:webHidden/>
          </w:rPr>
          <w:fldChar w:fldCharType="separate"/>
        </w:r>
        <w:r>
          <w:rPr>
            <w:noProof/>
            <w:webHidden/>
          </w:rPr>
          <w:t>0</w:t>
        </w:r>
        <w:r>
          <w:rPr>
            <w:noProof/>
            <w:webHidden/>
          </w:rPr>
          <w:fldChar w:fldCharType="end"/>
        </w:r>
      </w:hyperlink>
    </w:p>
    <w:p w14:paraId="6F62138D" w14:textId="154D6380" w:rsidR="004645EA" w:rsidRDefault="004645EA">
      <w:pPr>
        <w:pStyle w:val="TOC2"/>
        <w:tabs>
          <w:tab w:val="left" w:pos="960"/>
          <w:tab w:val="right" w:leader="underscore" w:pos="9016"/>
        </w:tabs>
        <w:rPr>
          <w:rFonts w:eastAsiaTheme="minorEastAsia"/>
          <w:noProof/>
          <w:lang w:eastAsia="en-GB"/>
        </w:rPr>
      </w:pPr>
      <w:hyperlink w:anchor="_Toc229591936" w:history="1">
        <w:r w:rsidRPr="00E64577">
          <w:rPr>
            <w:rStyle w:val="Hyperlink"/>
            <w:rFonts w:ascii="Times New Roman" w:hAnsi="Times New Roman" w:cs="Times New Roman"/>
            <w:noProof/>
          </w:rPr>
          <w:t>2.2</w:t>
        </w:r>
        <w:r>
          <w:rPr>
            <w:rFonts w:eastAsiaTheme="minorEastAsia"/>
            <w:noProof/>
            <w:lang w:eastAsia="en-GB"/>
          </w:rPr>
          <w:tab/>
        </w:r>
        <w:r w:rsidRPr="00E64577">
          <w:rPr>
            <w:rStyle w:val="Hyperlink"/>
            <w:rFonts w:ascii="Times New Roman" w:hAnsi="Times New Roman" w:cs="Times New Roman"/>
            <w:noProof/>
          </w:rPr>
          <w:t>Construction Methods and Programme Efficiency</w:t>
        </w:r>
        <w:r>
          <w:rPr>
            <w:noProof/>
            <w:webHidden/>
          </w:rPr>
          <w:tab/>
        </w:r>
        <w:r>
          <w:rPr>
            <w:noProof/>
            <w:webHidden/>
          </w:rPr>
          <w:fldChar w:fldCharType="begin"/>
        </w:r>
        <w:r>
          <w:rPr>
            <w:noProof/>
            <w:webHidden/>
          </w:rPr>
          <w:instrText xml:space="preserve"> PAGEREF _Toc229591936 \h </w:instrText>
        </w:r>
        <w:r>
          <w:rPr>
            <w:noProof/>
            <w:webHidden/>
          </w:rPr>
        </w:r>
        <w:r>
          <w:rPr>
            <w:noProof/>
            <w:webHidden/>
          </w:rPr>
          <w:fldChar w:fldCharType="separate"/>
        </w:r>
        <w:r>
          <w:rPr>
            <w:noProof/>
            <w:webHidden/>
          </w:rPr>
          <w:t>1</w:t>
        </w:r>
        <w:r>
          <w:rPr>
            <w:noProof/>
            <w:webHidden/>
          </w:rPr>
          <w:fldChar w:fldCharType="end"/>
        </w:r>
      </w:hyperlink>
    </w:p>
    <w:p w14:paraId="2094EBBB" w14:textId="692C4A52" w:rsidR="004645EA" w:rsidRDefault="004645EA">
      <w:pPr>
        <w:pStyle w:val="TOC2"/>
        <w:tabs>
          <w:tab w:val="left" w:pos="960"/>
          <w:tab w:val="right" w:leader="underscore" w:pos="9016"/>
        </w:tabs>
        <w:rPr>
          <w:rFonts w:eastAsiaTheme="minorEastAsia"/>
          <w:noProof/>
          <w:lang w:eastAsia="en-GB"/>
        </w:rPr>
      </w:pPr>
      <w:hyperlink w:anchor="_Toc229591937" w:history="1">
        <w:r w:rsidRPr="00E64577">
          <w:rPr>
            <w:rStyle w:val="Hyperlink"/>
            <w:rFonts w:ascii="Times New Roman" w:hAnsi="Times New Roman" w:cs="Times New Roman"/>
            <w:noProof/>
          </w:rPr>
          <w:t>2.3</w:t>
        </w:r>
        <w:r>
          <w:rPr>
            <w:rFonts w:eastAsiaTheme="minorEastAsia"/>
            <w:noProof/>
            <w:lang w:eastAsia="en-GB"/>
          </w:rPr>
          <w:tab/>
        </w:r>
        <w:r w:rsidRPr="00E64577">
          <w:rPr>
            <w:rStyle w:val="Hyperlink"/>
            <w:rFonts w:ascii="Times New Roman" w:hAnsi="Times New Roman" w:cs="Times New Roman"/>
            <w:noProof/>
          </w:rPr>
          <w:t>Social Value as an Economic Justification</w:t>
        </w:r>
        <w:r>
          <w:rPr>
            <w:noProof/>
            <w:webHidden/>
          </w:rPr>
          <w:tab/>
        </w:r>
        <w:r>
          <w:rPr>
            <w:noProof/>
            <w:webHidden/>
          </w:rPr>
          <w:fldChar w:fldCharType="begin"/>
        </w:r>
        <w:r>
          <w:rPr>
            <w:noProof/>
            <w:webHidden/>
          </w:rPr>
          <w:instrText xml:space="preserve"> PAGEREF _Toc229591937 \h </w:instrText>
        </w:r>
        <w:r>
          <w:rPr>
            <w:noProof/>
            <w:webHidden/>
          </w:rPr>
        </w:r>
        <w:r>
          <w:rPr>
            <w:noProof/>
            <w:webHidden/>
          </w:rPr>
          <w:fldChar w:fldCharType="separate"/>
        </w:r>
        <w:r>
          <w:rPr>
            <w:noProof/>
            <w:webHidden/>
          </w:rPr>
          <w:t>2</w:t>
        </w:r>
        <w:r>
          <w:rPr>
            <w:noProof/>
            <w:webHidden/>
          </w:rPr>
          <w:fldChar w:fldCharType="end"/>
        </w:r>
      </w:hyperlink>
    </w:p>
    <w:p w14:paraId="0C2420CE" w14:textId="2BC0F913" w:rsidR="004645EA" w:rsidRDefault="004645EA">
      <w:pPr>
        <w:pStyle w:val="TOC2"/>
        <w:tabs>
          <w:tab w:val="left" w:pos="960"/>
          <w:tab w:val="right" w:leader="underscore" w:pos="9016"/>
        </w:tabs>
        <w:rPr>
          <w:rFonts w:eastAsiaTheme="minorEastAsia"/>
          <w:noProof/>
          <w:lang w:eastAsia="en-GB"/>
        </w:rPr>
      </w:pPr>
      <w:hyperlink w:anchor="_Toc229591938" w:history="1">
        <w:r w:rsidRPr="00E64577">
          <w:rPr>
            <w:rStyle w:val="Hyperlink"/>
            <w:rFonts w:ascii="Times New Roman" w:hAnsi="Times New Roman" w:cs="Times New Roman"/>
            <w:noProof/>
          </w:rPr>
          <w:t>2.4</w:t>
        </w:r>
        <w:r>
          <w:rPr>
            <w:rFonts w:eastAsiaTheme="minorEastAsia"/>
            <w:noProof/>
            <w:lang w:eastAsia="en-GB"/>
          </w:rPr>
          <w:tab/>
        </w:r>
        <w:r w:rsidRPr="00E64577">
          <w:rPr>
            <w:rStyle w:val="Hyperlink"/>
            <w:rFonts w:ascii="Times New Roman" w:hAnsi="Times New Roman" w:cs="Times New Roman"/>
            <w:noProof/>
          </w:rPr>
          <w:t>Funding Strategy and Financial Viability</w:t>
        </w:r>
        <w:r>
          <w:rPr>
            <w:noProof/>
            <w:webHidden/>
          </w:rPr>
          <w:tab/>
        </w:r>
        <w:r>
          <w:rPr>
            <w:noProof/>
            <w:webHidden/>
          </w:rPr>
          <w:fldChar w:fldCharType="begin"/>
        </w:r>
        <w:r>
          <w:rPr>
            <w:noProof/>
            <w:webHidden/>
          </w:rPr>
          <w:instrText xml:space="preserve"> PAGEREF _Toc229591938 \h </w:instrText>
        </w:r>
        <w:r>
          <w:rPr>
            <w:noProof/>
            <w:webHidden/>
          </w:rPr>
        </w:r>
        <w:r>
          <w:rPr>
            <w:noProof/>
            <w:webHidden/>
          </w:rPr>
          <w:fldChar w:fldCharType="separate"/>
        </w:r>
        <w:r>
          <w:rPr>
            <w:noProof/>
            <w:webHidden/>
          </w:rPr>
          <w:t>3</w:t>
        </w:r>
        <w:r>
          <w:rPr>
            <w:noProof/>
            <w:webHidden/>
          </w:rPr>
          <w:fldChar w:fldCharType="end"/>
        </w:r>
      </w:hyperlink>
    </w:p>
    <w:p w14:paraId="610B3755" w14:textId="5B628F8F" w:rsidR="004645EA" w:rsidRDefault="004645EA">
      <w:pPr>
        <w:pStyle w:val="TOC2"/>
        <w:tabs>
          <w:tab w:val="left" w:pos="960"/>
          <w:tab w:val="right" w:leader="underscore" w:pos="9016"/>
        </w:tabs>
        <w:rPr>
          <w:rFonts w:eastAsiaTheme="minorEastAsia"/>
          <w:noProof/>
          <w:lang w:eastAsia="en-GB"/>
        </w:rPr>
      </w:pPr>
      <w:hyperlink w:anchor="_Toc229591939" w:history="1">
        <w:r w:rsidRPr="00E64577">
          <w:rPr>
            <w:rStyle w:val="Hyperlink"/>
            <w:rFonts w:ascii="Times New Roman" w:hAnsi="Times New Roman" w:cs="Times New Roman"/>
            <w:noProof/>
          </w:rPr>
          <w:t>2.5</w:t>
        </w:r>
        <w:r>
          <w:rPr>
            <w:rFonts w:eastAsiaTheme="minorEastAsia"/>
            <w:noProof/>
            <w:lang w:eastAsia="en-GB"/>
          </w:rPr>
          <w:tab/>
        </w:r>
        <w:r w:rsidRPr="00E64577">
          <w:rPr>
            <w:rStyle w:val="Hyperlink"/>
            <w:rFonts w:ascii="Times New Roman" w:hAnsi="Times New Roman" w:cs="Times New Roman"/>
            <w:noProof/>
          </w:rPr>
          <w:t>Risk and Economic Considerations</w:t>
        </w:r>
        <w:r>
          <w:rPr>
            <w:noProof/>
            <w:webHidden/>
          </w:rPr>
          <w:tab/>
        </w:r>
        <w:r>
          <w:rPr>
            <w:noProof/>
            <w:webHidden/>
          </w:rPr>
          <w:fldChar w:fldCharType="begin"/>
        </w:r>
        <w:r>
          <w:rPr>
            <w:noProof/>
            <w:webHidden/>
          </w:rPr>
          <w:instrText xml:space="preserve"> PAGEREF _Toc229591939 \h </w:instrText>
        </w:r>
        <w:r>
          <w:rPr>
            <w:noProof/>
            <w:webHidden/>
          </w:rPr>
        </w:r>
        <w:r>
          <w:rPr>
            <w:noProof/>
            <w:webHidden/>
          </w:rPr>
          <w:fldChar w:fldCharType="separate"/>
        </w:r>
        <w:r>
          <w:rPr>
            <w:noProof/>
            <w:webHidden/>
          </w:rPr>
          <w:t>3</w:t>
        </w:r>
        <w:r>
          <w:rPr>
            <w:noProof/>
            <w:webHidden/>
          </w:rPr>
          <w:fldChar w:fldCharType="end"/>
        </w:r>
      </w:hyperlink>
    </w:p>
    <w:p w14:paraId="06569013" w14:textId="44D5C9C2" w:rsidR="004645EA" w:rsidRDefault="004645EA">
      <w:pPr>
        <w:pStyle w:val="TOC2"/>
        <w:tabs>
          <w:tab w:val="left" w:pos="960"/>
          <w:tab w:val="right" w:leader="underscore" w:pos="9016"/>
        </w:tabs>
        <w:rPr>
          <w:rFonts w:eastAsiaTheme="minorEastAsia"/>
          <w:noProof/>
          <w:lang w:eastAsia="en-GB"/>
        </w:rPr>
      </w:pPr>
      <w:hyperlink w:anchor="_Toc229591940" w:history="1">
        <w:r w:rsidRPr="00E64577">
          <w:rPr>
            <w:rStyle w:val="Hyperlink"/>
            <w:rFonts w:ascii="Times New Roman" w:hAnsi="Times New Roman" w:cs="Times New Roman"/>
            <w:noProof/>
          </w:rPr>
          <w:t>2.6</w:t>
        </w:r>
        <w:r>
          <w:rPr>
            <w:rFonts w:eastAsiaTheme="minorEastAsia"/>
            <w:noProof/>
            <w:lang w:eastAsia="en-GB"/>
          </w:rPr>
          <w:tab/>
        </w:r>
        <w:r w:rsidRPr="00E6457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_Toc229591940 \h </w:instrText>
        </w:r>
        <w:r>
          <w:rPr>
            <w:noProof/>
            <w:webHidden/>
          </w:rPr>
        </w:r>
        <w:r>
          <w:rPr>
            <w:noProof/>
            <w:webHidden/>
          </w:rPr>
          <w:fldChar w:fldCharType="separate"/>
        </w:r>
        <w:r>
          <w:rPr>
            <w:noProof/>
            <w:webHidden/>
          </w:rPr>
          <w:t>3</w:t>
        </w:r>
        <w:r>
          <w:rPr>
            <w:noProof/>
            <w:webHidden/>
          </w:rPr>
          <w:fldChar w:fldCharType="end"/>
        </w:r>
      </w:hyperlink>
    </w:p>
    <w:p w14:paraId="41E1D45C" w14:textId="0A90029E" w:rsidR="004645EA" w:rsidRDefault="004645EA">
      <w:pPr>
        <w:pStyle w:val="TOC2"/>
        <w:tabs>
          <w:tab w:val="left" w:pos="960"/>
          <w:tab w:val="right" w:leader="underscore" w:pos="9016"/>
        </w:tabs>
        <w:rPr>
          <w:rFonts w:eastAsiaTheme="minorEastAsia"/>
          <w:noProof/>
          <w:lang w:eastAsia="en-GB"/>
        </w:rPr>
      </w:pPr>
      <w:hyperlink w:anchor="_Toc229591941" w:history="1">
        <w:r w:rsidRPr="00E64577">
          <w:rPr>
            <w:rStyle w:val="Hyperlink"/>
            <w:rFonts w:ascii="Times New Roman" w:hAnsi="Times New Roman" w:cs="Times New Roman"/>
            <w:noProof/>
          </w:rPr>
          <w:t>3.0</w:t>
        </w:r>
        <w:r>
          <w:rPr>
            <w:rFonts w:eastAsiaTheme="minorEastAsia"/>
            <w:noProof/>
            <w:lang w:eastAsia="en-GB"/>
          </w:rPr>
          <w:tab/>
        </w:r>
        <w:r w:rsidRPr="00E64577">
          <w:rPr>
            <w:rStyle w:val="Hyperlink"/>
            <w:rFonts w:ascii="Times New Roman" w:hAnsi="Times New Roman" w:cs="Times New Roman"/>
            <w:noProof/>
          </w:rPr>
          <w:t>Summary Project Costings</w:t>
        </w:r>
        <w:r>
          <w:rPr>
            <w:noProof/>
            <w:webHidden/>
          </w:rPr>
          <w:tab/>
        </w:r>
        <w:r>
          <w:rPr>
            <w:noProof/>
            <w:webHidden/>
          </w:rPr>
          <w:fldChar w:fldCharType="begin"/>
        </w:r>
        <w:r>
          <w:rPr>
            <w:noProof/>
            <w:webHidden/>
          </w:rPr>
          <w:instrText xml:space="preserve"> PAGEREF _Toc229591941 \h </w:instrText>
        </w:r>
        <w:r>
          <w:rPr>
            <w:noProof/>
            <w:webHidden/>
          </w:rPr>
        </w:r>
        <w:r>
          <w:rPr>
            <w:noProof/>
            <w:webHidden/>
          </w:rPr>
          <w:fldChar w:fldCharType="separate"/>
        </w:r>
        <w:r>
          <w:rPr>
            <w:noProof/>
            <w:webHidden/>
          </w:rPr>
          <w:t>0</w:t>
        </w:r>
        <w:r>
          <w:rPr>
            <w:noProof/>
            <w:webHidden/>
          </w:rPr>
          <w:fldChar w:fldCharType="end"/>
        </w:r>
      </w:hyperlink>
    </w:p>
    <w:p w14:paraId="0F9CB4C0" w14:textId="7A97F95E" w:rsidR="004645EA" w:rsidRDefault="004645EA">
      <w:pPr>
        <w:pStyle w:val="TOC2"/>
        <w:tabs>
          <w:tab w:val="left" w:pos="960"/>
          <w:tab w:val="right" w:leader="underscore" w:pos="9016"/>
        </w:tabs>
        <w:rPr>
          <w:rFonts w:eastAsiaTheme="minorEastAsia"/>
          <w:noProof/>
          <w:lang w:eastAsia="en-GB"/>
        </w:rPr>
      </w:pPr>
      <w:hyperlink w:anchor="_Toc229591942" w:history="1">
        <w:r w:rsidRPr="00E64577">
          <w:rPr>
            <w:rStyle w:val="Hyperlink"/>
            <w:rFonts w:ascii="Times New Roman" w:hAnsi="Times New Roman" w:cs="Times New Roman"/>
            <w:noProof/>
          </w:rPr>
          <w:t>3.1</w:t>
        </w:r>
        <w:r>
          <w:rPr>
            <w:rFonts w:eastAsiaTheme="minorEastAsia"/>
            <w:noProof/>
            <w:lang w:eastAsia="en-GB"/>
          </w:rPr>
          <w:tab/>
        </w:r>
        <w:r w:rsidRPr="00E6457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_Toc229591942 \h </w:instrText>
        </w:r>
        <w:r>
          <w:rPr>
            <w:noProof/>
            <w:webHidden/>
          </w:rPr>
        </w:r>
        <w:r>
          <w:rPr>
            <w:noProof/>
            <w:webHidden/>
          </w:rPr>
          <w:fldChar w:fldCharType="separate"/>
        </w:r>
        <w:r>
          <w:rPr>
            <w:noProof/>
            <w:webHidden/>
          </w:rPr>
          <w:t>0</w:t>
        </w:r>
        <w:r>
          <w:rPr>
            <w:noProof/>
            <w:webHidden/>
          </w:rPr>
          <w:fldChar w:fldCharType="end"/>
        </w:r>
      </w:hyperlink>
    </w:p>
    <w:p w14:paraId="09CEEFBD" w14:textId="345CCD71" w:rsidR="004645EA" w:rsidRDefault="004645EA">
      <w:pPr>
        <w:pStyle w:val="TOC2"/>
        <w:tabs>
          <w:tab w:val="left" w:pos="960"/>
          <w:tab w:val="right" w:leader="underscore" w:pos="9016"/>
        </w:tabs>
        <w:rPr>
          <w:rFonts w:eastAsiaTheme="minorEastAsia"/>
          <w:noProof/>
          <w:lang w:eastAsia="en-GB"/>
        </w:rPr>
      </w:pPr>
      <w:hyperlink w:anchor="_Toc229591943" w:history="1">
        <w:r w:rsidRPr="00E64577">
          <w:rPr>
            <w:rStyle w:val="Hyperlink"/>
            <w:rFonts w:ascii="Times New Roman" w:hAnsi="Times New Roman" w:cs="Times New Roman"/>
            <w:noProof/>
          </w:rPr>
          <w:t>3.2</w:t>
        </w:r>
        <w:r>
          <w:rPr>
            <w:rFonts w:eastAsiaTheme="minorEastAsia"/>
            <w:noProof/>
            <w:lang w:eastAsia="en-GB"/>
          </w:rPr>
          <w:tab/>
        </w:r>
        <w:r w:rsidRPr="00E64577">
          <w:rPr>
            <w:rStyle w:val="Hyperlink"/>
            <w:rFonts w:ascii="Times New Roman" w:hAnsi="Times New Roman" w:cs="Times New Roman"/>
            <w:noProof/>
          </w:rPr>
          <w:t>Cost breakdown</w:t>
        </w:r>
        <w:r>
          <w:rPr>
            <w:noProof/>
            <w:webHidden/>
          </w:rPr>
          <w:tab/>
        </w:r>
        <w:r>
          <w:rPr>
            <w:noProof/>
            <w:webHidden/>
          </w:rPr>
          <w:fldChar w:fldCharType="begin"/>
        </w:r>
        <w:r>
          <w:rPr>
            <w:noProof/>
            <w:webHidden/>
          </w:rPr>
          <w:instrText xml:space="preserve"> PAGEREF _Toc229591943 \h </w:instrText>
        </w:r>
        <w:r>
          <w:rPr>
            <w:noProof/>
            <w:webHidden/>
          </w:rPr>
        </w:r>
        <w:r>
          <w:rPr>
            <w:noProof/>
            <w:webHidden/>
          </w:rPr>
          <w:fldChar w:fldCharType="separate"/>
        </w:r>
        <w:r>
          <w:rPr>
            <w:noProof/>
            <w:webHidden/>
          </w:rPr>
          <w:t>0</w:t>
        </w:r>
        <w:r>
          <w:rPr>
            <w:noProof/>
            <w:webHidden/>
          </w:rPr>
          <w:fldChar w:fldCharType="end"/>
        </w:r>
      </w:hyperlink>
    </w:p>
    <w:p w14:paraId="62CFCBCC" w14:textId="74E0AE3F" w:rsidR="004645EA" w:rsidRDefault="004645EA">
      <w:pPr>
        <w:pStyle w:val="TOC2"/>
        <w:tabs>
          <w:tab w:val="left" w:pos="960"/>
          <w:tab w:val="right" w:leader="underscore" w:pos="9016"/>
        </w:tabs>
        <w:rPr>
          <w:rFonts w:eastAsiaTheme="minorEastAsia"/>
          <w:noProof/>
          <w:lang w:eastAsia="en-GB"/>
        </w:rPr>
      </w:pPr>
      <w:hyperlink w:anchor="_Toc229591944" w:history="1">
        <w:r w:rsidRPr="00E64577">
          <w:rPr>
            <w:rStyle w:val="Hyperlink"/>
            <w:rFonts w:ascii="Times New Roman" w:hAnsi="Times New Roman" w:cs="Times New Roman"/>
            <w:noProof/>
          </w:rPr>
          <w:t>3.3</w:t>
        </w:r>
        <w:r>
          <w:rPr>
            <w:rFonts w:eastAsiaTheme="minorEastAsia"/>
            <w:noProof/>
            <w:lang w:eastAsia="en-GB"/>
          </w:rPr>
          <w:tab/>
        </w:r>
        <w:r w:rsidRPr="00E6457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_Toc229591944 \h </w:instrText>
        </w:r>
        <w:r>
          <w:rPr>
            <w:noProof/>
            <w:webHidden/>
          </w:rPr>
        </w:r>
        <w:r>
          <w:rPr>
            <w:noProof/>
            <w:webHidden/>
          </w:rPr>
          <w:fldChar w:fldCharType="separate"/>
        </w:r>
        <w:r>
          <w:rPr>
            <w:noProof/>
            <w:webHidden/>
          </w:rPr>
          <w:t>2</w:t>
        </w:r>
        <w:r>
          <w:rPr>
            <w:noProof/>
            <w:webHidden/>
          </w:rPr>
          <w:fldChar w:fldCharType="end"/>
        </w:r>
      </w:hyperlink>
    </w:p>
    <w:p w14:paraId="58CA3C68" w14:textId="3BCDE6B2" w:rsidR="004645EA" w:rsidRDefault="004645EA">
      <w:pPr>
        <w:pStyle w:val="TOC2"/>
        <w:tabs>
          <w:tab w:val="left" w:pos="960"/>
          <w:tab w:val="right" w:leader="underscore" w:pos="9016"/>
        </w:tabs>
        <w:rPr>
          <w:rFonts w:eastAsiaTheme="minorEastAsia"/>
          <w:noProof/>
          <w:lang w:eastAsia="en-GB"/>
        </w:rPr>
      </w:pPr>
      <w:hyperlink w:anchor="_Toc229591945" w:history="1">
        <w:r w:rsidRPr="00E64577">
          <w:rPr>
            <w:rStyle w:val="Hyperlink"/>
            <w:rFonts w:ascii="Times New Roman" w:hAnsi="Times New Roman" w:cs="Times New Roman"/>
            <w:noProof/>
          </w:rPr>
          <w:t>4.0</w:t>
        </w:r>
        <w:r>
          <w:rPr>
            <w:rFonts w:eastAsiaTheme="minorEastAsia"/>
            <w:noProof/>
            <w:lang w:eastAsia="en-GB"/>
          </w:rPr>
          <w:tab/>
        </w:r>
        <w:r w:rsidRPr="00E64577">
          <w:rPr>
            <w:rStyle w:val="Hyperlink"/>
            <w:rFonts w:ascii="Times New Roman" w:hAnsi="Times New Roman" w:cs="Times New Roman"/>
            <w:noProof/>
          </w:rPr>
          <w:t>Clients Requirements</w:t>
        </w:r>
        <w:r>
          <w:rPr>
            <w:noProof/>
            <w:webHidden/>
          </w:rPr>
          <w:tab/>
        </w:r>
        <w:r>
          <w:rPr>
            <w:noProof/>
            <w:webHidden/>
          </w:rPr>
          <w:fldChar w:fldCharType="begin"/>
        </w:r>
        <w:r>
          <w:rPr>
            <w:noProof/>
            <w:webHidden/>
          </w:rPr>
          <w:instrText xml:space="preserve"> PAGEREF _Toc229591945 \h </w:instrText>
        </w:r>
        <w:r>
          <w:rPr>
            <w:noProof/>
            <w:webHidden/>
          </w:rPr>
        </w:r>
        <w:r>
          <w:rPr>
            <w:noProof/>
            <w:webHidden/>
          </w:rPr>
          <w:fldChar w:fldCharType="separate"/>
        </w:r>
        <w:r>
          <w:rPr>
            <w:noProof/>
            <w:webHidden/>
          </w:rPr>
          <w:t>4</w:t>
        </w:r>
        <w:r>
          <w:rPr>
            <w:noProof/>
            <w:webHidden/>
          </w:rPr>
          <w:fldChar w:fldCharType="end"/>
        </w:r>
      </w:hyperlink>
    </w:p>
    <w:p w14:paraId="617C3FD1" w14:textId="65CF21F1" w:rsidR="004645EA" w:rsidRDefault="004645EA">
      <w:pPr>
        <w:pStyle w:val="TOC2"/>
        <w:tabs>
          <w:tab w:val="left" w:pos="960"/>
          <w:tab w:val="right" w:leader="underscore" w:pos="9016"/>
        </w:tabs>
        <w:rPr>
          <w:rFonts w:eastAsiaTheme="minorEastAsia"/>
          <w:noProof/>
          <w:lang w:eastAsia="en-GB"/>
        </w:rPr>
      </w:pPr>
      <w:hyperlink w:anchor="_Toc229591946" w:history="1">
        <w:r w:rsidRPr="00E64577">
          <w:rPr>
            <w:rStyle w:val="Hyperlink"/>
            <w:rFonts w:ascii="Times New Roman" w:hAnsi="Times New Roman" w:cs="Times New Roman"/>
            <w:noProof/>
          </w:rPr>
          <w:t>5.0</w:t>
        </w:r>
        <w:r>
          <w:rPr>
            <w:rFonts w:eastAsiaTheme="minorEastAsia"/>
            <w:noProof/>
            <w:lang w:eastAsia="en-GB"/>
          </w:rPr>
          <w:tab/>
        </w:r>
        <w:r w:rsidRPr="00E64577">
          <w:rPr>
            <w:rStyle w:val="Hyperlink"/>
            <w:rFonts w:ascii="Times New Roman" w:hAnsi="Times New Roman" w:cs="Times New Roman"/>
            <w:noProof/>
          </w:rPr>
          <w:t>Operational Needs</w:t>
        </w:r>
        <w:r>
          <w:rPr>
            <w:noProof/>
            <w:webHidden/>
          </w:rPr>
          <w:tab/>
        </w:r>
        <w:r>
          <w:rPr>
            <w:noProof/>
            <w:webHidden/>
          </w:rPr>
          <w:fldChar w:fldCharType="begin"/>
        </w:r>
        <w:r>
          <w:rPr>
            <w:noProof/>
            <w:webHidden/>
          </w:rPr>
          <w:instrText xml:space="preserve"> PAGEREF _Toc229591946 \h </w:instrText>
        </w:r>
        <w:r>
          <w:rPr>
            <w:noProof/>
            <w:webHidden/>
          </w:rPr>
        </w:r>
        <w:r>
          <w:rPr>
            <w:noProof/>
            <w:webHidden/>
          </w:rPr>
          <w:fldChar w:fldCharType="separate"/>
        </w:r>
        <w:r>
          <w:rPr>
            <w:noProof/>
            <w:webHidden/>
          </w:rPr>
          <w:t>4</w:t>
        </w:r>
        <w:r>
          <w:rPr>
            <w:noProof/>
            <w:webHidden/>
          </w:rPr>
          <w:fldChar w:fldCharType="end"/>
        </w:r>
      </w:hyperlink>
    </w:p>
    <w:p w14:paraId="76A90D30" w14:textId="3D08B56B" w:rsidR="004645EA" w:rsidRDefault="004645EA">
      <w:pPr>
        <w:pStyle w:val="TOC2"/>
        <w:tabs>
          <w:tab w:val="left" w:pos="960"/>
          <w:tab w:val="right" w:leader="underscore" w:pos="9016"/>
        </w:tabs>
        <w:rPr>
          <w:rFonts w:eastAsiaTheme="minorEastAsia"/>
          <w:noProof/>
          <w:lang w:eastAsia="en-GB"/>
        </w:rPr>
      </w:pPr>
      <w:hyperlink w:anchor="_Toc229591947" w:history="1">
        <w:r w:rsidRPr="00E64577">
          <w:rPr>
            <w:rStyle w:val="Hyperlink"/>
            <w:rFonts w:ascii="Times New Roman" w:hAnsi="Times New Roman" w:cs="Times New Roman"/>
            <w:noProof/>
          </w:rPr>
          <w:t>6.0</w:t>
        </w:r>
        <w:r>
          <w:rPr>
            <w:rFonts w:eastAsiaTheme="minorEastAsia"/>
            <w:noProof/>
            <w:lang w:eastAsia="en-GB"/>
          </w:rPr>
          <w:tab/>
        </w:r>
        <w:r w:rsidRPr="00E64577">
          <w:rPr>
            <w:rStyle w:val="Hyperlink"/>
            <w:rFonts w:ascii="Times New Roman" w:hAnsi="Times New Roman" w:cs="Times New Roman"/>
            <w:noProof/>
          </w:rPr>
          <w:t>Funding Provision</w:t>
        </w:r>
        <w:r>
          <w:rPr>
            <w:noProof/>
            <w:webHidden/>
          </w:rPr>
          <w:tab/>
        </w:r>
        <w:r>
          <w:rPr>
            <w:noProof/>
            <w:webHidden/>
          </w:rPr>
          <w:fldChar w:fldCharType="begin"/>
        </w:r>
        <w:r>
          <w:rPr>
            <w:noProof/>
            <w:webHidden/>
          </w:rPr>
          <w:instrText xml:space="preserve"> PAGEREF _Toc229591947 \h </w:instrText>
        </w:r>
        <w:r>
          <w:rPr>
            <w:noProof/>
            <w:webHidden/>
          </w:rPr>
        </w:r>
        <w:r>
          <w:rPr>
            <w:noProof/>
            <w:webHidden/>
          </w:rPr>
          <w:fldChar w:fldCharType="separate"/>
        </w:r>
        <w:r>
          <w:rPr>
            <w:noProof/>
            <w:webHidden/>
          </w:rPr>
          <w:t>5</w:t>
        </w:r>
        <w:r>
          <w:rPr>
            <w:noProof/>
            <w:webHidden/>
          </w:rPr>
          <w:fldChar w:fldCharType="end"/>
        </w:r>
      </w:hyperlink>
    </w:p>
    <w:p w14:paraId="4E6BE997" w14:textId="24165E5E" w:rsidR="004645EA" w:rsidRDefault="004645EA">
      <w:pPr>
        <w:pStyle w:val="TOC2"/>
        <w:tabs>
          <w:tab w:val="left" w:pos="960"/>
          <w:tab w:val="right" w:leader="underscore" w:pos="9016"/>
        </w:tabs>
        <w:rPr>
          <w:rFonts w:eastAsiaTheme="minorEastAsia"/>
          <w:noProof/>
          <w:lang w:eastAsia="en-GB"/>
        </w:rPr>
      </w:pPr>
      <w:hyperlink w:anchor="_Toc229591948" w:history="1">
        <w:r w:rsidRPr="00E64577">
          <w:rPr>
            <w:rStyle w:val="Hyperlink"/>
            <w:rFonts w:ascii="Times New Roman" w:hAnsi="Times New Roman" w:cs="Times New Roman"/>
            <w:noProof/>
          </w:rPr>
          <w:t>6.1</w:t>
        </w:r>
        <w:r>
          <w:rPr>
            <w:rFonts w:eastAsiaTheme="minorEastAsia"/>
            <w:noProof/>
            <w:lang w:eastAsia="en-GB"/>
          </w:rPr>
          <w:tab/>
        </w:r>
        <w:r w:rsidRPr="00E64577">
          <w:rPr>
            <w:rStyle w:val="Hyperlink"/>
            <w:rFonts w:ascii="Times New Roman" w:hAnsi="Times New Roman" w:cs="Times New Roman"/>
            <w:noProof/>
          </w:rPr>
          <w:t>Funding Strategy Summary</w:t>
        </w:r>
        <w:r>
          <w:rPr>
            <w:noProof/>
            <w:webHidden/>
          </w:rPr>
          <w:tab/>
        </w:r>
        <w:r>
          <w:rPr>
            <w:noProof/>
            <w:webHidden/>
          </w:rPr>
          <w:fldChar w:fldCharType="begin"/>
        </w:r>
        <w:r>
          <w:rPr>
            <w:noProof/>
            <w:webHidden/>
          </w:rPr>
          <w:instrText xml:space="preserve"> PAGEREF _Toc229591948 \h </w:instrText>
        </w:r>
        <w:r>
          <w:rPr>
            <w:noProof/>
            <w:webHidden/>
          </w:rPr>
        </w:r>
        <w:r>
          <w:rPr>
            <w:noProof/>
            <w:webHidden/>
          </w:rPr>
          <w:fldChar w:fldCharType="separate"/>
        </w:r>
        <w:r>
          <w:rPr>
            <w:noProof/>
            <w:webHidden/>
          </w:rPr>
          <w:t>6</w:t>
        </w:r>
        <w:r>
          <w:rPr>
            <w:noProof/>
            <w:webHidden/>
          </w:rPr>
          <w:fldChar w:fldCharType="end"/>
        </w:r>
      </w:hyperlink>
    </w:p>
    <w:p w14:paraId="1CED2923" w14:textId="6AA867E7" w:rsidR="004645EA" w:rsidRDefault="004645EA">
      <w:pPr>
        <w:pStyle w:val="TOC2"/>
        <w:tabs>
          <w:tab w:val="left" w:pos="960"/>
          <w:tab w:val="right" w:leader="underscore" w:pos="9016"/>
        </w:tabs>
        <w:rPr>
          <w:rFonts w:eastAsiaTheme="minorEastAsia"/>
          <w:noProof/>
          <w:lang w:eastAsia="en-GB"/>
        </w:rPr>
      </w:pPr>
      <w:hyperlink w:anchor="_Toc229591949" w:history="1">
        <w:r w:rsidRPr="00E64577">
          <w:rPr>
            <w:rStyle w:val="Hyperlink"/>
            <w:rFonts w:ascii="Times New Roman" w:hAnsi="Times New Roman" w:cs="Times New Roman"/>
            <w:noProof/>
          </w:rPr>
          <w:t>7.0</w:t>
        </w:r>
        <w:r>
          <w:rPr>
            <w:rFonts w:eastAsiaTheme="minorEastAsia"/>
            <w:noProof/>
            <w:lang w:eastAsia="en-GB"/>
          </w:rPr>
          <w:tab/>
        </w:r>
        <w:r w:rsidRPr="00E64577">
          <w:rPr>
            <w:rStyle w:val="Hyperlink"/>
            <w:rFonts w:ascii="Times New Roman" w:hAnsi="Times New Roman" w:cs="Times New Roman"/>
            <w:noProof/>
          </w:rPr>
          <w:t>Accommodation Requirements</w:t>
        </w:r>
        <w:r>
          <w:rPr>
            <w:noProof/>
            <w:webHidden/>
          </w:rPr>
          <w:tab/>
        </w:r>
        <w:r>
          <w:rPr>
            <w:noProof/>
            <w:webHidden/>
          </w:rPr>
          <w:fldChar w:fldCharType="begin"/>
        </w:r>
        <w:r>
          <w:rPr>
            <w:noProof/>
            <w:webHidden/>
          </w:rPr>
          <w:instrText xml:space="preserve"> PAGEREF _Toc229591949 \h </w:instrText>
        </w:r>
        <w:r>
          <w:rPr>
            <w:noProof/>
            <w:webHidden/>
          </w:rPr>
        </w:r>
        <w:r>
          <w:rPr>
            <w:noProof/>
            <w:webHidden/>
          </w:rPr>
          <w:fldChar w:fldCharType="separate"/>
        </w:r>
        <w:r>
          <w:rPr>
            <w:noProof/>
            <w:webHidden/>
          </w:rPr>
          <w:t>7</w:t>
        </w:r>
        <w:r>
          <w:rPr>
            <w:noProof/>
            <w:webHidden/>
          </w:rPr>
          <w:fldChar w:fldCharType="end"/>
        </w:r>
      </w:hyperlink>
    </w:p>
    <w:p w14:paraId="514FF10A" w14:textId="77F05D9D" w:rsidR="004645EA" w:rsidRDefault="004645EA">
      <w:pPr>
        <w:pStyle w:val="TOC2"/>
        <w:tabs>
          <w:tab w:val="left" w:pos="960"/>
          <w:tab w:val="right" w:leader="underscore" w:pos="9016"/>
        </w:tabs>
        <w:rPr>
          <w:rFonts w:eastAsiaTheme="minorEastAsia"/>
          <w:noProof/>
          <w:lang w:eastAsia="en-GB"/>
        </w:rPr>
      </w:pPr>
      <w:hyperlink w:anchor="_Toc229591950" w:history="1">
        <w:r w:rsidRPr="00E64577">
          <w:rPr>
            <w:rStyle w:val="Hyperlink"/>
            <w:rFonts w:ascii="Times New Roman" w:hAnsi="Times New Roman" w:cs="Times New Roman"/>
            <w:noProof/>
          </w:rPr>
          <w:t>8.0</w:t>
        </w:r>
        <w:r>
          <w:rPr>
            <w:rFonts w:eastAsiaTheme="minorEastAsia"/>
            <w:noProof/>
            <w:lang w:eastAsia="en-GB"/>
          </w:rPr>
          <w:tab/>
        </w:r>
        <w:r w:rsidRPr="00E64577">
          <w:rPr>
            <w:rStyle w:val="Hyperlink"/>
            <w:rFonts w:ascii="Times New Roman" w:hAnsi="Times New Roman" w:cs="Times New Roman"/>
            <w:noProof/>
          </w:rPr>
          <w:t>Comparisons with Similar Schemes Undertaken</w:t>
        </w:r>
        <w:r>
          <w:rPr>
            <w:noProof/>
            <w:webHidden/>
          </w:rPr>
          <w:tab/>
        </w:r>
        <w:r>
          <w:rPr>
            <w:noProof/>
            <w:webHidden/>
          </w:rPr>
          <w:fldChar w:fldCharType="begin"/>
        </w:r>
        <w:r>
          <w:rPr>
            <w:noProof/>
            <w:webHidden/>
          </w:rPr>
          <w:instrText xml:space="preserve"> PAGEREF _Toc229591950 \h </w:instrText>
        </w:r>
        <w:r>
          <w:rPr>
            <w:noProof/>
            <w:webHidden/>
          </w:rPr>
        </w:r>
        <w:r>
          <w:rPr>
            <w:noProof/>
            <w:webHidden/>
          </w:rPr>
          <w:fldChar w:fldCharType="separate"/>
        </w:r>
        <w:r>
          <w:rPr>
            <w:noProof/>
            <w:webHidden/>
          </w:rPr>
          <w:t>11</w:t>
        </w:r>
        <w:r>
          <w:rPr>
            <w:noProof/>
            <w:webHidden/>
          </w:rPr>
          <w:fldChar w:fldCharType="end"/>
        </w:r>
      </w:hyperlink>
    </w:p>
    <w:p w14:paraId="02DEF7DC" w14:textId="633D8E91" w:rsidR="004645EA" w:rsidRDefault="004645EA">
      <w:pPr>
        <w:pStyle w:val="TOC2"/>
        <w:tabs>
          <w:tab w:val="right" w:leader="underscore" w:pos="9016"/>
        </w:tabs>
        <w:rPr>
          <w:rFonts w:eastAsiaTheme="minorEastAsia"/>
          <w:noProof/>
          <w:lang w:eastAsia="en-GB"/>
        </w:rPr>
      </w:pPr>
      <w:hyperlink w:anchor="_Toc229591951" w:history="1">
        <w:r w:rsidRPr="00E6457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_Toc229591951 \h </w:instrText>
        </w:r>
        <w:r>
          <w:rPr>
            <w:noProof/>
            <w:webHidden/>
          </w:rPr>
        </w:r>
        <w:r>
          <w:rPr>
            <w:noProof/>
            <w:webHidden/>
          </w:rPr>
          <w:fldChar w:fldCharType="separate"/>
        </w:r>
        <w:r>
          <w:rPr>
            <w:noProof/>
            <w:webHidden/>
          </w:rPr>
          <w:t>14</w:t>
        </w:r>
        <w:r>
          <w:rPr>
            <w:noProof/>
            <w:webHidden/>
          </w:rPr>
          <w:fldChar w:fldCharType="end"/>
        </w:r>
      </w:hyperlink>
    </w:p>
    <w:p w14:paraId="0D1585A9" w14:textId="3ED763A0" w:rsidR="00C533A8" w:rsidRDefault="00C533A8" w:rsidP="009E1A59">
      <w:pPr>
        <w:tabs>
          <w:tab w:val="left" w:pos="2146"/>
        </w:tabs>
        <w:spacing w:after="0" w:line="360" w:lineRule="auto"/>
        <w:jc w:val="both"/>
        <w:outlineLvl w:val="2"/>
        <w:rPr>
          <w:rFonts w:ascii="Times New Roman" w:eastAsia="SimSun" w:hAnsi="Times New Roman" w:cs="Times New Roman"/>
          <w:kern w:val="24"/>
          <w:lang w:val="en-US" w:eastAsia="ja-JP"/>
          <w14:ligatures w14:val="none"/>
        </w:rPr>
      </w:pPr>
      <w:r w:rsidRPr="009E1A59">
        <w:rPr>
          <w:rFonts w:ascii="Times New Roman" w:eastAsia="SimSun" w:hAnsi="Times New Roman" w:cs="Times New Roman"/>
          <w:kern w:val="24"/>
          <w:lang w:val="en-US" w:eastAsia="ja-JP"/>
          <w14:ligatures w14:val="none"/>
        </w:rPr>
        <w:fldChar w:fldCharType="end"/>
      </w:r>
      <w:r w:rsidRPr="009E1A59">
        <w:rPr>
          <w:rFonts w:ascii="Times New Roman" w:eastAsia="SimSun" w:hAnsi="Times New Roman" w:cs="Times New Roman"/>
          <w:kern w:val="24"/>
          <w:lang w:val="en-US" w:eastAsia="ja-JP"/>
          <w14:ligatures w14:val="none"/>
        </w:rPr>
        <w:tab/>
      </w:r>
    </w:p>
    <w:p w14:paraId="6EDA0111" w14:textId="77777777" w:rsidR="004645EA" w:rsidRPr="009E1A59" w:rsidRDefault="004645EA" w:rsidP="009E1A59">
      <w:pPr>
        <w:tabs>
          <w:tab w:val="left" w:pos="2146"/>
        </w:tabs>
        <w:spacing w:after="0" w:line="360" w:lineRule="auto"/>
        <w:jc w:val="both"/>
        <w:outlineLvl w:val="2"/>
        <w:rPr>
          <w:rFonts w:ascii="Times New Roman" w:eastAsia="SimSun" w:hAnsi="Times New Roman" w:cs="Times New Roman"/>
          <w:kern w:val="24"/>
          <w:lang w:val="en-US" w:eastAsia="ja-JP"/>
          <w14:ligatures w14:val="none"/>
        </w:rPr>
      </w:pPr>
    </w:p>
    <w:p w14:paraId="5F230351" w14:textId="77777777" w:rsidR="00C533A8" w:rsidRPr="009E1A59" w:rsidRDefault="00C533A8" w:rsidP="009E1A59">
      <w:pPr>
        <w:pStyle w:val="Heading2"/>
        <w:numPr>
          <w:ilvl w:val="0"/>
          <w:numId w:val="3"/>
        </w:numPr>
        <w:spacing w:before="0" w:after="0" w:line="360" w:lineRule="auto"/>
        <w:jc w:val="both"/>
        <w:rPr>
          <w:rFonts w:ascii="Times New Roman" w:hAnsi="Times New Roman" w:cs="Times New Roman"/>
          <w:sz w:val="28"/>
          <w:szCs w:val="28"/>
        </w:rPr>
      </w:pPr>
      <w:bookmarkStart w:id="2" w:name="_Hlk219215462"/>
      <w:bookmarkStart w:id="3" w:name="_Toc229591928"/>
      <w:r w:rsidRPr="009E1A59">
        <w:rPr>
          <w:rFonts w:ascii="Times New Roman" w:hAnsi="Times New Roman" w:cs="Times New Roman"/>
          <w:sz w:val="28"/>
          <w:szCs w:val="28"/>
        </w:rPr>
        <w:lastRenderedPageBreak/>
        <w:t>Social Aspects</w:t>
      </w:r>
      <w:bookmarkEnd w:id="3"/>
    </w:p>
    <w:p w14:paraId="5D432409"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4" w:name="_Hlk219279533"/>
      <w:bookmarkStart w:id="5" w:name="_Toc229591929"/>
      <w:bookmarkEnd w:id="2"/>
      <w:r w:rsidRPr="009E1A59">
        <w:rPr>
          <w:rFonts w:ascii="Times New Roman" w:hAnsi="Times New Roman" w:cs="Times New Roman"/>
          <w:sz w:val="28"/>
          <w:szCs w:val="28"/>
        </w:rPr>
        <w:t>Introduction: Social Sustainability and Community Value</w:t>
      </w:r>
      <w:bookmarkEnd w:id="5"/>
    </w:p>
    <w:bookmarkEnd w:id="4"/>
    <w:p w14:paraId="73CA5B1D"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Social sustainability is widely recognised as a key pillar of sustainable development, although it is often less clearly defined than environmental performance. It generally refers to how developments contribute to quality of life, equality, and community cohesion (Dempsey et al., 2011). In construction, this means considering not only how a building performs technically, but also how it supports people, both during construction and throughout its operational life.</w:t>
      </w:r>
    </w:p>
    <w:p w14:paraId="35164C51" w14:textId="67915C9D"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For the proposed Centre of Excellence at SA1, social sustainability is a core driver of the design rather than an afterthought. This aligns with the Well-being of Future Generations (Wales) Act 2015, which requires developments to contribute to long-term social, economic and environmental wellbeing. The project also follows Swansea Council’s “Beyond Bricks and Mortar” approach, which emphasises delivering measurable social value outcomes</w:t>
      </w:r>
      <w:r w:rsidR="00B82B61" w:rsidRPr="009E1A59">
        <w:rPr>
          <w:rFonts w:ascii="Times New Roman" w:hAnsi="Times New Roman" w:cs="Times New Roman"/>
        </w:rPr>
        <w:t>.</w:t>
      </w:r>
    </w:p>
    <w:p w14:paraId="337A7EBE"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A useful framework for understanding how social sustainability is implemented in practice is BREEAM (Building Research Establishment Environmental Assessment Method). While BREEAM is often associated with environmental performance, it also includes social-focused categories, particularly within Health &amp; Wellbeing (Hea) and Management (Man). For example:</w:t>
      </w:r>
    </w:p>
    <w:p w14:paraId="7D5D052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01</w:t>
      </w:r>
      <w:r w:rsidRPr="009E1A59">
        <w:rPr>
          <w:rFonts w:ascii="Times New Roman" w:hAnsi="Times New Roman" w:cs="Times New Roman"/>
        </w:rPr>
        <w:t xml:space="preserve"> – Visual comfort: Ensures adequate daylighting and lighting quality</w:t>
      </w:r>
    </w:p>
    <w:p w14:paraId="749BA9F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02</w:t>
      </w:r>
      <w:r w:rsidRPr="009E1A59">
        <w:rPr>
          <w:rFonts w:ascii="Times New Roman" w:hAnsi="Times New Roman" w:cs="Times New Roman"/>
        </w:rPr>
        <w:t xml:space="preserve"> – Indoor air quality: Promotes healthy indoor environments</w:t>
      </w:r>
    </w:p>
    <w:p w14:paraId="12D4723A"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06</w:t>
      </w:r>
      <w:r w:rsidRPr="009E1A59">
        <w:rPr>
          <w:rFonts w:ascii="Times New Roman" w:hAnsi="Times New Roman" w:cs="Times New Roman"/>
        </w:rPr>
        <w:t xml:space="preserve"> – Safety and security: Enhances user safety</w:t>
      </w:r>
    </w:p>
    <w:p w14:paraId="7B2EDA8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Man 02</w:t>
      </w:r>
      <w:r w:rsidRPr="009E1A59">
        <w:rPr>
          <w:rFonts w:ascii="Times New Roman" w:hAnsi="Times New Roman" w:cs="Times New Roman"/>
        </w:rPr>
        <w:t xml:space="preserve"> – Life cycle cost and service life planning: Supports long-term usability</w:t>
      </w:r>
    </w:p>
    <w:p w14:paraId="4F828DD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Man 03</w:t>
      </w:r>
      <w:r w:rsidRPr="009E1A59">
        <w:rPr>
          <w:rFonts w:ascii="Times New Roman" w:hAnsi="Times New Roman" w:cs="Times New Roman"/>
        </w:rPr>
        <w:t xml:space="preserve"> – Responsible construction practices: Includes community impact and considerate construction (BRE, 2018).</w:t>
      </w:r>
    </w:p>
    <w:p w14:paraId="5E884373"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These credits demonstrate that social sustainability is embedded within recognised industry standards, reinforcing its importance in project delivery.</w:t>
      </w:r>
    </w:p>
    <w:p w14:paraId="2C908485"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 xml:space="preserve">One of the strongest social contributions of the project is its role in education and skills development. The construction industry is currently facing a significant skills gap, particularly in sustainable construction and modern methods (Construction Industry Training Board, 2023). By providing a dedicated training facility, the project directly addresses this issue. The concept of a “live learning environment” is particularly important here as students are not only taught </w:t>
      </w:r>
      <w:r w:rsidRPr="009E1A59">
        <w:rPr>
          <w:rFonts w:ascii="Times New Roman" w:hAnsi="Times New Roman" w:cs="Times New Roman"/>
        </w:rPr>
        <w:lastRenderedPageBreak/>
        <w:t>within the building but also learn from it as it demonstrates real construction methods, materials, and technologies. This reflects experiential learning theory which suggests that practical engagement improves understanding and employability (Kolb, 1984).</w:t>
      </w:r>
    </w:p>
    <w:p w14:paraId="3F38B1D1" w14:textId="77777777" w:rsidR="00C533A8" w:rsidRPr="009E1A59" w:rsidRDefault="00C533A8" w:rsidP="009E1A59">
      <w:pPr>
        <w:spacing w:line="360" w:lineRule="auto"/>
        <w:jc w:val="both"/>
        <w:rPr>
          <w:rFonts w:ascii="Times New Roman" w:hAnsi="Times New Roman" w:cs="Times New Roman"/>
        </w:rPr>
      </w:pPr>
    </w:p>
    <w:p w14:paraId="7D0A6E0C"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6" w:name="_Toc229591930"/>
      <w:r w:rsidRPr="009E1A59">
        <w:rPr>
          <w:rFonts w:ascii="Times New Roman" w:hAnsi="Times New Roman" w:cs="Times New Roman"/>
          <w:sz w:val="28"/>
          <w:szCs w:val="28"/>
        </w:rPr>
        <w:t>Inclusive Design, Wellbeing and User Experience</w:t>
      </w:r>
      <w:bookmarkEnd w:id="6"/>
    </w:p>
    <w:p w14:paraId="142CBB5F"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Inclusive design is a fundamental principle of social sustainability, particularly in public buildings. It ensures that spaces are accessible and usable by as many people as possible, regardless of age or ability. The proposed building incorporates features such as step-free access, lifts, and accessible parking, in line with Part M and BS 8300 standards .</w:t>
      </w:r>
    </w:p>
    <w:p w14:paraId="131CEC7A"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However, inclusive design should go beyond compliance. Imrie and Hall (2001) argue that truly inclusive environments are those that are designed for everyone from the outset, rather than adapted later. In this project, flexibility is a key feature, with modular and adaptable spaces allowing for different uses over time. This is particularly important in an educational setting, where requirements may change.</w:t>
      </w:r>
    </w:p>
    <w:p w14:paraId="57A8CA4D"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From a BREEAM perspective, inclusive design and wellbeing are strongly linked to the Health and Wellbeing category, which aims to improve occupant comfort and satisfaction. Key credits include:</w:t>
      </w:r>
    </w:p>
    <w:p w14:paraId="0165DED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01</w:t>
      </w:r>
      <w:r w:rsidRPr="009E1A59">
        <w:rPr>
          <w:rFonts w:ascii="Times New Roman" w:hAnsi="Times New Roman" w:cs="Times New Roman"/>
        </w:rPr>
        <w:t xml:space="preserve"> – Visual comfort: The use of natural daylight improves concentration and reduces eye strain</w:t>
      </w:r>
    </w:p>
    <w:p w14:paraId="3C22A30A"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02</w:t>
      </w:r>
      <w:r w:rsidRPr="009E1A59">
        <w:rPr>
          <w:rFonts w:ascii="Times New Roman" w:hAnsi="Times New Roman" w:cs="Times New Roman"/>
        </w:rPr>
        <w:t xml:space="preserve"> – Indoor air quality: Good ventilation supports health and cognitive function</w:t>
      </w:r>
    </w:p>
    <w:p w14:paraId="17D594AC"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04</w:t>
      </w:r>
      <w:r w:rsidRPr="009E1A59">
        <w:rPr>
          <w:rFonts w:ascii="Times New Roman" w:hAnsi="Times New Roman" w:cs="Times New Roman"/>
        </w:rPr>
        <w:t xml:space="preserve"> – Thermal comfort: Maintaining stable temperatures improves user comfort</w:t>
      </w:r>
    </w:p>
    <w:p w14:paraId="77B547D9"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b/>
          <w:bCs/>
        </w:rPr>
        <w:t>Hea 06</w:t>
      </w:r>
      <w:r w:rsidRPr="009E1A59">
        <w:rPr>
          <w:rFonts w:ascii="Times New Roman" w:hAnsi="Times New Roman" w:cs="Times New Roman"/>
        </w:rPr>
        <w:t xml:space="preserve"> – Safety and security: Ensures users feel safe within the building</w:t>
      </w:r>
    </w:p>
    <w:p w14:paraId="009246F9"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proposed design incorporates several of these principles, including high-performance glazing, natural ventilation, and solar shading . These features not only reduce energy use but also improve the overall user experience. There is strong academic evidence linking building design to wellbeing. Allen et al. (2016) found that improved indoor environmental quality can significantly enhance cognitive performance. Similarly, access to natural light has been shown to improve mood and productivity.</w:t>
      </w:r>
    </w:p>
    <w:p w14:paraId="06B96ABE"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The external environment also contributes to wellbeing. The inclusion of landscaping and green spaces provides opportunities for social interaction and relaxation. According to the World Health Organization (2018), access to green space is associated with improved mental health and reduced stress levels. Safety is another key aspect of social sustainability. The design incorporates fire safety systems, secure access, and well-lit external areas . This aligns with BREEAM Hea 06 (Safety and security), which focuses on reducing crime and improving user confidence.</w:t>
      </w:r>
    </w:p>
    <w:p w14:paraId="1240BBEA"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 addition, the building promotes sustainable behaviours through features such as cycle storage and electric vehicle charging points . This demonstrates how design can influence behaviour, encouraging users to adopt more sustainable lifestyles.</w:t>
      </w:r>
    </w:p>
    <w:p w14:paraId="5875CA86"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However, there are some potential challenges. For example, achieving high levels of daylighting may conflict with thermal performance if not carefully designed. Similarly, flexible spaces can sometimes compromise acoustics. These issues highlight the need for a balanced approach to design.</w:t>
      </w:r>
    </w:p>
    <w:p w14:paraId="39E755F4"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Overall, the project successfully integrates inclusive design and wellbeing into its strategy, creating a building that is accessible, comfortable, and supportive for its users.</w:t>
      </w:r>
    </w:p>
    <w:p w14:paraId="7AD93692" w14:textId="77777777" w:rsidR="00C533A8" w:rsidRPr="009E1A59" w:rsidRDefault="00C533A8" w:rsidP="009E1A59">
      <w:pPr>
        <w:spacing w:line="360" w:lineRule="auto"/>
        <w:jc w:val="both"/>
        <w:rPr>
          <w:rFonts w:ascii="Times New Roman" w:hAnsi="Times New Roman" w:cs="Times New Roman"/>
        </w:rPr>
      </w:pPr>
    </w:p>
    <w:p w14:paraId="7A0F836F"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7" w:name="_Toc229591931"/>
      <w:r w:rsidRPr="009E1A59">
        <w:rPr>
          <w:rFonts w:ascii="Times New Roman" w:hAnsi="Times New Roman" w:cs="Times New Roman"/>
          <w:sz w:val="28"/>
          <w:szCs w:val="28"/>
        </w:rPr>
        <w:t>Social Value in Construction and Long-Term Impact</w:t>
      </w:r>
      <w:bookmarkEnd w:id="7"/>
    </w:p>
    <w:p w14:paraId="4032380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Social sustainability is not limited to the design phase; it also includes how the project is constructed and operated. During construction, the project aims to minimise disruption through traffic management, controlled delivery times, and adherence to the Considerate Constructors Scheme .</w:t>
      </w:r>
    </w:p>
    <w:p w14:paraId="619C4460"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This aligns with:</w:t>
      </w:r>
    </w:p>
    <w:p w14:paraId="42F7FCED"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BREEAM Man 03 – Responsible construction practices, which includes reducing impacts on local communities</w:t>
      </w:r>
    </w:p>
    <w:p w14:paraId="3EAEF913"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project also includes initiatives such as:</w:t>
      </w:r>
    </w:p>
    <w:p w14:paraId="599613BC"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Use of electric plant machinery</w:t>
      </w:r>
    </w:p>
    <w:p w14:paraId="6D7FF839"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Recycling of excavation waste</w:t>
      </w:r>
    </w:p>
    <w:p w14:paraId="6162963F"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Donation of surplus materials to community projects</w:t>
      </w:r>
    </w:p>
    <w:p w14:paraId="1E2ACC53"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These measures demonstrate how construction activities can contribute to social value, rather than simply minimising negative impacts.</w:t>
      </w:r>
    </w:p>
    <w:p w14:paraId="6AED530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 the long term, the building’s social value will depend on how it is used and maintained. The use of Building Information Modelling (BIM) supports this by improving maintenance planning and operational efficiency. Azhar (2011) highlights that BIM can enhance collaboration and reduce lifecycle costs, which benefits both users and stakeholders.</w:t>
      </w:r>
    </w:p>
    <w:p w14:paraId="2D9753A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project also has the potential to support wider urban regeneration in the SA1 area. Educational and innovation facilities are often key drivers of regeneration, attracting investment and increasing economic activity (Florida, 2014).</w:t>
      </w:r>
    </w:p>
    <w:p w14:paraId="2171810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However, it is important to consider potential negative impacts, such as increased traffic or pressure on local infrastructure. These issues need to be managed through careful planning and coordination with local authorities.</w:t>
      </w:r>
    </w:p>
    <w:p w14:paraId="1A704622" w14:textId="77777777" w:rsidR="00C533A8" w:rsidRPr="009E1A59" w:rsidRDefault="00C533A8" w:rsidP="009E1A59">
      <w:pPr>
        <w:spacing w:line="360" w:lineRule="auto"/>
        <w:jc w:val="both"/>
        <w:rPr>
          <w:rFonts w:ascii="Times New Roman" w:hAnsi="Times New Roman" w:cs="Times New Roman"/>
        </w:rPr>
      </w:pPr>
    </w:p>
    <w:p w14:paraId="603F5699"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8" w:name="_Toc229591932"/>
      <w:r w:rsidRPr="009E1A59">
        <w:rPr>
          <w:rFonts w:ascii="Times New Roman" w:hAnsi="Times New Roman" w:cs="Times New Roman"/>
          <w:sz w:val="28"/>
          <w:szCs w:val="28"/>
        </w:rPr>
        <w:t>Quantifying Social Value and Alignment with Cost Plan</w:t>
      </w:r>
      <w:bookmarkEnd w:id="8"/>
    </w:p>
    <w:p w14:paraId="78EA1A06"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Whilst the previous sections have explored the qualitative benefits of social sustainability, it is also important to consider how social value can be quantified and directly linked to the project cost plan. This is particularly relevant from a client perspective, where decision-making is influenced not only by capital cost, but also by the wider return generated by the development. The project adopts a structured approach to social value in line with the National TOMs (Themes, Outcomes and Measures) framework, which enables the measurement of social, economic and environmental benefits. Through this approach, social value is assessed across key areas including employment, skills development, local supply chain engagement and community wellbeing.</w:t>
      </w:r>
    </w:p>
    <w:p w14:paraId="47F54E5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Based on the project cost plan, which identifies a total construction value in the region of £23.4 million, the scheme demonstrates the potential to generate a significant level of additional value beyond the initial investment. The feasibility study indicates that for every £1 spent, approximately £2.20 of social value can be returned, resulting in an estimated overall social value output of between £43 million and £51 million over the lifecycle of the building. This reinforces the argument that the development represents strong value for money when assessed beyond traditional capital cost metrics.</w:t>
      </w:r>
    </w:p>
    <w:p w14:paraId="28CB4AAE"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A key component of this value is the emphasis on local economic retention, with a substantial proportion of the project expenditure expected to be directed towards local contractors, suppliers and labour. This aligns with the principles outlined within the cost plan, where procurement strategies are structured to maximise regional economic benefit. By prioritising local supply chains, the project supports small and medium-sized enterprises (SMEs) and contributes to job creation within the Swansea area. This approach reflects the local multiplier effect, where expenditure within a local economy generates additional indirect and induced economic activity (NEF, 2017).</w:t>
      </w:r>
    </w:p>
    <w:p w14:paraId="19FCBE5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 addition, the project delivers measurable social value through skills development and training opportunities. The inclusion of apprenticeships and practical learning environments ensures that a proportion of the project value is reinvested into workforce development. This is particularly significant given the current skills shortage within the construction industry, with the Construction Industry Training Board (2023) identifying a growing demand for skilled labour by incorporating training into both the construction and operational phases, the project creates long-term economic benefits that extend beyond its immediate use.</w:t>
      </w:r>
    </w:p>
    <w:p w14:paraId="101EF43D"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cost plan also supports social value delivery during the construction phase, where strategies such as the use of local labour, responsible sourcing of materials, and waste reduction measures contribute to both economic and environmental outcomes. Initiatives including the recycling of excavation materials and the reuse or donation of surplus construction materials further enhance the project’s contribution to the local community .</w:t>
      </w:r>
    </w:p>
    <w:p w14:paraId="0E8C7977" w14:textId="77777777" w:rsidR="00C533A8" w:rsidRPr="009E1A59" w:rsidRDefault="00C533A8" w:rsidP="009E1A59">
      <w:pPr>
        <w:spacing w:line="360" w:lineRule="auto"/>
        <w:jc w:val="both"/>
        <w:rPr>
          <w:rFonts w:ascii="Times New Roman" w:hAnsi="Times New Roman" w:cs="Times New Roman"/>
        </w:rPr>
      </w:pPr>
    </w:p>
    <w:p w14:paraId="3E1C91A3"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9" w:name="_Toc229591933"/>
      <w:r w:rsidRPr="009E1A59">
        <w:rPr>
          <w:rFonts w:ascii="Times New Roman" w:hAnsi="Times New Roman" w:cs="Times New Roman"/>
          <w:sz w:val="28"/>
          <w:szCs w:val="28"/>
        </w:rPr>
        <w:t>Conclusion</w:t>
      </w:r>
      <w:bookmarkEnd w:id="9"/>
    </w:p>
    <w:p w14:paraId="690BF806"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social aspects of sustainability are a central part of the proposed landmark building at SA1. Rather than being treated as an add-on, social value is embedded throughout the design and planning process. This is evident in the focus on skills development, local economic benefits, community engagement, and inclusive design.</w:t>
      </w:r>
    </w:p>
    <w:p w14:paraId="0B36E7E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project responds well to both policy requirements and academic understanding of social sustainability, demonstrating how construction projects can deliver wider benefits beyond their primary function. By prioritising people, the development not only meets current needs but also contributes to long-term community wellbeing.</w:t>
      </w:r>
    </w:p>
    <w:p w14:paraId="4FB2C158"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While there are challenges in balancing cost, design, and social outcomes, the strategies proposed provide a strong foundation for delivering meaningful social value. Ultimately, the success of the project will depend on how effectively these ideas are implemented in practice, but the approach taken shows clear alignment with best practice in sustainable construction and through the quantification of social value through the cost plan demonstrates that the development delivers measurable economics and community benefits, reinforcing its overall value to the client.</w:t>
      </w:r>
    </w:p>
    <w:p w14:paraId="5D7FB157" w14:textId="77777777" w:rsidR="00AE0AD2" w:rsidRPr="009E1A59" w:rsidRDefault="00AE0AD2" w:rsidP="009E1A59">
      <w:pPr>
        <w:spacing w:line="360" w:lineRule="auto"/>
        <w:jc w:val="both"/>
        <w:rPr>
          <w:rFonts w:ascii="Times New Roman" w:hAnsi="Times New Roman" w:cs="Times New Roman"/>
        </w:rPr>
      </w:pPr>
    </w:p>
    <w:p w14:paraId="0D900444" w14:textId="77777777" w:rsidR="00AE0AD2" w:rsidRPr="009E1A59" w:rsidRDefault="00AE0AD2" w:rsidP="009E1A59">
      <w:pPr>
        <w:spacing w:line="360" w:lineRule="auto"/>
        <w:jc w:val="both"/>
        <w:rPr>
          <w:rFonts w:ascii="Times New Roman" w:hAnsi="Times New Roman" w:cs="Times New Roman"/>
        </w:rPr>
      </w:pPr>
    </w:p>
    <w:p w14:paraId="4ED2928E" w14:textId="6F40A22D" w:rsidR="00AE0AD2" w:rsidRPr="009E1A59" w:rsidRDefault="00AE0AD2" w:rsidP="009E1A59">
      <w:pPr>
        <w:spacing w:line="360" w:lineRule="auto"/>
        <w:jc w:val="both"/>
        <w:rPr>
          <w:rFonts w:ascii="Times New Roman" w:hAnsi="Times New Roman" w:cs="Times New Roman"/>
        </w:rPr>
        <w:sectPr w:rsidR="00AE0AD2" w:rsidRPr="009E1A59" w:rsidSect="00041F0F">
          <w:headerReference w:type="default"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pPr>
    </w:p>
    <w:p w14:paraId="664115DA" w14:textId="77777777" w:rsidR="00C533A8" w:rsidRPr="009E1A59" w:rsidRDefault="00C533A8" w:rsidP="009E1A59">
      <w:pPr>
        <w:pStyle w:val="Heading2"/>
        <w:numPr>
          <w:ilvl w:val="0"/>
          <w:numId w:val="3"/>
        </w:numPr>
        <w:spacing w:before="0" w:after="0" w:line="360" w:lineRule="auto"/>
        <w:jc w:val="both"/>
        <w:rPr>
          <w:rFonts w:ascii="Times New Roman" w:hAnsi="Times New Roman" w:cs="Times New Roman"/>
          <w:sz w:val="28"/>
          <w:szCs w:val="28"/>
        </w:rPr>
      </w:pPr>
      <w:bookmarkStart w:id="10" w:name="_Toc229591934"/>
      <w:r w:rsidRPr="009E1A59">
        <w:rPr>
          <w:rFonts w:ascii="Times New Roman" w:hAnsi="Times New Roman" w:cs="Times New Roman"/>
          <w:sz w:val="28"/>
          <w:szCs w:val="28"/>
        </w:rPr>
        <w:lastRenderedPageBreak/>
        <w:t>Economic comparisons for the Client</w:t>
      </w:r>
      <w:bookmarkEnd w:id="10"/>
    </w:p>
    <w:p w14:paraId="69F03997"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1" w:name="_Toc229591935"/>
      <w:r w:rsidRPr="009E1A59">
        <w:rPr>
          <w:rFonts w:ascii="Times New Roman" w:hAnsi="Times New Roman" w:cs="Times New Roman"/>
          <w:sz w:val="28"/>
          <w:szCs w:val="28"/>
        </w:rPr>
        <w:t>Introduction</w:t>
      </w:r>
      <w:bookmarkEnd w:id="11"/>
    </w:p>
    <w:p w14:paraId="3FDE3730"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Economic comparison is a critical stage in evaluating the feasibility of the proposed Centre of Excellence for Construction Training at SA1. For the client, ACE Capital Projects Ltd, the preferred solution must balance capital cost, long-term value, and overall project performance. While sustainability and social value are key drivers within the project, these must be supported by a clear economic justification to ensure that the development is financially viable.</w:t>
      </w:r>
    </w:p>
    <w:p w14:paraId="4AF8046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Traditionally, construction decisions have focused on minimising initial capital cost. However, this approach can overlook long-term implications such as operational costs, maintenance, and wider economic benefits. As identified by Ashworth et al. (2013), a more appropriate approach is to consider whole-life value, which evaluates both initial expenditure and long-term returns. This is particularly relevant for this project, where sustainability and social value are embedded within the design strategy.</w:t>
      </w:r>
    </w:p>
    <w:p w14:paraId="27CDC6B3" w14:textId="77777777" w:rsidR="00C533A8" w:rsidRPr="009E1A59" w:rsidRDefault="00C533A8" w:rsidP="009E1A59">
      <w:pPr>
        <w:spacing w:line="360" w:lineRule="auto"/>
        <w:jc w:val="both"/>
        <w:rPr>
          <w:rFonts w:ascii="Times New Roman" w:hAnsi="Times New Roman" w:cs="Times New Roman"/>
          <w:b/>
          <w:bCs/>
          <w:u w:val="single"/>
        </w:rPr>
      </w:pPr>
      <w:r w:rsidRPr="009E1A59">
        <w:rPr>
          <w:rFonts w:ascii="Times New Roman" w:hAnsi="Times New Roman" w:cs="Times New Roman"/>
          <w:b/>
          <w:bCs/>
          <w:u w:val="single"/>
        </w:rPr>
        <w:t>Capital Cost and Selected Option</w:t>
      </w:r>
    </w:p>
    <w:p w14:paraId="1C4C8E5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feasibility study initially identified several design options with varying capital costs. These included:</w:t>
      </w:r>
    </w:p>
    <w:p w14:paraId="3FFDFDE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Option 1 (single storey)</w:t>
      </w:r>
    </w:p>
    <w:p w14:paraId="0E02F771"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Option 2 (two-storey)</w:t>
      </w:r>
    </w:p>
    <w:p w14:paraId="22DB6014"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 xml:space="preserve">Option 3 (three-storey) - </w:t>
      </w:r>
      <w:r w:rsidRPr="009E1A59">
        <w:rPr>
          <w:rFonts w:ascii="Times New Roman" w:hAnsi="Times New Roman" w:cs="Times New Roman"/>
          <w:b/>
          <w:bCs/>
        </w:rPr>
        <w:t>(Selected – Gold Option)</w:t>
      </w:r>
    </w:p>
    <w:p w14:paraId="55019151"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Following evaluation, the three-storey option (Gold standard) has been selected, with a capital cost of approximately £16 million – £16.5 million. Although this represents the highest initial investment, it provides the greatest overall value to the client in terms of functionality, flexibility, and long-term performance.</w:t>
      </w:r>
    </w:p>
    <w:p w14:paraId="3830B72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selection of the Gold option is justified through several key factors:</w:t>
      </w:r>
    </w:p>
    <w:p w14:paraId="3FEF2E22" w14:textId="77777777" w:rsidR="00C533A8" w:rsidRPr="009E1A59" w:rsidRDefault="00C533A8" w:rsidP="009E1A59">
      <w:pPr>
        <w:pStyle w:val="ListParagraph"/>
        <w:numPr>
          <w:ilvl w:val="0"/>
          <w:numId w:val="2"/>
        </w:numPr>
        <w:spacing w:line="360" w:lineRule="auto"/>
        <w:jc w:val="both"/>
        <w:rPr>
          <w:rFonts w:ascii="Times New Roman" w:hAnsi="Times New Roman" w:cs="Times New Roman"/>
        </w:rPr>
      </w:pPr>
      <w:r w:rsidRPr="009E1A59">
        <w:rPr>
          <w:rFonts w:ascii="Times New Roman" w:hAnsi="Times New Roman" w:cs="Times New Roman"/>
        </w:rPr>
        <w:t>Improved space efficiency – maximises use of the available site footprint</w:t>
      </w:r>
    </w:p>
    <w:p w14:paraId="55C99575" w14:textId="77777777" w:rsidR="00C533A8" w:rsidRPr="009E1A59" w:rsidRDefault="00C533A8" w:rsidP="009E1A59">
      <w:pPr>
        <w:pStyle w:val="ListParagraph"/>
        <w:numPr>
          <w:ilvl w:val="0"/>
          <w:numId w:val="2"/>
        </w:numPr>
        <w:spacing w:line="360" w:lineRule="auto"/>
        <w:jc w:val="both"/>
        <w:rPr>
          <w:rFonts w:ascii="Times New Roman" w:hAnsi="Times New Roman" w:cs="Times New Roman"/>
        </w:rPr>
      </w:pPr>
      <w:r w:rsidRPr="009E1A59">
        <w:rPr>
          <w:rFonts w:ascii="Times New Roman" w:hAnsi="Times New Roman" w:cs="Times New Roman"/>
        </w:rPr>
        <w:t>Enhanced functionality – accommodates additional teaching, workshop and research spaces</w:t>
      </w:r>
    </w:p>
    <w:p w14:paraId="317791CE" w14:textId="77777777" w:rsidR="00C533A8" w:rsidRPr="009E1A59" w:rsidRDefault="00C533A8" w:rsidP="009E1A59">
      <w:pPr>
        <w:pStyle w:val="ListParagraph"/>
        <w:numPr>
          <w:ilvl w:val="0"/>
          <w:numId w:val="2"/>
        </w:numPr>
        <w:spacing w:line="360" w:lineRule="auto"/>
        <w:jc w:val="both"/>
        <w:rPr>
          <w:rFonts w:ascii="Times New Roman" w:hAnsi="Times New Roman" w:cs="Times New Roman"/>
        </w:rPr>
      </w:pPr>
      <w:r w:rsidRPr="009E1A59">
        <w:rPr>
          <w:rFonts w:ascii="Times New Roman" w:hAnsi="Times New Roman" w:cs="Times New Roman"/>
        </w:rPr>
        <w:t>Future adaptability – allows for expansion and changing educational requirements</w:t>
      </w:r>
    </w:p>
    <w:p w14:paraId="53215FAE" w14:textId="77777777" w:rsidR="00C533A8" w:rsidRPr="009E1A59" w:rsidRDefault="00C533A8" w:rsidP="009E1A59">
      <w:pPr>
        <w:pStyle w:val="ListParagraph"/>
        <w:numPr>
          <w:ilvl w:val="0"/>
          <w:numId w:val="2"/>
        </w:numPr>
        <w:spacing w:line="360" w:lineRule="auto"/>
        <w:jc w:val="both"/>
        <w:rPr>
          <w:rFonts w:ascii="Times New Roman" w:hAnsi="Times New Roman" w:cs="Times New Roman"/>
        </w:rPr>
      </w:pPr>
      <w:r w:rsidRPr="009E1A59">
        <w:rPr>
          <w:rFonts w:ascii="Times New Roman" w:hAnsi="Times New Roman" w:cs="Times New Roman"/>
        </w:rPr>
        <w:lastRenderedPageBreak/>
        <w:t>Alignment with sustainability targets – supports higher environmental and social performance standards</w:t>
      </w:r>
    </w:p>
    <w:p w14:paraId="426079DE"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While the lower-cost options reduce initial expenditure, they limit the building’s capacity and long-term usability, which may result in higher costs over time due to future expansion or modification.</w:t>
      </w:r>
    </w:p>
    <w:p w14:paraId="0A300375"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A whole-life cost (WLC) approach has been adopted to ensure that the selected option provides value over the building’s lifespan. Whole-life costing considers not only capital cost, but also operational, maintenance, and replacement costs (ISO 15686-5, 2017).</w:t>
      </w:r>
    </w:p>
    <w:p w14:paraId="6F014FC1"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Gold option incorporates several features that contribute to long-term cost savings, including:</w:t>
      </w:r>
    </w:p>
    <w:p w14:paraId="205D9E6B" w14:textId="77777777" w:rsidR="00C533A8" w:rsidRPr="009E1A59" w:rsidRDefault="00C533A8" w:rsidP="009E1A59">
      <w:pPr>
        <w:pStyle w:val="ListParagraph"/>
        <w:numPr>
          <w:ilvl w:val="0"/>
          <w:numId w:val="9"/>
        </w:numPr>
        <w:spacing w:line="360" w:lineRule="auto"/>
        <w:jc w:val="both"/>
        <w:rPr>
          <w:rFonts w:ascii="Times New Roman" w:hAnsi="Times New Roman" w:cs="Times New Roman"/>
        </w:rPr>
      </w:pPr>
      <w:r w:rsidRPr="009E1A59">
        <w:rPr>
          <w:rFonts w:ascii="Times New Roman" w:hAnsi="Times New Roman" w:cs="Times New Roman"/>
        </w:rPr>
        <w:t>High-performance building envelope</w:t>
      </w:r>
    </w:p>
    <w:p w14:paraId="429339BA" w14:textId="77777777" w:rsidR="00C533A8" w:rsidRPr="009E1A59" w:rsidRDefault="00C533A8" w:rsidP="009E1A59">
      <w:pPr>
        <w:pStyle w:val="ListParagraph"/>
        <w:numPr>
          <w:ilvl w:val="0"/>
          <w:numId w:val="9"/>
        </w:numPr>
        <w:spacing w:line="360" w:lineRule="auto"/>
        <w:jc w:val="both"/>
        <w:rPr>
          <w:rFonts w:ascii="Times New Roman" w:hAnsi="Times New Roman" w:cs="Times New Roman"/>
        </w:rPr>
      </w:pPr>
      <w:r w:rsidRPr="009E1A59">
        <w:rPr>
          <w:rFonts w:ascii="Times New Roman" w:hAnsi="Times New Roman" w:cs="Times New Roman"/>
        </w:rPr>
        <w:t>Renewable energy systems (solar PV and heat pumps)</w:t>
      </w:r>
    </w:p>
    <w:p w14:paraId="251A59A8" w14:textId="77777777" w:rsidR="00C533A8" w:rsidRPr="009E1A59" w:rsidRDefault="00C533A8" w:rsidP="009E1A59">
      <w:pPr>
        <w:pStyle w:val="ListParagraph"/>
        <w:numPr>
          <w:ilvl w:val="0"/>
          <w:numId w:val="9"/>
        </w:numPr>
        <w:spacing w:line="360" w:lineRule="auto"/>
        <w:jc w:val="both"/>
        <w:rPr>
          <w:rFonts w:ascii="Times New Roman" w:hAnsi="Times New Roman" w:cs="Times New Roman"/>
        </w:rPr>
      </w:pPr>
      <w:r w:rsidRPr="009E1A59">
        <w:rPr>
          <w:rFonts w:ascii="Times New Roman" w:hAnsi="Times New Roman" w:cs="Times New Roman"/>
        </w:rPr>
        <w:t>Smart building management systems</w:t>
      </w:r>
    </w:p>
    <w:p w14:paraId="7EEE47A3"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These features reduce energy consumption and operational costs. According to the UK Green Building Council (2019), sustainable buildings can reduce operational costs by up to 30%, which significantly offsets the higher initial investment.</w:t>
      </w:r>
    </w:p>
    <w:p w14:paraId="163F2E9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 addition, the use of durable materials and well-planned service routes reduces maintenance requirements. Ashworth et al. (2013) highlight that maintenance costs can form a large proportion of total lifecycle expenditure, making early design decisions critical.</w:t>
      </w:r>
    </w:p>
    <w:p w14:paraId="10EBA37D" w14:textId="77777777" w:rsidR="00C533A8" w:rsidRPr="009E1A59" w:rsidRDefault="00C533A8" w:rsidP="009E1A59">
      <w:pPr>
        <w:spacing w:line="360" w:lineRule="auto"/>
        <w:jc w:val="both"/>
        <w:rPr>
          <w:rFonts w:ascii="Times New Roman" w:hAnsi="Times New Roman" w:cs="Times New Roman"/>
        </w:rPr>
      </w:pPr>
    </w:p>
    <w:p w14:paraId="3AEBA836"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2" w:name="_Toc229591936"/>
      <w:r w:rsidRPr="009E1A59">
        <w:rPr>
          <w:rFonts w:ascii="Times New Roman" w:hAnsi="Times New Roman" w:cs="Times New Roman"/>
          <w:sz w:val="28"/>
          <w:szCs w:val="28"/>
        </w:rPr>
        <w:t>Construction Methods and Programme Efficiency</w:t>
      </w:r>
      <w:bookmarkEnd w:id="12"/>
    </w:p>
    <w:p w14:paraId="7DA0E320"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selected gold option adopts a hybrid construction approach, combining:</w:t>
      </w:r>
    </w:p>
    <w:p w14:paraId="203635B8"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Steel frame structure for strength and flexibility</w:t>
      </w:r>
    </w:p>
    <w:p w14:paraId="5AB78751"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Modular construction for classrooms and welfare areas</w:t>
      </w:r>
    </w:p>
    <w:p w14:paraId="4DCF2676" w14:textId="77777777" w:rsidR="00C533A8" w:rsidRPr="009E1A59" w:rsidRDefault="00C533A8" w:rsidP="009E1A59">
      <w:pPr>
        <w:pStyle w:val="ListParagraph"/>
        <w:numPr>
          <w:ilvl w:val="0"/>
          <w:numId w:val="1"/>
        </w:numPr>
        <w:spacing w:line="360" w:lineRule="auto"/>
        <w:jc w:val="both"/>
        <w:rPr>
          <w:rFonts w:ascii="Times New Roman" w:hAnsi="Times New Roman" w:cs="Times New Roman"/>
        </w:rPr>
      </w:pPr>
      <w:r w:rsidRPr="009E1A59">
        <w:rPr>
          <w:rFonts w:ascii="Times New Roman" w:hAnsi="Times New Roman" w:cs="Times New Roman"/>
        </w:rPr>
        <w:t>Timber elements to reduce embodied carbon</w:t>
      </w:r>
    </w:p>
    <w:p w14:paraId="1F035642"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This approach provides both economic and programme advantages. Modular construction reduces on-site time, improving efficiency and reducing labour costs. The proposed programme of approximately 68 weeks remains within the available timeframe , allowing for efficient project delivery.</w:t>
      </w:r>
    </w:p>
    <w:p w14:paraId="5E10F033"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Shorter construction programmes can reduce costs through:</w:t>
      </w:r>
    </w:p>
    <w:p w14:paraId="4ADBC6A5" w14:textId="77777777" w:rsidR="00C533A8" w:rsidRPr="009E1A59" w:rsidRDefault="00C533A8" w:rsidP="009E1A59">
      <w:pPr>
        <w:pStyle w:val="ListParagraph"/>
        <w:numPr>
          <w:ilvl w:val="0"/>
          <w:numId w:val="14"/>
        </w:numPr>
        <w:spacing w:line="360" w:lineRule="auto"/>
        <w:jc w:val="both"/>
        <w:rPr>
          <w:rFonts w:ascii="Times New Roman" w:hAnsi="Times New Roman" w:cs="Times New Roman"/>
        </w:rPr>
      </w:pPr>
      <w:r w:rsidRPr="009E1A59">
        <w:rPr>
          <w:rFonts w:ascii="Times New Roman" w:hAnsi="Times New Roman" w:cs="Times New Roman"/>
        </w:rPr>
        <w:t>Lower preliminaries and site overheads</w:t>
      </w:r>
    </w:p>
    <w:p w14:paraId="6C6073EB" w14:textId="77777777" w:rsidR="00C533A8" w:rsidRPr="009E1A59" w:rsidRDefault="00C533A8" w:rsidP="009E1A59">
      <w:pPr>
        <w:pStyle w:val="ListParagraph"/>
        <w:numPr>
          <w:ilvl w:val="0"/>
          <w:numId w:val="14"/>
        </w:numPr>
        <w:spacing w:line="360" w:lineRule="auto"/>
        <w:jc w:val="both"/>
        <w:rPr>
          <w:rFonts w:ascii="Times New Roman" w:hAnsi="Times New Roman" w:cs="Times New Roman"/>
        </w:rPr>
      </w:pPr>
      <w:r w:rsidRPr="009E1A59">
        <w:rPr>
          <w:rFonts w:ascii="Times New Roman" w:hAnsi="Times New Roman" w:cs="Times New Roman"/>
        </w:rPr>
        <w:t>Reduced labour requirements</w:t>
      </w:r>
    </w:p>
    <w:p w14:paraId="4B4BDF41" w14:textId="77777777" w:rsidR="00C533A8" w:rsidRPr="009E1A59" w:rsidRDefault="00C533A8" w:rsidP="009E1A59">
      <w:pPr>
        <w:pStyle w:val="ListParagraph"/>
        <w:numPr>
          <w:ilvl w:val="0"/>
          <w:numId w:val="14"/>
        </w:numPr>
        <w:spacing w:line="360" w:lineRule="auto"/>
        <w:jc w:val="both"/>
        <w:rPr>
          <w:rFonts w:ascii="Times New Roman" w:hAnsi="Times New Roman" w:cs="Times New Roman"/>
        </w:rPr>
      </w:pPr>
      <w:r w:rsidRPr="009E1A59">
        <w:rPr>
          <w:rFonts w:ascii="Times New Roman" w:hAnsi="Times New Roman" w:cs="Times New Roman"/>
        </w:rPr>
        <w:t>Earlier building operation and use</w:t>
      </w:r>
    </w:p>
    <w:p w14:paraId="38C09535"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However, it is important that programme efficiency does not compromise quality or increase risk.</w:t>
      </w:r>
    </w:p>
    <w:p w14:paraId="4F28EEDD" w14:textId="77777777" w:rsidR="00C533A8" w:rsidRPr="009E1A59" w:rsidRDefault="00C533A8" w:rsidP="009E1A59">
      <w:pPr>
        <w:spacing w:line="360" w:lineRule="auto"/>
        <w:jc w:val="both"/>
        <w:rPr>
          <w:rFonts w:ascii="Times New Roman" w:hAnsi="Times New Roman" w:cs="Times New Roman"/>
        </w:rPr>
      </w:pPr>
    </w:p>
    <w:p w14:paraId="7060819A"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3" w:name="_Toc229591937"/>
      <w:r w:rsidRPr="009E1A59">
        <w:rPr>
          <w:rFonts w:ascii="Times New Roman" w:hAnsi="Times New Roman" w:cs="Times New Roman"/>
          <w:sz w:val="28"/>
          <w:szCs w:val="28"/>
        </w:rPr>
        <w:t>Social Value as an Economic Justification</w:t>
      </w:r>
      <w:bookmarkEnd w:id="13"/>
    </w:p>
    <w:p w14:paraId="4158F1AC"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A key factor in selecting the gold option is its ability to deliver enhanced social value, which strengthens the overall economic case for the project. Social value represents the wider economic and community benefits generated by the development, including employment, skills development, and local economic growth (Colantonio and Dixon, 2010).</w:t>
      </w:r>
    </w:p>
    <w:p w14:paraId="0C3C2FB9"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feasibility study indicates that for every £1 invested, approximately £2.20 of social value can be generated . Based on a capital cost of approximately £23 million, this suggests a potential social value output of over £50 million across the lifecycle of the project.</w:t>
      </w:r>
    </w:p>
    <w:p w14:paraId="7BFF96AF"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Gold option enhances this value through:</w:t>
      </w:r>
    </w:p>
    <w:p w14:paraId="1744A68C" w14:textId="77777777" w:rsidR="00C533A8" w:rsidRPr="009E1A59" w:rsidRDefault="00C533A8" w:rsidP="009E1A59">
      <w:pPr>
        <w:pStyle w:val="ListParagraph"/>
        <w:numPr>
          <w:ilvl w:val="0"/>
          <w:numId w:val="6"/>
        </w:numPr>
        <w:spacing w:line="360" w:lineRule="auto"/>
        <w:jc w:val="both"/>
        <w:rPr>
          <w:rFonts w:ascii="Times New Roman" w:hAnsi="Times New Roman" w:cs="Times New Roman"/>
        </w:rPr>
      </w:pPr>
      <w:r w:rsidRPr="009E1A59">
        <w:rPr>
          <w:rFonts w:ascii="Times New Roman" w:hAnsi="Times New Roman" w:cs="Times New Roman"/>
        </w:rPr>
        <w:t>Increased training capacity and educational facilities</w:t>
      </w:r>
    </w:p>
    <w:p w14:paraId="3FB5FCC9" w14:textId="77777777" w:rsidR="00C533A8" w:rsidRPr="009E1A59" w:rsidRDefault="00C533A8" w:rsidP="009E1A59">
      <w:pPr>
        <w:pStyle w:val="ListParagraph"/>
        <w:numPr>
          <w:ilvl w:val="0"/>
          <w:numId w:val="6"/>
        </w:numPr>
        <w:spacing w:line="360" w:lineRule="auto"/>
        <w:jc w:val="both"/>
        <w:rPr>
          <w:rFonts w:ascii="Times New Roman" w:hAnsi="Times New Roman" w:cs="Times New Roman"/>
        </w:rPr>
      </w:pPr>
      <w:r w:rsidRPr="009E1A59">
        <w:rPr>
          <w:rFonts w:ascii="Times New Roman" w:hAnsi="Times New Roman" w:cs="Times New Roman"/>
        </w:rPr>
        <w:t>Greater opportunities for apprenticeships and skills development</w:t>
      </w:r>
    </w:p>
    <w:p w14:paraId="43AF8023" w14:textId="77777777" w:rsidR="00C533A8" w:rsidRPr="009E1A59" w:rsidRDefault="00C533A8" w:rsidP="009E1A59">
      <w:pPr>
        <w:pStyle w:val="ListParagraph"/>
        <w:numPr>
          <w:ilvl w:val="0"/>
          <w:numId w:val="6"/>
        </w:numPr>
        <w:spacing w:line="360" w:lineRule="auto"/>
        <w:jc w:val="both"/>
        <w:rPr>
          <w:rFonts w:ascii="Times New Roman" w:hAnsi="Times New Roman" w:cs="Times New Roman"/>
        </w:rPr>
      </w:pPr>
      <w:r w:rsidRPr="009E1A59">
        <w:rPr>
          <w:rFonts w:ascii="Times New Roman" w:hAnsi="Times New Roman" w:cs="Times New Roman"/>
        </w:rPr>
        <w:t>Expanded collaboration with industry partners</w:t>
      </w:r>
    </w:p>
    <w:p w14:paraId="3ED3A5BE" w14:textId="77777777" w:rsidR="00C533A8" w:rsidRPr="009E1A59" w:rsidRDefault="00C533A8" w:rsidP="009E1A59">
      <w:pPr>
        <w:pStyle w:val="ListParagraph"/>
        <w:numPr>
          <w:ilvl w:val="0"/>
          <w:numId w:val="6"/>
        </w:numPr>
        <w:spacing w:line="360" w:lineRule="auto"/>
        <w:jc w:val="both"/>
        <w:rPr>
          <w:rFonts w:ascii="Times New Roman" w:hAnsi="Times New Roman" w:cs="Times New Roman"/>
        </w:rPr>
      </w:pPr>
      <w:r w:rsidRPr="009E1A59">
        <w:rPr>
          <w:rFonts w:ascii="Times New Roman" w:hAnsi="Times New Roman" w:cs="Times New Roman"/>
        </w:rPr>
        <w:t>Higher levels of community engagement</w:t>
      </w:r>
    </w:p>
    <w:p w14:paraId="588A3A7F" w14:textId="77777777" w:rsidR="00C533A8" w:rsidRPr="009E1A59" w:rsidRDefault="00C533A8" w:rsidP="009E1A59">
      <w:pPr>
        <w:spacing w:line="360" w:lineRule="auto"/>
        <w:jc w:val="both"/>
        <w:rPr>
          <w:rFonts w:ascii="Times New Roman" w:hAnsi="Times New Roman" w:cs="Times New Roman"/>
        </w:rPr>
      </w:pPr>
    </w:p>
    <w:p w14:paraId="49F2F71F"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In addition, the project prioritises local supply chain engagement, ensuring that a significant proportion of expenditure remains within the regional economy. This supports job creation and contributes to economic resilience. This aligns with the local multiplier effect, where local spending generates further economic activity (NEF, 2017).</w:t>
      </w:r>
    </w:p>
    <w:p w14:paraId="08FF4A10"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While the Gold option involves higher initial cost, it delivers greater long-term value by maximising both economic and social returns. This demonstrates that the selected option is not only financially viable but also aligned with the client’s wider objectives.</w:t>
      </w:r>
    </w:p>
    <w:p w14:paraId="44C90D92" w14:textId="77777777" w:rsidR="00C533A8" w:rsidRPr="009E1A59" w:rsidRDefault="00C533A8" w:rsidP="009E1A59">
      <w:pPr>
        <w:spacing w:line="360" w:lineRule="auto"/>
        <w:jc w:val="both"/>
        <w:rPr>
          <w:rFonts w:ascii="Times New Roman" w:hAnsi="Times New Roman" w:cs="Times New Roman"/>
        </w:rPr>
      </w:pPr>
    </w:p>
    <w:p w14:paraId="701A77FF"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4" w:name="_Toc229591938"/>
      <w:r w:rsidRPr="009E1A59">
        <w:rPr>
          <w:rFonts w:ascii="Times New Roman" w:hAnsi="Times New Roman" w:cs="Times New Roman"/>
          <w:sz w:val="28"/>
          <w:szCs w:val="28"/>
        </w:rPr>
        <w:lastRenderedPageBreak/>
        <w:t>Funding Strategy and Financial Viability</w:t>
      </w:r>
      <w:bookmarkEnd w:id="14"/>
    </w:p>
    <w:p w14:paraId="427A694C"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project adopts a multi-source funding approach, including:</w:t>
      </w:r>
    </w:p>
    <w:p w14:paraId="6D266598" w14:textId="77777777" w:rsidR="00C533A8" w:rsidRPr="009E1A59" w:rsidRDefault="00C533A8" w:rsidP="009E1A59">
      <w:pPr>
        <w:pStyle w:val="ListParagraph"/>
        <w:numPr>
          <w:ilvl w:val="0"/>
          <w:numId w:val="7"/>
        </w:numPr>
        <w:spacing w:line="360" w:lineRule="auto"/>
        <w:jc w:val="both"/>
        <w:rPr>
          <w:rFonts w:ascii="Times New Roman" w:hAnsi="Times New Roman" w:cs="Times New Roman"/>
        </w:rPr>
      </w:pPr>
      <w:r w:rsidRPr="009E1A59">
        <w:rPr>
          <w:rFonts w:ascii="Times New Roman" w:hAnsi="Times New Roman" w:cs="Times New Roman"/>
        </w:rPr>
        <w:t>Client capital investment</w:t>
      </w:r>
    </w:p>
    <w:p w14:paraId="75146204" w14:textId="77777777" w:rsidR="00C533A8" w:rsidRPr="009E1A59" w:rsidRDefault="00C533A8" w:rsidP="009E1A59">
      <w:pPr>
        <w:pStyle w:val="ListParagraph"/>
        <w:numPr>
          <w:ilvl w:val="0"/>
          <w:numId w:val="7"/>
        </w:numPr>
        <w:spacing w:line="360" w:lineRule="auto"/>
        <w:jc w:val="both"/>
        <w:rPr>
          <w:rFonts w:ascii="Times New Roman" w:hAnsi="Times New Roman" w:cs="Times New Roman"/>
        </w:rPr>
      </w:pPr>
      <w:r w:rsidRPr="009E1A59">
        <w:rPr>
          <w:rFonts w:ascii="Times New Roman" w:hAnsi="Times New Roman" w:cs="Times New Roman"/>
        </w:rPr>
        <w:t>Government grants</w:t>
      </w:r>
    </w:p>
    <w:p w14:paraId="2A011F94" w14:textId="77777777" w:rsidR="00C533A8" w:rsidRPr="009E1A59" w:rsidRDefault="00C533A8" w:rsidP="009E1A59">
      <w:pPr>
        <w:pStyle w:val="ListParagraph"/>
        <w:numPr>
          <w:ilvl w:val="0"/>
          <w:numId w:val="7"/>
        </w:numPr>
        <w:spacing w:line="360" w:lineRule="auto"/>
        <w:jc w:val="both"/>
        <w:rPr>
          <w:rFonts w:ascii="Times New Roman" w:hAnsi="Times New Roman" w:cs="Times New Roman"/>
        </w:rPr>
      </w:pPr>
      <w:r w:rsidRPr="009E1A59">
        <w:rPr>
          <w:rFonts w:ascii="Times New Roman" w:hAnsi="Times New Roman" w:cs="Times New Roman"/>
        </w:rPr>
        <w:t>Industry partnerships</w:t>
      </w:r>
    </w:p>
    <w:p w14:paraId="08252871" w14:textId="77777777" w:rsidR="00C533A8" w:rsidRPr="009E1A59" w:rsidRDefault="00C533A8" w:rsidP="009E1A59">
      <w:pPr>
        <w:pStyle w:val="ListParagraph"/>
        <w:spacing w:line="360" w:lineRule="auto"/>
        <w:jc w:val="both"/>
        <w:rPr>
          <w:rFonts w:ascii="Times New Roman" w:hAnsi="Times New Roman" w:cs="Times New Roman"/>
        </w:rPr>
      </w:pPr>
    </w:p>
    <w:p w14:paraId="148D28F5"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Government funding is particularly relevant due to the project’s focus on skills development and sustainability, which aligns with national policy objectives. Industry partnerships also provide in-kind contributions, reducing overall costs while enhancing the building’s functionality. This approach improves financial viability and reduces risk for the client.</w:t>
      </w:r>
    </w:p>
    <w:p w14:paraId="0668F16F" w14:textId="77777777" w:rsidR="00C533A8" w:rsidRPr="009E1A59" w:rsidRDefault="00C533A8" w:rsidP="009E1A59">
      <w:pPr>
        <w:spacing w:line="360" w:lineRule="auto"/>
        <w:jc w:val="both"/>
        <w:rPr>
          <w:rFonts w:ascii="Times New Roman" w:hAnsi="Times New Roman" w:cs="Times New Roman"/>
        </w:rPr>
      </w:pPr>
    </w:p>
    <w:p w14:paraId="0302EC2C"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5" w:name="_Toc229591939"/>
      <w:r w:rsidRPr="009E1A59">
        <w:rPr>
          <w:rFonts w:ascii="Times New Roman" w:hAnsi="Times New Roman" w:cs="Times New Roman"/>
          <w:sz w:val="28"/>
          <w:szCs w:val="28"/>
        </w:rPr>
        <w:t>Risk and Economic Considerations</w:t>
      </w:r>
      <w:bookmarkEnd w:id="15"/>
    </w:p>
    <w:p w14:paraId="222AF3FB"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Despite the strong economic case, there are various risks which must be considered including:</w:t>
      </w:r>
    </w:p>
    <w:p w14:paraId="64DEAD2A" w14:textId="77777777" w:rsidR="00C533A8" w:rsidRPr="009E1A59" w:rsidRDefault="00C533A8" w:rsidP="009E1A59">
      <w:pPr>
        <w:pStyle w:val="ListParagraph"/>
        <w:numPr>
          <w:ilvl w:val="0"/>
          <w:numId w:val="8"/>
        </w:numPr>
        <w:spacing w:line="360" w:lineRule="auto"/>
        <w:jc w:val="both"/>
        <w:rPr>
          <w:rFonts w:ascii="Times New Roman" w:hAnsi="Times New Roman" w:cs="Times New Roman"/>
        </w:rPr>
      </w:pPr>
      <w:r w:rsidRPr="009E1A59">
        <w:rPr>
          <w:rFonts w:ascii="Times New Roman" w:hAnsi="Times New Roman" w:cs="Times New Roman"/>
        </w:rPr>
        <w:t>Construction cost inflation</w:t>
      </w:r>
    </w:p>
    <w:p w14:paraId="4DA611F4" w14:textId="77777777" w:rsidR="00C533A8" w:rsidRPr="009E1A59" w:rsidRDefault="00C533A8" w:rsidP="009E1A59">
      <w:pPr>
        <w:pStyle w:val="ListParagraph"/>
        <w:numPr>
          <w:ilvl w:val="0"/>
          <w:numId w:val="8"/>
        </w:numPr>
        <w:spacing w:line="360" w:lineRule="auto"/>
        <w:jc w:val="both"/>
        <w:rPr>
          <w:rFonts w:ascii="Times New Roman" w:hAnsi="Times New Roman" w:cs="Times New Roman"/>
        </w:rPr>
      </w:pPr>
      <w:r w:rsidRPr="009E1A59">
        <w:rPr>
          <w:rFonts w:ascii="Times New Roman" w:hAnsi="Times New Roman" w:cs="Times New Roman"/>
        </w:rPr>
        <w:t>Supply chain uncertainty</w:t>
      </w:r>
    </w:p>
    <w:p w14:paraId="770B947B" w14:textId="77777777" w:rsidR="00C533A8" w:rsidRPr="009E1A59" w:rsidRDefault="00C533A8" w:rsidP="009E1A59">
      <w:pPr>
        <w:pStyle w:val="ListParagraph"/>
        <w:numPr>
          <w:ilvl w:val="0"/>
          <w:numId w:val="8"/>
        </w:numPr>
        <w:spacing w:line="360" w:lineRule="auto"/>
        <w:jc w:val="both"/>
        <w:rPr>
          <w:rFonts w:ascii="Times New Roman" w:hAnsi="Times New Roman" w:cs="Times New Roman"/>
        </w:rPr>
      </w:pPr>
      <w:r w:rsidRPr="009E1A59">
        <w:rPr>
          <w:rFonts w:ascii="Times New Roman" w:hAnsi="Times New Roman" w:cs="Times New Roman"/>
        </w:rPr>
        <w:t>Programme delays</w:t>
      </w:r>
    </w:p>
    <w:p w14:paraId="124C2088" w14:textId="77777777" w:rsidR="00C533A8" w:rsidRPr="009E1A59" w:rsidRDefault="00C533A8" w:rsidP="009E1A59">
      <w:pPr>
        <w:pStyle w:val="ListParagraph"/>
        <w:numPr>
          <w:ilvl w:val="0"/>
          <w:numId w:val="8"/>
        </w:numPr>
        <w:spacing w:line="360" w:lineRule="auto"/>
        <w:jc w:val="both"/>
        <w:rPr>
          <w:rFonts w:ascii="Times New Roman" w:hAnsi="Times New Roman" w:cs="Times New Roman"/>
        </w:rPr>
      </w:pPr>
      <w:r w:rsidRPr="009E1A59">
        <w:rPr>
          <w:rFonts w:ascii="Times New Roman" w:hAnsi="Times New Roman" w:cs="Times New Roman"/>
        </w:rPr>
        <w:t>Funding availability</w:t>
      </w:r>
    </w:p>
    <w:p w14:paraId="0D88BFFA" w14:textId="77777777" w:rsidR="00C533A8" w:rsidRPr="009E1A59" w:rsidRDefault="00C533A8" w:rsidP="009E1A59">
      <w:pPr>
        <w:spacing w:line="360" w:lineRule="auto"/>
        <w:jc w:val="both"/>
        <w:rPr>
          <w:rFonts w:ascii="Times New Roman" w:hAnsi="Times New Roman" w:cs="Times New Roman"/>
        </w:rPr>
      </w:pPr>
    </w:p>
    <w:p w14:paraId="523980A2"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Recent industry trends have shown significant fluctuations in construction costs, highlighting the importance of contingency planning (BCIS, 2024). However, the selection of the gold option provides greater flexibility and resilience, reducing the likelihood of costly future adaptations.</w:t>
      </w:r>
    </w:p>
    <w:p w14:paraId="0308A424" w14:textId="77777777" w:rsidR="00C533A8" w:rsidRPr="009E1A59" w:rsidRDefault="00C533A8" w:rsidP="009E1A59">
      <w:pPr>
        <w:spacing w:line="360" w:lineRule="auto"/>
        <w:jc w:val="both"/>
        <w:rPr>
          <w:rFonts w:ascii="Times New Roman" w:hAnsi="Times New Roman" w:cs="Times New Roman"/>
        </w:rPr>
      </w:pPr>
    </w:p>
    <w:p w14:paraId="7D8DB205"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6" w:name="_Toc229591940"/>
      <w:r w:rsidRPr="009E1A59">
        <w:rPr>
          <w:rFonts w:ascii="Times New Roman" w:hAnsi="Times New Roman" w:cs="Times New Roman"/>
          <w:sz w:val="28"/>
          <w:szCs w:val="28"/>
        </w:rPr>
        <w:t>Conclusion</w:t>
      </w:r>
      <w:bookmarkEnd w:id="16"/>
    </w:p>
    <w:p w14:paraId="7C9FEDC9" w14:textId="77777777" w:rsidR="00D97244"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 xml:space="preserve">The economic comparison demonstrates that the gold option provides the most suitable solution for the client. Although it represents the highest initial investment, it delivers the greatest overall value in terms of functionality, sustainability, and social impact. By adopting a whole-life cost approach and integrating social value into the economic assessment, the project </w:t>
      </w:r>
      <w:r w:rsidRPr="009E1A59">
        <w:rPr>
          <w:rFonts w:ascii="Times New Roman" w:hAnsi="Times New Roman" w:cs="Times New Roman"/>
        </w:rPr>
        <w:lastRenderedPageBreak/>
        <w:t>provides a strong business case that aligns with both client objectives and wider policy requirements. The selected option therefore represents a balanced and future-proof solution</w:t>
      </w:r>
      <w:r w:rsidR="001252C8" w:rsidRPr="009E1A59">
        <w:rPr>
          <w:rFonts w:ascii="Times New Roman" w:hAnsi="Times New Roman" w:cs="Times New Roman"/>
        </w:rPr>
        <w:t>.</w:t>
      </w:r>
    </w:p>
    <w:p w14:paraId="6DC8E61B" w14:textId="77777777" w:rsidR="00AE0AD2" w:rsidRPr="009E1A59" w:rsidRDefault="00AE0AD2" w:rsidP="009E1A59">
      <w:pPr>
        <w:spacing w:line="360" w:lineRule="auto"/>
        <w:jc w:val="both"/>
        <w:rPr>
          <w:rFonts w:ascii="Times New Roman" w:hAnsi="Times New Roman" w:cs="Times New Roman"/>
        </w:rPr>
      </w:pPr>
    </w:p>
    <w:p w14:paraId="1224A9CB" w14:textId="77777777" w:rsidR="00AE0AD2" w:rsidRPr="009E1A59" w:rsidRDefault="00AE0AD2" w:rsidP="009E1A59">
      <w:pPr>
        <w:spacing w:line="360" w:lineRule="auto"/>
        <w:jc w:val="both"/>
        <w:rPr>
          <w:rFonts w:ascii="Times New Roman" w:hAnsi="Times New Roman" w:cs="Times New Roman"/>
        </w:rPr>
      </w:pPr>
    </w:p>
    <w:p w14:paraId="49BE8FA9" w14:textId="77777777" w:rsidR="00AE0AD2" w:rsidRPr="009E1A59" w:rsidRDefault="00AE0AD2" w:rsidP="009E1A59">
      <w:pPr>
        <w:spacing w:line="360" w:lineRule="auto"/>
        <w:jc w:val="both"/>
        <w:rPr>
          <w:rFonts w:ascii="Times New Roman" w:hAnsi="Times New Roman" w:cs="Times New Roman"/>
        </w:rPr>
      </w:pPr>
    </w:p>
    <w:p w14:paraId="0DFCA78F" w14:textId="2E58316D" w:rsidR="00AE0AD2" w:rsidRPr="009E1A59" w:rsidRDefault="00AE0AD2" w:rsidP="009E1A59">
      <w:pPr>
        <w:spacing w:line="360" w:lineRule="auto"/>
        <w:jc w:val="both"/>
        <w:rPr>
          <w:rFonts w:ascii="Times New Roman" w:hAnsi="Times New Roman" w:cs="Times New Roman"/>
        </w:rPr>
        <w:sectPr w:rsidR="00AE0AD2" w:rsidRPr="009E1A59" w:rsidSect="00041F0F">
          <w:pgSz w:w="11906" w:h="16838"/>
          <w:pgMar w:top="1440" w:right="1440" w:bottom="1440" w:left="1440" w:header="708" w:footer="708" w:gutter="0"/>
          <w:pgNumType w:start="0"/>
          <w:cols w:space="708"/>
          <w:titlePg/>
          <w:docGrid w:linePitch="360"/>
        </w:sectPr>
      </w:pPr>
    </w:p>
    <w:p w14:paraId="787C2762" w14:textId="77777777" w:rsidR="00C533A8" w:rsidRPr="009E1A59" w:rsidRDefault="00C533A8" w:rsidP="009E1A59">
      <w:pPr>
        <w:pStyle w:val="Heading2"/>
        <w:numPr>
          <w:ilvl w:val="0"/>
          <w:numId w:val="3"/>
        </w:numPr>
        <w:spacing w:before="0" w:after="0" w:line="360" w:lineRule="auto"/>
        <w:jc w:val="both"/>
        <w:rPr>
          <w:rFonts w:ascii="Times New Roman" w:hAnsi="Times New Roman" w:cs="Times New Roman"/>
          <w:sz w:val="28"/>
          <w:szCs w:val="28"/>
        </w:rPr>
      </w:pPr>
      <w:bookmarkStart w:id="17" w:name="_Toc229591941"/>
      <w:r w:rsidRPr="009E1A59">
        <w:rPr>
          <w:rFonts w:ascii="Times New Roman" w:hAnsi="Times New Roman" w:cs="Times New Roman"/>
          <w:sz w:val="28"/>
          <w:szCs w:val="28"/>
        </w:rPr>
        <w:lastRenderedPageBreak/>
        <w:t>Summary Project Costings</w:t>
      </w:r>
      <w:bookmarkEnd w:id="17"/>
    </w:p>
    <w:p w14:paraId="4DFFE179"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8" w:name="_Toc229591942"/>
      <w:r w:rsidRPr="009E1A59">
        <w:rPr>
          <w:rFonts w:ascii="Times New Roman" w:hAnsi="Times New Roman" w:cs="Times New Roman"/>
          <w:sz w:val="28"/>
          <w:szCs w:val="28"/>
        </w:rPr>
        <w:t>Introduction</w:t>
      </w:r>
      <w:bookmarkEnd w:id="18"/>
    </w:p>
    <w:p w14:paraId="6C79B6FF"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This section provides a summary of the project costings prepared on behalf of ACE Capital Projects Ltd for the proposed Construction Centre of Excellence development located at SA1, Swansea. The cost plan has been developed to establish an initial construction budget for the proposed scheme and provide the client with a clear understanding of the anticipated financial commitment associated with the delivery of the development.</w:t>
      </w:r>
    </w:p>
    <w:p w14:paraId="146E3EE3"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19" w:name="_Toc229591943"/>
      <w:r w:rsidRPr="009E1A59">
        <w:rPr>
          <w:rFonts w:ascii="Times New Roman" w:hAnsi="Times New Roman" w:cs="Times New Roman"/>
          <w:sz w:val="28"/>
          <w:szCs w:val="28"/>
        </w:rPr>
        <w:t>Cost breakdown</w:t>
      </w:r>
      <w:bookmarkEnd w:id="19"/>
    </w:p>
    <w:p w14:paraId="646F53D1"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estimate has been prepared using Gross Internal Floor Area (GIFA) measurement principles in conjunction with benchmark construction rates sourced from SPONS Price Books, current market intelligence and industry-standard estimating practices. Due to the current stage of the project, where detailed construction drawings and full technical specifications remain under development, an elemental cost planning methodology has been adopted to produce a realistic feasibility-level estimate.</w:t>
      </w:r>
    </w:p>
    <w:p w14:paraId="1DEF7276"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proposed development comprises a modern higher education and specialist construction training facility designed to support practical learning environments, workshop accommodation, teaching spaces, laboratories and associated administrative and welfare facilities. In addition to the core building accommodation, allowances have also been included for external works, drainage infrastructure, specialist installations and sustainability-focused building systems in line with the client’s aspirations for innovation and long-term operational performance.</w:t>
      </w:r>
    </w:p>
    <w:p w14:paraId="0606E42D"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cost plan has been prepared to reflect current market conditions anticipated for a 2026 construction commencement and considers regional pricing factors applicable to South Wales. Consideration has also been given to current inflationary pressures within the UK construction industry, ongoing supply chain volatility and labour market conditions which may influence procurement and delivery costs throughout the construction period.</w:t>
      </w:r>
    </w:p>
    <w:p w14:paraId="516C3484"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pricing strategy adopted within this estimate combines measured quantities, GIFA benchmarking and elemental analysis to establish realistic cost allowances across all principal construction elements. Benchmark rates obtained from SPONS were reviewed and adjusted where necessary to reflect the complexity, specification and operational requirements associated with a specialist educational development of this nature.</w:t>
      </w:r>
    </w:p>
    <w:p w14:paraId="3F277F33" w14:textId="77777777" w:rsidR="00C533A8" w:rsidRPr="009E1A59" w:rsidRDefault="00C533A8" w:rsidP="009E1A59">
      <w:pPr>
        <w:spacing w:line="360" w:lineRule="auto"/>
        <w:jc w:val="both"/>
        <w:rPr>
          <w:rFonts w:ascii="Times New Roman" w:hAnsi="Times New Roman" w:cs="Times New Roman"/>
        </w:rPr>
      </w:pPr>
    </w:p>
    <w:p w14:paraId="694799CC"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Particular consideration has been given to the following project-specific factors:</w:t>
      </w:r>
    </w:p>
    <w:p w14:paraId="7AE411E1"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Enhanced mechanical and electrical servicing requirements associated with workshop and laboratory environments</w:t>
      </w:r>
    </w:p>
    <w:p w14:paraId="1A8EDEB9"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Sustainable construction measures and energy-efficient building systems</w:t>
      </w:r>
    </w:p>
    <w:p w14:paraId="76032DF4"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Modern façade systems and thermal performance standards</w:t>
      </w:r>
    </w:p>
    <w:p w14:paraId="7306E62B"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Specialist teaching and testing installations</w:t>
      </w:r>
    </w:p>
    <w:p w14:paraId="6AB8FBA0"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Site logistics and construction sequencing requirements</w:t>
      </w:r>
    </w:p>
    <w:p w14:paraId="559A1AA4"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Compliance with current Building Regulations and health and safety legislation</w:t>
      </w:r>
    </w:p>
    <w:p w14:paraId="13FCE68A" w14:textId="77777777" w:rsidR="00C533A8" w:rsidRPr="009E1A59" w:rsidRDefault="00C533A8" w:rsidP="009E1A59">
      <w:pPr>
        <w:pStyle w:val="ListParagraph"/>
        <w:numPr>
          <w:ilvl w:val="0"/>
          <w:numId w:val="4"/>
        </w:numPr>
        <w:spacing w:line="360" w:lineRule="auto"/>
        <w:jc w:val="both"/>
        <w:rPr>
          <w:rFonts w:ascii="Times New Roman" w:hAnsi="Times New Roman" w:cs="Times New Roman"/>
        </w:rPr>
      </w:pPr>
      <w:r w:rsidRPr="009E1A59">
        <w:rPr>
          <w:rFonts w:ascii="Times New Roman" w:hAnsi="Times New Roman" w:cs="Times New Roman"/>
        </w:rPr>
        <w:t>Contractor design responsibilities under the proposed Design and Build procurement route</w:t>
      </w:r>
    </w:p>
    <w:p w14:paraId="6824F141" w14:textId="77777777" w:rsidR="00C533A8" w:rsidRPr="009E1A59" w:rsidRDefault="00C533A8" w:rsidP="009E1A59">
      <w:pPr>
        <w:spacing w:line="360" w:lineRule="auto"/>
        <w:jc w:val="both"/>
        <w:rPr>
          <w:rFonts w:ascii="Times New Roman" w:hAnsi="Times New Roman" w:cs="Times New Roman"/>
        </w:rPr>
      </w:pPr>
    </w:p>
    <w:p w14:paraId="6C48427F"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The estimate includes allowances for all primary construction and project-related costs including:</w:t>
      </w:r>
    </w:p>
    <w:p w14:paraId="2B2BF3F4"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Substructure and foundation works</w:t>
      </w:r>
    </w:p>
    <w:p w14:paraId="503AAE2F"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Structural steel frame and superstructure construction</w:t>
      </w:r>
    </w:p>
    <w:p w14:paraId="7639130B"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Roofing systems and external envelope works</w:t>
      </w:r>
    </w:p>
    <w:p w14:paraId="069C8243"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Internal partitions, finishes and fittings</w:t>
      </w:r>
    </w:p>
    <w:p w14:paraId="3D3E0228"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Mechanical, electrical and public health installations</w:t>
      </w:r>
    </w:p>
    <w:p w14:paraId="0EE58CC1"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Specialist installations and associated builder’s work</w:t>
      </w:r>
    </w:p>
    <w:p w14:paraId="175581E3"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External works, drainage and landscaping</w:t>
      </w:r>
    </w:p>
    <w:p w14:paraId="466496AA"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Contractor preliminaries and temporary works</w:t>
      </w:r>
    </w:p>
    <w:p w14:paraId="1BF4D040"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Design development allowances</w:t>
      </w:r>
    </w:p>
    <w:p w14:paraId="19E5EE96"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Contractor overheads and profit</w:t>
      </w:r>
    </w:p>
    <w:p w14:paraId="24FEA0F9" w14:textId="77777777" w:rsidR="00C533A8" w:rsidRPr="009E1A59" w:rsidRDefault="00C533A8" w:rsidP="009E1A59">
      <w:pPr>
        <w:pStyle w:val="ListParagraph"/>
        <w:numPr>
          <w:ilvl w:val="0"/>
          <w:numId w:val="5"/>
        </w:numPr>
        <w:spacing w:line="360" w:lineRule="auto"/>
        <w:jc w:val="both"/>
        <w:rPr>
          <w:rFonts w:ascii="Times New Roman" w:hAnsi="Times New Roman" w:cs="Times New Roman"/>
        </w:rPr>
      </w:pPr>
      <w:r w:rsidRPr="009E1A59">
        <w:rPr>
          <w:rFonts w:ascii="Times New Roman" w:hAnsi="Times New Roman" w:cs="Times New Roman"/>
        </w:rPr>
        <w:t>Risk and contingency provisions</w:t>
      </w:r>
    </w:p>
    <w:p w14:paraId="577237F0"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Preliminaries have been assessed to account for site establishment, temporary accommodation, welfare facilities, health and safety management, supervision, temporary works coordination and overall project logistics throughout the construction period. In addition, allowances for contractor overheads, profit and risk have been incorporated to reflect prevailing market conditions and procurement risks associated with projects of this scale and complexity.</w:t>
      </w:r>
    </w:p>
    <w:p w14:paraId="5A544D08" w14:textId="77777777" w:rsidR="005B5D68" w:rsidRDefault="00C533A8" w:rsidP="009E1A59">
      <w:pPr>
        <w:spacing w:line="360" w:lineRule="auto"/>
        <w:jc w:val="both"/>
        <w:rPr>
          <w:rFonts w:ascii="Times New Roman" w:hAnsi="Times New Roman" w:cs="Times New Roman"/>
        </w:rPr>
      </w:pPr>
      <w:r w:rsidRPr="009E1A59">
        <w:rPr>
          <w:rFonts w:ascii="Times New Roman" w:hAnsi="Times New Roman" w:cs="Times New Roman"/>
        </w:rPr>
        <w:lastRenderedPageBreak/>
        <w:t>The project costings have been developed in coordination with the wider design and project management team to ensure that the proposed construction methodology, programme requirements, sustainability objectives and technical design proposals are accurately reflected within the financial appraisal of the schem</w:t>
      </w:r>
      <w:r w:rsidR="00B82B61" w:rsidRPr="009E1A59">
        <w:rPr>
          <w:rFonts w:ascii="Times New Roman" w:hAnsi="Times New Roman" w:cs="Times New Roman"/>
        </w:rPr>
        <w:t>e.</w:t>
      </w:r>
    </w:p>
    <w:p w14:paraId="210122F7" w14:textId="77777777" w:rsidR="009E1A59" w:rsidRDefault="009E1A59" w:rsidP="009E1A59">
      <w:pPr>
        <w:spacing w:line="360" w:lineRule="auto"/>
        <w:jc w:val="both"/>
        <w:rPr>
          <w:rFonts w:ascii="Times New Roman" w:hAnsi="Times New Roman" w:cs="Times New Roman"/>
        </w:rPr>
      </w:pPr>
    </w:p>
    <w:p w14:paraId="7A0F4D67" w14:textId="77777777" w:rsidR="00C533A8" w:rsidRPr="009E1A59" w:rsidRDefault="00C533A8" w:rsidP="009E1A59">
      <w:pPr>
        <w:pStyle w:val="Heading2"/>
        <w:numPr>
          <w:ilvl w:val="1"/>
          <w:numId w:val="3"/>
        </w:numPr>
        <w:spacing w:before="0" w:after="0" w:line="360" w:lineRule="auto"/>
        <w:jc w:val="both"/>
        <w:rPr>
          <w:rFonts w:ascii="Times New Roman" w:hAnsi="Times New Roman" w:cs="Times New Roman"/>
        </w:rPr>
      </w:pPr>
      <w:bookmarkStart w:id="20" w:name="_Toc229591944"/>
      <w:r w:rsidRPr="009E1A59">
        <w:rPr>
          <w:rFonts w:ascii="Times New Roman" w:hAnsi="Times New Roman" w:cs="Times New Roman"/>
          <w:sz w:val="28"/>
          <w:szCs w:val="28"/>
        </w:rPr>
        <w:t>Conclusion</w:t>
      </w:r>
      <w:bookmarkEnd w:id="20"/>
    </w:p>
    <w:p w14:paraId="38196D57" w14:textId="77777777" w:rsidR="00C533A8" w:rsidRPr="009E1A59" w:rsidRDefault="00C533A8" w:rsidP="009E1A59">
      <w:pPr>
        <w:spacing w:line="360" w:lineRule="auto"/>
        <w:jc w:val="both"/>
        <w:rPr>
          <w:rFonts w:ascii="Times New Roman" w:hAnsi="Times New Roman" w:cs="Times New Roman"/>
        </w:rPr>
      </w:pPr>
      <w:r w:rsidRPr="009E1A59">
        <w:rPr>
          <w:rFonts w:ascii="Times New Roman" w:hAnsi="Times New Roman" w:cs="Times New Roman"/>
        </w:rPr>
        <w:t>Overall, the completed cost plan provides ACE Capital Projects Ltd with a realistic forecast construction value to support the ongoing feasibility assessment, procurement strategy development and future design progression of the proposed Construction Centre of Excellence. Furthermore, the estimate establishes a structured financial framework which can be refined and developed further as the project advances through subsequent RIBA design stages and additional technical information becomes available.</w:t>
      </w:r>
    </w:p>
    <w:p w14:paraId="51F132C4" w14:textId="77777777" w:rsidR="00C533A8" w:rsidRPr="009E1A59" w:rsidRDefault="00C533A8" w:rsidP="009E1A59">
      <w:pPr>
        <w:spacing w:line="360" w:lineRule="auto"/>
        <w:jc w:val="both"/>
        <w:rPr>
          <w:rFonts w:ascii="Times New Roman" w:hAnsi="Times New Roman" w:cs="Times New Roman"/>
        </w:rPr>
      </w:pPr>
    </w:p>
    <w:p w14:paraId="7E2D8E65" w14:textId="77777777" w:rsidR="00383B56" w:rsidRPr="009E1A59" w:rsidRDefault="00383B56" w:rsidP="009E1A59">
      <w:pPr>
        <w:spacing w:line="360" w:lineRule="auto"/>
        <w:jc w:val="both"/>
        <w:rPr>
          <w:rFonts w:ascii="Times New Roman" w:hAnsi="Times New Roman" w:cs="Times New Roman"/>
        </w:rPr>
      </w:pPr>
    </w:p>
    <w:p w14:paraId="45EE87DF" w14:textId="77777777" w:rsidR="00383B56" w:rsidRPr="009E1A59" w:rsidRDefault="00383B56" w:rsidP="009E1A59">
      <w:pPr>
        <w:spacing w:line="360" w:lineRule="auto"/>
        <w:jc w:val="both"/>
        <w:rPr>
          <w:rFonts w:ascii="Times New Roman" w:hAnsi="Times New Roman" w:cs="Times New Roman"/>
        </w:rPr>
      </w:pPr>
    </w:p>
    <w:p w14:paraId="1385D5B1" w14:textId="77777777" w:rsidR="00383B56" w:rsidRPr="009E1A59" w:rsidRDefault="00383B56" w:rsidP="009E1A59">
      <w:pPr>
        <w:spacing w:line="360" w:lineRule="auto"/>
        <w:jc w:val="both"/>
        <w:rPr>
          <w:rFonts w:ascii="Times New Roman" w:hAnsi="Times New Roman" w:cs="Times New Roman"/>
        </w:rPr>
      </w:pPr>
    </w:p>
    <w:p w14:paraId="5732E19A" w14:textId="77777777" w:rsidR="00383B56" w:rsidRPr="009E1A59" w:rsidRDefault="00383B56" w:rsidP="009E1A59">
      <w:pPr>
        <w:spacing w:line="360" w:lineRule="auto"/>
        <w:jc w:val="both"/>
        <w:rPr>
          <w:rFonts w:ascii="Times New Roman" w:hAnsi="Times New Roman" w:cs="Times New Roman"/>
        </w:rPr>
      </w:pPr>
    </w:p>
    <w:p w14:paraId="363B873D" w14:textId="77777777" w:rsidR="00383B56" w:rsidRPr="009E1A59" w:rsidRDefault="00383B56" w:rsidP="009E1A59">
      <w:pPr>
        <w:spacing w:line="360" w:lineRule="auto"/>
        <w:jc w:val="both"/>
        <w:rPr>
          <w:rFonts w:ascii="Times New Roman" w:hAnsi="Times New Roman" w:cs="Times New Roman"/>
        </w:rPr>
      </w:pPr>
    </w:p>
    <w:p w14:paraId="758ADDA7" w14:textId="77777777" w:rsidR="00383B56" w:rsidRPr="009E1A59" w:rsidRDefault="00383B56" w:rsidP="009E1A59">
      <w:pPr>
        <w:spacing w:line="360" w:lineRule="auto"/>
        <w:jc w:val="both"/>
        <w:rPr>
          <w:rFonts w:ascii="Times New Roman" w:hAnsi="Times New Roman" w:cs="Times New Roman"/>
        </w:rPr>
      </w:pPr>
    </w:p>
    <w:p w14:paraId="4DDC7DBA" w14:textId="77777777" w:rsidR="00383B56" w:rsidRPr="009E1A59" w:rsidRDefault="00383B56" w:rsidP="009E1A59">
      <w:pPr>
        <w:spacing w:line="360" w:lineRule="auto"/>
        <w:jc w:val="both"/>
        <w:rPr>
          <w:rFonts w:ascii="Times New Roman" w:hAnsi="Times New Roman" w:cs="Times New Roman"/>
        </w:rPr>
      </w:pPr>
    </w:p>
    <w:p w14:paraId="307776D2" w14:textId="77777777" w:rsidR="00383B56" w:rsidRPr="009E1A59" w:rsidRDefault="00383B56" w:rsidP="009E1A59">
      <w:pPr>
        <w:spacing w:line="360" w:lineRule="auto"/>
        <w:jc w:val="both"/>
        <w:rPr>
          <w:rFonts w:ascii="Times New Roman" w:hAnsi="Times New Roman" w:cs="Times New Roman"/>
        </w:rPr>
      </w:pPr>
    </w:p>
    <w:p w14:paraId="55169821" w14:textId="77777777" w:rsidR="00383B56" w:rsidRPr="009E1A59" w:rsidRDefault="00383B56" w:rsidP="009E1A59">
      <w:pPr>
        <w:spacing w:line="360" w:lineRule="auto"/>
        <w:jc w:val="both"/>
        <w:rPr>
          <w:rFonts w:ascii="Times New Roman" w:hAnsi="Times New Roman" w:cs="Times New Roman"/>
        </w:rPr>
      </w:pPr>
    </w:p>
    <w:p w14:paraId="7B589B10" w14:textId="77777777" w:rsidR="00383B56" w:rsidRPr="009E1A59" w:rsidRDefault="00383B56" w:rsidP="009E1A59">
      <w:pPr>
        <w:spacing w:line="360" w:lineRule="auto"/>
        <w:jc w:val="both"/>
        <w:rPr>
          <w:rFonts w:ascii="Times New Roman" w:hAnsi="Times New Roman" w:cs="Times New Roman"/>
        </w:rPr>
      </w:pPr>
    </w:p>
    <w:p w14:paraId="1E070C04" w14:textId="77777777" w:rsidR="00383B56" w:rsidRPr="009E1A59" w:rsidRDefault="00383B56" w:rsidP="009E1A59">
      <w:pPr>
        <w:spacing w:line="360" w:lineRule="auto"/>
        <w:jc w:val="both"/>
        <w:rPr>
          <w:rFonts w:ascii="Times New Roman" w:hAnsi="Times New Roman" w:cs="Times New Roman"/>
        </w:rPr>
      </w:pPr>
    </w:p>
    <w:p w14:paraId="271E3CB1" w14:textId="77777777" w:rsidR="00383B56" w:rsidRPr="009E1A59" w:rsidRDefault="00383B56" w:rsidP="009E1A59">
      <w:pPr>
        <w:spacing w:line="360" w:lineRule="auto"/>
        <w:jc w:val="both"/>
        <w:rPr>
          <w:rFonts w:ascii="Times New Roman" w:hAnsi="Times New Roman" w:cs="Times New Roman"/>
        </w:rPr>
      </w:pPr>
    </w:p>
    <w:p w14:paraId="19340618" w14:textId="77777777" w:rsidR="00383B56" w:rsidRPr="009E1A59" w:rsidRDefault="00383B56" w:rsidP="009E1A59">
      <w:pPr>
        <w:spacing w:line="360" w:lineRule="auto"/>
        <w:jc w:val="both"/>
        <w:rPr>
          <w:rFonts w:ascii="Times New Roman" w:hAnsi="Times New Roman" w:cs="Times New Roman"/>
        </w:rPr>
      </w:pPr>
    </w:p>
    <w:p w14:paraId="0B34D7CF" w14:textId="77777777" w:rsidR="00383B56" w:rsidRPr="009E1A59" w:rsidRDefault="00383B56" w:rsidP="009E1A59">
      <w:pPr>
        <w:spacing w:line="360" w:lineRule="auto"/>
        <w:jc w:val="both"/>
        <w:rPr>
          <w:rFonts w:ascii="Times New Roman" w:hAnsi="Times New Roman" w:cs="Times New Roman"/>
        </w:rPr>
      </w:pPr>
    </w:p>
    <w:p w14:paraId="30036059" w14:textId="77777777" w:rsidR="00383B56" w:rsidRPr="009E1A59" w:rsidRDefault="00383B56" w:rsidP="009E1A59">
      <w:pPr>
        <w:spacing w:line="360" w:lineRule="auto"/>
        <w:jc w:val="both"/>
        <w:rPr>
          <w:rFonts w:ascii="Times New Roman" w:hAnsi="Times New Roman" w:cs="Times New Roman"/>
        </w:rPr>
      </w:pPr>
    </w:p>
    <w:p w14:paraId="147FD29C" w14:textId="77777777"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7AAD79E2" w14:textId="77777777"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187D0D0A" w14:textId="77777777"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4AC77D84" w14:textId="77777777"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2134AF8E" w14:textId="1069ED76"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r w:rsidRPr="009E1A59">
        <w:rPr>
          <w:rFonts w:ascii="Times New Roman" w:eastAsia="SimSun" w:hAnsi="Times New Roman" w:cs="Times New Roman"/>
          <w:b/>
          <w:bCs/>
          <w:kern w:val="24"/>
          <w:sz w:val="32"/>
          <w:szCs w:val="32"/>
          <w:lang w:val="en-US" w:eastAsia="ja-JP"/>
          <w14:ligatures w14:val="none"/>
        </w:rPr>
        <w:t>Integrated Project – Tawe Construction</w:t>
      </w:r>
    </w:p>
    <w:p w14:paraId="7D3FB0FA" w14:textId="7490123F"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r w:rsidRPr="009E1A59">
        <w:rPr>
          <w:rFonts w:ascii="Times New Roman" w:eastAsia="SimSun" w:hAnsi="Times New Roman" w:cs="Times New Roman"/>
          <w:b/>
          <w:bCs/>
          <w:kern w:val="24"/>
          <w:sz w:val="32"/>
          <w:szCs w:val="32"/>
          <w:lang w:val="en-US" w:eastAsia="ja-JP"/>
          <w14:ligatures w14:val="none"/>
        </w:rPr>
        <w:t>Feasibility Report</w:t>
      </w:r>
    </w:p>
    <w:p w14:paraId="0F755139" w14:textId="77777777" w:rsidR="00383B56" w:rsidRPr="009E1A59" w:rsidRDefault="00383B56" w:rsidP="009E1A59">
      <w:pPr>
        <w:spacing w:after="0" w:line="360" w:lineRule="auto"/>
        <w:jc w:val="center"/>
        <w:rPr>
          <w:rFonts w:ascii="Times New Roman" w:eastAsia="SimSun" w:hAnsi="Times New Roman" w:cs="Times New Roman"/>
          <w:b/>
          <w:bCs/>
          <w:kern w:val="24"/>
          <w:sz w:val="32"/>
          <w:szCs w:val="32"/>
          <w:lang w:val="en-US" w:eastAsia="ja-JP"/>
          <w14:ligatures w14:val="none"/>
        </w:rPr>
      </w:pPr>
    </w:p>
    <w:p w14:paraId="22B9A87D" w14:textId="77777777" w:rsidR="00383B56" w:rsidRPr="009E1A59" w:rsidRDefault="00383B56" w:rsidP="009E1A59">
      <w:pPr>
        <w:spacing w:after="0" w:line="360" w:lineRule="auto"/>
        <w:jc w:val="center"/>
        <w:rPr>
          <w:rFonts w:ascii="Times New Roman" w:eastAsia="SimSun" w:hAnsi="Times New Roman" w:cs="Times New Roman"/>
          <w:kern w:val="24"/>
          <w:sz w:val="32"/>
          <w:szCs w:val="32"/>
          <w:lang w:val="en-US" w:eastAsia="ja-JP"/>
          <w14:ligatures w14:val="none"/>
        </w:rPr>
      </w:pPr>
      <w:r w:rsidRPr="009E1A59">
        <w:rPr>
          <w:rFonts w:ascii="Times New Roman" w:eastAsia="SimSun" w:hAnsi="Times New Roman" w:cs="Times New Roman"/>
          <w:kern w:val="24"/>
          <w:sz w:val="32"/>
          <w:szCs w:val="32"/>
          <w:lang w:val="en-US" w:eastAsia="ja-JP"/>
          <w14:ligatures w14:val="none"/>
        </w:rPr>
        <w:t>Kieran John Bowen – 1801413</w:t>
      </w:r>
    </w:p>
    <w:p w14:paraId="47818067" w14:textId="77777777" w:rsidR="00383B56" w:rsidRPr="009E1A59" w:rsidRDefault="00383B56" w:rsidP="009E1A59">
      <w:pPr>
        <w:spacing w:after="0" w:line="360" w:lineRule="auto"/>
        <w:jc w:val="center"/>
        <w:rPr>
          <w:rFonts w:ascii="Times New Roman" w:eastAsia="SimSun" w:hAnsi="Times New Roman" w:cs="Times New Roman"/>
          <w:kern w:val="24"/>
          <w:sz w:val="32"/>
          <w:szCs w:val="32"/>
          <w:lang w:val="en-US" w:eastAsia="ja-JP"/>
          <w14:ligatures w14:val="none"/>
        </w:rPr>
      </w:pPr>
      <w:r w:rsidRPr="009E1A59">
        <w:rPr>
          <w:rFonts w:ascii="Times New Roman" w:eastAsia="SimSun" w:hAnsi="Times New Roman" w:cs="Times New Roman"/>
          <w:kern w:val="24"/>
          <w:sz w:val="32"/>
          <w:szCs w:val="32"/>
          <w:lang w:val="en-US" w:eastAsia="ja-JP"/>
          <w14:ligatures w14:val="none"/>
        </w:rPr>
        <w:t>Quantity Surveyor</w:t>
      </w:r>
    </w:p>
    <w:p w14:paraId="6824DD02" w14:textId="77777777" w:rsidR="00383B56" w:rsidRPr="009E1A59" w:rsidRDefault="00383B56" w:rsidP="009E1A59">
      <w:pPr>
        <w:spacing w:line="360" w:lineRule="auto"/>
        <w:jc w:val="both"/>
        <w:rPr>
          <w:rFonts w:ascii="Times New Roman" w:hAnsi="Times New Roman" w:cs="Times New Roman"/>
        </w:rPr>
      </w:pPr>
    </w:p>
    <w:p w14:paraId="4203DB36" w14:textId="7F4E545A" w:rsidR="00383B56" w:rsidRPr="009E1A59" w:rsidRDefault="00383B56" w:rsidP="009E1A59">
      <w:pPr>
        <w:spacing w:line="360" w:lineRule="auto"/>
        <w:jc w:val="center"/>
        <w:rPr>
          <w:rFonts w:ascii="Times New Roman" w:hAnsi="Times New Roman" w:cs="Times New Roman"/>
        </w:rPr>
      </w:pPr>
      <w:r w:rsidRPr="009E1A59">
        <w:rPr>
          <w:rFonts w:ascii="Times New Roman" w:eastAsia="SimSun" w:hAnsi="Times New Roman" w:cs="Times New Roman"/>
          <w:noProof/>
          <w:kern w:val="24"/>
          <w:sz w:val="28"/>
          <w:szCs w:val="28"/>
          <w:lang w:val="en-US" w:eastAsia="ja-JP"/>
          <w14:ligatures w14:val="none"/>
        </w:rPr>
        <w:drawing>
          <wp:inline distT="0" distB="0" distL="0" distR="0" wp14:anchorId="7B06F5F4" wp14:editId="55169C2F">
            <wp:extent cx="4980940" cy="1706880"/>
            <wp:effectExtent l="0" t="0" r="0" b="7620"/>
            <wp:docPr id="72630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0940" cy="1706880"/>
                    </a:xfrm>
                    <a:prstGeom prst="rect">
                      <a:avLst/>
                    </a:prstGeom>
                    <a:noFill/>
                  </pic:spPr>
                </pic:pic>
              </a:graphicData>
            </a:graphic>
          </wp:inline>
        </w:drawing>
      </w:r>
    </w:p>
    <w:p w14:paraId="1DA0B7EC" w14:textId="77777777" w:rsidR="00383B56" w:rsidRPr="009E1A59" w:rsidRDefault="00383B56" w:rsidP="009E1A59">
      <w:pPr>
        <w:spacing w:line="360" w:lineRule="auto"/>
        <w:jc w:val="both"/>
        <w:rPr>
          <w:rFonts w:ascii="Times New Roman" w:hAnsi="Times New Roman" w:cs="Times New Roman"/>
        </w:rPr>
      </w:pPr>
    </w:p>
    <w:p w14:paraId="155B1740" w14:textId="77777777" w:rsidR="00383B56" w:rsidRPr="009E1A59" w:rsidRDefault="00383B56" w:rsidP="009E1A59">
      <w:pPr>
        <w:spacing w:line="360" w:lineRule="auto"/>
        <w:jc w:val="both"/>
        <w:rPr>
          <w:rFonts w:ascii="Times New Roman" w:hAnsi="Times New Roman" w:cs="Times New Roman"/>
        </w:rPr>
      </w:pPr>
    </w:p>
    <w:p w14:paraId="7307B0D6" w14:textId="77777777" w:rsidR="00383B56" w:rsidRPr="009E1A59" w:rsidRDefault="00383B56" w:rsidP="009E1A59">
      <w:pPr>
        <w:spacing w:line="360" w:lineRule="auto"/>
        <w:jc w:val="both"/>
        <w:rPr>
          <w:rFonts w:ascii="Times New Roman" w:hAnsi="Times New Roman" w:cs="Times New Roman"/>
        </w:rPr>
      </w:pPr>
    </w:p>
    <w:p w14:paraId="78CA75C3" w14:textId="77777777" w:rsidR="00383B56" w:rsidRPr="009E1A59" w:rsidRDefault="00383B56" w:rsidP="009E1A59">
      <w:pPr>
        <w:spacing w:line="360" w:lineRule="auto"/>
        <w:jc w:val="both"/>
        <w:rPr>
          <w:rFonts w:ascii="Times New Roman" w:hAnsi="Times New Roman" w:cs="Times New Roman"/>
        </w:rPr>
      </w:pPr>
    </w:p>
    <w:p w14:paraId="56BF3A80" w14:textId="77777777" w:rsidR="00383B56" w:rsidRPr="009E1A59" w:rsidRDefault="00383B56" w:rsidP="009E1A59">
      <w:pPr>
        <w:spacing w:line="360" w:lineRule="auto"/>
        <w:jc w:val="both"/>
        <w:rPr>
          <w:rFonts w:ascii="Times New Roman" w:hAnsi="Times New Roman" w:cs="Times New Roman"/>
        </w:rPr>
      </w:pPr>
    </w:p>
    <w:p w14:paraId="4816DF70" w14:textId="77777777" w:rsidR="00383B56" w:rsidRPr="009E1A59" w:rsidRDefault="00383B56" w:rsidP="009E1A59">
      <w:pPr>
        <w:spacing w:line="360" w:lineRule="auto"/>
        <w:jc w:val="both"/>
        <w:rPr>
          <w:rFonts w:ascii="Times New Roman" w:hAnsi="Times New Roman" w:cs="Times New Roman"/>
        </w:rPr>
      </w:pPr>
    </w:p>
    <w:p w14:paraId="3B604876" w14:textId="77777777" w:rsidR="00383B56" w:rsidRPr="009E1A59" w:rsidRDefault="00383B56" w:rsidP="009E1A59">
      <w:pPr>
        <w:spacing w:line="360" w:lineRule="auto"/>
        <w:jc w:val="both"/>
        <w:rPr>
          <w:rFonts w:ascii="Times New Roman" w:hAnsi="Times New Roman" w:cs="Times New Roman"/>
        </w:rPr>
      </w:pPr>
    </w:p>
    <w:p w14:paraId="66E57BCE" w14:textId="77777777" w:rsidR="00383B56" w:rsidRPr="009E1A59" w:rsidRDefault="00383B56" w:rsidP="009E1A59">
      <w:pPr>
        <w:spacing w:line="360" w:lineRule="auto"/>
        <w:jc w:val="both"/>
        <w:rPr>
          <w:rFonts w:ascii="Times New Roman" w:hAnsi="Times New Roman" w:cs="Times New Roman"/>
        </w:rPr>
      </w:pPr>
    </w:p>
    <w:p w14:paraId="6AF17019" w14:textId="6179B52D" w:rsidR="00383B56" w:rsidRPr="009E1A59" w:rsidRDefault="008A62AF" w:rsidP="009E1A59">
      <w:pPr>
        <w:pStyle w:val="Heading2"/>
        <w:numPr>
          <w:ilvl w:val="0"/>
          <w:numId w:val="3"/>
        </w:numPr>
        <w:spacing w:before="0" w:after="0" w:line="360" w:lineRule="auto"/>
        <w:jc w:val="both"/>
        <w:rPr>
          <w:rFonts w:ascii="Times New Roman" w:hAnsi="Times New Roman" w:cs="Times New Roman"/>
          <w:sz w:val="28"/>
          <w:szCs w:val="28"/>
        </w:rPr>
      </w:pPr>
      <w:bookmarkStart w:id="21" w:name="_Toc229591945"/>
      <w:r w:rsidRPr="009E1A59">
        <w:rPr>
          <w:rFonts w:ascii="Times New Roman" w:hAnsi="Times New Roman" w:cs="Times New Roman"/>
          <w:sz w:val="28"/>
          <w:szCs w:val="28"/>
        </w:rPr>
        <w:lastRenderedPageBreak/>
        <w:t>Clients Requirements</w:t>
      </w:r>
      <w:bookmarkEnd w:id="21"/>
      <w:r w:rsidR="009549A5" w:rsidRPr="009E1A59">
        <w:rPr>
          <w:rFonts w:ascii="Times New Roman" w:hAnsi="Times New Roman" w:cs="Times New Roman"/>
          <w:sz w:val="28"/>
          <w:szCs w:val="28"/>
        </w:rPr>
        <w:t xml:space="preserve"> </w:t>
      </w:r>
    </w:p>
    <w:p w14:paraId="57E7B1FE" w14:textId="4A292647" w:rsidR="008A62AF" w:rsidRPr="009E1A59" w:rsidRDefault="009549A5" w:rsidP="009E1A59">
      <w:pPr>
        <w:spacing w:line="360" w:lineRule="auto"/>
        <w:jc w:val="both"/>
        <w:rPr>
          <w:rFonts w:ascii="Times New Roman" w:hAnsi="Times New Roman" w:cs="Times New Roman"/>
        </w:rPr>
      </w:pPr>
      <w:r w:rsidRPr="009E1A59">
        <w:rPr>
          <w:rFonts w:ascii="Times New Roman" w:hAnsi="Times New Roman" w:cs="Times New Roman"/>
        </w:rPr>
        <w:t xml:space="preserve">The development aims to showcase sustainability, innovation and social value, aligning with Welsh Government Digital Strategy through Building Information Modelling (BIM) integration.  </w:t>
      </w:r>
    </w:p>
    <w:p w14:paraId="48EF4CBA" w14:textId="77777777" w:rsidR="00871763" w:rsidRPr="009E1A59" w:rsidRDefault="00871763" w:rsidP="009E1A59">
      <w:pPr>
        <w:spacing w:line="360" w:lineRule="auto"/>
        <w:jc w:val="both"/>
        <w:rPr>
          <w:rFonts w:ascii="Times New Roman" w:hAnsi="Times New Roman" w:cs="Times New Roman"/>
        </w:rPr>
      </w:pPr>
    </w:p>
    <w:p w14:paraId="46FCC635" w14:textId="59BFBD2F" w:rsidR="00871763" w:rsidRPr="009E1A59" w:rsidRDefault="00871763" w:rsidP="009E1A59">
      <w:pPr>
        <w:pStyle w:val="Heading2"/>
        <w:numPr>
          <w:ilvl w:val="0"/>
          <w:numId w:val="3"/>
        </w:numPr>
        <w:spacing w:before="0" w:after="0" w:line="360" w:lineRule="auto"/>
        <w:jc w:val="both"/>
        <w:rPr>
          <w:rFonts w:ascii="Times New Roman" w:hAnsi="Times New Roman" w:cs="Times New Roman"/>
          <w:sz w:val="28"/>
          <w:szCs w:val="28"/>
        </w:rPr>
      </w:pPr>
      <w:bookmarkStart w:id="22" w:name="_Toc229591946"/>
      <w:r w:rsidRPr="009E1A59">
        <w:rPr>
          <w:rFonts w:ascii="Times New Roman" w:hAnsi="Times New Roman" w:cs="Times New Roman"/>
          <w:sz w:val="28"/>
          <w:szCs w:val="28"/>
        </w:rPr>
        <w:t>Operational Needs</w:t>
      </w:r>
      <w:bookmarkEnd w:id="22"/>
      <w:r w:rsidRPr="009E1A59">
        <w:rPr>
          <w:rFonts w:ascii="Times New Roman" w:hAnsi="Times New Roman" w:cs="Times New Roman"/>
          <w:sz w:val="28"/>
          <w:szCs w:val="28"/>
        </w:rPr>
        <w:t xml:space="preserve"> </w:t>
      </w:r>
    </w:p>
    <w:p w14:paraId="27FCF8EB" w14:textId="07AFA9D2" w:rsidR="00A06C67" w:rsidRPr="009E1A59" w:rsidRDefault="00A06C67" w:rsidP="009E1A59">
      <w:pPr>
        <w:spacing w:line="360" w:lineRule="auto"/>
        <w:jc w:val="both"/>
        <w:rPr>
          <w:rFonts w:ascii="Times New Roman" w:hAnsi="Times New Roman" w:cs="Times New Roman"/>
          <w:b/>
          <w:bCs/>
          <w:u w:val="single"/>
        </w:rPr>
      </w:pPr>
      <w:r w:rsidRPr="009E1A59">
        <w:rPr>
          <w:rFonts w:ascii="Times New Roman" w:hAnsi="Times New Roman" w:cs="Times New Roman"/>
          <w:b/>
          <w:bCs/>
          <w:u w:val="single"/>
        </w:rPr>
        <w:t xml:space="preserve">Sustainability </w:t>
      </w:r>
    </w:p>
    <w:p w14:paraId="2EE61AAD" w14:textId="2977CDE2" w:rsidR="00A06C67" w:rsidRPr="009E1A59" w:rsidRDefault="00A06C67" w:rsidP="009E1A59">
      <w:pPr>
        <w:pStyle w:val="ListParagraph"/>
        <w:numPr>
          <w:ilvl w:val="0"/>
          <w:numId w:val="10"/>
        </w:numPr>
        <w:spacing w:line="360" w:lineRule="auto"/>
        <w:jc w:val="both"/>
        <w:rPr>
          <w:rFonts w:ascii="Times New Roman" w:hAnsi="Times New Roman" w:cs="Times New Roman"/>
        </w:rPr>
      </w:pPr>
      <w:r w:rsidRPr="009E1A59">
        <w:rPr>
          <w:rFonts w:ascii="Times New Roman" w:hAnsi="Times New Roman" w:cs="Times New Roman"/>
        </w:rPr>
        <w:t xml:space="preserve">High-performance building envelope with low-carbon heating, cooling, and lighting. </w:t>
      </w:r>
    </w:p>
    <w:p w14:paraId="4C9A2761" w14:textId="6ED239A9" w:rsidR="00A06C67" w:rsidRPr="009E1A59" w:rsidRDefault="00A06C67" w:rsidP="009E1A59">
      <w:pPr>
        <w:pStyle w:val="ListParagraph"/>
        <w:numPr>
          <w:ilvl w:val="0"/>
          <w:numId w:val="10"/>
        </w:numPr>
        <w:spacing w:line="360" w:lineRule="auto"/>
        <w:jc w:val="both"/>
        <w:rPr>
          <w:rFonts w:ascii="Times New Roman" w:hAnsi="Times New Roman" w:cs="Times New Roman"/>
        </w:rPr>
      </w:pPr>
      <w:r w:rsidRPr="009E1A59">
        <w:rPr>
          <w:rFonts w:ascii="Times New Roman" w:hAnsi="Times New Roman" w:cs="Times New Roman"/>
        </w:rPr>
        <w:t xml:space="preserve">Renewable energy integration (solar PV, heat pumps). </w:t>
      </w:r>
    </w:p>
    <w:p w14:paraId="50E5877C" w14:textId="68B1371D" w:rsidR="00A06C67" w:rsidRPr="009E1A59" w:rsidRDefault="00A06C67" w:rsidP="009E1A59">
      <w:pPr>
        <w:pStyle w:val="ListParagraph"/>
        <w:numPr>
          <w:ilvl w:val="0"/>
          <w:numId w:val="10"/>
        </w:numPr>
        <w:spacing w:line="360" w:lineRule="auto"/>
        <w:jc w:val="both"/>
        <w:rPr>
          <w:rFonts w:ascii="Times New Roman" w:hAnsi="Times New Roman" w:cs="Times New Roman"/>
        </w:rPr>
      </w:pPr>
      <w:r w:rsidRPr="009E1A59">
        <w:rPr>
          <w:rFonts w:ascii="Times New Roman" w:hAnsi="Times New Roman" w:cs="Times New Roman"/>
        </w:rPr>
        <w:t xml:space="preserve">Water conservation, rainwater harvesting, and sustainable drainage systems (SuDS). </w:t>
      </w:r>
    </w:p>
    <w:p w14:paraId="108B7252" w14:textId="24B3162E" w:rsidR="00A06C67" w:rsidRPr="009E1A59" w:rsidRDefault="00A06C67" w:rsidP="009E1A59">
      <w:pPr>
        <w:pStyle w:val="ListParagraph"/>
        <w:numPr>
          <w:ilvl w:val="0"/>
          <w:numId w:val="10"/>
        </w:numPr>
        <w:spacing w:line="360" w:lineRule="auto"/>
        <w:jc w:val="both"/>
        <w:rPr>
          <w:rFonts w:ascii="Times New Roman" w:hAnsi="Times New Roman" w:cs="Times New Roman"/>
        </w:rPr>
      </w:pPr>
      <w:r w:rsidRPr="009E1A59">
        <w:rPr>
          <w:rFonts w:ascii="Times New Roman" w:hAnsi="Times New Roman" w:cs="Times New Roman"/>
        </w:rPr>
        <w:t xml:space="preserve">Use of sustainable, low-embodied-carbon construction materials. </w:t>
      </w:r>
    </w:p>
    <w:p w14:paraId="50AD7833" w14:textId="77777777" w:rsidR="00A06C67" w:rsidRPr="009E1A59" w:rsidRDefault="00A06C67" w:rsidP="009E1A59">
      <w:pPr>
        <w:spacing w:line="360" w:lineRule="auto"/>
        <w:jc w:val="both"/>
        <w:rPr>
          <w:rFonts w:ascii="Times New Roman" w:hAnsi="Times New Roman" w:cs="Times New Roman"/>
          <w:b/>
        </w:rPr>
      </w:pPr>
      <w:r w:rsidRPr="009E1A59">
        <w:rPr>
          <w:rFonts w:ascii="Times New Roman" w:hAnsi="Times New Roman" w:cs="Times New Roman"/>
          <w:b/>
          <w:u w:val="single"/>
        </w:rPr>
        <w:t>Innovation</w:t>
      </w:r>
      <w:r w:rsidRPr="009E1A59">
        <w:rPr>
          <w:rFonts w:ascii="Times New Roman" w:hAnsi="Times New Roman" w:cs="Times New Roman"/>
          <w:b/>
        </w:rPr>
        <w:t xml:space="preserve"> </w:t>
      </w:r>
    </w:p>
    <w:p w14:paraId="29E91026" w14:textId="2EA42302" w:rsidR="00A06C67" w:rsidRPr="009E1A59" w:rsidRDefault="00A06C67" w:rsidP="009E1A59">
      <w:pPr>
        <w:pStyle w:val="ListParagraph"/>
        <w:numPr>
          <w:ilvl w:val="0"/>
          <w:numId w:val="11"/>
        </w:numPr>
        <w:spacing w:line="360" w:lineRule="auto"/>
        <w:jc w:val="both"/>
        <w:rPr>
          <w:rFonts w:ascii="Times New Roman" w:hAnsi="Times New Roman" w:cs="Times New Roman"/>
        </w:rPr>
      </w:pPr>
      <w:r w:rsidRPr="009E1A59">
        <w:rPr>
          <w:rFonts w:ascii="Times New Roman" w:hAnsi="Times New Roman" w:cs="Times New Roman"/>
        </w:rPr>
        <w:t>Flexible, modular training and workshop spaces adaptable for evolving construction methods.</w:t>
      </w:r>
    </w:p>
    <w:p w14:paraId="6D1D508D" w14:textId="2681C353" w:rsidR="00A06C67" w:rsidRPr="009E1A59" w:rsidRDefault="00A06C67" w:rsidP="009E1A59">
      <w:pPr>
        <w:pStyle w:val="ListParagraph"/>
        <w:numPr>
          <w:ilvl w:val="0"/>
          <w:numId w:val="11"/>
        </w:numPr>
        <w:spacing w:line="360" w:lineRule="auto"/>
        <w:jc w:val="both"/>
        <w:rPr>
          <w:rFonts w:ascii="Times New Roman" w:hAnsi="Times New Roman" w:cs="Times New Roman"/>
        </w:rPr>
      </w:pPr>
      <w:r w:rsidRPr="009E1A59">
        <w:rPr>
          <w:rFonts w:ascii="Times New Roman" w:hAnsi="Times New Roman" w:cs="Times New Roman"/>
        </w:rPr>
        <w:t>Smart building systems, real-time energy and environmental monitoring.</w:t>
      </w:r>
    </w:p>
    <w:p w14:paraId="18A82DC2" w14:textId="6C4E65C7" w:rsidR="00A06C67" w:rsidRPr="009E1A59" w:rsidRDefault="00A06C67" w:rsidP="009E1A59">
      <w:pPr>
        <w:pStyle w:val="ListParagraph"/>
        <w:numPr>
          <w:ilvl w:val="0"/>
          <w:numId w:val="11"/>
        </w:numPr>
        <w:spacing w:line="360" w:lineRule="auto"/>
        <w:jc w:val="both"/>
        <w:rPr>
          <w:rFonts w:ascii="Times New Roman" w:hAnsi="Times New Roman" w:cs="Times New Roman"/>
        </w:rPr>
      </w:pPr>
      <w:r w:rsidRPr="009E1A59">
        <w:rPr>
          <w:rFonts w:ascii="Times New Roman" w:hAnsi="Times New Roman" w:cs="Times New Roman"/>
        </w:rPr>
        <w:t xml:space="preserve">Demonstration areas for off-site and modular construction techniques. </w:t>
      </w:r>
    </w:p>
    <w:p w14:paraId="06F01AC3" w14:textId="04B3213D" w:rsidR="00A06C67" w:rsidRPr="009E1A59" w:rsidRDefault="00A06C67" w:rsidP="009E1A59">
      <w:pPr>
        <w:pStyle w:val="ListParagraph"/>
        <w:numPr>
          <w:ilvl w:val="0"/>
          <w:numId w:val="11"/>
        </w:numPr>
        <w:spacing w:line="360" w:lineRule="auto"/>
        <w:jc w:val="both"/>
        <w:rPr>
          <w:rFonts w:ascii="Times New Roman" w:hAnsi="Times New Roman" w:cs="Times New Roman"/>
        </w:rPr>
      </w:pPr>
      <w:r w:rsidRPr="009E1A59">
        <w:rPr>
          <w:rFonts w:ascii="Times New Roman" w:hAnsi="Times New Roman" w:cs="Times New Roman"/>
        </w:rPr>
        <w:t xml:space="preserve">Opportunities for experimental structures or environmental simulations within training areas. </w:t>
      </w:r>
      <w:r w:rsidR="00095EF1" w:rsidRPr="009E1A59">
        <w:rPr>
          <w:rFonts w:ascii="Times New Roman" w:hAnsi="Times New Roman" w:cs="Times New Roman"/>
        </w:rPr>
        <w:t>.</w:t>
      </w:r>
    </w:p>
    <w:p w14:paraId="443F4F8E" w14:textId="1CEBF2B6" w:rsidR="00A06C67" w:rsidRPr="009E1A59" w:rsidRDefault="00A06C67" w:rsidP="009E1A59">
      <w:pPr>
        <w:spacing w:line="360" w:lineRule="auto"/>
        <w:jc w:val="both"/>
        <w:rPr>
          <w:rFonts w:ascii="Times New Roman" w:hAnsi="Times New Roman" w:cs="Times New Roman"/>
          <w:b/>
          <w:bCs/>
          <w:u w:val="single"/>
        </w:rPr>
      </w:pPr>
      <w:r w:rsidRPr="009E1A59">
        <w:rPr>
          <w:rFonts w:ascii="Times New Roman" w:hAnsi="Times New Roman" w:cs="Times New Roman"/>
        </w:rPr>
        <w:t xml:space="preserve"> </w:t>
      </w:r>
      <w:r w:rsidRPr="009E1A59">
        <w:rPr>
          <w:rFonts w:ascii="Times New Roman" w:hAnsi="Times New Roman" w:cs="Times New Roman"/>
          <w:b/>
          <w:bCs/>
          <w:u w:val="single"/>
        </w:rPr>
        <w:t xml:space="preserve">Social Value </w:t>
      </w:r>
    </w:p>
    <w:p w14:paraId="4BDBD493" w14:textId="0DA5372E"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Fully accessible facilities, including disabled access, ramps, lifts, and EV charging points.</w:t>
      </w:r>
    </w:p>
    <w:p w14:paraId="4B76EB03" w14:textId="08C25756"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Engagement with local schools, apprenticeships, and community programs.</w:t>
      </w:r>
    </w:p>
    <w:p w14:paraId="2C22A33D" w14:textId="7397B5D9"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Job creation, skills development, and support for the local construction sector.</w:t>
      </w:r>
    </w:p>
    <w:p w14:paraId="47DD2A22" w14:textId="49FA41C1"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 xml:space="preserve">Collaboration opportunities with SMEs and social enterprises to maximise local economic benefit. </w:t>
      </w:r>
    </w:p>
    <w:p w14:paraId="0AA6456D" w14:textId="7A3B2339"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Site and Structure Considerations.</w:t>
      </w:r>
    </w:p>
    <w:p w14:paraId="27C22FBB" w14:textId="72AD63EE"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Car park designed to accommodate staff, visitors, and trainees, including EV charging, secure cycle parking, and permeable paving.</w:t>
      </w:r>
    </w:p>
    <w:p w14:paraId="5FADD733" w14:textId="793CB806"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lastRenderedPageBreak/>
        <w:t xml:space="preserve">Safe pedestrian/vehicle circulation and clear access for delivery or construction vehicles. </w:t>
      </w:r>
    </w:p>
    <w:p w14:paraId="2B259732" w14:textId="652FF39A" w:rsidR="00A06C67"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 xml:space="preserve">Centre building designed for durability, flexibility, and potential future expansion. </w:t>
      </w:r>
    </w:p>
    <w:p w14:paraId="2A700B62" w14:textId="16CF6C44" w:rsidR="00871763" w:rsidRPr="009E1A59" w:rsidRDefault="00A06C67" w:rsidP="009E1A59">
      <w:pPr>
        <w:pStyle w:val="ListParagraph"/>
        <w:numPr>
          <w:ilvl w:val="0"/>
          <w:numId w:val="12"/>
        </w:numPr>
        <w:spacing w:line="360" w:lineRule="auto"/>
        <w:jc w:val="both"/>
        <w:rPr>
          <w:rFonts w:ascii="Times New Roman" w:hAnsi="Times New Roman" w:cs="Times New Roman"/>
        </w:rPr>
      </w:pPr>
      <w:r w:rsidRPr="009E1A59">
        <w:rPr>
          <w:rFonts w:ascii="Times New Roman" w:hAnsi="Times New Roman" w:cs="Times New Roman"/>
        </w:rPr>
        <w:t>Foundations and floor structures to support heavy equipment, mock assemblies, and practical training exercises.</w:t>
      </w:r>
    </w:p>
    <w:p w14:paraId="30303EA7" w14:textId="77777777" w:rsidR="00383B56" w:rsidRPr="009E1A59" w:rsidRDefault="00383B56" w:rsidP="009E1A59">
      <w:pPr>
        <w:spacing w:line="360" w:lineRule="auto"/>
        <w:jc w:val="both"/>
        <w:rPr>
          <w:rFonts w:ascii="Times New Roman" w:hAnsi="Times New Roman" w:cs="Times New Roman"/>
        </w:rPr>
      </w:pPr>
    </w:p>
    <w:p w14:paraId="5B1B995A" w14:textId="4D281AEB" w:rsidR="00F071E8" w:rsidRPr="009E1A59" w:rsidRDefault="00F071E8" w:rsidP="009E1A59">
      <w:pPr>
        <w:pStyle w:val="Heading2"/>
        <w:numPr>
          <w:ilvl w:val="0"/>
          <w:numId w:val="3"/>
        </w:numPr>
        <w:spacing w:before="0" w:after="0" w:line="360" w:lineRule="auto"/>
        <w:jc w:val="both"/>
        <w:rPr>
          <w:rFonts w:ascii="Times New Roman" w:hAnsi="Times New Roman" w:cs="Times New Roman"/>
          <w:sz w:val="28"/>
          <w:szCs w:val="28"/>
        </w:rPr>
      </w:pPr>
      <w:bookmarkStart w:id="23" w:name="_Toc229591947"/>
      <w:r w:rsidRPr="009E1A59">
        <w:rPr>
          <w:rFonts w:ascii="Times New Roman" w:hAnsi="Times New Roman" w:cs="Times New Roman"/>
          <w:sz w:val="28"/>
          <w:szCs w:val="28"/>
        </w:rPr>
        <w:t>Funding Provision</w:t>
      </w:r>
      <w:bookmarkEnd w:id="23"/>
    </w:p>
    <w:p w14:paraId="1591EDF6" w14:textId="3E094806"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The development of the proposed Centre of Excellence for Construction Training and supporting car park on ACE Capital Projects’ SA1 land bank will be delivered using a structured funding approach that maximises public, private, and philanthropic investment, in line with best practice demonstrated by the Salford Energy House 2.0 project.</w:t>
      </w:r>
    </w:p>
    <w:p w14:paraId="1A62AF64" w14:textId="77777777" w:rsidR="0022117D" w:rsidRPr="009E1A59" w:rsidRDefault="0022117D" w:rsidP="009E1A59">
      <w:pPr>
        <w:spacing w:line="360" w:lineRule="auto"/>
        <w:jc w:val="both"/>
        <w:rPr>
          <w:rFonts w:ascii="Times New Roman" w:hAnsi="Times New Roman" w:cs="Times New Roman"/>
          <w:b/>
          <w:u w:val="single"/>
        </w:rPr>
      </w:pPr>
      <w:r w:rsidRPr="009E1A59">
        <w:rPr>
          <w:rFonts w:ascii="Times New Roman" w:hAnsi="Times New Roman" w:cs="Times New Roman"/>
          <w:b/>
          <w:u w:val="single"/>
        </w:rPr>
        <w:t>Core Capital Investment – ACE Capital Projects Ltd </w:t>
      </w:r>
    </w:p>
    <w:p w14:paraId="56EF4B92"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ACE Capital Projects will provide internal capital funding to cover land acquisition, site preparation, and core infrastructure, ensuring control over project delivery and alignment with strategic objectives. The client’s investment will also support preliminary design work, enabling BIM-based planning, phasing and cost certainty. </w:t>
      </w:r>
    </w:p>
    <w:p w14:paraId="3532FB61" w14:textId="77777777" w:rsidR="0022117D" w:rsidRPr="009E1A59" w:rsidRDefault="0022117D" w:rsidP="009E1A59">
      <w:pPr>
        <w:spacing w:line="360" w:lineRule="auto"/>
        <w:jc w:val="both"/>
        <w:rPr>
          <w:rFonts w:ascii="Times New Roman" w:hAnsi="Times New Roman" w:cs="Times New Roman"/>
          <w:b/>
          <w:u w:val="single"/>
        </w:rPr>
      </w:pPr>
      <w:r w:rsidRPr="009E1A59">
        <w:rPr>
          <w:rFonts w:ascii="Times New Roman" w:hAnsi="Times New Roman" w:cs="Times New Roman"/>
          <w:b/>
          <w:u w:val="single"/>
        </w:rPr>
        <w:t>Government and Grant Funding </w:t>
      </w:r>
    </w:p>
    <w:p w14:paraId="7FE27BD2"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Potential public funding sources that could be acquired are: </w:t>
      </w:r>
    </w:p>
    <w:p w14:paraId="2EB52159" w14:textId="77777777" w:rsidR="0022117D" w:rsidRPr="009E1A59" w:rsidRDefault="0022117D" w:rsidP="009E1A59">
      <w:pPr>
        <w:pStyle w:val="ListParagraph"/>
        <w:numPr>
          <w:ilvl w:val="0"/>
          <w:numId w:val="13"/>
        </w:numPr>
        <w:spacing w:line="360" w:lineRule="auto"/>
        <w:jc w:val="both"/>
        <w:rPr>
          <w:rFonts w:ascii="Times New Roman" w:hAnsi="Times New Roman" w:cs="Times New Roman"/>
        </w:rPr>
      </w:pPr>
      <w:r w:rsidRPr="009E1A59">
        <w:rPr>
          <w:rFonts w:ascii="Times New Roman" w:hAnsi="Times New Roman" w:cs="Times New Roman"/>
        </w:rPr>
        <w:t>UK Government / Welsh Government grants for vocational training, construction skills, sustainability, and innovation programmes. (Department for Education, 2025). </w:t>
      </w:r>
    </w:p>
    <w:p w14:paraId="75CD291F" w14:textId="77777777" w:rsidR="0022117D" w:rsidRPr="009E1A59" w:rsidRDefault="0022117D" w:rsidP="009E1A59">
      <w:pPr>
        <w:pStyle w:val="ListParagraph"/>
        <w:numPr>
          <w:ilvl w:val="0"/>
          <w:numId w:val="13"/>
        </w:numPr>
        <w:spacing w:line="360" w:lineRule="auto"/>
        <w:jc w:val="both"/>
        <w:rPr>
          <w:rFonts w:ascii="Times New Roman" w:hAnsi="Times New Roman" w:cs="Times New Roman"/>
        </w:rPr>
      </w:pPr>
      <w:r w:rsidRPr="009E1A59">
        <w:rPr>
          <w:rFonts w:ascii="Times New Roman" w:hAnsi="Times New Roman" w:cs="Times New Roman"/>
        </w:rPr>
        <w:t>Regional economic development funds (e.g., ERDF-style or successor schemes post-Brexit) to support infrastructure that enhances skills, innovation, and community impact. (GOV.UK, 2024). </w:t>
      </w:r>
    </w:p>
    <w:p w14:paraId="5AAF89A3" w14:textId="77777777" w:rsidR="0022117D" w:rsidRPr="009E1A59" w:rsidRDefault="0022117D" w:rsidP="009E1A59">
      <w:pPr>
        <w:pStyle w:val="ListParagraph"/>
        <w:numPr>
          <w:ilvl w:val="0"/>
          <w:numId w:val="13"/>
        </w:numPr>
        <w:spacing w:line="360" w:lineRule="auto"/>
        <w:jc w:val="both"/>
        <w:rPr>
          <w:rFonts w:ascii="Times New Roman" w:hAnsi="Times New Roman" w:cs="Times New Roman"/>
        </w:rPr>
      </w:pPr>
      <w:r w:rsidRPr="009E1A59">
        <w:rPr>
          <w:rFonts w:ascii="Times New Roman" w:hAnsi="Times New Roman" w:cs="Times New Roman"/>
        </w:rPr>
        <w:t>Funding from the above will be sought to support Sustainable building technologies (energy-efficient construction, renewable energy systems) and Smart building monitoring and training systems. (Construction Industry Training Board, n.d.). </w:t>
      </w:r>
    </w:p>
    <w:p w14:paraId="1B402A54" w14:textId="77777777" w:rsidR="0022117D" w:rsidRPr="009E1A59" w:rsidRDefault="0022117D" w:rsidP="009E1A59">
      <w:pPr>
        <w:spacing w:line="360" w:lineRule="auto"/>
        <w:jc w:val="both"/>
        <w:rPr>
          <w:rFonts w:ascii="Times New Roman" w:hAnsi="Times New Roman" w:cs="Times New Roman"/>
          <w:b/>
          <w:u w:val="single"/>
        </w:rPr>
      </w:pPr>
      <w:r w:rsidRPr="009E1A59">
        <w:rPr>
          <w:rFonts w:ascii="Times New Roman" w:hAnsi="Times New Roman" w:cs="Times New Roman"/>
          <w:b/>
          <w:u w:val="single"/>
        </w:rPr>
        <w:t>Industry Partnership Contributions </w:t>
      </w:r>
    </w:p>
    <w:p w14:paraId="07A49284"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Collaborations with construction companies, material suppliers, and engineering consultancies will be sought to provide: </w:t>
      </w:r>
    </w:p>
    <w:p w14:paraId="4F9575B1"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lastRenderedPageBreak/>
        <w:t>In-kind support such as equipment, materials, and specialist services. </w:t>
      </w:r>
    </w:p>
    <w:p w14:paraId="33D0F9CB"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Co-development of practical training modules, workshops, and demonstration areas. </w:t>
      </w:r>
    </w:p>
    <w:p w14:paraId="730BA933"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Partnerships will also enhance the innovation and social value dimensions of the project, replicating Salford’s model of integrating industry knowledge into research and teaching. </w:t>
      </w:r>
    </w:p>
    <w:p w14:paraId="4BB72F6E" w14:textId="77777777" w:rsidR="0022117D" w:rsidRPr="009E1A59" w:rsidRDefault="0022117D" w:rsidP="009E1A59">
      <w:pPr>
        <w:spacing w:line="360" w:lineRule="auto"/>
        <w:jc w:val="both"/>
        <w:rPr>
          <w:rFonts w:ascii="Times New Roman" w:hAnsi="Times New Roman" w:cs="Times New Roman"/>
        </w:rPr>
      </w:pPr>
    </w:p>
    <w:p w14:paraId="2166FC2B" w14:textId="77777777" w:rsidR="0022117D" w:rsidRPr="009E1A59" w:rsidRDefault="0022117D" w:rsidP="009E1A59">
      <w:pPr>
        <w:spacing w:line="360" w:lineRule="auto"/>
        <w:jc w:val="both"/>
        <w:rPr>
          <w:rFonts w:ascii="Times New Roman" w:hAnsi="Times New Roman" w:cs="Times New Roman"/>
          <w:b/>
          <w:bCs/>
          <w:u w:val="single"/>
        </w:rPr>
      </w:pPr>
      <w:r w:rsidRPr="009E1A59">
        <w:rPr>
          <w:rFonts w:ascii="Times New Roman" w:hAnsi="Times New Roman" w:cs="Times New Roman"/>
          <w:b/>
          <w:u w:val="single"/>
        </w:rPr>
        <w:t>Integration with BIM and Reporting Requirements</w:t>
      </w:r>
      <w:r w:rsidRPr="009E1A59">
        <w:rPr>
          <w:rFonts w:ascii="Times New Roman" w:hAnsi="Times New Roman" w:cs="Times New Roman"/>
          <w:b/>
          <w:bCs/>
          <w:u w:val="single"/>
        </w:rPr>
        <w:t> </w:t>
      </w:r>
    </w:p>
    <w:p w14:paraId="06E4D42B" w14:textId="77777777" w:rsidR="0022117D" w:rsidRPr="009E1A59" w:rsidRDefault="0022117D" w:rsidP="009E1A59">
      <w:pPr>
        <w:spacing w:line="360" w:lineRule="auto"/>
        <w:jc w:val="both"/>
        <w:rPr>
          <w:rFonts w:ascii="Times New Roman" w:hAnsi="Times New Roman" w:cs="Times New Roman"/>
        </w:rPr>
      </w:pPr>
      <w:r w:rsidRPr="009E1A59">
        <w:rPr>
          <w:rFonts w:ascii="Times New Roman" w:hAnsi="Times New Roman" w:cs="Times New Roman"/>
        </w:rPr>
        <w:t>All grants and partnership funding will require robust reporting, design validation, and project monitoring. BIM will be employed as the primary tool for Cost and programme control, Stakeholder engagement and collaboration. Transparent reporting to funders and partners, satisfying government digital strategy requirements. </w:t>
      </w:r>
    </w:p>
    <w:p w14:paraId="58A6F254" w14:textId="77777777" w:rsidR="0022117D" w:rsidRPr="009E1A59" w:rsidRDefault="0022117D" w:rsidP="009E1A59">
      <w:pPr>
        <w:spacing w:line="360" w:lineRule="auto"/>
        <w:jc w:val="both"/>
        <w:rPr>
          <w:rFonts w:ascii="Times New Roman" w:hAnsi="Times New Roman" w:cs="Times New Roman"/>
        </w:rPr>
      </w:pPr>
    </w:p>
    <w:p w14:paraId="7A2829C8" w14:textId="2C3AB581" w:rsidR="0022117D" w:rsidRPr="009E1A59" w:rsidRDefault="0022117D" w:rsidP="009E1A59">
      <w:pPr>
        <w:pStyle w:val="Heading2"/>
        <w:numPr>
          <w:ilvl w:val="1"/>
          <w:numId w:val="3"/>
        </w:numPr>
        <w:spacing w:before="0" w:after="0" w:line="360" w:lineRule="auto"/>
        <w:jc w:val="both"/>
        <w:rPr>
          <w:rFonts w:ascii="Times New Roman" w:hAnsi="Times New Roman" w:cs="Times New Roman"/>
        </w:rPr>
      </w:pPr>
      <w:bookmarkStart w:id="24" w:name="_Toc229591948"/>
      <w:r w:rsidRPr="009E1A59">
        <w:rPr>
          <w:rFonts w:ascii="Times New Roman" w:hAnsi="Times New Roman" w:cs="Times New Roman"/>
          <w:sz w:val="28"/>
          <w:szCs w:val="28"/>
        </w:rPr>
        <w:t>Funding Strategy Summary</w:t>
      </w:r>
      <w:bookmarkEnd w:id="24"/>
    </w:p>
    <w:p w14:paraId="2666AEC2" w14:textId="77777777" w:rsidR="00B82B61" w:rsidRPr="009E1A59" w:rsidRDefault="00B82B61" w:rsidP="009E1A59">
      <w:pPr>
        <w:spacing w:line="360" w:lineRule="auto"/>
        <w:jc w:val="both"/>
        <w:rPr>
          <w:rFonts w:ascii="Times New Roman" w:hAnsi="Times New Roman" w:cs="Times New Roman"/>
        </w:rPr>
      </w:pPr>
      <w:r w:rsidRPr="009E1A59">
        <w:rPr>
          <w:rFonts w:ascii="Times New Roman" w:hAnsi="Times New Roman" w:cs="Times New Roman"/>
        </w:rPr>
        <w:t xml:space="preserve">Key funding strategy will be through Government/Grant Funding which will target sustainable construction, vocational training and regional economic development and Industry Partnerships In kind contributions, expertise, and collaborative programme delivery. </w:t>
      </w:r>
    </w:p>
    <w:p w14:paraId="20160D91" w14:textId="4C4AFE93" w:rsidR="00B82B61" w:rsidRPr="009E1A59" w:rsidRDefault="00B82B61" w:rsidP="009E1A59">
      <w:pPr>
        <w:spacing w:line="360" w:lineRule="auto"/>
        <w:jc w:val="both"/>
        <w:rPr>
          <w:rFonts w:ascii="Times New Roman" w:hAnsi="Times New Roman" w:cs="Times New Roman"/>
        </w:rPr>
      </w:pPr>
      <w:r w:rsidRPr="009E1A59">
        <w:rPr>
          <w:rFonts w:ascii="Times New Roman" w:hAnsi="Times New Roman" w:cs="Times New Roman"/>
        </w:rPr>
        <w:t>This multi-stream funding approach ensures that the project delivers a state-of-the-art training centre aligned with ACE Capital’s strategic objectives which demonstrates sustainability, innovation, and social value through leveraging funding from multiple sources to maximise impact and mitigate financial risk.</w:t>
      </w:r>
    </w:p>
    <w:p w14:paraId="74D84C66" w14:textId="77777777" w:rsidR="006C600F" w:rsidRPr="009E1A59" w:rsidRDefault="006C600F" w:rsidP="009E1A59">
      <w:pPr>
        <w:spacing w:line="360" w:lineRule="auto"/>
        <w:jc w:val="both"/>
        <w:rPr>
          <w:rFonts w:ascii="Times New Roman" w:hAnsi="Times New Roman" w:cs="Times New Roman"/>
        </w:rPr>
      </w:pPr>
    </w:p>
    <w:p w14:paraId="22857390" w14:textId="77777777" w:rsidR="006C600F" w:rsidRPr="009E1A59" w:rsidRDefault="006C600F" w:rsidP="009E1A59">
      <w:pPr>
        <w:spacing w:line="360" w:lineRule="auto"/>
        <w:jc w:val="both"/>
        <w:rPr>
          <w:rFonts w:ascii="Times New Roman" w:hAnsi="Times New Roman" w:cs="Times New Roman"/>
        </w:rPr>
      </w:pPr>
    </w:p>
    <w:p w14:paraId="7D32D1E5" w14:textId="77777777" w:rsidR="006C600F" w:rsidRPr="009E1A59" w:rsidRDefault="006C600F" w:rsidP="009E1A59">
      <w:pPr>
        <w:spacing w:line="360" w:lineRule="auto"/>
        <w:jc w:val="both"/>
        <w:rPr>
          <w:rFonts w:ascii="Times New Roman" w:hAnsi="Times New Roman" w:cs="Times New Roman"/>
        </w:rPr>
      </w:pPr>
    </w:p>
    <w:p w14:paraId="3E3E2034" w14:textId="77777777" w:rsidR="006C600F" w:rsidRPr="009E1A59" w:rsidRDefault="006C600F" w:rsidP="009E1A59">
      <w:pPr>
        <w:spacing w:line="360" w:lineRule="auto"/>
        <w:jc w:val="both"/>
        <w:rPr>
          <w:rFonts w:ascii="Times New Roman" w:hAnsi="Times New Roman" w:cs="Times New Roman"/>
        </w:rPr>
      </w:pPr>
    </w:p>
    <w:p w14:paraId="1BBE4A42" w14:textId="77777777" w:rsidR="006C600F" w:rsidRPr="009E1A59" w:rsidRDefault="006C600F" w:rsidP="009E1A59">
      <w:pPr>
        <w:spacing w:line="360" w:lineRule="auto"/>
        <w:jc w:val="both"/>
        <w:rPr>
          <w:rFonts w:ascii="Times New Roman" w:hAnsi="Times New Roman" w:cs="Times New Roman"/>
        </w:rPr>
      </w:pPr>
    </w:p>
    <w:p w14:paraId="4A5C4B11" w14:textId="77777777" w:rsidR="006C600F" w:rsidRPr="009E1A59" w:rsidRDefault="006C600F" w:rsidP="009E1A59">
      <w:pPr>
        <w:spacing w:line="360" w:lineRule="auto"/>
        <w:jc w:val="both"/>
        <w:rPr>
          <w:rFonts w:ascii="Times New Roman" w:hAnsi="Times New Roman" w:cs="Times New Roman"/>
        </w:rPr>
      </w:pPr>
    </w:p>
    <w:p w14:paraId="353D4981" w14:textId="77777777" w:rsidR="006C600F" w:rsidRPr="009E1A59" w:rsidRDefault="006C600F" w:rsidP="009E1A59">
      <w:pPr>
        <w:spacing w:line="360" w:lineRule="auto"/>
        <w:jc w:val="both"/>
        <w:rPr>
          <w:rFonts w:ascii="Times New Roman" w:hAnsi="Times New Roman" w:cs="Times New Roman"/>
        </w:rPr>
      </w:pPr>
    </w:p>
    <w:p w14:paraId="3CECB1E1" w14:textId="77777777" w:rsidR="006C600F" w:rsidRPr="009E1A59" w:rsidRDefault="006C600F" w:rsidP="009E1A59">
      <w:pPr>
        <w:spacing w:line="360" w:lineRule="auto"/>
        <w:jc w:val="both"/>
        <w:rPr>
          <w:rFonts w:ascii="Times New Roman" w:hAnsi="Times New Roman" w:cs="Times New Roman"/>
        </w:rPr>
      </w:pPr>
    </w:p>
    <w:p w14:paraId="33BA5B37" w14:textId="3A7239C7" w:rsidR="006C600F" w:rsidRPr="009E1A59" w:rsidRDefault="006C600F" w:rsidP="009E1A59">
      <w:pPr>
        <w:pStyle w:val="Heading2"/>
        <w:numPr>
          <w:ilvl w:val="0"/>
          <w:numId w:val="3"/>
        </w:numPr>
        <w:spacing w:before="0" w:after="0" w:line="360" w:lineRule="auto"/>
        <w:jc w:val="both"/>
        <w:rPr>
          <w:rFonts w:ascii="Times New Roman" w:hAnsi="Times New Roman" w:cs="Times New Roman"/>
          <w:sz w:val="28"/>
          <w:szCs w:val="28"/>
        </w:rPr>
      </w:pPr>
      <w:bookmarkStart w:id="25" w:name="_Toc229591949"/>
      <w:r w:rsidRPr="009E1A59">
        <w:rPr>
          <w:rFonts w:ascii="Times New Roman" w:hAnsi="Times New Roman" w:cs="Times New Roman"/>
          <w:sz w:val="28"/>
          <w:szCs w:val="28"/>
        </w:rPr>
        <w:lastRenderedPageBreak/>
        <w:t>Accommodation Requirements</w:t>
      </w:r>
      <w:bookmarkEnd w:id="25"/>
    </w:p>
    <w:p w14:paraId="407D4AA4" w14:textId="4C3163BE" w:rsidR="00637D28" w:rsidRPr="009E1A59" w:rsidRDefault="00637D28" w:rsidP="009E1A59">
      <w:pPr>
        <w:spacing w:line="360" w:lineRule="auto"/>
        <w:jc w:val="both"/>
        <w:rPr>
          <w:rFonts w:ascii="Times New Roman" w:hAnsi="Times New Roman" w:cs="Times New Roman"/>
        </w:rPr>
      </w:pPr>
      <w:r w:rsidRPr="009E1A59">
        <w:rPr>
          <w:rFonts w:ascii="Times New Roman" w:hAnsi="Times New Roman" w:cs="Times New Roman"/>
        </w:rPr>
        <w:t>Establishing accurate internal and external space requirements at the feasibility stage is critical to the success of any development project. A well-defined internal layout ensures that the building supports its intended academic, research, and operational functions efficiently while optimising flexibility and long-term usability. Equally, external planning covering parking, access and landscape integration is vital to ensure the building operates effectively within its site context and meets local planning and sustainability standards. Ensuring getting these fundamentals right at an early stage enables the design team to align with the client’s brief, control costs and deliver a facility.</w:t>
      </w:r>
    </w:p>
    <w:p w14:paraId="0EF5A2B7" w14:textId="77777777" w:rsidR="00461DF9" w:rsidRPr="009E1A59" w:rsidRDefault="00461DF9" w:rsidP="009E1A59">
      <w:pPr>
        <w:spacing w:line="360" w:lineRule="auto"/>
        <w:rPr>
          <w:rFonts w:ascii="Times New Roman" w:hAnsi="Times New Roman" w:cs="Times New Roman"/>
        </w:rPr>
      </w:pPr>
    </w:p>
    <w:p w14:paraId="6347F880" w14:textId="77777777" w:rsidR="00461DF9" w:rsidRPr="009E1A59" w:rsidRDefault="00461DF9" w:rsidP="009E1A59">
      <w:pPr>
        <w:spacing w:line="360" w:lineRule="auto"/>
        <w:rPr>
          <w:rFonts w:ascii="Times New Roman" w:hAnsi="Times New Roman" w:cs="Times New Roman"/>
        </w:rPr>
      </w:pPr>
    </w:p>
    <w:p w14:paraId="588018F5" w14:textId="77777777" w:rsidR="00461DF9" w:rsidRPr="009E1A59" w:rsidRDefault="00461DF9" w:rsidP="009E1A59">
      <w:pPr>
        <w:spacing w:line="360" w:lineRule="auto"/>
        <w:rPr>
          <w:rFonts w:ascii="Times New Roman" w:hAnsi="Times New Roman" w:cs="Times New Roman"/>
        </w:rPr>
      </w:pPr>
    </w:p>
    <w:p w14:paraId="522C0659" w14:textId="77777777" w:rsidR="00461DF9" w:rsidRPr="009E1A59" w:rsidRDefault="00461DF9" w:rsidP="009E1A59">
      <w:pPr>
        <w:spacing w:line="360" w:lineRule="auto"/>
        <w:rPr>
          <w:rFonts w:ascii="Times New Roman" w:hAnsi="Times New Roman" w:cs="Times New Roman"/>
        </w:rPr>
      </w:pPr>
    </w:p>
    <w:p w14:paraId="595605E2" w14:textId="77777777" w:rsidR="00461DF9" w:rsidRPr="009E1A59" w:rsidRDefault="00461DF9" w:rsidP="009E1A59">
      <w:pPr>
        <w:spacing w:line="360" w:lineRule="auto"/>
        <w:rPr>
          <w:rFonts w:ascii="Times New Roman" w:hAnsi="Times New Roman" w:cs="Times New Roman"/>
        </w:rPr>
      </w:pPr>
    </w:p>
    <w:p w14:paraId="4D3D83D3" w14:textId="77777777" w:rsidR="00461DF9" w:rsidRPr="009E1A59" w:rsidRDefault="00461DF9" w:rsidP="009E1A59">
      <w:pPr>
        <w:spacing w:line="360" w:lineRule="auto"/>
        <w:rPr>
          <w:rFonts w:ascii="Times New Roman" w:hAnsi="Times New Roman" w:cs="Times New Roman"/>
        </w:rPr>
      </w:pPr>
    </w:p>
    <w:p w14:paraId="5F622EB8" w14:textId="77777777" w:rsidR="00461DF9" w:rsidRPr="009E1A59" w:rsidRDefault="00461DF9" w:rsidP="009E1A59">
      <w:pPr>
        <w:spacing w:line="360" w:lineRule="auto"/>
        <w:rPr>
          <w:rFonts w:ascii="Times New Roman" w:hAnsi="Times New Roman" w:cs="Times New Roman"/>
        </w:rPr>
      </w:pPr>
    </w:p>
    <w:p w14:paraId="2FE0EC16" w14:textId="77777777" w:rsidR="00461DF9" w:rsidRPr="009E1A59" w:rsidRDefault="00461DF9" w:rsidP="009E1A59">
      <w:pPr>
        <w:spacing w:line="360" w:lineRule="auto"/>
        <w:rPr>
          <w:rFonts w:ascii="Times New Roman" w:hAnsi="Times New Roman" w:cs="Times New Roman"/>
        </w:rPr>
      </w:pPr>
    </w:p>
    <w:p w14:paraId="0C891AA5" w14:textId="77777777" w:rsidR="00461DF9" w:rsidRPr="009E1A59" w:rsidRDefault="00461DF9" w:rsidP="009E1A59">
      <w:pPr>
        <w:spacing w:line="360" w:lineRule="auto"/>
        <w:rPr>
          <w:rFonts w:ascii="Times New Roman" w:hAnsi="Times New Roman" w:cs="Times New Roman"/>
        </w:rPr>
      </w:pPr>
    </w:p>
    <w:p w14:paraId="7C1119A9" w14:textId="77777777" w:rsidR="00461DF9" w:rsidRPr="009E1A59" w:rsidRDefault="00461DF9" w:rsidP="009E1A59">
      <w:pPr>
        <w:spacing w:line="360" w:lineRule="auto"/>
        <w:rPr>
          <w:rFonts w:ascii="Times New Roman" w:hAnsi="Times New Roman" w:cs="Times New Roman"/>
        </w:rPr>
      </w:pPr>
    </w:p>
    <w:p w14:paraId="56EAADC6" w14:textId="77777777" w:rsidR="00461DF9" w:rsidRPr="009E1A59" w:rsidRDefault="00461DF9" w:rsidP="009E1A59">
      <w:pPr>
        <w:spacing w:line="360" w:lineRule="auto"/>
        <w:rPr>
          <w:rFonts w:ascii="Times New Roman" w:hAnsi="Times New Roman" w:cs="Times New Roman"/>
        </w:rPr>
      </w:pPr>
    </w:p>
    <w:p w14:paraId="600732B0" w14:textId="77777777" w:rsidR="00461DF9" w:rsidRPr="009E1A59" w:rsidRDefault="00461DF9" w:rsidP="009E1A59">
      <w:pPr>
        <w:spacing w:line="360" w:lineRule="auto"/>
        <w:rPr>
          <w:rFonts w:ascii="Times New Roman" w:hAnsi="Times New Roman" w:cs="Times New Roman"/>
        </w:rPr>
      </w:pPr>
    </w:p>
    <w:p w14:paraId="52281028" w14:textId="77777777" w:rsidR="00461DF9" w:rsidRPr="009E1A59" w:rsidRDefault="00461DF9" w:rsidP="009E1A59">
      <w:pPr>
        <w:spacing w:line="360" w:lineRule="auto"/>
        <w:rPr>
          <w:rFonts w:ascii="Times New Roman" w:hAnsi="Times New Roman" w:cs="Times New Roman"/>
        </w:rPr>
      </w:pPr>
    </w:p>
    <w:p w14:paraId="7492C811" w14:textId="77777777" w:rsidR="009E1A59" w:rsidRDefault="009E1A59" w:rsidP="009E1A59">
      <w:pPr>
        <w:spacing w:line="360" w:lineRule="auto"/>
        <w:rPr>
          <w:rFonts w:ascii="Times New Roman" w:hAnsi="Times New Roman" w:cs="Times New Roman"/>
        </w:rPr>
      </w:pPr>
    </w:p>
    <w:p w14:paraId="5A7BEA0D" w14:textId="77777777" w:rsidR="009E1A59" w:rsidRDefault="009E1A59" w:rsidP="009E1A59">
      <w:pPr>
        <w:spacing w:line="360" w:lineRule="auto"/>
        <w:rPr>
          <w:rFonts w:ascii="Times New Roman" w:hAnsi="Times New Roman" w:cs="Times New Roman"/>
        </w:rPr>
      </w:pPr>
    </w:p>
    <w:p w14:paraId="6B8FC531" w14:textId="77777777" w:rsidR="009E1A59" w:rsidRDefault="009E1A59" w:rsidP="009E1A59">
      <w:pPr>
        <w:spacing w:line="360" w:lineRule="auto"/>
        <w:rPr>
          <w:rFonts w:ascii="Times New Roman" w:hAnsi="Times New Roman" w:cs="Times New Roman"/>
        </w:rPr>
      </w:pPr>
    </w:p>
    <w:p w14:paraId="066124BE" w14:textId="77777777" w:rsidR="009E1A59" w:rsidRDefault="009E1A59" w:rsidP="009E1A59">
      <w:pPr>
        <w:spacing w:line="360" w:lineRule="auto"/>
        <w:rPr>
          <w:rFonts w:ascii="Times New Roman" w:hAnsi="Times New Roman" w:cs="Times New Roman"/>
        </w:rPr>
      </w:pPr>
    </w:p>
    <w:p w14:paraId="0AB94B3D" w14:textId="3E122E02" w:rsidR="006C600F" w:rsidRPr="009E1A59" w:rsidRDefault="009E1A59" w:rsidP="009E1A59">
      <w:pPr>
        <w:spacing w:line="360" w:lineRule="auto"/>
        <w:rPr>
          <w:rFonts w:ascii="Times New Roman" w:hAnsi="Times New Roman" w:cs="Times New Roman"/>
          <w:b/>
          <w:bCs/>
          <w:u w:val="single"/>
        </w:rPr>
      </w:pPr>
      <w:r>
        <w:rPr>
          <w:rFonts w:ascii="Times New Roman" w:hAnsi="Times New Roman" w:cs="Times New Roman"/>
          <w:b/>
          <w:bCs/>
          <w:u w:val="single"/>
        </w:rPr>
        <w:lastRenderedPageBreak/>
        <w:t>I</w:t>
      </w:r>
      <w:r w:rsidR="00637D28" w:rsidRPr="009E1A59">
        <w:rPr>
          <w:rFonts w:ascii="Times New Roman" w:hAnsi="Times New Roman" w:cs="Times New Roman"/>
          <w:b/>
          <w:bCs/>
          <w:u w:val="single"/>
        </w:rPr>
        <w:t>nternal Space Requirements</w:t>
      </w:r>
    </w:p>
    <w:p w14:paraId="2CA869F8" w14:textId="77777777" w:rsidR="00461DF9" w:rsidRPr="009E1A59" w:rsidRDefault="00461DF9" w:rsidP="009E1A59">
      <w:pPr>
        <w:spacing w:line="360" w:lineRule="auto"/>
        <w:jc w:val="both"/>
        <w:rPr>
          <w:rFonts w:ascii="Times New Roman" w:hAnsi="Times New Roman" w:cs="Times New Roman"/>
        </w:rPr>
      </w:pPr>
    </w:p>
    <w:tbl>
      <w:tblPr>
        <w:tblW w:w="7300" w:type="dxa"/>
        <w:tblLook w:val="04A0" w:firstRow="1" w:lastRow="0" w:firstColumn="1" w:lastColumn="0" w:noHBand="0" w:noVBand="1"/>
      </w:tblPr>
      <w:tblGrid>
        <w:gridCol w:w="4644"/>
        <w:gridCol w:w="1682"/>
        <w:gridCol w:w="974"/>
      </w:tblGrid>
      <w:tr w:rsidR="00461DF9" w:rsidRPr="009E1A59" w14:paraId="22964CA4" w14:textId="77777777" w:rsidTr="007271C9">
        <w:trPr>
          <w:trHeight w:val="288"/>
        </w:trPr>
        <w:tc>
          <w:tcPr>
            <w:tcW w:w="7300" w:type="dxa"/>
            <w:gridSpan w:val="3"/>
            <w:tcBorders>
              <w:top w:val="single" w:sz="4" w:space="0" w:color="auto"/>
              <w:left w:val="single" w:sz="4" w:space="0" w:color="auto"/>
              <w:bottom w:val="single" w:sz="4" w:space="0" w:color="auto"/>
              <w:right w:val="single" w:sz="4" w:space="0" w:color="auto"/>
            </w:tcBorders>
            <w:noWrap/>
            <w:vAlign w:val="bottom"/>
            <w:hideMark/>
          </w:tcPr>
          <w:p w14:paraId="53F61527"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Ground Floor</w:t>
            </w:r>
          </w:p>
        </w:tc>
      </w:tr>
      <w:tr w:rsidR="00461DF9" w:rsidRPr="009E1A59" w14:paraId="364C5EF8"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7B06F06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682" w:type="dxa"/>
            <w:tcBorders>
              <w:top w:val="nil"/>
              <w:left w:val="nil"/>
              <w:bottom w:val="single" w:sz="4" w:space="0" w:color="auto"/>
              <w:right w:val="single" w:sz="4" w:space="0" w:color="auto"/>
            </w:tcBorders>
            <w:noWrap/>
            <w:vAlign w:val="bottom"/>
            <w:hideMark/>
          </w:tcPr>
          <w:p w14:paraId="54410AB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974" w:type="dxa"/>
            <w:tcBorders>
              <w:top w:val="nil"/>
              <w:left w:val="nil"/>
              <w:bottom w:val="single" w:sz="4" w:space="0" w:color="auto"/>
              <w:right w:val="single" w:sz="4" w:space="0" w:color="auto"/>
            </w:tcBorders>
            <w:noWrap/>
            <w:vAlign w:val="bottom"/>
            <w:hideMark/>
          </w:tcPr>
          <w:p w14:paraId="5E45C96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r>
      <w:tr w:rsidR="00461DF9" w:rsidRPr="009E1A59" w14:paraId="07785BDF"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2AE40ECF"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 xml:space="preserve">Room </w:t>
            </w:r>
          </w:p>
        </w:tc>
        <w:tc>
          <w:tcPr>
            <w:tcW w:w="1682" w:type="dxa"/>
            <w:tcBorders>
              <w:top w:val="nil"/>
              <w:left w:val="nil"/>
              <w:bottom w:val="single" w:sz="4" w:space="0" w:color="auto"/>
              <w:right w:val="single" w:sz="4" w:space="0" w:color="auto"/>
            </w:tcBorders>
            <w:noWrap/>
            <w:vAlign w:val="bottom"/>
            <w:hideMark/>
          </w:tcPr>
          <w:p w14:paraId="0A18F651"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Quantity</w:t>
            </w:r>
          </w:p>
        </w:tc>
        <w:tc>
          <w:tcPr>
            <w:tcW w:w="974" w:type="dxa"/>
            <w:tcBorders>
              <w:top w:val="nil"/>
              <w:left w:val="nil"/>
              <w:bottom w:val="single" w:sz="4" w:space="0" w:color="auto"/>
              <w:right w:val="single" w:sz="4" w:space="0" w:color="auto"/>
            </w:tcBorders>
            <w:noWrap/>
            <w:vAlign w:val="bottom"/>
            <w:hideMark/>
          </w:tcPr>
          <w:p w14:paraId="7AAE301A"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UOM</w:t>
            </w:r>
          </w:p>
        </w:tc>
      </w:tr>
      <w:tr w:rsidR="00461DF9" w:rsidRPr="009E1A59" w14:paraId="68867954"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2F69286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Testing Chamber</w:t>
            </w:r>
          </w:p>
        </w:tc>
        <w:tc>
          <w:tcPr>
            <w:tcW w:w="1682" w:type="dxa"/>
            <w:tcBorders>
              <w:top w:val="nil"/>
              <w:left w:val="nil"/>
              <w:bottom w:val="single" w:sz="4" w:space="0" w:color="auto"/>
              <w:right w:val="single" w:sz="4" w:space="0" w:color="auto"/>
            </w:tcBorders>
            <w:noWrap/>
            <w:vAlign w:val="bottom"/>
            <w:hideMark/>
          </w:tcPr>
          <w:p w14:paraId="703F6EE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2,304.00</w:t>
            </w:r>
          </w:p>
        </w:tc>
        <w:tc>
          <w:tcPr>
            <w:tcW w:w="974" w:type="dxa"/>
            <w:tcBorders>
              <w:top w:val="nil"/>
              <w:left w:val="nil"/>
              <w:bottom w:val="single" w:sz="4" w:space="0" w:color="auto"/>
              <w:right w:val="single" w:sz="4" w:space="0" w:color="auto"/>
            </w:tcBorders>
            <w:noWrap/>
            <w:vAlign w:val="bottom"/>
            <w:hideMark/>
          </w:tcPr>
          <w:p w14:paraId="4C8D6C7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C916443"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09E9678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Corridor</w:t>
            </w:r>
          </w:p>
        </w:tc>
        <w:tc>
          <w:tcPr>
            <w:tcW w:w="1682" w:type="dxa"/>
            <w:tcBorders>
              <w:top w:val="nil"/>
              <w:left w:val="nil"/>
              <w:bottom w:val="single" w:sz="4" w:space="0" w:color="auto"/>
              <w:right w:val="single" w:sz="4" w:space="0" w:color="auto"/>
            </w:tcBorders>
            <w:noWrap/>
            <w:vAlign w:val="bottom"/>
            <w:hideMark/>
          </w:tcPr>
          <w:p w14:paraId="5A3581F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798.70</w:t>
            </w:r>
          </w:p>
        </w:tc>
        <w:tc>
          <w:tcPr>
            <w:tcW w:w="974" w:type="dxa"/>
            <w:tcBorders>
              <w:top w:val="nil"/>
              <w:left w:val="nil"/>
              <w:bottom w:val="single" w:sz="4" w:space="0" w:color="auto"/>
              <w:right w:val="single" w:sz="4" w:space="0" w:color="auto"/>
            </w:tcBorders>
            <w:noWrap/>
            <w:vAlign w:val="bottom"/>
            <w:hideMark/>
          </w:tcPr>
          <w:p w14:paraId="51C84F2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71A329A3"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40C010B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Unisex Toilet Block</w:t>
            </w:r>
          </w:p>
        </w:tc>
        <w:tc>
          <w:tcPr>
            <w:tcW w:w="1682" w:type="dxa"/>
            <w:tcBorders>
              <w:top w:val="nil"/>
              <w:left w:val="nil"/>
              <w:bottom w:val="single" w:sz="4" w:space="0" w:color="auto"/>
              <w:right w:val="single" w:sz="4" w:space="0" w:color="auto"/>
            </w:tcBorders>
            <w:noWrap/>
            <w:vAlign w:val="bottom"/>
            <w:hideMark/>
          </w:tcPr>
          <w:p w14:paraId="234D328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5.40</w:t>
            </w:r>
          </w:p>
        </w:tc>
        <w:tc>
          <w:tcPr>
            <w:tcW w:w="974" w:type="dxa"/>
            <w:tcBorders>
              <w:top w:val="nil"/>
              <w:left w:val="nil"/>
              <w:bottom w:val="single" w:sz="4" w:space="0" w:color="auto"/>
              <w:right w:val="single" w:sz="4" w:space="0" w:color="auto"/>
            </w:tcBorders>
            <w:noWrap/>
            <w:vAlign w:val="bottom"/>
            <w:hideMark/>
          </w:tcPr>
          <w:p w14:paraId="6398A29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AC600B4"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1B8152C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General Stores</w:t>
            </w:r>
          </w:p>
        </w:tc>
        <w:tc>
          <w:tcPr>
            <w:tcW w:w="1682" w:type="dxa"/>
            <w:tcBorders>
              <w:top w:val="nil"/>
              <w:left w:val="nil"/>
              <w:bottom w:val="single" w:sz="4" w:space="0" w:color="auto"/>
              <w:right w:val="single" w:sz="4" w:space="0" w:color="auto"/>
            </w:tcBorders>
            <w:noWrap/>
            <w:vAlign w:val="bottom"/>
            <w:hideMark/>
          </w:tcPr>
          <w:p w14:paraId="4B5203E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18.00</w:t>
            </w:r>
          </w:p>
        </w:tc>
        <w:tc>
          <w:tcPr>
            <w:tcW w:w="974" w:type="dxa"/>
            <w:tcBorders>
              <w:top w:val="nil"/>
              <w:left w:val="nil"/>
              <w:bottom w:val="single" w:sz="4" w:space="0" w:color="auto"/>
              <w:right w:val="single" w:sz="4" w:space="0" w:color="auto"/>
            </w:tcBorders>
            <w:noWrap/>
            <w:vAlign w:val="bottom"/>
            <w:hideMark/>
          </w:tcPr>
          <w:p w14:paraId="246C535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3C955CC"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4915D9E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Staff Area</w:t>
            </w:r>
          </w:p>
        </w:tc>
        <w:tc>
          <w:tcPr>
            <w:tcW w:w="1682" w:type="dxa"/>
            <w:tcBorders>
              <w:top w:val="nil"/>
              <w:left w:val="nil"/>
              <w:bottom w:val="single" w:sz="4" w:space="0" w:color="auto"/>
              <w:right w:val="single" w:sz="4" w:space="0" w:color="auto"/>
            </w:tcBorders>
            <w:noWrap/>
            <w:vAlign w:val="bottom"/>
            <w:hideMark/>
          </w:tcPr>
          <w:p w14:paraId="6655249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30.00</w:t>
            </w:r>
          </w:p>
        </w:tc>
        <w:tc>
          <w:tcPr>
            <w:tcW w:w="974" w:type="dxa"/>
            <w:tcBorders>
              <w:top w:val="nil"/>
              <w:left w:val="nil"/>
              <w:bottom w:val="single" w:sz="4" w:space="0" w:color="auto"/>
              <w:right w:val="single" w:sz="4" w:space="0" w:color="auto"/>
            </w:tcBorders>
            <w:noWrap/>
            <w:vAlign w:val="bottom"/>
            <w:hideMark/>
          </w:tcPr>
          <w:p w14:paraId="6B69C57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129249B"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6DED5EC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Reception Area</w:t>
            </w:r>
          </w:p>
        </w:tc>
        <w:tc>
          <w:tcPr>
            <w:tcW w:w="1682" w:type="dxa"/>
            <w:tcBorders>
              <w:top w:val="nil"/>
              <w:left w:val="nil"/>
              <w:bottom w:val="single" w:sz="4" w:space="0" w:color="auto"/>
              <w:right w:val="single" w:sz="4" w:space="0" w:color="auto"/>
            </w:tcBorders>
            <w:noWrap/>
            <w:vAlign w:val="bottom"/>
            <w:hideMark/>
          </w:tcPr>
          <w:p w14:paraId="4659F92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22.50</w:t>
            </w:r>
          </w:p>
        </w:tc>
        <w:tc>
          <w:tcPr>
            <w:tcW w:w="974" w:type="dxa"/>
            <w:tcBorders>
              <w:top w:val="nil"/>
              <w:left w:val="nil"/>
              <w:bottom w:val="single" w:sz="4" w:space="0" w:color="auto"/>
              <w:right w:val="single" w:sz="4" w:space="0" w:color="auto"/>
            </w:tcBorders>
            <w:noWrap/>
            <w:vAlign w:val="bottom"/>
            <w:hideMark/>
          </w:tcPr>
          <w:p w14:paraId="04B8D0A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6393E0A"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626E1FE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Plant Room</w:t>
            </w:r>
          </w:p>
        </w:tc>
        <w:tc>
          <w:tcPr>
            <w:tcW w:w="1682" w:type="dxa"/>
            <w:tcBorders>
              <w:top w:val="nil"/>
              <w:left w:val="nil"/>
              <w:bottom w:val="single" w:sz="4" w:space="0" w:color="auto"/>
              <w:right w:val="single" w:sz="4" w:space="0" w:color="auto"/>
            </w:tcBorders>
            <w:noWrap/>
            <w:vAlign w:val="bottom"/>
            <w:hideMark/>
          </w:tcPr>
          <w:p w14:paraId="35CAD9B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14.00</w:t>
            </w:r>
          </w:p>
        </w:tc>
        <w:tc>
          <w:tcPr>
            <w:tcW w:w="974" w:type="dxa"/>
            <w:tcBorders>
              <w:top w:val="nil"/>
              <w:left w:val="nil"/>
              <w:bottom w:val="single" w:sz="4" w:space="0" w:color="auto"/>
              <w:right w:val="single" w:sz="4" w:space="0" w:color="auto"/>
            </w:tcBorders>
            <w:noWrap/>
            <w:vAlign w:val="bottom"/>
            <w:hideMark/>
          </w:tcPr>
          <w:p w14:paraId="420EA0B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3A0E4FB"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1D0DD52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Control Room</w:t>
            </w:r>
          </w:p>
        </w:tc>
        <w:tc>
          <w:tcPr>
            <w:tcW w:w="1682" w:type="dxa"/>
            <w:tcBorders>
              <w:top w:val="nil"/>
              <w:left w:val="nil"/>
              <w:bottom w:val="single" w:sz="4" w:space="0" w:color="auto"/>
              <w:right w:val="single" w:sz="4" w:space="0" w:color="auto"/>
            </w:tcBorders>
            <w:noWrap/>
            <w:vAlign w:val="bottom"/>
            <w:hideMark/>
          </w:tcPr>
          <w:p w14:paraId="36B6487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27.50</w:t>
            </w:r>
          </w:p>
        </w:tc>
        <w:tc>
          <w:tcPr>
            <w:tcW w:w="974" w:type="dxa"/>
            <w:tcBorders>
              <w:top w:val="nil"/>
              <w:left w:val="nil"/>
              <w:bottom w:val="single" w:sz="4" w:space="0" w:color="auto"/>
              <w:right w:val="single" w:sz="4" w:space="0" w:color="auto"/>
            </w:tcBorders>
            <w:noWrap/>
            <w:vAlign w:val="bottom"/>
            <w:hideMark/>
          </w:tcPr>
          <w:p w14:paraId="0A0742F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2B16A1F2"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5E7D568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Cafe Area</w:t>
            </w:r>
          </w:p>
        </w:tc>
        <w:tc>
          <w:tcPr>
            <w:tcW w:w="1682" w:type="dxa"/>
            <w:tcBorders>
              <w:top w:val="nil"/>
              <w:left w:val="nil"/>
              <w:bottom w:val="single" w:sz="4" w:space="0" w:color="auto"/>
              <w:right w:val="single" w:sz="4" w:space="0" w:color="auto"/>
            </w:tcBorders>
            <w:noWrap/>
            <w:vAlign w:val="bottom"/>
            <w:hideMark/>
          </w:tcPr>
          <w:p w14:paraId="096EA2F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22.00</w:t>
            </w:r>
          </w:p>
        </w:tc>
        <w:tc>
          <w:tcPr>
            <w:tcW w:w="974" w:type="dxa"/>
            <w:tcBorders>
              <w:top w:val="nil"/>
              <w:left w:val="nil"/>
              <w:bottom w:val="single" w:sz="4" w:space="0" w:color="auto"/>
              <w:right w:val="single" w:sz="4" w:space="0" w:color="auto"/>
            </w:tcBorders>
            <w:noWrap/>
            <w:vAlign w:val="bottom"/>
            <w:hideMark/>
          </w:tcPr>
          <w:p w14:paraId="746D95BE"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B64D589"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1E4F879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Learning Studio</w:t>
            </w:r>
          </w:p>
        </w:tc>
        <w:tc>
          <w:tcPr>
            <w:tcW w:w="1682" w:type="dxa"/>
            <w:tcBorders>
              <w:top w:val="nil"/>
              <w:left w:val="nil"/>
              <w:bottom w:val="single" w:sz="4" w:space="0" w:color="auto"/>
              <w:right w:val="single" w:sz="4" w:space="0" w:color="auto"/>
            </w:tcBorders>
            <w:noWrap/>
            <w:vAlign w:val="bottom"/>
            <w:hideMark/>
          </w:tcPr>
          <w:p w14:paraId="6C10D0E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56.00</w:t>
            </w:r>
          </w:p>
        </w:tc>
        <w:tc>
          <w:tcPr>
            <w:tcW w:w="974" w:type="dxa"/>
            <w:tcBorders>
              <w:top w:val="nil"/>
              <w:left w:val="nil"/>
              <w:bottom w:val="single" w:sz="4" w:space="0" w:color="auto"/>
              <w:right w:val="single" w:sz="4" w:space="0" w:color="auto"/>
            </w:tcBorders>
            <w:noWrap/>
            <w:vAlign w:val="bottom"/>
            <w:hideMark/>
          </w:tcPr>
          <w:p w14:paraId="5C2AA76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27AD594B"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1660CEA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Unisex Toilet Block 2</w:t>
            </w:r>
          </w:p>
        </w:tc>
        <w:tc>
          <w:tcPr>
            <w:tcW w:w="1682" w:type="dxa"/>
            <w:tcBorders>
              <w:top w:val="nil"/>
              <w:left w:val="nil"/>
              <w:bottom w:val="single" w:sz="4" w:space="0" w:color="auto"/>
              <w:right w:val="single" w:sz="4" w:space="0" w:color="auto"/>
            </w:tcBorders>
            <w:noWrap/>
            <w:vAlign w:val="bottom"/>
            <w:hideMark/>
          </w:tcPr>
          <w:p w14:paraId="1AE5778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28.00</w:t>
            </w:r>
          </w:p>
        </w:tc>
        <w:tc>
          <w:tcPr>
            <w:tcW w:w="974" w:type="dxa"/>
            <w:tcBorders>
              <w:top w:val="nil"/>
              <w:left w:val="nil"/>
              <w:bottom w:val="single" w:sz="4" w:space="0" w:color="auto"/>
              <w:right w:val="single" w:sz="4" w:space="0" w:color="auto"/>
            </w:tcBorders>
            <w:noWrap/>
            <w:vAlign w:val="bottom"/>
            <w:hideMark/>
          </w:tcPr>
          <w:p w14:paraId="70271DC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E165907"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4047668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Void Entrance</w:t>
            </w:r>
          </w:p>
        </w:tc>
        <w:tc>
          <w:tcPr>
            <w:tcW w:w="1682" w:type="dxa"/>
            <w:tcBorders>
              <w:top w:val="nil"/>
              <w:left w:val="nil"/>
              <w:bottom w:val="single" w:sz="4" w:space="0" w:color="auto"/>
              <w:right w:val="single" w:sz="4" w:space="0" w:color="auto"/>
            </w:tcBorders>
            <w:noWrap/>
            <w:vAlign w:val="bottom"/>
            <w:hideMark/>
          </w:tcPr>
          <w:p w14:paraId="0E35A33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20.00</w:t>
            </w:r>
          </w:p>
        </w:tc>
        <w:tc>
          <w:tcPr>
            <w:tcW w:w="974" w:type="dxa"/>
            <w:tcBorders>
              <w:top w:val="nil"/>
              <w:left w:val="nil"/>
              <w:bottom w:val="single" w:sz="4" w:space="0" w:color="auto"/>
              <w:right w:val="single" w:sz="4" w:space="0" w:color="auto"/>
            </w:tcBorders>
            <w:noWrap/>
            <w:vAlign w:val="bottom"/>
            <w:hideMark/>
          </w:tcPr>
          <w:p w14:paraId="3AC40C3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89ED8FB"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0A62255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Seating / Communal Area</w:t>
            </w:r>
          </w:p>
        </w:tc>
        <w:tc>
          <w:tcPr>
            <w:tcW w:w="1682" w:type="dxa"/>
            <w:tcBorders>
              <w:top w:val="nil"/>
              <w:left w:val="nil"/>
              <w:bottom w:val="single" w:sz="4" w:space="0" w:color="auto"/>
              <w:right w:val="single" w:sz="4" w:space="0" w:color="auto"/>
            </w:tcBorders>
            <w:noWrap/>
            <w:vAlign w:val="bottom"/>
            <w:hideMark/>
          </w:tcPr>
          <w:p w14:paraId="723FD64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40.00</w:t>
            </w:r>
          </w:p>
        </w:tc>
        <w:tc>
          <w:tcPr>
            <w:tcW w:w="974" w:type="dxa"/>
            <w:tcBorders>
              <w:top w:val="nil"/>
              <w:left w:val="nil"/>
              <w:bottom w:val="single" w:sz="4" w:space="0" w:color="auto"/>
              <w:right w:val="single" w:sz="4" w:space="0" w:color="auto"/>
            </w:tcBorders>
            <w:noWrap/>
            <w:vAlign w:val="bottom"/>
            <w:hideMark/>
          </w:tcPr>
          <w:p w14:paraId="160CEAF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9F28A6C"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50F6C11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1</w:t>
            </w:r>
          </w:p>
        </w:tc>
        <w:tc>
          <w:tcPr>
            <w:tcW w:w="1682" w:type="dxa"/>
            <w:tcBorders>
              <w:top w:val="nil"/>
              <w:left w:val="nil"/>
              <w:bottom w:val="single" w:sz="4" w:space="0" w:color="auto"/>
              <w:right w:val="single" w:sz="4" w:space="0" w:color="auto"/>
            </w:tcBorders>
            <w:noWrap/>
            <w:vAlign w:val="bottom"/>
            <w:hideMark/>
          </w:tcPr>
          <w:p w14:paraId="255A7A2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974" w:type="dxa"/>
            <w:tcBorders>
              <w:top w:val="nil"/>
              <w:left w:val="nil"/>
              <w:bottom w:val="single" w:sz="4" w:space="0" w:color="auto"/>
              <w:right w:val="single" w:sz="4" w:space="0" w:color="auto"/>
            </w:tcBorders>
            <w:noWrap/>
            <w:vAlign w:val="bottom"/>
            <w:hideMark/>
          </w:tcPr>
          <w:p w14:paraId="1B0C179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E6B9108"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28B5276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2</w:t>
            </w:r>
          </w:p>
        </w:tc>
        <w:tc>
          <w:tcPr>
            <w:tcW w:w="1682" w:type="dxa"/>
            <w:tcBorders>
              <w:top w:val="nil"/>
              <w:left w:val="nil"/>
              <w:bottom w:val="single" w:sz="4" w:space="0" w:color="auto"/>
              <w:right w:val="single" w:sz="4" w:space="0" w:color="auto"/>
            </w:tcBorders>
            <w:noWrap/>
            <w:vAlign w:val="bottom"/>
            <w:hideMark/>
          </w:tcPr>
          <w:p w14:paraId="48B56FE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974" w:type="dxa"/>
            <w:tcBorders>
              <w:top w:val="nil"/>
              <w:left w:val="nil"/>
              <w:bottom w:val="single" w:sz="4" w:space="0" w:color="auto"/>
              <w:right w:val="single" w:sz="4" w:space="0" w:color="auto"/>
            </w:tcBorders>
            <w:noWrap/>
            <w:vAlign w:val="bottom"/>
            <w:hideMark/>
          </w:tcPr>
          <w:p w14:paraId="7393212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12A33D3"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hideMark/>
          </w:tcPr>
          <w:p w14:paraId="2FA7E53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Lift</w:t>
            </w:r>
          </w:p>
        </w:tc>
        <w:tc>
          <w:tcPr>
            <w:tcW w:w="1682" w:type="dxa"/>
            <w:tcBorders>
              <w:top w:val="nil"/>
              <w:left w:val="nil"/>
              <w:bottom w:val="single" w:sz="4" w:space="0" w:color="auto"/>
              <w:right w:val="single" w:sz="4" w:space="0" w:color="auto"/>
            </w:tcBorders>
            <w:noWrap/>
            <w:vAlign w:val="bottom"/>
            <w:hideMark/>
          </w:tcPr>
          <w:p w14:paraId="5710DB2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1.50</w:t>
            </w:r>
          </w:p>
        </w:tc>
        <w:tc>
          <w:tcPr>
            <w:tcW w:w="974" w:type="dxa"/>
            <w:tcBorders>
              <w:top w:val="nil"/>
              <w:left w:val="nil"/>
              <w:bottom w:val="single" w:sz="4" w:space="0" w:color="auto"/>
              <w:right w:val="single" w:sz="4" w:space="0" w:color="auto"/>
            </w:tcBorders>
            <w:noWrap/>
            <w:vAlign w:val="bottom"/>
            <w:hideMark/>
          </w:tcPr>
          <w:p w14:paraId="3CB32F4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50B1133" w14:textId="77777777" w:rsidTr="007271C9">
        <w:trPr>
          <w:trHeight w:val="288"/>
        </w:trPr>
        <w:tc>
          <w:tcPr>
            <w:tcW w:w="4644" w:type="dxa"/>
            <w:tcBorders>
              <w:top w:val="nil"/>
              <w:left w:val="single" w:sz="4" w:space="0" w:color="auto"/>
              <w:bottom w:val="nil"/>
              <w:right w:val="single" w:sz="4" w:space="0" w:color="auto"/>
            </w:tcBorders>
            <w:noWrap/>
            <w:vAlign w:val="bottom"/>
            <w:hideMark/>
          </w:tcPr>
          <w:p w14:paraId="1B2F246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682" w:type="dxa"/>
            <w:tcBorders>
              <w:top w:val="nil"/>
              <w:left w:val="nil"/>
              <w:bottom w:val="nil"/>
              <w:right w:val="single" w:sz="4" w:space="0" w:color="auto"/>
            </w:tcBorders>
            <w:noWrap/>
            <w:vAlign w:val="bottom"/>
            <w:hideMark/>
          </w:tcPr>
          <w:p w14:paraId="7A9465DF"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3,446.60</w:t>
            </w:r>
          </w:p>
        </w:tc>
        <w:tc>
          <w:tcPr>
            <w:tcW w:w="974" w:type="dxa"/>
            <w:tcBorders>
              <w:top w:val="nil"/>
              <w:left w:val="nil"/>
              <w:bottom w:val="nil"/>
              <w:right w:val="single" w:sz="4" w:space="0" w:color="auto"/>
            </w:tcBorders>
            <w:noWrap/>
            <w:vAlign w:val="bottom"/>
            <w:hideMark/>
          </w:tcPr>
          <w:p w14:paraId="2A150FC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45422F5" w14:textId="77777777" w:rsidTr="007271C9">
        <w:trPr>
          <w:trHeight w:val="288"/>
        </w:trPr>
        <w:tc>
          <w:tcPr>
            <w:tcW w:w="4644" w:type="dxa"/>
            <w:tcBorders>
              <w:top w:val="nil"/>
              <w:left w:val="single" w:sz="4" w:space="0" w:color="auto"/>
              <w:bottom w:val="single" w:sz="4" w:space="0" w:color="auto"/>
              <w:right w:val="single" w:sz="4" w:space="0" w:color="auto"/>
            </w:tcBorders>
            <w:noWrap/>
            <w:vAlign w:val="bottom"/>
          </w:tcPr>
          <w:p w14:paraId="46C128E8" w14:textId="77777777" w:rsidR="00461DF9" w:rsidRPr="009E1A59" w:rsidRDefault="00461DF9" w:rsidP="009E1A59">
            <w:pPr>
              <w:spacing w:line="360" w:lineRule="auto"/>
              <w:jc w:val="both"/>
              <w:rPr>
                <w:rFonts w:ascii="Times New Roman" w:hAnsi="Times New Roman" w:cs="Times New Roman"/>
              </w:rPr>
            </w:pPr>
          </w:p>
        </w:tc>
        <w:tc>
          <w:tcPr>
            <w:tcW w:w="1682" w:type="dxa"/>
            <w:tcBorders>
              <w:top w:val="nil"/>
              <w:left w:val="nil"/>
              <w:bottom w:val="single" w:sz="4" w:space="0" w:color="auto"/>
              <w:right w:val="single" w:sz="4" w:space="0" w:color="auto"/>
            </w:tcBorders>
            <w:noWrap/>
            <w:vAlign w:val="bottom"/>
          </w:tcPr>
          <w:p w14:paraId="7B4B218C" w14:textId="77777777" w:rsidR="00461DF9" w:rsidRPr="009E1A59" w:rsidRDefault="00461DF9" w:rsidP="009E1A59">
            <w:pPr>
              <w:spacing w:line="360" w:lineRule="auto"/>
              <w:jc w:val="both"/>
              <w:rPr>
                <w:rFonts w:ascii="Times New Roman" w:hAnsi="Times New Roman" w:cs="Times New Roman"/>
                <w:b/>
                <w:bCs/>
              </w:rPr>
            </w:pPr>
          </w:p>
        </w:tc>
        <w:tc>
          <w:tcPr>
            <w:tcW w:w="974" w:type="dxa"/>
            <w:tcBorders>
              <w:top w:val="nil"/>
              <w:left w:val="nil"/>
              <w:bottom w:val="single" w:sz="4" w:space="0" w:color="auto"/>
              <w:right w:val="single" w:sz="4" w:space="0" w:color="auto"/>
            </w:tcBorders>
            <w:noWrap/>
            <w:vAlign w:val="bottom"/>
          </w:tcPr>
          <w:p w14:paraId="0C52ECD3" w14:textId="77777777" w:rsidR="00461DF9" w:rsidRPr="009E1A59" w:rsidRDefault="00461DF9" w:rsidP="009E1A59">
            <w:pPr>
              <w:spacing w:line="360" w:lineRule="auto"/>
              <w:jc w:val="both"/>
              <w:rPr>
                <w:rFonts w:ascii="Times New Roman" w:hAnsi="Times New Roman" w:cs="Times New Roman"/>
              </w:rPr>
            </w:pPr>
          </w:p>
        </w:tc>
      </w:tr>
    </w:tbl>
    <w:p w14:paraId="0ACDF5B6" w14:textId="77777777" w:rsidR="00461DF9" w:rsidRPr="009E1A59" w:rsidRDefault="00461DF9" w:rsidP="009E1A59">
      <w:pPr>
        <w:spacing w:line="360" w:lineRule="auto"/>
        <w:jc w:val="both"/>
        <w:rPr>
          <w:rFonts w:ascii="Times New Roman" w:hAnsi="Times New Roman" w:cs="Times New Roman"/>
        </w:rPr>
      </w:pPr>
    </w:p>
    <w:p w14:paraId="052B7C43" w14:textId="77777777" w:rsidR="00461DF9" w:rsidRPr="009E1A59" w:rsidRDefault="00461DF9" w:rsidP="009E1A59">
      <w:pPr>
        <w:spacing w:line="360" w:lineRule="auto"/>
        <w:jc w:val="both"/>
        <w:rPr>
          <w:rFonts w:ascii="Times New Roman" w:hAnsi="Times New Roman" w:cs="Times New Roman"/>
        </w:rPr>
      </w:pPr>
    </w:p>
    <w:tbl>
      <w:tblPr>
        <w:tblW w:w="5516" w:type="dxa"/>
        <w:tblLook w:val="04A0" w:firstRow="1" w:lastRow="0" w:firstColumn="1" w:lastColumn="0" w:noHBand="0" w:noVBand="1"/>
      </w:tblPr>
      <w:tblGrid>
        <w:gridCol w:w="3422"/>
        <w:gridCol w:w="1291"/>
        <w:gridCol w:w="803"/>
      </w:tblGrid>
      <w:tr w:rsidR="00461DF9" w:rsidRPr="009E1A59" w14:paraId="3CED629D" w14:textId="77777777" w:rsidTr="00FC75B6">
        <w:trPr>
          <w:trHeight w:val="288"/>
        </w:trPr>
        <w:tc>
          <w:tcPr>
            <w:tcW w:w="5516" w:type="dxa"/>
            <w:gridSpan w:val="3"/>
            <w:tcBorders>
              <w:top w:val="single" w:sz="4" w:space="0" w:color="auto"/>
              <w:left w:val="single" w:sz="4" w:space="0" w:color="auto"/>
              <w:bottom w:val="single" w:sz="4" w:space="0" w:color="auto"/>
              <w:right w:val="single" w:sz="4" w:space="0" w:color="auto"/>
            </w:tcBorders>
            <w:noWrap/>
            <w:vAlign w:val="bottom"/>
            <w:hideMark/>
          </w:tcPr>
          <w:p w14:paraId="1A57FF64"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First Floor</w:t>
            </w:r>
          </w:p>
        </w:tc>
      </w:tr>
      <w:tr w:rsidR="00461DF9" w:rsidRPr="009E1A59" w14:paraId="61B74DBC"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79ECFF3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291" w:type="dxa"/>
            <w:tcBorders>
              <w:top w:val="nil"/>
              <w:left w:val="nil"/>
              <w:bottom w:val="single" w:sz="4" w:space="0" w:color="auto"/>
              <w:right w:val="single" w:sz="4" w:space="0" w:color="auto"/>
            </w:tcBorders>
            <w:noWrap/>
            <w:vAlign w:val="bottom"/>
            <w:hideMark/>
          </w:tcPr>
          <w:p w14:paraId="1407ED8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803" w:type="dxa"/>
            <w:tcBorders>
              <w:top w:val="nil"/>
              <w:left w:val="nil"/>
              <w:bottom w:val="single" w:sz="4" w:space="0" w:color="auto"/>
              <w:right w:val="single" w:sz="4" w:space="0" w:color="auto"/>
            </w:tcBorders>
            <w:noWrap/>
            <w:vAlign w:val="bottom"/>
            <w:hideMark/>
          </w:tcPr>
          <w:p w14:paraId="0F30E46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r>
      <w:tr w:rsidR="00461DF9" w:rsidRPr="009E1A59" w14:paraId="4D590F52"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502E0AF9"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 xml:space="preserve">Room </w:t>
            </w:r>
          </w:p>
        </w:tc>
        <w:tc>
          <w:tcPr>
            <w:tcW w:w="1291" w:type="dxa"/>
            <w:tcBorders>
              <w:top w:val="nil"/>
              <w:left w:val="nil"/>
              <w:bottom w:val="single" w:sz="4" w:space="0" w:color="auto"/>
              <w:right w:val="single" w:sz="4" w:space="0" w:color="auto"/>
            </w:tcBorders>
            <w:noWrap/>
            <w:vAlign w:val="bottom"/>
            <w:hideMark/>
          </w:tcPr>
          <w:p w14:paraId="1167DEF5"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Quantity</w:t>
            </w:r>
          </w:p>
        </w:tc>
        <w:tc>
          <w:tcPr>
            <w:tcW w:w="803" w:type="dxa"/>
            <w:tcBorders>
              <w:top w:val="nil"/>
              <w:left w:val="nil"/>
              <w:bottom w:val="single" w:sz="4" w:space="0" w:color="auto"/>
              <w:right w:val="single" w:sz="4" w:space="0" w:color="auto"/>
            </w:tcBorders>
            <w:noWrap/>
            <w:vAlign w:val="bottom"/>
            <w:hideMark/>
          </w:tcPr>
          <w:p w14:paraId="58E11114"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UOM</w:t>
            </w:r>
          </w:p>
        </w:tc>
      </w:tr>
      <w:tr w:rsidR="00461DF9" w:rsidRPr="009E1A59" w14:paraId="1F9EA221"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6CAD9B9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1</w:t>
            </w:r>
          </w:p>
        </w:tc>
        <w:tc>
          <w:tcPr>
            <w:tcW w:w="1291" w:type="dxa"/>
            <w:tcBorders>
              <w:top w:val="nil"/>
              <w:left w:val="nil"/>
              <w:bottom w:val="single" w:sz="4" w:space="0" w:color="auto"/>
              <w:right w:val="single" w:sz="4" w:space="0" w:color="auto"/>
            </w:tcBorders>
            <w:noWrap/>
            <w:vAlign w:val="bottom"/>
            <w:hideMark/>
          </w:tcPr>
          <w:p w14:paraId="5B3627A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803" w:type="dxa"/>
            <w:tcBorders>
              <w:top w:val="nil"/>
              <w:left w:val="nil"/>
              <w:bottom w:val="single" w:sz="4" w:space="0" w:color="auto"/>
              <w:right w:val="single" w:sz="4" w:space="0" w:color="auto"/>
            </w:tcBorders>
            <w:noWrap/>
            <w:vAlign w:val="bottom"/>
            <w:hideMark/>
          </w:tcPr>
          <w:p w14:paraId="479AFB1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933CC8A"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23BE957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Lift</w:t>
            </w:r>
          </w:p>
        </w:tc>
        <w:tc>
          <w:tcPr>
            <w:tcW w:w="1291" w:type="dxa"/>
            <w:tcBorders>
              <w:top w:val="nil"/>
              <w:left w:val="nil"/>
              <w:bottom w:val="single" w:sz="4" w:space="0" w:color="auto"/>
              <w:right w:val="single" w:sz="4" w:space="0" w:color="auto"/>
            </w:tcBorders>
            <w:noWrap/>
            <w:vAlign w:val="bottom"/>
            <w:hideMark/>
          </w:tcPr>
          <w:p w14:paraId="6179E3E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1.50</w:t>
            </w:r>
          </w:p>
        </w:tc>
        <w:tc>
          <w:tcPr>
            <w:tcW w:w="803" w:type="dxa"/>
            <w:tcBorders>
              <w:top w:val="nil"/>
              <w:left w:val="nil"/>
              <w:bottom w:val="single" w:sz="4" w:space="0" w:color="auto"/>
              <w:right w:val="single" w:sz="4" w:space="0" w:color="auto"/>
            </w:tcBorders>
            <w:noWrap/>
            <w:vAlign w:val="bottom"/>
            <w:hideMark/>
          </w:tcPr>
          <w:p w14:paraId="1C28182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1066F290"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633A965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Workshop 1</w:t>
            </w:r>
          </w:p>
        </w:tc>
        <w:tc>
          <w:tcPr>
            <w:tcW w:w="1291" w:type="dxa"/>
            <w:tcBorders>
              <w:top w:val="nil"/>
              <w:left w:val="nil"/>
              <w:bottom w:val="single" w:sz="4" w:space="0" w:color="auto"/>
              <w:right w:val="single" w:sz="4" w:space="0" w:color="auto"/>
            </w:tcBorders>
            <w:noWrap/>
            <w:vAlign w:val="bottom"/>
            <w:hideMark/>
          </w:tcPr>
          <w:p w14:paraId="59A630A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50.50</w:t>
            </w:r>
          </w:p>
        </w:tc>
        <w:tc>
          <w:tcPr>
            <w:tcW w:w="803" w:type="dxa"/>
            <w:tcBorders>
              <w:top w:val="nil"/>
              <w:left w:val="nil"/>
              <w:bottom w:val="single" w:sz="4" w:space="0" w:color="auto"/>
              <w:right w:val="single" w:sz="4" w:space="0" w:color="auto"/>
            </w:tcBorders>
            <w:noWrap/>
            <w:vAlign w:val="bottom"/>
            <w:hideMark/>
          </w:tcPr>
          <w:p w14:paraId="57A5D84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16B487E8"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58743ED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Lab Space</w:t>
            </w:r>
          </w:p>
        </w:tc>
        <w:tc>
          <w:tcPr>
            <w:tcW w:w="1291" w:type="dxa"/>
            <w:tcBorders>
              <w:top w:val="nil"/>
              <w:left w:val="nil"/>
              <w:bottom w:val="single" w:sz="4" w:space="0" w:color="auto"/>
              <w:right w:val="single" w:sz="4" w:space="0" w:color="auto"/>
            </w:tcBorders>
            <w:noWrap/>
            <w:vAlign w:val="bottom"/>
            <w:hideMark/>
          </w:tcPr>
          <w:p w14:paraId="7E9B0D8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53.50</w:t>
            </w:r>
          </w:p>
        </w:tc>
        <w:tc>
          <w:tcPr>
            <w:tcW w:w="803" w:type="dxa"/>
            <w:tcBorders>
              <w:top w:val="nil"/>
              <w:left w:val="nil"/>
              <w:bottom w:val="single" w:sz="4" w:space="0" w:color="auto"/>
              <w:right w:val="single" w:sz="4" w:space="0" w:color="auto"/>
            </w:tcBorders>
            <w:noWrap/>
            <w:vAlign w:val="bottom"/>
            <w:hideMark/>
          </w:tcPr>
          <w:p w14:paraId="1D63BF7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11DF8F7"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26CE7CB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Workshop 2</w:t>
            </w:r>
          </w:p>
        </w:tc>
        <w:tc>
          <w:tcPr>
            <w:tcW w:w="1291" w:type="dxa"/>
            <w:tcBorders>
              <w:top w:val="nil"/>
              <w:left w:val="nil"/>
              <w:bottom w:val="single" w:sz="4" w:space="0" w:color="auto"/>
              <w:right w:val="single" w:sz="4" w:space="0" w:color="auto"/>
            </w:tcBorders>
            <w:noWrap/>
            <w:vAlign w:val="bottom"/>
            <w:hideMark/>
          </w:tcPr>
          <w:p w14:paraId="5A92489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50.50</w:t>
            </w:r>
          </w:p>
        </w:tc>
        <w:tc>
          <w:tcPr>
            <w:tcW w:w="803" w:type="dxa"/>
            <w:tcBorders>
              <w:top w:val="nil"/>
              <w:left w:val="nil"/>
              <w:bottom w:val="single" w:sz="4" w:space="0" w:color="auto"/>
              <w:right w:val="single" w:sz="4" w:space="0" w:color="auto"/>
            </w:tcBorders>
            <w:noWrap/>
            <w:vAlign w:val="bottom"/>
            <w:hideMark/>
          </w:tcPr>
          <w:p w14:paraId="38F8F00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76450E8C"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35E4F83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Wash down Facility</w:t>
            </w:r>
          </w:p>
        </w:tc>
        <w:tc>
          <w:tcPr>
            <w:tcW w:w="1291" w:type="dxa"/>
            <w:tcBorders>
              <w:top w:val="nil"/>
              <w:left w:val="nil"/>
              <w:bottom w:val="single" w:sz="4" w:space="0" w:color="auto"/>
              <w:right w:val="single" w:sz="4" w:space="0" w:color="auto"/>
            </w:tcBorders>
            <w:noWrap/>
            <w:vAlign w:val="bottom"/>
            <w:hideMark/>
          </w:tcPr>
          <w:p w14:paraId="2C124F3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9.00</w:t>
            </w:r>
          </w:p>
        </w:tc>
        <w:tc>
          <w:tcPr>
            <w:tcW w:w="803" w:type="dxa"/>
            <w:tcBorders>
              <w:top w:val="nil"/>
              <w:left w:val="nil"/>
              <w:bottom w:val="single" w:sz="4" w:space="0" w:color="auto"/>
              <w:right w:val="single" w:sz="4" w:space="0" w:color="auto"/>
            </w:tcBorders>
            <w:noWrap/>
            <w:vAlign w:val="bottom"/>
            <w:hideMark/>
          </w:tcPr>
          <w:p w14:paraId="5574A0AE"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831D879"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524BFAC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Care Taker Room</w:t>
            </w:r>
          </w:p>
        </w:tc>
        <w:tc>
          <w:tcPr>
            <w:tcW w:w="1291" w:type="dxa"/>
            <w:tcBorders>
              <w:top w:val="nil"/>
              <w:left w:val="nil"/>
              <w:bottom w:val="single" w:sz="4" w:space="0" w:color="auto"/>
              <w:right w:val="single" w:sz="4" w:space="0" w:color="auto"/>
            </w:tcBorders>
            <w:noWrap/>
            <w:vAlign w:val="bottom"/>
            <w:hideMark/>
          </w:tcPr>
          <w:p w14:paraId="47E1AB0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9.00</w:t>
            </w:r>
          </w:p>
        </w:tc>
        <w:tc>
          <w:tcPr>
            <w:tcW w:w="803" w:type="dxa"/>
            <w:tcBorders>
              <w:top w:val="nil"/>
              <w:left w:val="nil"/>
              <w:bottom w:val="single" w:sz="4" w:space="0" w:color="auto"/>
              <w:right w:val="single" w:sz="4" w:space="0" w:color="auto"/>
            </w:tcBorders>
            <w:noWrap/>
            <w:vAlign w:val="bottom"/>
            <w:hideMark/>
          </w:tcPr>
          <w:p w14:paraId="376BA8A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C6E45BD"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6B4A709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General Stores</w:t>
            </w:r>
          </w:p>
        </w:tc>
        <w:tc>
          <w:tcPr>
            <w:tcW w:w="1291" w:type="dxa"/>
            <w:tcBorders>
              <w:top w:val="nil"/>
              <w:left w:val="nil"/>
              <w:bottom w:val="single" w:sz="4" w:space="0" w:color="auto"/>
              <w:right w:val="single" w:sz="4" w:space="0" w:color="auto"/>
            </w:tcBorders>
            <w:noWrap/>
            <w:vAlign w:val="bottom"/>
            <w:hideMark/>
          </w:tcPr>
          <w:p w14:paraId="21CD905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25.50</w:t>
            </w:r>
          </w:p>
        </w:tc>
        <w:tc>
          <w:tcPr>
            <w:tcW w:w="803" w:type="dxa"/>
            <w:tcBorders>
              <w:top w:val="nil"/>
              <w:left w:val="nil"/>
              <w:bottom w:val="single" w:sz="4" w:space="0" w:color="auto"/>
              <w:right w:val="single" w:sz="4" w:space="0" w:color="auto"/>
            </w:tcBorders>
            <w:noWrap/>
            <w:vAlign w:val="bottom"/>
            <w:hideMark/>
          </w:tcPr>
          <w:p w14:paraId="66274AD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F8BD85A"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7D76294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2</w:t>
            </w:r>
          </w:p>
        </w:tc>
        <w:tc>
          <w:tcPr>
            <w:tcW w:w="1291" w:type="dxa"/>
            <w:tcBorders>
              <w:top w:val="nil"/>
              <w:left w:val="nil"/>
              <w:bottom w:val="single" w:sz="4" w:space="0" w:color="auto"/>
              <w:right w:val="single" w:sz="4" w:space="0" w:color="auto"/>
            </w:tcBorders>
            <w:noWrap/>
            <w:vAlign w:val="bottom"/>
            <w:hideMark/>
          </w:tcPr>
          <w:p w14:paraId="391A0C1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803" w:type="dxa"/>
            <w:tcBorders>
              <w:top w:val="nil"/>
              <w:left w:val="nil"/>
              <w:bottom w:val="single" w:sz="4" w:space="0" w:color="auto"/>
              <w:right w:val="single" w:sz="4" w:space="0" w:color="auto"/>
            </w:tcBorders>
            <w:noWrap/>
            <w:vAlign w:val="bottom"/>
            <w:hideMark/>
          </w:tcPr>
          <w:p w14:paraId="374EA7E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71557AB"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12F7DE9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Server Room</w:t>
            </w:r>
          </w:p>
        </w:tc>
        <w:tc>
          <w:tcPr>
            <w:tcW w:w="1291" w:type="dxa"/>
            <w:tcBorders>
              <w:top w:val="nil"/>
              <w:left w:val="nil"/>
              <w:bottom w:val="single" w:sz="4" w:space="0" w:color="auto"/>
              <w:right w:val="single" w:sz="4" w:space="0" w:color="auto"/>
            </w:tcBorders>
            <w:noWrap/>
            <w:vAlign w:val="bottom"/>
            <w:hideMark/>
          </w:tcPr>
          <w:p w14:paraId="4A2253C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6.00</w:t>
            </w:r>
          </w:p>
        </w:tc>
        <w:tc>
          <w:tcPr>
            <w:tcW w:w="803" w:type="dxa"/>
            <w:tcBorders>
              <w:top w:val="nil"/>
              <w:left w:val="nil"/>
              <w:bottom w:val="single" w:sz="4" w:space="0" w:color="auto"/>
              <w:right w:val="single" w:sz="4" w:space="0" w:color="auto"/>
            </w:tcBorders>
            <w:noWrap/>
            <w:vAlign w:val="bottom"/>
            <w:hideMark/>
          </w:tcPr>
          <w:p w14:paraId="21F4600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59AF330"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48D1148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Large HVAC Plant Room</w:t>
            </w:r>
          </w:p>
        </w:tc>
        <w:tc>
          <w:tcPr>
            <w:tcW w:w="1291" w:type="dxa"/>
            <w:tcBorders>
              <w:top w:val="nil"/>
              <w:left w:val="nil"/>
              <w:bottom w:val="single" w:sz="4" w:space="0" w:color="auto"/>
              <w:right w:val="single" w:sz="4" w:space="0" w:color="auto"/>
            </w:tcBorders>
            <w:noWrap/>
            <w:vAlign w:val="bottom"/>
            <w:hideMark/>
          </w:tcPr>
          <w:p w14:paraId="180CB3D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31.00</w:t>
            </w:r>
          </w:p>
        </w:tc>
        <w:tc>
          <w:tcPr>
            <w:tcW w:w="803" w:type="dxa"/>
            <w:tcBorders>
              <w:top w:val="nil"/>
              <w:left w:val="nil"/>
              <w:bottom w:val="single" w:sz="4" w:space="0" w:color="auto"/>
              <w:right w:val="single" w:sz="4" w:space="0" w:color="auto"/>
            </w:tcBorders>
            <w:noWrap/>
            <w:vAlign w:val="bottom"/>
            <w:hideMark/>
          </w:tcPr>
          <w:p w14:paraId="3A5B24AE"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7730C20B"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3470595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Office Space</w:t>
            </w:r>
          </w:p>
        </w:tc>
        <w:tc>
          <w:tcPr>
            <w:tcW w:w="1291" w:type="dxa"/>
            <w:tcBorders>
              <w:top w:val="nil"/>
              <w:left w:val="nil"/>
              <w:bottom w:val="single" w:sz="4" w:space="0" w:color="auto"/>
              <w:right w:val="single" w:sz="4" w:space="0" w:color="auto"/>
            </w:tcBorders>
            <w:noWrap/>
            <w:vAlign w:val="bottom"/>
            <w:hideMark/>
          </w:tcPr>
          <w:p w14:paraId="551F734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36.50</w:t>
            </w:r>
          </w:p>
        </w:tc>
        <w:tc>
          <w:tcPr>
            <w:tcW w:w="803" w:type="dxa"/>
            <w:tcBorders>
              <w:top w:val="nil"/>
              <w:left w:val="nil"/>
              <w:bottom w:val="single" w:sz="4" w:space="0" w:color="auto"/>
              <w:right w:val="single" w:sz="4" w:space="0" w:color="auto"/>
            </w:tcBorders>
            <w:noWrap/>
            <w:vAlign w:val="bottom"/>
            <w:hideMark/>
          </w:tcPr>
          <w:p w14:paraId="3297735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112BEE4"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2491205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Primary Systems Room</w:t>
            </w:r>
          </w:p>
        </w:tc>
        <w:tc>
          <w:tcPr>
            <w:tcW w:w="1291" w:type="dxa"/>
            <w:tcBorders>
              <w:top w:val="nil"/>
              <w:left w:val="nil"/>
              <w:bottom w:val="single" w:sz="4" w:space="0" w:color="auto"/>
              <w:right w:val="single" w:sz="4" w:space="0" w:color="auto"/>
            </w:tcBorders>
            <w:noWrap/>
            <w:vAlign w:val="bottom"/>
            <w:hideMark/>
          </w:tcPr>
          <w:p w14:paraId="6E92D60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24.00</w:t>
            </w:r>
          </w:p>
        </w:tc>
        <w:tc>
          <w:tcPr>
            <w:tcW w:w="803" w:type="dxa"/>
            <w:tcBorders>
              <w:top w:val="nil"/>
              <w:left w:val="nil"/>
              <w:bottom w:val="single" w:sz="4" w:space="0" w:color="auto"/>
              <w:right w:val="single" w:sz="4" w:space="0" w:color="auto"/>
            </w:tcBorders>
            <w:noWrap/>
            <w:vAlign w:val="bottom"/>
            <w:hideMark/>
          </w:tcPr>
          <w:p w14:paraId="12292F9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787BA896"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57321C4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First Floor Control Room</w:t>
            </w:r>
          </w:p>
        </w:tc>
        <w:tc>
          <w:tcPr>
            <w:tcW w:w="1291" w:type="dxa"/>
            <w:tcBorders>
              <w:top w:val="nil"/>
              <w:left w:val="nil"/>
              <w:bottom w:val="single" w:sz="4" w:space="0" w:color="auto"/>
              <w:right w:val="single" w:sz="4" w:space="0" w:color="auto"/>
            </w:tcBorders>
            <w:noWrap/>
            <w:vAlign w:val="bottom"/>
            <w:hideMark/>
          </w:tcPr>
          <w:p w14:paraId="3873956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38.50</w:t>
            </w:r>
          </w:p>
        </w:tc>
        <w:tc>
          <w:tcPr>
            <w:tcW w:w="803" w:type="dxa"/>
            <w:tcBorders>
              <w:top w:val="nil"/>
              <w:left w:val="nil"/>
              <w:bottom w:val="single" w:sz="4" w:space="0" w:color="auto"/>
              <w:right w:val="single" w:sz="4" w:space="0" w:color="auto"/>
            </w:tcBorders>
            <w:noWrap/>
            <w:vAlign w:val="bottom"/>
            <w:hideMark/>
          </w:tcPr>
          <w:p w14:paraId="4537607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EC6634B"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3AFF850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Primary Plant Room</w:t>
            </w:r>
          </w:p>
        </w:tc>
        <w:tc>
          <w:tcPr>
            <w:tcW w:w="1291" w:type="dxa"/>
            <w:tcBorders>
              <w:top w:val="nil"/>
              <w:left w:val="nil"/>
              <w:bottom w:val="single" w:sz="4" w:space="0" w:color="auto"/>
              <w:right w:val="single" w:sz="4" w:space="0" w:color="auto"/>
            </w:tcBorders>
            <w:noWrap/>
            <w:vAlign w:val="bottom"/>
            <w:hideMark/>
          </w:tcPr>
          <w:p w14:paraId="779ED47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58.00</w:t>
            </w:r>
          </w:p>
        </w:tc>
        <w:tc>
          <w:tcPr>
            <w:tcW w:w="803" w:type="dxa"/>
            <w:tcBorders>
              <w:top w:val="nil"/>
              <w:left w:val="nil"/>
              <w:bottom w:val="single" w:sz="4" w:space="0" w:color="auto"/>
              <w:right w:val="single" w:sz="4" w:space="0" w:color="auto"/>
            </w:tcBorders>
            <w:noWrap/>
            <w:vAlign w:val="bottom"/>
            <w:hideMark/>
          </w:tcPr>
          <w:p w14:paraId="234A26F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C18C773"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4BDC149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Unisex Toilet Block</w:t>
            </w:r>
          </w:p>
        </w:tc>
        <w:tc>
          <w:tcPr>
            <w:tcW w:w="1291" w:type="dxa"/>
            <w:tcBorders>
              <w:top w:val="nil"/>
              <w:left w:val="nil"/>
              <w:bottom w:val="single" w:sz="4" w:space="0" w:color="auto"/>
              <w:right w:val="single" w:sz="4" w:space="0" w:color="auto"/>
            </w:tcBorders>
            <w:noWrap/>
            <w:vAlign w:val="bottom"/>
            <w:hideMark/>
          </w:tcPr>
          <w:p w14:paraId="550F489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5.40</w:t>
            </w:r>
          </w:p>
        </w:tc>
        <w:tc>
          <w:tcPr>
            <w:tcW w:w="803" w:type="dxa"/>
            <w:tcBorders>
              <w:top w:val="nil"/>
              <w:left w:val="nil"/>
              <w:bottom w:val="single" w:sz="4" w:space="0" w:color="auto"/>
              <w:right w:val="single" w:sz="4" w:space="0" w:color="auto"/>
            </w:tcBorders>
            <w:noWrap/>
            <w:vAlign w:val="bottom"/>
            <w:hideMark/>
          </w:tcPr>
          <w:p w14:paraId="465F966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4D363D5"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3DA87A2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Corridor</w:t>
            </w:r>
          </w:p>
        </w:tc>
        <w:tc>
          <w:tcPr>
            <w:tcW w:w="1291" w:type="dxa"/>
            <w:tcBorders>
              <w:top w:val="nil"/>
              <w:left w:val="nil"/>
              <w:bottom w:val="single" w:sz="4" w:space="0" w:color="auto"/>
              <w:right w:val="single" w:sz="4" w:space="0" w:color="auto"/>
            </w:tcBorders>
            <w:noWrap/>
            <w:vAlign w:val="bottom"/>
            <w:hideMark/>
          </w:tcPr>
          <w:p w14:paraId="036392F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718.80</w:t>
            </w:r>
          </w:p>
        </w:tc>
        <w:tc>
          <w:tcPr>
            <w:tcW w:w="803" w:type="dxa"/>
            <w:tcBorders>
              <w:top w:val="nil"/>
              <w:left w:val="nil"/>
              <w:bottom w:val="single" w:sz="4" w:space="0" w:color="auto"/>
              <w:right w:val="single" w:sz="4" w:space="0" w:color="auto"/>
            </w:tcBorders>
            <w:noWrap/>
            <w:vAlign w:val="bottom"/>
            <w:hideMark/>
          </w:tcPr>
          <w:p w14:paraId="1E0A1BA6"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6F4153F" w14:textId="77777777" w:rsidTr="00FC75B6">
        <w:trPr>
          <w:trHeight w:val="288"/>
        </w:trPr>
        <w:tc>
          <w:tcPr>
            <w:tcW w:w="3422" w:type="dxa"/>
            <w:tcBorders>
              <w:top w:val="nil"/>
              <w:left w:val="single" w:sz="4" w:space="0" w:color="auto"/>
              <w:bottom w:val="single" w:sz="4" w:space="0" w:color="auto"/>
              <w:right w:val="single" w:sz="4" w:space="0" w:color="auto"/>
            </w:tcBorders>
            <w:noWrap/>
            <w:vAlign w:val="bottom"/>
            <w:hideMark/>
          </w:tcPr>
          <w:p w14:paraId="7320F0D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291" w:type="dxa"/>
            <w:tcBorders>
              <w:top w:val="nil"/>
              <w:left w:val="nil"/>
              <w:bottom w:val="single" w:sz="4" w:space="0" w:color="auto"/>
              <w:right w:val="single" w:sz="4" w:space="0" w:color="auto"/>
            </w:tcBorders>
            <w:noWrap/>
            <w:vAlign w:val="bottom"/>
            <w:hideMark/>
          </w:tcPr>
          <w:p w14:paraId="51C4AFF0"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1,176.70</w:t>
            </w:r>
          </w:p>
        </w:tc>
        <w:tc>
          <w:tcPr>
            <w:tcW w:w="803" w:type="dxa"/>
            <w:tcBorders>
              <w:top w:val="nil"/>
              <w:left w:val="nil"/>
              <w:bottom w:val="single" w:sz="4" w:space="0" w:color="auto"/>
              <w:right w:val="single" w:sz="4" w:space="0" w:color="auto"/>
            </w:tcBorders>
            <w:noWrap/>
            <w:vAlign w:val="bottom"/>
            <w:hideMark/>
          </w:tcPr>
          <w:p w14:paraId="019E74D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bl>
    <w:p w14:paraId="7C3F5493" w14:textId="77777777" w:rsidR="00461DF9" w:rsidRPr="009E1A59" w:rsidRDefault="00461DF9" w:rsidP="009E1A59">
      <w:pPr>
        <w:spacing w:line="360" w:lineRule="auto"/>
        <w:jc w:val="both"/>
        <w:rPr>
          <w:rFonts w:ascii="Times New Roman" w:hAnsi="Times New Roman" w:cs="Times New Roman"/>
        </w:rPr>
      </w:pPr>
    </w:p>
    <w:tbl>
      <w:tblPr>
        <w:tblW w:w="5067" w:type="dxa"/>
        <w:tblLook w:val="04A0" w:firstRow="1" w:lastRow="0" w:firstColumn="1" w:lastColumn="0" w:noHBand="0" w:noVBand="1"/>
      </w:tblPr>
      <w:tblGrid>
        <w:gridCol w:w="3127"/>
        <w:gridCol w:w="1137"/>
        <w:gridCol w:w="803"/>
      </w:tblGrid>
      <w:tr w:rsidR="00461DF9" w:rsidRPr="009E1A59" w14:paraId="27B70848" w14:textId="77777777" w:rsidTr="00FC75B6">
        <w:trPr>
          <w:trHeight w:val="288"/>
        </w:trPr>
        <w:tc>
          <w:tcPr>
            <w:tcW w:w="5067" w:type="dxa"/>
            <w:gridSpan w:val="3"/>
            <w:tcBorders>
              <w:top w:val="single" w:sz="4" w:space="0" w:color="auto"/>
              <w:left w:val="single" w:sz="4" w:space="0" w:color="auto"/>
              <w:bottom w:val="single" w:sz="4" w:space="0" w:color="auto"/>
              <w:right w:val="single" w:sz="4" w:space="0" w:color="auto"/>
            </w:tcBorders>
            <w:noWrap/>
            <w:vAlign w:val="bottom"/>
            <w:hideMark/>
          </w:tcPr>
          <w:p w14:paraId="44F5E09F"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lastRenderedPageBreak/>
              <w:t>Second Floor</w:t>
            </w:r>
          </w:p>
        </w:tc>
      </w:tr>
      <w:tr w:rsidR="00461DF9" w:rsidRPr="009E1A59" w14:paraId="4CE3A43A"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33C587C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137" w:type="dxa"/>
            <w:tcBorders>
              <w:top w:val="nil"/>
              <w:left w:val="nil"/>
              <w:bottom w:val="single" w:sz="4" w:space="0" w:color="auto"/>
              <w:right w:val="single" w:sz="4" w:space="0" w:color="auto"/>
            </w:tcBorders>
            <w:noWrap/>
            <w:vAlign w:val="bottom"/>
            <w:hideMark/>
          </w:tcPr>
          <w:p w14:paraId="3BF78E8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803" w:type="dxa"/>
            <w:tcBorders>
              <w:top w:val="nil"/>
              <w:left w:val="nil"/>
              <w:bottom w:val="single" w:sz="4" w:space="0" w:color="auto"/>
              <w:right w:val="single" w:sz="4" w:space="0" w:color="auto"/>
            </w:tcBorders>
            <w:noWrap/>
            <w:vAlign w:val="bottom"/>
            <w:hideMark/>
          </w:tcPr>
          <w:p w14:paraId="2324913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 </w:t>
            </w:r>
          </w:p>
        </w:tc>
      </w:tr>
      <w:tr w:rsidR="00461DF9" w:rsidRPr="009E1A59" w14:paraId="7A6A86B4"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54201637"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 xml:space="preserve">Room </w:t>
            </w:r>
          </w:p>
        </w:tc>
        <w:tc>
          <w:tcPr>
            <w:tcW w:w="1137" w:type="dxa"/>
            <w:tcBorders>
              <w:top w:val="nil"/>
              <w:left w:val="nil"/>
              <w:bottom w:val="single" w:sz="4" w:space="0" w:color="auto"/>
              <w:right w:val="single" w:sz="4" w:space="0" w:color="auto"/>
            </w:tcBorders>
            <w:noWrap/>
            <w:vAlign w:val="bottom"/>
            <w:hideMark/>
          </w:tcPr>
          <w:p w14:paraId="6E013151"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Quantity</w:t>
            </w:r>
          </w:p>
        </w:tc>
        <w:tc>
          <w:tcPr>
            <w:tcW w:w="803" w:type="dxa"/>
            <w:tcBorders>
              <w:top w:val="nil"/>
              <w:left w:val="nil"/>
              <w:bottom w:val="single" w:sz="4" w:space="0" w:color="auto"/>
              <w:right w:val="single" w:sz="4" w:space="0" w:color="auto"/>
            </w:tcBorders>
            <w:noWrap/>
            <w:vAlign w:val="bottom"/>
            <w:hideMark/>
          </w:tcPr>
          <w:p w14:paraId="3ECDDB80" w14:textId="77777777" w:rsidR="00461DF9" w:rsidRPr="009E1A59" w:rsidRDefault="00461DF9" w:rsidP="009E1A59">
            <w:pPr>
              <w:spacing w:line="360" w:lineRule="auto"/>
              <w:jc w:val="both"/>
              <w:rPr>
                <w:rFonts w:ascii="Times New Roman" w:hAnsi="Times New Roman" w:cs="Times New Roman"/>
                <w:b/>
                <w:bCs/>
              </w:rPr>
            </w:pPr>
            <w:r w:rsidRPr="009E1A59">
              <w:rPr>
                <w:rFonts w:ascii="Times New Roman" w:hAnsi="Times New Roman" w:cs="Times New Roman"/>
                <w:b/>
                <w:bCs/>
              </w:rPr>
              <w:t>UOM</w:t>
            </w:r>
          </w:p>
        </w:tc>
      </w:tr>
      <w:tr w:rsidR="00461DF9" w:rsidRPr="009E1A59" w14:paraId="732319CE"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63BE92F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1</w:t>
            </w:r>
          </w:p>
        </w:tc>
        <w:tc>
          <w:tcPr>
            <w:tcW w:w="1137" w:type="dxa"/>
            <w:tcBorders>
              <w:top w:val="nil"/>
              <w:left w:val="nil"/>
              <w:bottom w:val="single" w:sz="4" w:space="0" w:color="auto"/>
              <w:right w:val="single" w:sz="4" w:space="0" w:color="auto"/>
            </w:tcBorders>
            <w:noWrap/>
            <w:vAlign w:val="bottom"/>
            <w:hideMark/>
          </w:tcPr>
          <w:p w14:paraId="2119C77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803" w:type="dxa"/>
            <w:tcBorders>
              <w:top w:val="nil"/>
              <w:left w:val="nil"/>
              <w:bottom w:val="single" w:sz="4" w:space="0" w:color="auto"/>
              <w:right w:val="single" w:sz="4" w:space="0" w:color="auto"/>
            </w:tcBorders>
            <w:noWrap/>
            <w:vAlign w:val="bottom"/>
            <w:hideMark/>
          </w:tcPr>
          <w:p w14:paraId="75059B4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207CD1D"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24A1EF6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Lift</w:t>
            </w:r>
          </w:p>
        </w:tc>
        <w:tc>
          <w:tcPr>
            <w:tcW w:w="1137" w:type="dxa"/>
            <w:tcBorders>
              <w:top w:val="nil"/>
              <w:left w:val="nil"/>
              <w:bottom w:val="single" w:sz="4" w:space="0" w:color="auto"/>
              <w:right w:val="single" w:sz="4" w:space="0" w:color="auto"/>
            </w:tcBorders>
            <w:noWrap/>
            <w:vAlign w:val="bottom"/>
            <w:hideMark/>
          </w:tcPr>
          <w:p w14:paraId="7369BD6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1.50</w:t>
            </w:r>
          </w:p>
        </w:tc>
        <w:tc>
          <w:tcPr>
            <w:tcW w:w="803" w:type="dxa"/>
            <w:tcBorders>
              <w:top w:val="nil"/>
              <w:left w:val="nil"/>
              <w:bottom w:val="single" w:sz="4" w:space="0" w:color="auto"/>
              <w:right w:val="single" w:sz="4" w:space="0" w:color="auto"/>
            </w:tcBorders>
            <w:noWrap/>
            <w:vAlign w:val="bottom"/>
            <w:hideMark/>
          </w:tcPr>
          <w:p w14:paraId="3A93C56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1D12726"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1054B83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Computer Lab</w:t>
            </w:r>
          </w:p>
        </w:tc>
        <w:tc>
          <w:tcPr>
            <w:tcW w:w="1137" w:type="dxa"/>
            <w:tcBorders>
              <w:top w:val="nil"/>
              <w:left w:val="nil"/>
              <w:bottom w:val="single" w:sz="4" w:space="0" w:color="auto"/>
              <w:right w:val="single" w:sz="4" w:space="0" w:color="auto"/>
            </w:tcBorders>
            <w:noWrap/>
            <w:vAlign w:val="bottom"/>
            <w:hideMark/>
          </w:tcPr>
          <w:p w14:paraId="1D2ADD6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60.50</w:t>
            </w:r>
          </w:p>
        </w:tc>
        <w:tc>
          <w:tcPr>
            <w:tcW w:w="803" w:type="dxa"/>
            <w:tcBorders>
              <w:top w:val="nil"/>
              <w:left w:val="nil"/>
              <w:bottom w:val="single" w:sz="4" w:space="0" w:color="auto"/>
              <w:right w:val="single" w:sz="4" w:space="0" w:color="auto"/>
            </w:tcBorders>
            <w:noWrap/>
            <w:vAlign w:val="bottom"/>
            <w:hideMark/>
          </w:tcPr>
          <w:p w14:paraId="107DB68E"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53D5E23"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0FD7B42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Teaching Space 1</w:t>
            </w:r>
          </w:p>
        </w:tc>
        <w:tc>
          <w:tcPr>
            <w:tcW w:w="1137" w:type="dxa"/>
            <w:tcBorders>
              <w:top w:val="nil"/>
              <w:left w:val="nil"/>
              <w:bottom w:val="single" w:sz="4" w:space="0" w:color="auto"/>
              <w:right w:val="single" w:sz="4" w:space="0" w:color="auto"/>
            </w:tcBorders>
            <w:noWrap/>
            <w:vAlign w:val="bottom"/>
            <w:hideMark/>
          </w:tcPr>
          <w:p w14:paraId="6127CDE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60.50</w:t>
            </w:r>
          </w:p>
        </w:tc>
        <w:tc>
          <w:tcPr>
            <w:tcW w:w="803" w:type="dxa"/>
            <w:tcBorders>
              <w:top w:val="nil"/>
              <w:left w:val="nil"/>
              <w:bottom w:val="single" w:sz="4" w:space="0" w:color="auto"/>
              <w:right w:val="single" w:sz="4" w:space="0" w:color="auto"/>
            </w:tcBorders>
            <w:noWrap/>
            <w:vAlign w:val="bottom"/>
            <w:hideMark/>
          </w:tcPr>
          <w:p w14:paraId="4F121F08"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4A79C97A"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1E510B3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Teaching Space 2</w:t>
            </w:r>
          </w:p>
        </w:tc>
        <w:tc>
          <w:tcPr>
            <w:tcW w:w="1137" w:type="dxa"/>
            <w:tcBorders>
              <w:top w:val="nil"/>
              <w:left w:val="nil"/>
              <w:bottom w:val="single" w:sz="4" w:space="0" w:color="auto"/>
              <w:right w:val="single" w:sz="4" w:space="0" w:color="auto"/>
            </w:tcBorders>
            <w:noWrap/>
            <w:vAlign w:val="bottom"/>
            <w:hideMark/>
          </w:tcPr>
          <w:p w14:paraId="262897D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60.50</w:t>
            </w:r>
          </w:p>
        </w:tc>
        <w:tc>
          <w:tcPr>
            <w:tcW w:w="803" w:type="dxa"/>
            <w:tcBorders>
              <w:top w:val="nil"/>
              <w:left w:val="nil"/>
              <w:bottom w:val="single" w:sz="4" w:space="0" w:color="auto"/>
              <w:right w:val="single" w:sz="4" w:space="0" w:color="auto"/>
            </w:tcBorders>
            <w:noWrap/>
            <w:vAlign w:val="bottom"/>
            <w:hideMark/>
          </w:tcPr>
          <w:p w14:paraId="7E56294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1842BD02"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3D333AF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Teaching Space 3</w:t>
            </w:r>
          </w:p>
        </w:tc>
        <w:tc>
          <w:tcPr>
            <w:tcW w:w="1137" w:type="dxa"/>
            <w:tcBorders>
              <w:top w:val="nil"/>
              <w:left w:val="nil"/>
              <w:bottom w:val="single" w:sz="4" w:space="0" w:color="auto"/>
              <w:right w:val="single" w:sz="4" w:space="0" w:color="auto"/>
            </w:tcBorders>
            <w:noWrap/>
            <w:vAlign w:val="bottom"/>
            <w:hideMark/>
          </w:tcPr>
          <w:p w14:paraId="7168FF6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14.00</w:t>
            </w:r>
          </w:p>
        </w:tc>
        <w:tc>
          <w:tcPr>
            <w:tcW w:w="803" w:type="dxa"/>
            <w:tcBorders>
              <w:top w:val="nil"/>
              <w:left w:val="nil"/>
              <w:bottom w:val="single" w:sz="4" w:space="0" w:color="auto"/>
              <w:right w:val="single" w:sz="4" w:space="0" w:color="auto"/>
            </w:tcBorders>
            <w:noWrap/>
            <w:vAlign w:val="bottom"/>
            <w:hideMark/>
          </w:tcPr>
          <w:p w14:paraId="641BC43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C8335D7"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5359BF7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Unisex Toilet Block</w:t>
            </w:r>
          </w:p>
        </w:tc>
        <w:tc>
          <w:tcPr>
            <w:tcW w:w="1137" w:type="dxa"/>
            <w:tcBorders>
              <w:top w:val="nil"/>
              <w:left w:val="nil"/>
              <w:bottom w:val="single" w:sz="4" w:space="0" w:color="auto"/>
              <w:right w:val="single" w:sz="4" w:space="0" w:color="auto"/>
            </w:tcBorders>
            <w:noWrap/>
            <w:vAlign w:val="bottom"/>
            <w:hideMark/>
          </w:tcPr>
          <w:p w14:paraId="3512BB2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28.00</w:t>
            </w:r>
          </w:p>
        </w:tc>
        <w:tc>
          <w:tcPr>
            <w:tcW w:w="803" w:type="dxa"/>
            <w:tcBorders>
              <w:top w:val="nil"/>
              <w:left w:val="nil"/>
              <w:bottom w:val="single" w:sz="4" w:space="0" w:color="auto"/>
              <w:right w:val="single" w:sz="4" w:space="0" w:color="auto"/>
            </w:tcBorders>
            <w:noWrap/>
            <w:vAlign w:val="bottom"/>
            <w:hideMark/>
          </w:tcPr>
          <w:p w14:paraId="2AA2A43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5EB1B8D5"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10B53AB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Stairwell 2</w:t>
            </w:r>
          </w:p>
        </w:tc>
        <w:tc>
          <w:tcPr>
            <w:tcW w:w="1137" w:type="dxa"/>
            <w:tcBorders>
              <w:top w:val="nil"/>
              <w:left w:val="nil"/>
              <w:bottom w:val="single" w:sz="4" w:space="0" w:color="auto"/>
              <w:right w:val="single" w:sz="4" w:space="0" w:color="auto"/>
            </w:tcBorders>
            <w:noWrap/>
            <w:vAlign w:val="bottom"/>
            <w:hideMark/>
          </w:tcPr>
          <w:p w14:paraId="139B695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29.50</w:t>
            </w:r>
          </w:p>
        </w:tc>
        <w:tc>
          <w:tcPr>
            <w:tcW w:w="803" w:type="dxa"/>
            <w:tcBorders>
              <w:top w:val="nil"/>
              <w:left w:val="nil"/>
              <w:bottom w:val="single" w:sz="4" w:space="0" w:color="auto"/>
              <w:right w:val="single" w:sz="4" w:space="0" w:color="auto"/>
            </w:tcBorders>
            <w:noWrap/>
            <w:vAlign w:val="bottom"/>
            <w:hideMark/>
          </w:tcPr>
          <w:p w14:paraId="4C25BC3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3A17B3F"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630CA81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Secondary Plant Room</w:t>
            </w:r>
          </w:p>
        </w:tc>
        <w:tc>
          <w:tcPr>
            <w:tcW w:w="1137" w:type="dxa"/>
            <w:tcBorders>
              <w:top w:val="nil"/>
              <w:left w:val="nil"/>
              <w:bottom w:val="single" w:sz="4" w:space="0" w:color="auto"/>
              <w:right w:val="single" w:sz="4" w:space="0" w:color="auto"/>
            </w:tcBorders>
            <w:noWrap/>
            <w:vAlign w:val="bottom"/>
            <w:hideMark/>
          </w:tcPr>
          <w:p w14:paraId="77990C4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46.00</w:t>
            </w:r>
          </w:p>
        </w:tc>
        <w:tc>
          <w:tcPr>
            <w:tcW w:w="803" w:type="dxa"/>
            <w:tcBorders>
              <w:top w:val="nil"/>
              <w:left w:val="nil"/>
              <w:bottom w:val="single" w:sz="4" w:space="0" w:color="auto"/>
              <w:right w:val="single" w:sz="4" w:space="0" w:color="auto"/>
            </w:tcBorders>
            <w:noWrap/>
            <w:vAlign w:val="bottom"/>
            <w:hideMark/>
          </w:tcPr>
          <w:p w14:paraId="45784FFD"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39FFB97"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5501EDA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Secondary Systems Room</w:t>
            </w:r>
          </w:p>
        </w:tc>
        <w:tc>
          <w:tcPr>
            <w:tcW w:w="1137" w:type="dxa"/>
            <w:tcBorders>
              <w:top w:val="nil"/>
              <w:left w:val="nil"/>
              <w:bottom w:val="single" w:sz="4" w:space="0" w:color="auto"/>
              <w:right w:val="single" w:sz="4" w:space="0" w:color="auto"/>
            </w:tcBorders>
            <w:noWrap/>
            <w:vAlign w:val="bottom"/>
            <w:hideMark/>
          </w:tcPr>
          <w:p w14:paraId="46075B1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19.00</w:t>
            </w:r>
          </w:p>
        </w:tc>
        <w:tc>
          <w:tcPr>
            <w:tcW w:w="803" w:type="dxa"/>
            <w:tcBorders>
              <w:top w:val="nil"/>
              <w:left w:val="nil"/>
              <w:bottom w:val="single" w:sz="4" w:space="0" w:color="auto"/>
              <w:right w:val="single" w:sz="4" w:space="0" w:color="auto"/>
            </w:tcBorders>
            <w:noWrap/>
            <w:vAlign w:val="bottom"/>
            <w:hideMark/>
          </w:tcPr>
          <w:p w14:paraId="233D598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614E4F0B"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2B83932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Second Floor Control Room</w:t>
            </w:r>
          </w:p>
        </w:tc>
        <w:tc>
          <w:tcPr>
            <w:tcW w:w="1137" w:type="dxa"/>
            <w:tcBorders>
              <w:top w:val="nil"/>
              <w:left w:val="nil"/>
              <w:bottom w:val="single" w:sz="4" w:space="0" w:color="auto"/>
              <w:right w:val="single" w:sz="4" w:space="0" w:color="auto"/>
            </w:tcBorders>
            <w:noWrap/>
            <w:vAlign w:val="bottom"/>
            <w:hideMark/>
          </w:tcPr>
          <w:p w14:paraId="71B0AA4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29.00</w:t>
            </w:r>
          </w:p>
        </w:tc>
        <w:tc>
          <w:tcPr>
            <w:tcW w:w="803" w:type="dxa"/>
            <w:tcBorders>
              <w:top w:val="nil"/>
              <w:left w:val="nil"/>
              <w:bottom w:val="single" w:sz="4" w:space="0" w:color="auto"/>
              <w:right w:val="single" w:sz="4" w:space="0" w:color="auto"/>
            </w:tcBorders>
            <w:noWrap/>
            <w:vAlign w:val="bottom"/>
            <w:hideMark/>
          </w:tcPr>
          <w:p w14:paraId="2180B28B"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26ACB528"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143B3CF4"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Meeting Room</w:t>
            </w:r>
          </w:p>
        </w:tc>
        <w:tc>
          <w:tcPr>
            <w:tcW w:w="1137" w:type="dxa"/>
            <w:tcBorders>
              <w:top w:val="nil"/>
              <w:left w:val="nil"/>
              <w:bottom w:val="single" w:sz="4" w:space="0" w:color="auto"/>
              <w:right w:val="single" w:sz="4" w:space="0" w:color="auto"/>
            </w:tcBorders>
            <w:noWrap/>
            <w:vAlign w:val="bottom"/>
            <w:hideMark/>
          </w:tcPr>
          <w:p w14:paraId="3F9E1BF5"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46.20</w:t>
            </w:r>
          </w:p>
        </w:tc>
        <w:tc>
          <w:tcPr>
            <w:tcW w:w="803" w:type="dxa"/>
            <w:tcBorders>
              <w:top w:val="nil"/>
              <w:left w:val="nil"/>
              <w:bottom w:val="single" w:sz="4" w:space="0" w:color="auto"/>
              <w:right w:val="single" w:sz="4" w:space="0" w:color="auto"/>
            </w:tcBorders>
            <w:noWrap/>
            <w:vAlign w:val="bottom"/>
            <w:hideMark/>
          </w:tcPr>
          <w:p w14:paraId="2FA34C23"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0DBF9395"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4AAE7C3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Office Space</w:t>
            </w:r>
          </w:p>
        </w:tc>
        <w:tc>
          <w:tcPr>
            <w:tcW w:w="1137" w:type="dxa"/>
            <w:tcBorders>
              <w:top w:val="nil"/>
              <w:left w:val="nil"/>
              <w:bottom w:val="single" w:sz="4" w:space="0" w:color="auto"/>
              <w:right w:val="single" w:sz="4" w:space="0" w:color="auto"/>
            </w:tcBorders>
            <w:noWrap/>
            <w:vAlign w:val="bottom"/>
            <w:hideMark/>
          </w:tcPr>
          <w:p w14:paraId="22E0757E"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25.50</w:t>
            </w:r>
          </w:p>
        </w:tc>
        <w:tc>
          <w:tcPr>
            <w:tcW w:w="803" w:type="dxa"/>
            <w:tcBorders>
              <w:top w:val="nil"/>
              <w:left w:val="nil"/>
              <w:bottom w:val="single" w:sz="4" w:space="0" w:color="auto"/>
              <w:right w:val="single" w:sz="4" w:space="0" w:color="auto"/>
            </w:tcBorders>
            <w:noWrap/>
            <w:vAlign w:val="bottom"/>
            <w:hideMark/>
          </w:tcPr>
          <w:p w14:paraId="18083400"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345501D"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098D7BB9"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General Stores</w:t>
            </w:r>
          </w:p>
        </w:tc>
        <w:tc>
          <w:tcPr>
            <w:tcW w:w="1137" w:type="dxa"/>
            <w:tcBorders>
              <w:top w:val="nil"/>
              <w:left w:val="nil"/>
              <w:bottom w:val="single" w:sz="4" w:space="0" w:color="auto"/>
              <w:right w:val="single" w:sz="4" w:space="0" w:color="auto"/>
            </w:tcBorders>
            <w:noWrap/>
            <w:vAlign w:val="bottom"/>
            <w:hideMark/>
          </w:tcPr>
          <w:p w14:paraId="13D00B5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12.50</w:t>
            </w:r>
          </w:p>
        </w:tc>
        <w:tc>
          <w:tcPr>
            <w:tcW w:w="803" w:type="dxa"/>
            <w:tcBorders>
              <w:top w:val="nil"/>
              <w:left w:val="nil"/>
              <w:bottom w:val="single" w:sz="4" w:space="0" w:color="auto"/>
              <w:right w:val="single" w:sz="4" w:space="0" w:color="auto"/>
            </w:tcBorders>
            <w:noWrap/>
            <w:vAlign w:val="bottom"/>
            <w:hideMark/>
          </w:tcPr>
          <w:p w14:paraId="2F50367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37E34AAA"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051F31D2"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Unisex Toilet Block</w:t>
            </w:r>
          </w:p>
        </w:tc>
        <w:tc>
          <w:tcPr>
            <w:tcW w:w="1137" w:type="dxa"/>
            <w:tcBorders>
              <w:top w:val="nil"/>
              <w:left w:val="nil"/>
              <w:bottom w:val="single" w:sz="4" w:space="0" w:color="auto"/>
              <w:right w:val="single" w:sz="4" w:space="0" w:color="auto"/>
            </w:tcBorders>
            <w:noWrap/>
            <w:vAlign w:val="bottom"/>
            <w:hideMark/>
          </w:tcPr>
          <w:p w14:paraId="18C6EB21"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5.40</w:t>
            </w:r>
          </w:p>
        </w:tc>
        <w:tc>
          <w:tcPr>
            <w:tcW w:w="803" w:type="dxa"/>
            <w:tcBorders>
              <w:top w:val="nil"/>
              <w:left w:val="nil"/>
              <w:bottom w:val="single" w:sz="4" w:space="0" w:color="auto"/>
              <w:right w:val="single" w:sz="4" w:space="0" w:color="auto"/>
            </w:tcBorders>
            <w:noWrap/>
            <w:vAlign w:val="bottom"/>
            <w:hideMark/>
          </w:tcPr>
          <w:p w14:paraId="2237206A"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461DF9" w:rsidRPr="009E1A59" w14:paraId="2E73F747"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25B43287"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Corridor</w:t>
            </w:r>
          </w:p>
        </w:tc>
        <w:tc>
          <w:tcPr>
            <w:tcW w:w="1137" w:type="dxa"/>
            <w:tcBorders>
              <w:top w:val="nil"/>
              <w:left w:val="nil"/>
              <w:bottom w:val="single" w:sz="4" w:space="0" w:color="auto"/>
              <w:right w:val="single" w:sz="4" w:space="0" w:color="auto"/>
            </w:tcBorders>
            <w:noWrap/>
            <w:vAlign w:val="bottom"/>
            <w:hideMark/>
          </w:tcPr>
          <w:p w14:paraId="0D03258F"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709.10</w:t>
            </w:r>
          </w:p>
        </w:tc>
        <w:tc>
          <w:tcPr>
            <w:tcW w:w="803" w:type="dxa"/>
            <w:tcBorders>
              <w:top w:val="nil"/>
              <w:left w:val="nil"/>
              <w:bottom w:val="single" w:sz="4" w:space="0" w:color="auto"/>
              <w:right w:val="single" w:sz="4" w:space="0" w:color="auto"/>
            </w:tcBorders>
            <w:noWrap/>
            <w:vAlign w:val="bottom"/>
            <w:hideMark/>
          </w:tcPr>
          <w:p w14:paraId="4CC4A17C" w14:textId="77777777" w:rsidR="00461DF9" w:rsidRPr="009E1A59" w:rsidRDefault="00461DF9" w:rsidP="009E1A59">
            <w:pPr>
              <w:spacing w:line="360" w:lineRule="auto"/>
              <w:jc w:val="both"/>
              <w:rPr>
                <w:rFonts w:ascii="Times New Roman" w:hAnsi="Times New Roman" w:cs="Times New Roman"/>
              </w:rPr>
            </w:pPr>
            <w:r w:rsidRPr="009E1A59">
              <w:rPr>
                <w:rFonts w:ascii="Times New Roman" w:hAnsi="Times New Roman" w:cs="Times New Roman"/>
              </w:rPr>
              <w:t>m2</w:t>
            </w:r>
          </w:p>
        </w:tc>
      </w:tr>
      <w:tr w:rsidR="00FC75B6" w:rsidRPr="009E1A59" w14:paraId="5640181C" w14:textId="77777777" w:rsidTr="00FC75B6">
        <w:trPr>
          <w:trHeight w:val="288"/>
        </w:trPr>
        <w:tc>
          <w:tcPr>
            <w:tcW w:w="3127" w:type="dxa"/>
            <w:tcBorders>
              <w:top w:val="nil"/>
              <w:left w:val="single" w:sz="4" w:space="0" w:color="auto"/>
              <w:bottom w:val="single" w:sz="4" w:space="0" w:color="auto"/>
              <w:right w:val="single" w:sz="4" w:space="0" w:color="auto"/>
            </w:tcBorders>
            <w:noWrap/>
            <w:vAlign w:val="bottom"/>
            <w:hideMark/>
          </w:tcPr>
          <w:p w14:paraId="31E2217B" w14:textId="2AA1F163" w:rsidR="00FC75B6" w:rsidRPr="009E1A59" w:rsidRDefault="00FC75B6" w:rsidP="009E1A59">
            <w:pPr>
              <w:spacing w:line="360" w:lineRule="auto"/>
              <w:jc w:val="both"/>
              <w:rPr>
                <w:rFonts w:ascii="Times New Roman" w:hAnsi="Times New Roman" w:cs="Times New Roman"/>
              </w:rPr>
            </w:pPr>
            <w:r w:rsidRPr="009E1A59">
              <w:rPr>
                <w:rFonts w:ascii="Times New Roman" w:hAnsi="Times New Roman" w:cs="Times New Roman"/>
              </w:rPr>
              <w:t> </w:t>
            </w:r>
          </w:p>
        </w:tc>
        <w:tc>
          <w:tcPr>
            <w:tcW w:w="1137" w:type="dxa"/>
            <w:tcBorders>
              <w:top w:val="nil"/>
              <w:left w:val="nil"/>
              <w:bottom w:val="single" w:sz="4" w:space="0" w:color="auto"/>
              <w:right w:val="single" w:sz="4" w:space="0" w:color="auto"/>
            </w:tcBorders>
            <w:noWrap/>
            <w:vAlign w:val="bottom"/>
            <w:hideMark/>
          </w:tcPr>
          <w:p w14:paraId="4B2B387C" w14:textId="64B25A40" w:rsidR="00FC75B6" w:rsidRPr="009E1A59" w:rsidRDefault="00FC75B6" w:rsidP="009E1A59">
            <w:pPr>
              <w:spacing w:line="360" w:lineRule="auto"/>
              <w:jc w:val="both"/>
              <w:rPr>
                <w:rFonts w:ascii="Times New Roman" w:hAnsi="Times New Roman" w:cs="Times New Roman"/>
              </w:rPr>
            </w:pPr>
            <w:r w:rsidRPr="009E1A59">
              <w:rPr>
                <w:rFonts w:ascii="Times New Roman" w:hAnsi="Times New Roman" w:cs="Times New Roman"/>
                <w:b/>
                <w:bCs/>
              </w:rPr>
              <w:t>1,176.70</w:t>
            </w:r>
          </w:p>
        </w:tc>
        <w:tc>
          <w:tcPr>
            <w:tcW w:w="803" w:type="dxa"/>
            <w:tcBorders>
              <w:top w:val="nil"/>
              <w:left w:val="nil"/>
              <w:bottom w:val="single" w:sz="4" w:space="0" w:color="auto"/>
              <w:right w:val="single" w:sz="4" w:space="0" w:color="auto"/>
            </w:tcBorders>
            <w:noWrap/>
            <w:vAlign w:val="bottom"/>
            <w:hideMark/>
          </w:tcPr>
          <w:p w14:paraId="5422CDDA" w14:textId="2D774CFD" w:rsidR="00FC75B6" w:rsidRPr="009E1A59" w:rsidRDefault="00FC75B6" w:rsidP="009E1A59">
            <w:pPr>
              <w:spacing w:line="360" w:lineRule="auto"/>
              <w:jc w:val="both"/>
              <w:rPr>
                <w:rFonts w:ascii="Times New Roman" w:hAnsi="Times New Roman" w:cs="Times New Roman"/>
              </w:rPr>
            </w:pPr>
            <w:r w:rsidRPr="009E1A59">
              <w:rPr>
                <w:rFonts w:ascii="Times New Roman" w:hAnsi="Times New Roman" w:cs="Times New Roman"/>
              </w:rPr>
              <w:t>m2</w:t>
            </w:r>
          </w:p>
        </w:tc>
      </w:tr>
    </w:tbl>
    <w:p w14:paraId="023ED1C2" w14:textId="77777777" w:rsidR="006C600F" w:rsidRPr="009E1A59" w:rsidRDefault="006C600F" w:rsidP="009E1A59">
      <w:pPr>
        <w:spacing w:line="360" w:lineRule="auto"/>
        <w:jc w:val="both"/>
        <w:rPr>
          <w:rFonts w:ascii="Times New Roman" w:hAnsi="Times New Roman" w:cs="Times New Roman"/>
        </w:rPr>
      </w:pPr>
    </w:p>
    <w:p w14:paraId="74565B35" w14:textId="77777777" w:rsidR="00461DF9" w:rsidRPr="009E1A59" w:rsidRDefault="00461DF9" w:rsidP="009E1A59">
      <w:pPr>
        <w:spacing w:line="360" w:lineRule="auto"/>
        <w:jc w:val="both"/>
        <w:rPr>
          <w:rFonts w:ascii="Times New Roman" w:hAnsi="Times New Roman" w:cs="Times New Roman"/>
        </w:rPr>
      </w:pPr>
    </w:p>
    <w:p w14:paraId="53FF8C2B" w14:textId="77777777" w:rsidR="007E36BE" w:rsidRPr="009E1A59" w:rsidRDefault="007E36BE" w:rsidP="009E1A59">
      <w:pPr>
        <w:spacing w:line="360" w:lineRule="auto"/>
        <w:jc w:val="both"/>
        <w:rPr>
          <w:rFonts w:ascii="Times New Roman" w:hAnsi="Times New Roman" w:cs="Times New Roman"/>
        </w:rPr>
      </w:pPr>
    </w:p>
    <w:p w14:paraId="40EA38EB" w14:textId="147D9559" w:rsidR="006C600F" w:rsidRPr="009E1A59" w:rsidRDefault="007E36BE" w:rsidP="009E1A59">
      <w:pPr>
        <w:pStyle w:val="Heading2"/>
        <w:numPr>
          <w:ilvl w:val="0"/>
          <w:numId w:val="3"/>
        </w:numPr>
        <w:spacing w:before="0" w:after="0" w:line="360" w:lineRule="auto"/>
        <w:jc w:val="both"/>
        <w:rPr>
          <w:rFonts w:ascii="Times New Roman" w:hAnsi="Times New Roman" w:cs="Times New Roman"/>
        </w:rPr>
      </w:pPr>
      <w:bookmarkStart w:id="26" w:name="_Toc229591950"/>
      <w:r w:rsidRPr="009E1A59">
        <w:rPr>
          <w:rFonts w:ascii="Times New Roman" w:hAnsi="Times New Roman" w:cs="Times New Roman"/>
          <w:sz w:val="28"/>
          <w:szCs w:val="28"/>
        </w:rPr>
        <w:lastRenderedPageBreak/>
        <w:t>Comparisons with Similar Schemes Undertaken</w:t>
      </w:r>
      <w:bookmarkEnd w:id="26"/>
    </w:p>
    <w:p w14:paraId="4BBD3B65" w14:textId="12B2E8D1" w:rsidR="00947E2A" w:rsidRPr="009E1A59" w:rsidRDefault="002454DF" w:rsidP="009E1A59">
      <w:pPr>
        <w:spacing w:line="360" w:lineRule="auto"/>
        <w:jc w:val="both"/>
        <w:rPr>
          <w:rFonts w:ascii="Times New Roman" w:hAnsi="Times New Roman" w:cs="Times New Roman"/>
        </w:rPr>
      </w:pPr>
      <w:r w:rsidRPr="009E1A59">
        <w:rPr>
          <w:rFonts w:ascii="Times New Roman" w:hAnsi="Times New Roman" w:cs="Times New Roman"/>
        </w:rPr>
        <w:t>Establishing accurate internal and external space requirements at the feasibility stage is critical to the success of any development project. A well-defined internal layout ensures that the building supports its intended academic, research, and operational functions efficiently while optimising flexibility and long-term usability. Equally, external planning covering parking, access and landscape integration is vital to ensure the building operates effectively within its site context and meets local planning and sustainability standards. Ensuring getting these fundamentals right at an early stage enables the design team to align with the client’s brief, control costs and deliver a facility.</w:t>
      </w:r>
      <w:r w:rsidR="00947E2A" w:rsidRPr="009E1A59">
        <w:rPr>
          <w:rFonts w:ascii="Times New Roman" w:hAnsi="Times New Roman" w:cs="Times New Roman"/>
        </w:rPr>
        <w:t xml:space="preserve"> A key part of early feasibility is benchmarking proposed developments against comparable facilities. This ensures that spatial, functional and external design allocations are both realistic and aligned with client aspirations. The proposed Swansea SA1 Building has been compared to two projects of similar scope and purpose, Salford Energy House 2.0 &amp; The Centre for Net-Zero High Density Buildings (CeNZ‑HighDB).</w:t>
      </w:r>
    </w:p>
    <w:p w14:paraId="359C646A" w14:textId="77777777" w:rsidR="00947E2A" w:rsidRPr="009E1A59" w:rsidRDefault="00947E2A" w:rsidP="009E1A59">
      <w:pPr>
        <w:spacing w:line="360" w:lineRule="auto"/>
        <w:jc w:val="both"/>
        <w:rPr>
          <w:rFonts w:ascii="Times New Roman" w:hAnsi="Times New Roman" w:cs="Times New Roman"/>
          <w:b/>
          <w:bCs/>
          <w:u w:val="single"/>
        </w:rPr>
      </w:pPr>
      <w:r w:rsidRPr="009E1A59">
        <w:rPr>
          <w:rFonts w:ascii="Times New Roman" w:hAnsi="Times New Roman" w:cs="Times New Roman"/>
          <w:b/>
          <w:bCs/>
          <w:u w:val="single"/>
        </w:rPr>
        <w:t>Salford Energy House 2.0</w:t>
      </w:r>
    </w:p>
    <w:p w14:paraId="4BC4FE5D"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The Energy House 2.0 initiative at University of Salford is a world-leading, purpose-built research facility designed to test and accelerate low-carbon and energy-efficient housing and building technologies. The project commenced in early 2019, following a successful grant application to the European Regional Development Fund (ERDF). The build and commissioning of Energy House 2.0 was completed in February 2022. At a total cost of £16 million, it represents one of the largest research facilities of its type in the world. (Energy House Labs, 2025). Physically, the building comprises two large-scale environmental chambers; each chamber is approximately 380 m² in floor area and together with associated services, the overall footprint accommodates four fully furnished detached houses two in each chamber with a total usable footprint exceeding 1,000 m². (Energy House Labs, 2025).</w:t>
      </w:r>
    </w:p>
    <w:p w14:paraId="5F5F170A"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 xml:space="preserve">The facility can precisely control temperature (from –20 °C up to +40 °C), humidity, and simulate weather phenomena such as wind, rain, snow and solar radiation effectively reproducing the climatic conditions experienced by around 95% of the global population. The design enables the construction, instrumentation and testing of a wide variety of housing types from modern low-carbon homes using advanced materials and heating/ventilation technologies, to (via recent retrofit collaboration) traditional homes representative of the UK’s older housing stock. Sensor arrays embedded in the test houses capture data on energy performance, thermal behaviour, building fabric efficiency, heating/ventilation systems, and </w:t>
      </w:r>
      <w:r w:rsidRPr="009E1A59">
        <w:rPr>
          <w:rFonts w:ascii="Times New Roman" w:hAnsi="Times New Roman" w:cs="Times New Roman"/>
        </w:rPr>
        <w:lastRenderedPageBreak/>
        <w:t>even smart-home &amp; electric-vehicle-to-grid (V2G) integration  making the facility a “live laboratory” for testing real world building performance, retrofit approaches, and future-proof housing solutions. (The, 2020).</w:t>
      </w:r>
    </w:p>
    <w:p w14:paraId="5E03D1FE"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This facility is used by major housebuilders and materials manufacturers (e.g. Bellway Homes, Barratt Developments, and Saint‑Gobain) to build demonstration homes inside the chambers and evaluate the viability of low-carbon, low-energy housing at scale.</w:t>
      </w:r>
    </w:p>
    <w:p w14:paraId="1FEDE24F" w14:textId="77777777" w:rsidR="00947E2A" w:rsidRPr="009E1A59" w:rsidRDefault="00947E2A" w:rsidP="009E1A59">
      <w:pPr>
        <w:spacing w:line="360" w:lineRule="auto"/>
        <w:jc w:val="both"/>
        <w:rPr>
          <w:rFonts w:ascii="Times New Roman" w:hAnsi="Times New Roman" w:cs="Times New Roman"/>
        </w:rPr>
      </w:pPr>
    </w:p>
    <w:p w14:paraId="539BE4AC" w14:textId="77777777" w:rsidR="00947E2A" w:rsidRPr="009E1A59" w:rsidRDefault="00947E2A" w:rsidP="009E1A59">
      <w:pPr>
        <w:spacing w:line="360" w:lineRule="auto"/>
        <w:jc w:val="both"/>
        <w:rPr>
          <w:rFonts w:ascii="Times New Roman" w:hAnsi="Times New Roman" w:cs="Times New Roman"/>
          <w:b/>
          <w:bCs/>
          <w:u w:val="single"/>
        </w:rPr>
      </w:pPr>
      <w:r w:rsidRPr="009E1A59">
        <w:rPr>
          <w:rFonts w:ascii="Times New Roman" w:hAnsi="Times New Roman" w:cs="Times New Roman"/>
          <w:b/>
          <w:bCs/>
          <w:u w:val="single"/>
        </w:rPr>
        <w:t>The Centre for Net-Zero High Density Buildings (CeNZ‑HighDB)</w:t>
      </w:r>
    </w:p>
    <w:p w14:paraId="1EA08DCD"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 xml:space="preserve">The Centre for Net-Zero High Density Buildings (CeNZ‑HighDB) is a UK government-backed research and innovation centre led by the University of Edinburgh, launched in 2024 to address the challenge of achieving net-zero carbon emissions in urban housing with a funding package of approximately £4.5 million from UK Research and Innovation (UKRI), CeNZ‑HighDB collaborates with multiple academic institutions and industry partners to develop, test and demonstrate retrofit and new-build solutions for high-density housing types typical of cities like Edinburgh. (University of Edinburgh, 2024). </w:t>
      </w:r>
    </w:p>
    <w:p w14:paraId="106CB9DB"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The centre’s focus includes the development of innovative building fabrics, low-carbon heating and ventilation systems, energy storage, and smart control technologies tailored to flats, tenements, and multi-use urban buildings. CeNZ‑HighDB operates through thematic groups that span building performance, occupant behaviour, district heating, and workforce skills development. The facility is designed to pilot retrofit projects, prototype new solutions, and deliver training and upskilling programs for the construction workforce, emphasizing social value and practical industry impact. Although smaller in scale compared to some large‑scale research labs, CeNZ‑HighDB’s collaborative model and focus on real-world urban housing retrofit make it a vital resource for advancing sustainable construction practices in dense city environments. (University of Edinburgh, 2024).</w:t>
      </w:r>
    </w:p>
    <w:p w14:paraId="3622CBDE" w14:textId="77777777" w:rsidR="00947E2A" w:rsidRPr="009E1A59" w:rsidRDefault="00947E2A" w:rsidP="009E1A59">
      <w:pPr>
        <w:spacing w:line="360" w:lineRule="auto"/>
        <w:jc w:val="both"/>
        <w:rPr>
          <w:rFonts w:ascii="Times New Roman" w:hAnsi="Times New Roman" w:cs="Times New Roman"/>
          <w:b/>
          <w:bCs/>
          <w:u w:val="single"/>
        </w:rPr>
      </w:pPr>
      <w:r w:rsidRPr="009E1A59">
        <w:rPr>
          <w:rFonts w:ascii="Times New Roman" w:hAnsi="Times New Roman" w:cs="Times New Roman"/>
          <w:b/>
          <w:bCs/>
          <w:u w:val="single"/>
        </w:rPr>
        <w:t xml:space="preserve">Comparison with Swansea SA1 Proposal </w:t>
      </w:r>
    </w:p>
    <w:p w14:paraId="6FF3DE29"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 xml:space="preserve">The SA1 proposal builds on the proven model of Energy House 2.0 by introducing a larger, multi-storey facility with one environmental chamber embedded within a complex that also offers extensive training and office spaces. Unlike CeNZ‑HighDB, which is more retrofit focused in existing urban housing, SA1’s centre will combine rigorous controlled testing with </w:t>
      </w:r>
      <w:r w:rsidRPr="009E1A59">
        <w:rPr>
          <w:rFonts w:ascii="Times New Roman" w:hAnsi="Times New Roman" w:cs="Times New Roman"/>
        </w:rPr>
        <w:lastRenderedPageBreak/>
        <w:t>practical, hands-on training and innovation, supporting sustainable urban regeneration and industry collaboration at a regional scale.</w:t>
      </w:r>
    </w:p>
    <w:p w14:paraId="799EB4EA" w14:textId="77777777" w:rsidR="00947E2A" w:rsidRPr="009E1A59" w:rsidRDefault="00947E2A" w:rsidP="009E1A59">
      <w:pPr>
        <w:spacing w:line="360" w:lineRule="auto"/>
        <w:jc w:val="both"/>
        <w:rPr>
          <w:rFonts w:ascii="Times New Roman" w:hAnsi="Times New Roman" w:cs="Times New Roman"/>
        </w:rPr>
      </w:pPr>
      <w:r w:rsidRPr="009E1A59">
        <w:rPr>
          <w:rFonts w:ascii="Times New Roman" w:hAnsi="Times New Roman" w:cs="Times New Roman"/>
        </w:rPr>
        <w:t>This hybrid approach maximises the social value and innovation potential of the facility, positioning ACE Capital Projects Ltd to lead on sustainability, skills development, and low-carbon construction in the SA1 area.</w:t>
      </w:r>
    </w:p>
    <w:p w14:paraId="4649D114" w14:textId="588F761C" w:rsidR="006C600F" w:rsidRPr="009E1A59" w:rsidRDefault="006C600F" w:rsidP="009E1A59">
      <w:pPr>
        <w:spacing w:line="360" w:lineRule="auto"/>
        <w:jc w:val="both"/>
        <w:rPr>
          <w:rFonts w:ascii="Times New Roman" w:hAnsi="Times New Roman" w:cs="Times New Roman"/>
        </w:rPr>
      </w:pPr>
    </w:p>
    <w:p w14:paraId="2930DDE5" w14:textId="77777777" w:rsidR="00947E2A" w:rsidRPr="009E1A59" w:rsidRDefault="00947E2A" w:rsidP="009E1A59">
      <w:pPr>
        <w:spacing w:line="360" w:lineRule="auto"/>
        <w:jc w:val="both"/>
        <w:rPr>
          <w:rFonts w:ascii="Times New Roman" w:hAnsi="Times New Roman" w:cs="Times New Roman"/>
        </w:rPr>
      </w:pPr>
    </w:p>
    <w:p w14:paraId="43C6A5E1" w14:textId="77777777" w:rsidR="00947E2A" w:rsidRPr="009E1A59" w:rsidRDefault="00947E2A" w:rsidP="009E1A59">
      <w:pPr>
        <w:spacing w:line="360" w:lineRule="auto"/>
        <w:jc w:val="both"/>
        <w:rPr>
          <w:rFonts w:ascii="Times New Roman" w:hAnsi="Times New Roman" w:cs="Times New Roman"/>
        </w:rPr>
      </w:pPr>
    </w:p>
    <w:p w14:paraId="67A412FB" w14:textId="77777777" w:rsidR="006C600F" w:rsidRPr="009E1A59" w:rsidRDefault="006C600F" w:rsidP="009E1A59">
      <w:pPr>
        <w:spacing w:line="360" w:lineRule="auto"/>
        <w:jc w:val="both"/>
        <w:rPr>
          <w:rFonts w:ascii="Times New Roman" w:hAnsi="Times New Roman" w:cs="Times New Roman"/>
        </w:rPr>
      </w:pPr>
    </w:p>
    <w:p w14:paraId="6A6B065D" w14:textId="77777777" w:rsidR="006C600F" w:rsidRPr="009E1A59" w:rsidRDefault="006C600F" w:rsidP="009E1A59">
      <w:pPr>
        <w:spacing w:line="360" w:lineRule="auto"/>
        <w:jc w:val="both"/>
        <w:rPr>
          <w:rFonts w:ascii="Times New Roman" w:hAnsi="Times New Roman" w:cs="Times New Roman"/>
        </w:rPr>
      </w:pPr>
    </w:p>
    <w:p w14:paraId="7EAC076C" w14:textId="77777777" w:rsidR="006C600F" w:rsidRPr="009E1A59" w:rsidRDefault="006C600F" w:rsidP="009E1A59">
      <w:pPr>
        <w:spacing w:line="360" w:lineRule="auto"/>
        <w:jc w:val="both"/>
        <w:rPr>
          <w:rFonts w:ascii="Times New Roman" w:hAnsi="Times New Roman" w:cs="Times New Roman"/>
        </w:rPr>
      </w:pPr>
    </w:p>
    <w:p w14:paraId="7AF39527" w14:textId="77777777" w:rsidR="006C600F" w:rsidRPr="009E1A59" w:rsidRDefault="006C600F" w:rsidP="009E1A59">
      <w:pPr>
        <w:spacing w:line="360" w:lineRule="auto"/>
        <w:jc w:val="both"/>
        <w:rPr>
          <w:rFonts w:ascii="Times New Roman" w:hAnsi="Times New Roman" w:cs="Times New Roman"/>
        </w:rPr>
      </w:pPr>
    </w:p>
    <w:p w14:paraId="193F2282" w14:textId="77777777" w:rsidR="005B5D68" w:rsidRDefault="005B5D68" w:rsidP="009E1A59">
      <w:pPr>
        <w:spacing w:line="360" w:lineRule="auto"/>
        <w:jc w:val="both"/>
        <w:rPr>
          <w:rFonts w:ascii="Times New Roman" w:hAnsi="Times New Roman" w:cs="Times New Roman"/>
        </w:rPr>
      </w:pPr>
    </w:p>
    <w:p w14:paraId="54071CD7" w14:textId="77777777" w:rsidR="00FC75B6" w:rsidRDefault="00FC75B6" w:rsidP="009E1A59">
      <w:pPr>
        <w:spacing w:line="360" w:lineRule="auto"/>
        <w:jc w:val="both"/>
        <w:rPr>
          <w:rFonts w:ascii="Times New Roman" w:hAnsi="Times New Roman" w:cs="Times New Roman"/>
        </w:rPr>
      </w:pPr>
    </w:p>
    <w:p w14:paraId="6301BBF5" w14:textId="77777777" w:rsidR="00FC75B6" w:rsidRDefault="00FC75B6" w:rsidP="009E1A59">
      <w:pPr>
        <w:spacing w:line="360" w:lineRule="auto"/>
        <w:jc w:val="both"/>
        <w:rPr>
          <w:rFonts w:ascii="Times New Roman" w:hAnsi="Times New Roman" w:cs="Times New Roman"/>
        </w:rPr>
      </w:pPr>
    </w:p>
    <w:p w14:paraId="5C8146A1" w14:textId="77777777" w:rsidR="00FC75B6" w:rsidRDefault="00FC75B6" w:rsidP="009E1A59">
      <w:pPr>
        <w:spacing w:line="360" w:lineRule="auto"/>
        <w:jc w:val="both"/>
        <w:rPr>
          <w:rFonts w:ascii="Times New Roman" w:hAnsi="Times New Roman" w:cs="Times New Roman"/>
        </w:rPr>
      </w:pPr>
    </w:p>
    <w:p w14:paraId="5C097713" w14:textId="77777777" w:rsidR="00FC75B6" w:rsidRDefault="00FC75B6" w:rsidP="009E1A59">
      <w:pPr>
        <w:spacing w:line="360" w:lineRule="auto"/>
        <w:jc w:val="both"/>
        <w:rPr>
          <w:rFonts w:ascii="Times New Roman" w:hAnsi="Times New Roman" w:cs="Times New Roman"/>
        </w:rPr>
      </w:pPr>
    </w:p>
    <w:p w14:paraId="4B29714C" w14:textId="77777777" w:rsidR="00FC75B6" w:rsidRDefault="00FC75B6" w:rsidP="009E1A59">
      <w:pPr>
        <w:spacing w:line="360" w:lineRule="auto"/>
        <w:jc w:val="both"/>
        <w:rPr>
          <w:rFonts w:ascii="Times New Roman" w:hAnsi="Times New Roman" w:cs="Times New Roman"/>
        </w:rPr>
      </w:pPr>
    </w:p>
    <w:p w14:paraId="1BA61FAC" w14:textId="77777777" w:rsidR="00FC75B6" w:rsidRDefault="00FC75B6" w:rsidP="009E1A59">
      <w:pPr>
        <w:spacing w:line="360" w:lineRule="auto"/>
        <w:jc w:val="both"/>
        <w:rPr>
          <w:rFonts w:ascii="Times New Roman" w:hAnsi="Times New Roman" w:cs="Times New Roman"/>
        </w:rPr>
      </w:pPr>
    </w:p>
    <w:p w14:paraId="2585EFB4" w14:textId="77777777" w:rsidR="00FC75B6" w:rsidRDefault="00FC75B6" w:rsidP="009E1A59">
      <w:pPr>
        <w:spacing w:line="360" w:lineRule="auto"/>
        <w:jc w:val="both"/>
        <w:rPr>
          <w:rFonts w:ascii="Times New Roman" w:hAnsi="Times New Roman" w:cs="Times New Roman"/>
        </w:rPr>
      </w:pPr>
    </w:p>
    <w:p w14:paraId="5C153EE6" w14:textId="77777777" w:rsidR="00FC75B6" w:rsidRDefault="00FC75B6" w:rsidP="009E1A59">
      <w:pPr>
        <w:spacing w:line="360" w:lineRule="auto"/>
        <w:jc w:val="both"/>
        <w:rPr>
          <w:rFonts w:ascii="Times New Roman" w:hAnsi="Times New Roman" w:cs="Times New Roman"/>
        </w:rPr>
      </w:pPr>
    </w:p>
    <w:p w14:paraId="34F4EF00" w14:textId="77777777" w:rsidR="00FC75B6" w:rsidRDefault="00FC75B6" w:rsidP="009E1A59">
      <w:pPr>
        <w:spacing w:line="360" w:lineRule="auto"/>
        <w:jc w:val="both"/>
        <w:rPr>
          <w:rFonts w:ascii="Times New Roman" w:hAnsi="Times New Roman" w:cs="Times New Roman"/>
        </w:rPr>
      </w:pPr>
    </w:p>
    <w:p w14:paraId="5C5EECBA" w14:textId="77777777" w:rsidR="00FC75B6" w:rsidRDefault="00FC75B6" w:rsidP="009E1A59">
      <w:pPr>
        <w:spacing w:line="360" w:lineRule="auto"/>
        <w:jc w:val="both"/>
        <w:rPr>
          <w:rFonts w:ascii="Times New Roman" w:hAnsi="Times New Roman" w:cs="Times New Roman"/>
        </w:rPr>
      </w:pPr>
    </w:p>
    <w:p w14:paraId="408DCF42" w14:textId="77777777" w:rsidR="00FC75B6" w:rsidRPr="009E1A59" w:rsidRDefault="00FC75B6" w:rsidP="009E1A59">
      <w:pPr>
        <w:spacing w:line="360" w:lineRule="auto"/>
        <w:jc w:val="both"/>
        <w:rPr>
          <w:rFonts w:ascii="Times New Roman" w:hAnsi="Times New Roman" w:cs="Times New Roman"/>
        </w:rPr>
      </w:pPr>
    </w:p>
    <w:p w14:paraId="2D35618C" w14:textId="77777777" w:rsidR="00C533A8" w:rsidRPr="009E1A59" w:rsidRDefault="00C533A8" w:rsidP="009E1A59">
      <w:pPr>
        <w:pStyle w:val="Heading2"/>
        <w:spacing w:line="360" w:lineRule="auto"/>
        <w:rPr>
          <w:rFonts w:ascii="Times New Roman" w:hAnsi="Times New Roman" w:cs="Times New Roman"/>
          <w:sz w:val="28"/>
          <w:szCs w:val="28"/>
        </w:rPr>
      </w:pPr>
      <w:bookmarkStart w:id="27" w:name="_Toc228988629"/>
      <w:bookmarkStart w:id="28" w:name="_Toc229591951"/>
      <w:r w:rsidRPr="009E1A59">
        <w:rPr>
          <w:rFonts w:ascii="Times New Roman" w:hAnsi="Times New Roman" w:cs="Times New Roman"/>
          <w:sz w:val="28"/>
          <w:szCs w:val="28"/>
        </w:rPr>
        <w:lastRenderedPageBreak/>
        <w:t>References</w:t>
      </w:r>
      <w:bookmarkEnd w:id="27"/>
      <w:bookmarkEnd w:id="28"/>
    </w:p>
    <w:p w14:paraId="73EBF140" w14:textId="77777777" w:rsidR="00C533A8" w:rsidRPr="009E1A59" w:rsidRDefault="00C533A8" w:rsidP="009E1A59">
      <w:pPr>
        <w:spacing w:line="360" w:lineRule="auto"/>
        <w:rPr>
          <w:rFonts w:ascii="Times New Roman" w:hAnsi="Times New Roman" w:cs="Times New Roman"/>
        </w:rPr>
      </w:pPr>
    </w:p>
    <w:p w14:paraId="7DF68E13"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Allen, J.G. et al. (2016) ‘Associations of cognitive function scores with environmental conditions’, Environmental Health Perspectives, 124(6), pp. 805–812.</w:t>
      </w:r>
    </w:p>
    <w:p w14:paraId="76B55F71"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Arnstein, S.R. (1969) ‘A ladder of citizen participation’, Journal of the American Institute of Planners, 35(4), pp. 216–224.</w:t>
      </w:r>
    </w:p>
    <w:p w14:paraId="271B6BA9"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Ashworth, A., Hogg, K. and Higgs, C. (2013) Willis’s Practice and Procedure for the Quantity Surveyor. Oxford: Wiley-Blackwell.</w:t>
      </w:r>
    </w:p>
    <w:p w14:paraId="61FE04BD"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Azhar, S. (2011) ‘Building Information Modeling (BIM): Trends and benefits’, Leadership and Management in Engineering, 11(3), pp. 241–252.</w:t>
      </w:r>
    </w:p>
    <w:p w14:paraId="6908B866"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BCIS (2024) Construction Market Forecast.</w:t>
      </w:r>
    </w:p>
    <w:p w14:paraId="0E9716EC"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BRE (2018) BREEAM UK New Construction Technical Manual.</w:t>
      </w:r>
    </w:p>
    <w:p w14:paraId="5557047F"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BRE (2018) BREEAM UK New Construction Technical Manual. Watford: Building Research Establishment.</w:t>
      </w:r>
    </w:p>
    <w:p w14:paraId="06544EC9"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Centre for Net-Zero High Density Buildings (CeNZ‑HighDB). (n.d.). About CeNZ‑HighDB. https://cenz-highdb.ac.uk</w:t>
      </w:r>
    </w:p>
    <w:p w14:paraId="6B5F35E8"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Colantonio, A. and Dixon, T. (2010) Urban Regeneration and Social Sustainability. Oxford: Wiley-Blackwell.</w:t>
      </w:r>
    </w:p>
    <w:p w14:paraId="3EA3EAA9"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Colantonio, A. and Dixon, T. (2010) Urban Regeneration and Social Sustainability.</w:t>
      </w:r>
    </w:p>
    <w:p w14:paraId="316E2618"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Construction Industry Training Board (2023) Construction Skills Network Report.</w:t>
      </w:r>
    </w:p>
    <w:p w14:paraId="69B8323F"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Construction Industry Training Board (2023) Construction Skills Network Report.</w:t>
      </w:r>
    </w:p>
    <w:p w14:paraId="5A6C7852"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Construction Industry Training Board. Grants and Funding. Available at: https://www.citb.co.uk/levy-grants-and-funding/grants-and-funding/</w:t>
      </w:r>
    </w:p>
    <w:p w14:paraId="0E50CF0A"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Dempsey, N. et al. (2011) ‘The social dimension of sustainable development’, Sustainable Development, 19(5), pp. 289–300.</w:t>
      </w:r>
    </w:p>
    <w:p w14:paraId="4D235FAA"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lastRenderedPageBreak/>
        <w:t>Department for Education. 40,000 people to get skills in new Technical Excellence Colleges. GOV.UK. 12 August 2025. Available at: https://www.gov.uk/government/news/40000-people-to-get-skills-in-new-technical-excellence-collegeswhat</w:t>
      </w:r>
    </w:p>
    <w:p w14:paraId="6119DCF7"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Energy House Labs. (2025). Energy House 2.0 Project | Energy House Labs | University of Salford. [online] Available at: https://energyhouselabs.salford.ac.uk/projects/energy-house-2-0-project-2</w:t>
      </w:r>
    </w:p>
    <w:p w14:paraId="383ED243"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Florida, R. (2014) The Rise of the Creative Class. New York: Basic Books.</w:t>
      </w:r>
    </w:p>
    <w:p w14:paraId="5D1528B5"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GOV.UK. Employing an apprentice: Get funding for apprenticeship training. Available at: https://www.gov.uk/employing-an-apprentice/get-funding</w:t>
      </w:r>
    </w:p>
    <w:p w14:paraId="0FC795D4"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GOV.UK. Funding allocations to training providers: 2024 to 2025. Published 23 October 2024. Available at: https://www.gov.uk/government/publications/funding-allocations-to-training-providers-2024-to-2025</w:t>
      </w:r>
    </w:p>
    <w:p w14:paraId="76CB92F8"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GOV.UK. Grants and bursaries for adult learners. Available at: https://www.gov.uk/grant-bursary-adult-learners</w:t>
      </w:r>
    </w:p>
    <w:p w14:paraId="7AD233B2"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Imrie, R. and Hall, P. (2001) Inclusive Design. London: Spon Press.</w:t>
      </w:r>
    </w:p>
    <w:p w14:paraId="6D161A63"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ISO (2017) ISO 15686-5: Life-cycle costing.</w:t>
      </w:r>
    </w:p>
    <w:p w14:paraId="03FF495F"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Kolb, D.A. (1984) Experiential Learning. New Jersey: Prentice Hall.</w:t>
      </w:r>
    </w:p>
    <w:p w14:paraId="73AE694C"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NEF (2017) The Local Multiplier 3.</w:t>
      </w:r>
    </w:p>
    <w:p w14:paraId="050A73C3"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NEF (2017) The Local Multiplier 3. New Economics Foundation.</w:t>
      </w:r>
    </w:p>
    <w:p w14:paraId="7D07A9B9"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The (2020). Energy House 2.0: Ground broken on weather control energy lab. [online] University of Salford. Available at: https://www.salford.ac.uk/news/energy-house-20-ground-broken-weather-control-energy-lab</w:t>
      </w:r>
    </w:p>
    <w:p w14:paraId="2A070CA7"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UK Green Building Council (2019) The Value of Sustainable Buildings.</w:t>
      </w:r>
    </w:p>
    <w:p w14:paraId="6B7D329D"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University of Edinburgh. (2024, October 9). Centre to accelerate net-zero buildings for cities. https://eng.ed.ac.uk/about/news/20241009/centre-accelerate-net-zero-buildings-cities</w:t>
      </w:r>
    </w:p>
    <w:p w14:paraId="3D0BA9F8"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Welsh Government (2015) Well-being of Future Generations (Wales) Act 2015.</w:t>
      </w:r>
    </w:p>
    <w:p w14:paraId="03846F88"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lastRenderedPageBreak/>
        <w:t>West of England Combined Authority. Local enterprise partnership funding and projects. Available at: https://www.westofengland-ca.gov.uk/about-us/democracy/funding-transparency/local-enterprise-partnership-funding-projects/</w:t>
      </w:r>
    </w:p>
    <w:p w14:paraId="0AB75F1E" w14:textId="77777777" w:rsidR="006236FC" w:rsidRPr="009E1A59" w:rsidRDefault="006236FC" w:rsidP="009E1A59">
      <w:pPr>
        <w:spacing w:line="360" w:lineRule="auto"/>
        <w:jc w:val="both"/>
        <w:rPr>
          <w:rFonts w:ascii="Times New Roman" w:hAnsi="Times New Roman" w:cs="Times New Roman"/>
        </w:rPr>
      </w:pPr>
      <w:r w:rsidRPr="009E1A59">
        <w:rPr>
          <w:rFonts w:ascii="Times New Roman" w:hAnsi="Times New Roman" w:cs="Times New Roman"/>
        </w:rPr>
        <w:t>WHO (2018) Ambient Air Pollution and Health. World Health Organization.</w:t>
      </w:r>
    </w:p>
    <w:sectPr w:rsidR="006236FC" w:rsidRPr="009E1A59" w:rsidSect="00041F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389F2" w14:textId="77777777" w:rsidR="000C1652" w:rsidRDefault="000C1652" w:rsidP="009D7B9F">
      <w:pPr>
        <w:spacing w:after="0" w:line="240" w:lineRule="auto"/>
      </w:pPr>
      <w:r>
        <w:separator/>
      </w:r>
    </w:p>
  </w:endnote>
  <w:endnote w:type="continuationSeparator" w:id="0">
    <w:p w14:paraId="00346A02" w14:textId="77777777" w:rsidR="000C1652" w:rsidRDefault="000C1652" w:rsidP="009D7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LegacySans">
    <w:altName w:val="Courier New"/>
    <w:charset w:val="00"/>
    <w:family w:val="auto"/>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ontserrat SemiBold">
    <w:charset w:val="00"/>
    <w:family w:val="auto"/>
    <w:pitch w:val="variable"/>
    <w:sig w:usb0="2000020F" w:usb1="00000003" w:usb2="00000000" w:usb3="00000000" w:csb0="00000197"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0A8DBA" w14:paraId="02CB5166" w14:textId="77777777" w:rsidTr="050A8DBA">
      <w:trPr>
        <w:trHeight w:val="300"/>
      </w:trPr>
      <w:tc>
        <w:tcPr>
          <w:tcW w:w="3005" w:type="dxa"/>
        </w:tcPr>
        <w:p w14:paraId="432F4ADB" w14:textId="5F67B7BE" w:rsidR="050A8DBA" w:rsidRDefault="050A8DBA" w:rsidP="050A8DBA">
          <w:pPr>
            <w:pStyle w:val="Header"/>
            <w:ind w:left="-115"/>
          </w:pPr>
        </w:p>
      </w:tc>
      <w:tc>
        <w:tcPr>
          <w:tcW w:w="3005" w:type="dxa"/>
        </w:tcPr>
        <w:p w14:paraId="1BF12E8E" w14:textId="20ED118B" w:rsidR="050A8DBA" w:rsidRDefault="050A8DBA" w:rsidP="050A8DBA">
          <w:pPr>
            <w:pStyle w:val="Header"/>
            <w:jc w:val="center"/>
          </w:pPr>
        </w:p>
      </w:tc>
      <w:tc>
        <w:tcPr>
          <w:tcW w:w="3005" w:type="dxa"/>
        </w:tcPr>
        <w:p w14:paraId="0182FDF7" w14:textId="3BCEDF38" w:rsidR="050A8DBA" w:rsidRDefault="050A8DBA" w:rsidP="050A8DBA">
          <w:pPr>
            <w:pStyle w:val="Header"/>
            <w:ind w:right="-115"/>
            <w:jc w:val="right"/>
          </w:pPr>
        </w:p>
      </w:tc>
    </w:tr>
  </w:tbl>
  <w:p w14:paraId="396D8F09" w14:textId="6EE84EB0" w:rsidR="009D7B9F" w:rsidRDefault="009D7B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0A8DBA" w14:paraId="1360E107" w14:textId="77777777" w:rsidTr="050A8DBA">
      <w:trPr>
        <w:trHeight w:val="300"/>
      </w:trPr>
      <w:tc>
        <w:tcPr>
          <w:tcW w:w="3005" w:type="dxa"/>
        </w:tcPr>
        <w:p w14:paraId="7AD991B6" w14:textId="6AEEF458" w:rsidR="050A8DBA" w:rsidRDefault="050A8DBA" w:rsidP="050A8DBA">
          <w:pPr>
            <w:pStyle w:val="Header"/>
            <w:ind w:left="-115"/>
          </w:pPr>
        </w:p>
      </w:tc>
      <w:tc>
        <w:tcPr>
          <w:tcW w:w="3005" w:type="dxa"/>
        </w:tcPr>
        <w:p w14:paraId="5968C169" w14:textId="5B078048" w:rsidR="050A8DBA" w:rsidRDefault="050A8DBA" w:rsidP="050A8DBA">
          <w:pPr>
            <w:pStyle w:val="Header"/>
            <w:jc w:val="center"/>
          </w:pPr>
        </w:p>
      </w:tc>
      <w:tc>
        <w:tcPr>
          <w:tcW w:w="3005" w:type="dxa"/>
        </w:tcPr>
        <w:p w14:paraId="46749EA5" w14:textId="085F76FE" w:rsidR="050A8DBA" w:rsidRDefault="050A8DBA" w:rsidP="050A8DBA">
          <w:pPr>
            <w:pStyle w:val="Header"/>
            <w:ind w:right="-115"/>
            <w:jc w:val="right"/>
          </w:pPr>
        </w:p>
      </w:tc>
    </w:tr>
  </w:tbl>
  <w:p w14:paraId="2683D6AC" w14:textId="334969D3" w:rsidR="009D7B9F" w:rsidRDefault="009D7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3B691" w14:textId="77777777" w:rsidR="000C1652" w:rsidRDefault="000C1652" w:rsidP="009D7B9F">
      <w:pPr>
        <w:spacing w:after="0" w:line="240" w:lineRule="auto"/>
      </w:pPr>
      <w:r>
        <w:separator/>
      </w:r>
    </w:p>
  </w:footnote>
  <w:footnote w:type="continuationSeparator" w:id="0">
    <w:p w14:paraId="51467998" w14:textId="77777777" w:rsidR="000C1652" w:rsidRDefault="000C1652" w:rsidP="009D7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0A8DBA" w14:paraId="25E2BE1B" w14:textId="77777777" w:rsidTr="050A8DBA">
      <w:trPr>
        <w:trHeight w:val="300"/>
      </w:trPr>
      <w:tc>
        <w:tcPr>
          <w:tcW w:w="3005" w:type="dxa"/>
        </w:tcPr>
        <w:p w14:paraId="36EB514D" w14:textId="050AC668" w:rsidR="050A8DBA" w:rsidRDefault="050A8DBA" w:rsidP="050A8DBA">
          <w:pPr>
            <w:pStyle w:val="Header"/>
            <w:ind w:left="-115"/>
          </w:pPr>
        </w:p>
      </w:tc>
      <w:tc>
        <w:tcPr>
          <w:tcW w:w="3005" w:type="dxa"/>
        </w:tcPr>
        <w:p w14:paraId="54E14109" w14:textId="1F1B67C4" w:rsidR="050A8DBA" w:rsidRDefault="050A8DBA" w:rsidP="050A8DBA">
          <w:pPr>
            <w:pStyle w:val="Header"/>
            <w:jc w:val="center"/>
          </w:pPr>
        </w:p>
      </w:tc>
      <w:tc>
        <w:tcPr>
          <w:tcW w:w="3005" w:type="dxa"/>
        </w:tcPr>
        <w:p w14:paraId="0414F3B9" w14:textId="2E62C595" w:rsidR="050A8DBA" w:rsidRDefault="050A8DBA" w:rsidP="050A8DBA">
          <w:pPr>
            <w:pStyle w:val="Header"/>
            <w:ind w:right="-115"/>
            <w:jc w:val="right"/>
          </w:pPr>
        </w:p>
      </w:tc>
    </w:tr>
  </w:tbl>
  <w:p w14:paraId="141933CF" w14:textId="1894903C" w:rsidR="009D7B9F" w:rsidRDefault="009D7B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0A8DBA" w14:paraId="598CBFE3" w14:textId="77777777" w:rsidTr="050A8DBA">
      <w:trPr>
        <w:trHeight w:val="300"/>
      </w:trPr>
      <w:tc>
        <w:tcPr>
          <w:tcW w:w="3005" w:type="dxa"/>
        </w:tcPr>
        <w:p w14:paraId="41640904" w14:textId="0A6DC8B8" w:rsidR="050A8DBA" w:rsidRDefault="050A8DBA" w:rsidP="050A8DBA">
          <w:pPr>
            <w:pStyle w:val="Header"/>
            <w:ind w:left="-115"/>
          </w:pPr>
        </w:p>
      </w:tc>
      <w:tc>
        <w:tcPr>
          <w:tcW w:w="3005" w:type="dxa"/>
        </w:tcPr>
        <w:p w14:paraId="4FC6B4F5" w14:textId="2C16E491" w:rsidR="050A8DBA" w:rsidRDefault="050A8DBA" w:rsidP="050A8DBA">
          <w:pPr>
            <w:pStyle w:val="Header"/>
            <w:jc w:val="center"/>
          </w:pPr>
        </w:p>
      </w:tc>
      <w:tc>
        <w:tcPr>
          <w:tcW w:w="3005" w:type="dxa"/>
        </w:tcPr>
        <w:p w14:paraId="621DDAF8" w14:textId="7016EDF0" w:rsidR="050A8DBA" w:rsidRDefault="050A8DBA" w:rsidP="050A8DBA">
          <w:pPr>
            <w:pStyle w:val="Header"/>
            <w:ind w:right="-115"/>
            <w:jc w:val="right"/>
          </w:pPr>
        </w:p>
      </w:tc>
    </w:tr>
  </w:tbl>
  <w:p w14:paraId="79C5AAA1" w14:textId="62539CC4" w:rsidR="009D7B9F" w:rsidRDefault="009D7B9F">
    <w:pPr>
      <w:pStyle w:val="Header"/>
    </w:pPr>
  </w:p>
</w:hdr>
</file>

<file path=word/intelligence2.xml><?xml version="1.0" encoding="utf-8"?>
<int2:intelligence xmlns:int2="http://schemas.microsoft.com/office/intelligence/2020/intelligence" xmlns:oel="http://schemas.microsoft.com/office/2019/extlst">
  <int2:observations>
    <int2:textHash int2:hashCode="gSfHP6qwmLgpX1" int2:id="40oePwM0">
      <int2:state int2:value="Rejected" int2:type="spell"/>
    </int2:textHash>
    <int2:textHash int2:hashCode="fHn4+Ovy0KWqy5" int2:id="7zLsdL4z">
      <int2:state int2:value="Rejected" int2:type="spell"/>
    </int2:textHash>
    <int2:textHash int2:hashCode="2/FadXW1ldS2yG" int2:id="SdHbGsu8">
      <int2:state int2:value="Rejected" int2:type="spell"/>
    </int2:textHash>
    <int2:textHash int2:hashCode="HbvHHk9U9zjKej" int2:id="Yog0kvS8">
      <int2:state int2:value="Rejected" int2:type="spell"/>
    </int2:textHash>
    <int2:textHash int2:hashCode="IzkgAd7DnUYXU8" int2:id="tmXuYjFX">
      <int2:state int2:value="Rejected" int2:type="spell"/>
    </int2:textHash>
    <int2:textHash int2:hashCode="Y1gY3zhVpkIwSY" int2:id="qMyMH3R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512E"/>
    <w:multiLevelType w:val="hybridMultilevel"/>
    <w:tmpl w:val="A932897A"/>
    <w:lvl w:ilvl="0" w:tplc="1F543D8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C0C9F"/>
    <w:multiLevelType w:val="hybridMultilevel"/>
    <w:tmpl w:val="4E742586"/>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FFF4014"/>
    <w:multiLevelType w:val="hybridMultilevel"/>
    <w:tmpl w:val="2C66992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DC80AC1"/>
    <w:multiLevelType w:val="hybridMultilevel"/>
    <w:tmpl w:val="9BC676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53143D6"/>
    <w:multiLevelType w:val="hybridMultilevel"/>
    <w:tmpl w:val="6AFE1AB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35750ABE"/>
    <w:multiLevelType w:val="hybridMultilevel"/>
    <w:tmpl w:val="8202F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09B384D"/>
    <w:multiLevelType w:val="hybridMultilevel"/>
    <w:tmpl w:val="6430DD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FC61908"/>
    <w:multiLevelType w:val="multilevel"/>
    <w:tmpl w:val="172C43CA"/>
    <w:lvl w:ilvl="0">
      <w:start w:val="1"/>
      <w:numFmt w:val="decimal"/>
      <w:lvlText w:val="%1.0"/>
      <w:lvlJc w:val="left"/>
      <w:pPr>
        <w:ind w:left="720" w:hanging="720"/>
      </w:pPr>
      <w:rPr>
        <w:rFonts w:hint="default"/>
        <w:sz w:val="32"/>
      </w:rPr>
    </w:lvl>
    <w:lvl w:ilvl="1">
      <w:start w:val="1"/>
      <w:numFmt w:val="decimal"/>
      <w:lvlText w:val="%1.%2"/>
      <w:lvlJc w:val="left"/>
      <w:pPr>
        <w:ind w:left="1440" w:hanging="7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3240" w:hanging="1080"/>
      </w:pPr>
      <w:rPr>
        <w:rFonts w:hint="default"/>
        <w:sz w:val="32"/>
      </w:rPr>
    </w:lvl>
    <w:lvl w:ilvl="4">
      <w:start w:val="1"/>
      <w:numFmt w:val="decimal"/>
      <w:lvlText w:val="%1.%2.%3.%4.%5"/>
      <w:lvlJc w:val="left"/>
      <w:pPr>
        <w:ind w:left="4320" w:hanging="1440"/>
      </w:pPr>
      <w:rPr>
        <w:rFonts w:hint="default"/>
        <w:sz w:val="32"/>
      </w:rPr>
    </w:lvl>
    <w:lvl w:ilvl="5">
      <w:start w:val="1"/>
      <w:numFmt w:val="decimal"/>
      <w:lvlText w:val="%1.%2.%3.%4.%5.%6"/>
      <w:lvlJc w:val="left"/>
      <w:pPr>
        <w:ind w:left="5400" w:hanging="1800"/>
      </w:pPr>
      <w:rPr>
        <w:rFonts w:hint="default"/>
        <w:sz w:val="32"/>
      </w:rPr>
    </w:lvl>
    <w:lvl w:ilvl="6">
      <w:start w:val="1"/>
      <w:numFmt w:val="decimal"/>
      <w:lvlText w:val="%1.%2.%3.%4.%5.%6.%7"/>
      <w:lvlJc w:val="left"/>
      <w:pPr>
        <w:ind w:left="6120" w:hanging="1800"/>
      </w:pPr>
      <w:rPr>
        <w:rFonts w:hint="default"/>
        <w:sz w:val="32"/>
      </w:rPr>
    </w:lvl>
    <w:lvl w:ilvl="7">
      <w:start w:val="1"/>
      <w:numFmt w:val="decimal"/>
      <w:lvlText w:val="%1.%2.%3.%4.%5.%6.%7.%8"/>
      <w:lvlJc w:val="left"/>
      <w:pPr>
        <w:ind w:left="7200" w:hanging="2160"/>
      </w:pPr>
      <w:rPr>
        <w:rFonts w:hint="default"/>
        <w:sz w:val="32"/>
      </w:rPr>
    </w:lvl>
    <w:lvl w:ilvl="8">
      <w:start w:val="1"/>
      <w:numFmt w:val="decimal"/>
      <w:lvlText w:val="%1.%2.%3.%4.%5.%6.%7.%8.%9"/>
      <w:lvlJc w:val="left"/>
      <w:pPr>
        <w:ind w:left="8280" w:hanging="2520"/>
      </w:pPr>
      <w:rPr>
        <w:rFonts w:hint="default"/>
        <w:sz w:val="32"/>
      </w:rPr>
    </w:lvl>
  </w:abstractNum>
  <w:abstractNum w:abstractNumId="8" w15:restartNumberingAfterBreak="0">
    <w:nsid w:val="560B3958"/>
    <w:multiLevelType w:val="hybridMultilevel"/>
    <w:tmpl w:val="6636B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A80F5D"/>
    <w:multiLevelType w:val="hybridMultilevel"/>
    <w:tmpl w:val="1680913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34D1405"/>
    <w:multiLevelType w:val="hybridMultilevel"/>
    <w:tmpl w:val="BA12E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050146"/>
    <w:multiLevelType w:val="hybridMultilevel"/>
    <w:tmpl w:val="ED58F2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E0B4B"/>
    <w:multiLevelType w:val="hybridMultilevel"/>
    <w:tmpl w:val="C3B801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9AD385E"/>
    <w:multiLevelType w:val="hybridMultilevel"/>
    <w:tmpl w:val="040EEC40"/>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94066829">
    <w:abstractNumId w:val="0"/>
  </w:num>
  <w:num w:numId="2" w16cid:durableId="605771424">
    <w:abstractNumId w:val="10"/>
  </w:num>
  <w:num w:numId="3" w16cid:durableId="300232591">
    <w:abstractNumId w:val="7"/>
  </w:num>
  <w:num w:numId="4" w16cid:durableId="1391726760">
    <w:abstractNumId w:val="5"/>
  </w:num>
  <w:num w:numId="5" w16cid:durableId="1562135312">
    <w:abstractNumId w:val="11"/>
  </w:num>
  <w:num w:numId="6" w16cid:durableId="85419294">
    <w:abstractNumId w:val="12"/>
  </w:num>
  <w:num w:numId="7" w16cid:durableId="911281917">
    <w:abstractNumId w:val="4"/>
  </w:num>
  <w:num w:numId="8" w16cid:durableId="1089231405">
    <w:abstractNumId w:val="6"/>
  </w:num>
  <w:num w:numId="9" w16cid:durableId="1364328788">
    <w:abstractNumId w:val="3"/>
  </w:num>
  <w:num w:numId="10" w16cid:durableId="662582325">
    <w:abstractNumId w:val="13"/>
  </w:num>
  <w:num w:numId="11" w16cid:durableId="1796370903">
    <w:abstractNumId w:val="1"/>
  </w:num>
  <w:num w:numId="12" w16cid:durableId="1800217824">
    <w:abstractNumId w:val="8"/>
  </w:num>
  <w:num w:numId="13" w16cid:durableId="350304116">
    <w:abstractNumId w:val="9"/>
  </w:num>
  <w:num w:numId="14" w16cid:durableId="2104834472">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24D"/>
    <w:rsid w:val="00003271"/>
    <w:rsid w:val="000040E7"/>
    <w:rsid w:val="00005477"/>
    <w:rsid w:val="00010C38"/>
    <w:rsid w:val="000163CF"/>
    <w:rsid w:val="00016714"/>
    <w:rsid w:val="00016B33"/>
    <w:rsid w:val="000172F8"/>
    <w:rsid w:val="00020AB7"/>
    <w:rsid w:val="00020BAC"/>
    <w:rsid w:val="000247E6"/>
    <w:rsid w:val="000258ED"/>
    <w:rsid w:val="000267B7"/>
    <w:rsid w:val="0003255C"/>
    <w:rsid w:val="00032EF9"/>
    <w:rsid w:val="000344D4"/>
    <w:rsid w:val="000356FA"/>
    <w:rsid w:val="000407CC"/>
    <w:rsid w:val="00041F0F"/>
    <w:rsid w:val="00042117"/>
    <w:rsid w:val="0004624A"/>
    <w:rsid w:val="00047C56"/>
    <w:rsid w:val="000502EC"/>
    <w:rsid w:val="00051333"/>
    <w:rsid w:val="00054670"/>
    <w:rsid w:val="00056237"/>
    <w:rsid w:val="00061BAF"/>
    <w:rsid w:val="00062C83"/>
    <w:rsid w:val="00063FC8"/>
    <w:rsid w:val="00065B92"/>
    <w:rsid w:val="00071DA5"/>
    <w:rsid w:val="00073A6E"/>
    <w:rsid w:val="000765A6"/>
    <w:rsid w:val="000879D5"/>
    <w:rsid w:val="00087C35"/>
    <w:rsid w:val="00090BAA"/>
    <w:rsid w:val="00091196"/>
    <w:rsid w:val="000945D4"/>
    <w:rsid w:val="00094A37"/>
    <w:rsid w:val="00094F31"/>
    <w:rsid w:val="00095AC6"/>
    <w:rsid w:val="00095EF1"/>
    <w:rsid w:val="00097961"/>
    <w:rsid w:val="000A143A"/>
    <w:rsid w:val="000A1928"/>
    <w:rsid w:val="000A3800"/>
    <w:rsid w:val="000A569C"/>
    <w:rsid w:val="000B180E"/>
    <w:rsid w:val="000B51C1"/>
    <w:rsid w:val="000C1652"/>
    <w:rsid w:val="000C66AF"/>
    <w:rsid w:val="000D30C9"/>
    <w:rsid w:val="000D5728"/>
    <w:rsid w:val="000D71B9"/>
    <w:rsid w:val="000E0339"/>
    <w:rsid w:val="000E3395"/>
    <w:rsid w:val="000E46AD"/>
    <w:rsid w:val="000E474A"/>
    <w:rsid w:val="000E7E02"/>
    <w:rsid w:val="000F0A5C"/>
    <w:rsid w:val="000F3AD1"/>
    <w:rsid w:val="000F3D34"/>
    <w:rsid w:val="000F4533"/>
    <w:rsid w:val="000F49CD"/>
    <w:rsid w:val="000F7229"/>
    <w:rsid w:val="00100103"/>
    <w:rsid w:val="00101650"/>
    <w:rsid w:val="0010246B"/>
    <w:rsid w:val="00105B58"/>
    <w:rsid w:val="0010649A"/>
    <w:rsid w:val="00106589"/>
    <w:rsid w:val="0010738A"/>
    <w:rsid w:val="001077B8"/>
    <w:rsid w:val="0011069F"/>
    <w:rsid w:val="00112C5A"/>
    <w:rsid w:val="001158E9"/>
    <w:rsid w:val="0011641F"/>
    <w:rsid w:val="00116B50"/>
    <w:rsid w:val="001206C4"/>
    <w:rsid w:val="00120F11"/>
    <w:rsid w:val="00121AB0"/>
    <w:rsid w:val="00122508"/>
    <w:rsid w:val="00123193"/>
    <w:rsid w:val="00123574"/>
    <w:rsid w:val="001241D0"/>
    <w:rsid w:val="001252C8"/>
    <w:rsid w:val="00126EE2"/>
    <w:rsid w:val="00127A1A"/>
    <w:rsid w:val="00130928"/>
    <w:rsid w:val="00130EE9"/>
    <w:rsid w:val="00131241"/>
    <w:rsid w:val="0013137E"/>
    <w:rsid w:val="00134147"/>
    <w:rsid w:val="00142046"/>
    <w:rsid w:val="001426E6"/>
    <w:rsid w:val="00142F6D"/>
    <w:rsid w:val="00143BCD"/>
    <w:rsid w:val="00144732"/>
    <w:rsid w:val="00146C62"/>
    <w:rsid w:val="00150039"/>
    <w:rsid w:val="001541FD"/>
    <w:rsid w:val="00161123"/>
    <w:rsid w:val="0016428C"/>
    <w:rsid w:val="001666CD"/>
    <w:rsid w:val="0016C3CD"/>
    <w:rsid w:val="0017340D"/>
    <w:rsid w:val="0017501F"/>
    <w:rsid w:val="001754A6"/>
    <w:rsid w:val="00175D69"/>
    <w:rsid w:val="00181891"/>
    <w:rsid w:val="00181D1A"/>
    <w:rsid w:val="001829B7"/>
    <w:rsid w:val="00182D6D"/>
    <w:rsid w:val="001830A7"/>
    <w:rsid w:val="001863F6"/>
    <w:rsid w:val="00186984"/>
    <w:rsid w:val="001878F9"/>
    <w:rsid w:val="00187C08"/>
    <w:rsid w:val="0019291F"/>
    <w:rsid w:val="0019342F"/>
    <w:rsid w:val="001942D9"/>
    <w:rsid w:val="00194DFD"/>
    <w:rsid w:val="00195662"/>
    <w:rsid w:val="001A4BD3"/>
    <w:rsid w:val="001B318A"/>
    <w:rsid w:val="001B5ACD"/>
    <w:rsid w:val="001B6403"/>
    <w:rsid w:val="001B661D"/>
    <w:rsid w:val="001B696F"/>
    <w:rsid w:val="001B7288"/>
    <w:rsid w:val="001C00F6"/>
    <w:rsid w:val="001C21DD"/>
    <w:rsid w:val="001C2229"/>
    <w:rsid w:val="001C241D"/>
    <w:rsid w:val="001C5A12"/>
    <w:rsid w:val="001D09FD"/>
    <w:rsid w:val="001D6C43"/>
    <w:rsid w:val="001D6FE5"/>
    <w:rsid w:val="001D7193"/>
    <w:rsid w:val="001D727C"/>
    <w:rsid w:val="001DF295"/>
    <w:rsid w:val="001E01B3"/>
    <w:rsid w:val="001E5162"/>
    <w:rsid w:val="001F24EE"/>
    <w:rsid w:val="001F2F9E"/>
    <w:rsid w:val="001F4E2A"/>
    <w:rsid w:val="00203929"/>
    <w:rsid w:val="002076CD"/>
    <w:rsid w:val="00210AA1"/>
    <w:rsid w:val="00212E5C"/>
    <w:rsid w:val="00214C35"/>
    <w:rsid w:val="00216095"/>
    <w:rsid w:val="002162A7"/>
    <w:rsid w:val="00217C7E"/>
    <w:rsid w:val="002200C5"/>
    <w:rsid w:val="00220FBB"/>
    <w:rsid w:val="0022117D"/>
    <w:rsid w:val="00222448"/>
    <w:rsid w:val="00224E3F"/>
    <w:rsid w:val="0023242C"/>
    <w:rsid w:val="0023426F"/>
    <w:rsid w:val="00235F4A"/>
    <w:rsid w:val="00236B44"/>
    <w:rsid w:val="00237BC6"/>
    <w:rsid w:val="00237CE3"/>
    <w:rsid w:val="00242326"/>
    <w:rsid w:val="00243126"/>
    <w:rsid w:val="002447D0"/>
    <w:rsid w:val="00245170"/>
    <w:rsid w:val="0024542A"/>
    <w:rsid w:val="002454DF"/>
    <w:rsid w:val="002458B6"/>
    <w:rsid w:val="002460FE"/>
    <w:rsid w:val="00246629"/>
    <w:rsid w:val="00250AF5"/>
    <w:rsid w:val="002522C4"/>
    <w:rsid w:val="0025507D"/>
    <w:rsid w:val="002571C8"/>
    <w:rsid w:val="00260CC3"/>
    <w:rsid w:val="00262317"/>
    <w:rsid w:val="00264C2B"/>
    <w:rsid w:val="00264D8F"/>
    <w:rsid w:val="002650D7"/>
    <w:rsid w:val="00266C6F"/>
    <w:rsid w:val="00270B67"/>
    <w:rsid w:val="0027530A"/>
    <w:rsid w:val="00275748"/>
    <w:rsid w:val="0027775A"/>
    <w:rsid w:val="00277956"/>
    <w:rsid w:val="002831FF"/>
    <w:rsid w:val="002870BE"/>
    <w:rsid w:val="0029011D"/>
    <w:rsid w:val="00295C24"/>
    <w:rsid w:val="00296350"/>
    <w:rsid w:val="002973F9"/>
    <w:rsid w:val="00297616"/>
    <w:rsid w:val="002A5B8F"/>
    <w:rsid w:val="002A6D2C"/>
    <w:rsid w:val="002B0218"/>
    <w:rsid w:val="002B068D"/>
    <w:rsid w:val="002B073B"/>
    <w:rsid w:val="002B62A1"/>
    <w:rsid w:val="002B641B"/>
    <w:rsid w:val="002C0E0D"/>
    <w:rsid w:val="002C31DD"/>
    <w:rsid w:val="002C55BA"/>
    <w:rsid w:val="002C67EE"/>
    <w:rsid w:val="002D01C2"/>
    <w:rsid w:val="002D1763"/>
    <w:rsid w:val="002D29F8"/>
    <w:rsid w:val="002D3221"/>
    <w:rsid w:val="002D5068"/>
    <w:rsid w:val="002E20FA"/>
    <w:rsid w:val="002E4521"/>
    <w:rsid w:val="002E641B"/>
    <w:rsid w:val="002F24BD"/>
    <w:rsid w:val="002F26D7"/>
    <w:rsid w:val="002F2964"/>
    <w:rsid w:val="002F4488"/>
    <w:rsid w:val="00300990"/>
    <w:rsid w:val="003032D6"/>
    <w:rsid w:val="00304E4D"/>
    <w:rsid w:val="003118CB"/>
    <w:rsid w:val="00320CD8"/>
    <w:rsid w:val="00320FFE"/>
    <w:rsid w:val="0032403B"/>
    <w:rsid w:val="003257F0"/>
    <w:rsid w:val="003276CC"/>
    <w:rsid w:val="00330289"/>
    <w:rsid w:val="00331F0F"/>
    <w:rsid w:val="003345BC"/>
    <w:rsid w:val="00335FCF"/>
    <w:rsid w:val="003366FD"/>
    <w:rsid w:val="00336C54"/>
    <w:rsid w:val="00340363"/>
    <w:rsid w:val="003418FD"/>
    <w:rsid w:val="00343C20"/>
    <w:rsid w:val="0034590E"/>
    <w:rsid w:val="0034722C"/>
    <w:rsid w:val="00351661"/>
    <w:rsid w:val="00352395"/>
    <w:rsid w:val="00362107"/>
    <w:rsid w:val="00364256"/>
    <w:rsid w:val="00365524"/>
    <w:rsid w:val="00367A49"/>
    <w:rsid w:val="00373289"/>
    <w:rsid w:val="00374D29"/>
    <w:rsid w:val="00376447"/>
    <w:rsid w:val="00377D5A"/>
    <w:rsid w:val="003811B1"/>
    <w:rsid w:val="00383B56"/>
    <w:rsid w:val="003847E3"/>
    <w:rsid w:val="00384CC7"/>
    <w:rsid w:val="00386A9B"/>
    <w:rsid w:val="00387F64"/>
    <w:rsid w:val="00390611"/>
    <w:rsid w:val="00395771"/>
    <w:rsid w:val="00396DF2"/>
    <w:rsid w:val="003972E7"/>
    <w:rsid w:val="003A0511"/>
    <w:rsid w:val="003A1FFC"/>
    <w:rsid w:val="003A7682"/>
    <w:rsid w:val="003A7A04"/>
    <w:rsid w:val="003B3FA9"/>
    <w:rsid w:val="003B4D33"/>
    <w:rsid w:val="003B5F35"/>
    <w:rsid w:val="003B7BE6"/>
    <w:rsid w:val="003C2870"/>
    <w:rsid w:val="003C41B8"/>
    <w:rsid w:val="003C70C6"/>
    <w:rsid w:val="003D2983"/>
    <w:rsid w:val="003D40D2"/>
    <w:rsid w:val="003D72DA"/>
    <w:rsid w:val="003E28CC"/>
    <w:rsid w:val="003E35FD"/>
    <w:rsid w:val="003E43DA"/>
    <w:rsid w:val="003E44E6"/>
    <w:rsid w:val="003E4A74"/>
    <w:rsid w:val="003E4FED"/>
    <w:rsid w:val="003E7D2D"/>
    <w:rsid w:val="003F0590"/>
    <w:rsid w:val="003F1712"/>
    <w:rsid w:val="003F2624"/>
    <w:rsid w:val="003F45F0"/>
    <w:rsid w:val="004001A2"/>
    <w:rsid w:val="004009F8"/>
    <w:rsid w:val="004063F2"/>
    <w:rsid w:val="00407396"/>
    <w:rsid w:val="00407DB8"/>
    <w:rsid w:val="0041172C"/>
    <w:rsid w:val="00415C06"/>
    <w:rsid w:val="004222CE"/>
    <w:rsid w:val="004270B7"/>
    <w:rsid w:val="00427656"/>
    <w:rsid w:val="00430A12"/>
    <w:rsid w:val="00433457"/>
    <w:rsid w:val="0043383C"/>
    <w:rsid w:val="00444639"/>
    <w:rsid w:val="004452C0"/>
    <w:rsid w:val="00451991"/>
    <w:rsid w:val="00456A84"/>
    <w:rsid w:val="00460E45"/>
    <w:rsid w:val="00461DF9"/>
    <w:rsid w:val="004645EA"/>
    <w:rsid w:val="0046492F"/>
    <w:rsid w:val="004649AA"/>
    <w:rsid w:val="00465FE1"/>
    <w:rsid w:val="0046696B"/>
    <w:rsid w:val="00466983"/>
    <w:rsid w:val="004717E7"/>
    <w:rsid w:val="00472A99"/>
    <w:rsid w:val="0047439D"/>
    <w:rsid w:val="004754E1"/>
    <w:rsid w:val="00476CC1"/>
    <w:rsid w:val="00481E5C"/>
    <w:rsid w:val="004834B6"/>
    <w:rsid w:val="0049024B"/>
    <w:rsid w:val="00492181"/>
    <w:rsid w:val="00492D1C"/>
    <w:rsid w:val="00493D1E"/>
    <w:rsid w:val="00493F21"/>
    <w:rsid w:val="0049458C"/>
    <w:rsid w:val="0049693C"/>
    <w:rsid w:val="004A02A9"/>
    <w:rsid w:val="004A1180"/>
    <w:rsid w:val="004A2092"/>
    <w:rsid w:val="004A4134"/>
    <w:rsid w:val="004A4A79"/>
    <w:rsid w:val="004A52FE"/>
    <w:rsid w:val="004A5DD3"/>
    <w:rsid w:val="004B0588"/>
    <w:rsid w:val="004B2116"/>
    <w:rsid w:val="004B29B6"/>
    <w:rsid w:val="004B2B50"/>
    <w:rsid w:val="004B3036"/>
    <w:rsid w:val="004B3D39"/>
    <w:rsid w:val="004B5103"/>
    <w:rsid w:val="004B59F8"/>
    <w:rsid w:val="004B6116"/>
    <w:rsid w:val="004B7038"/>
    <w:rsid w:val="004C571B"/>
    <w:rsid w:val="004D08C4"/>
    <w:rsid w:val="004D3765"/>
    <w:rsid w:val="004D3FDA"/>
    <w:rsid w:val="004D451D"/>
    <w:rsid w:val="004D5272"/>
    <w:rsid w:val="004D6D09"/>
    <w:rsid w:val="004D7459"/>
    <w:rsid w:val="004D7461"/>
    <w:rsid w:val="004E1480"/>
    <w:rsid w:val="004E148B"/>
    <w:rsid w:val="004E3B79"/>
    <w:rsid w:val="004E3CBB"/>
    <w:rsid w:val="004E4297"/>
    <w:rsid w:val="004E6E2C"/>
    <w:rsid w:val="004F072B"/>
    <w:rsid w:val="004F3E43"/>
    <w:rsid w:val="00502218"/>
    <w:rsid w:val="0050689E"/>
    <w:rsid w:val="005070ED"/>
    <w:rsid w:val="0051294F"/>
    <w:rsid w:val="0051316D"/>
    <w:rsid w:val="00521DD7"/>
    <w:rsid w:val="00523804"/>
    <w:rsid w:val="00523E02"/>
    <w:rsid w:val="005253F4"/>
    <w:rsid w:val="0052739D"/>
    <w:rsid w:val="00532986"/>
    <w:rsid w:val="005341ED"/>
    <w:rsid w:val="0054065A"/>
    <w:rsid w:val="005406A6"/>
    <w:rsid w:val="00540F60"/>
    <w:rsid w:val="00542CAA"/>
    <w:rsid w:val="00543F4E"/>
    <w:rsid w:val="00546205"/>
    <w:rsid w:val="0055055C"/>
    <w:rsid w:val="00551A63"/>
    <w:rsid w:val="005521FB"/>
    <w:rsid w:val="0055397F"/>
    <w:rsid w:val="00554501"/>
    <w:rsid w:val="00555528"/>
    <w:rsid w:val="00555FD2"/>
    <w:rsid w:val="00561A9D"/>
    <w:rsid w:val="0056270D"/>
    <w:rsid w:val="00566A9A"/>
    <w:rsid w:val="00574613"/>
    <w:rsid w:val="00574A34"/>
    <w:rsid w:val="00574A39"/>
    <w:rsid w:val="0057579E"/>
    <w:rsid w:val="00575CDD"/>
    <w:rsid w:val="00575F72"/>
    <w:rsid w:val="0057713F"/>
    <w:rsid w:val="00577A0D"/>
    <w:rsid w:val="00581EF3"/>
    <w:rsid w:val="00582069"/>
    <w:rsid w:val="0058284F"/>
    <w:rsid w:val="00586D71"/>
    <w:rsid w:val="005877EE"/>
    <w:rsid w:val="00591183"/>
    <w:rsid w:val="005914ED"/>
    <w:rsid w:val="0059235A"/>
    <w:rsid w:val="00592C88"/>
    <w:rsid w:val="00592D29"/>
    <w:rsid w:val="005943EC"/>
    <w:rsid w:val="0059445E"/>
    <w:rsid w:val="005A615F"/>
    <w:rsid w:val="005B2046"/>
    <w:rsid w:val="005B5D68"/>
    <w:rsid w:val="005B7735"/>
    <w:rsid w:val="005C1216"/>
    <w:rsid w:val="005C1BEF"/>
    <w:rsid w:val="005C3326"/>
    <w:rsid w:val="005C59DC"/>
    <w:rsid w:val="005C6984"/>
    <w:rsid w:val="005C6BDB"/>
    <w:rsid w:val="005D0695"/>
    <w:rsid w:val="005D4916"/>
    <w:rsid w:val="005D5217"/>
    <w:rsid w:val="005D521C"/>
    <w:rsid w:val="005D6C5E"/>
    <w:rsid w:val="005D710B"/>
    <w:rsid w:val="005E1853"/>
    <w:rsid w:val="005E1A34"/>
    <w:rsid w:val="005E45F6"/>
    <w:rsid w:val="005E690E"/>
    <w:rsid w:val="005F2600"/>
    <w:rsid w:val="005F3936"/>
    <w:rsid w:val="005F4852"/>
    <w:rsid w:val="005F7EE1"/>
    <w:rsid w:val="006001E9"/>
    <w:rsid w:val="006007C0"/>
    <w:rsid w:val="0060159A"/>
    <w:rsid w:val="00602316"/>
    <w:rsid w:val="006042DD"/>
    <w:rsid w:val="006046AB"/>
    <w:rsid w:val="00604D12"/>
    <w:rsid w:val="006078AB"/>
    <w:rsid w:val="00610956"/>
    <w:rsid w:val="006124BF"/>
    <w:rsid w:val="00612C5F"/>
    <w:rsid w:val="00616434"/>
    <w:rsid w:val="006171BF"/>
    <w:rsid w:val="00622AF5"/>
    <w:rsid w:val="006236FC"/>
    <w:rsid w:val="0062379F"/>
    <w:rsid w:val="00623F1C"/>
    <w:rsid w:val="0062450E"/>
    <w:rsid w:val="00624521"/>
    <w:rsid w:val="00625FEB"/>
    <w:rsid w:val="0063115B"/>
    <w:rsid w:val="00631E67"/>
    <w:rsid w:val="00632809"/>
    <w:rsid w:val="0063349A"/>
    <w:rsid w:val="00635E19"/>
    <w:rsid w:val="00637AEA"/>
    <w:rsid w:val="00637D1F"/>
    <w:rsid w:val="00637D28"/>
    <w:rsid w:val="00644973"/>
    <w:rsid w:val="006456EC"/>
    <w:rsid w:val="00647979"/>
    <w:rsid w:val="00650935"/>
    <w:rsid w:val="0065123C"/>
    <w:rsid w:val="00653F01"/>
    <w:rsid w:val="0066143F"/>
    <w:rsid w:val="00661E15"/>
    <w:rsid w:val="00662561"/>
    <w:rsid w:val="006659DF"/>
    <w:rsid w:val="00667543"/>
    <w:rsid w:val="00671B38"/>
    <w:rsid w:val="00676CEA"/>
    <w:rsid w:val="00681BB0"/>
    <w:rsid w:val="00685C2C"/>
    <w:rsid w:val="00690DF5"/>
    <w:rsid w:val="00691450"/>
    <w:rsid w:val="0069302B"/>
    <w:rsid w:val="006A0045"/>
    <w:rsid w:val="006A31B0"/>
    <w:rsid w:val="006A3E21"/>
    <w:rsid w:val="006A6108"/>
    <w:rsid w:val="006A6195"/>
    <w:rsid w:val="006A645C"/>
    <w:rsid w:val="006B0907"/>
    <w:rsid w:val="006B0A7E"/>
    <w:rsid w:val="006B7166"/>
    <w:rsid w:val="006C3033"/>
    <w:rsid w:val="006C5D61"/>
    <w:rsid w:val="006C600F"/>
    <w:rsid w:val="006C6405"/>
    <w:rsid w:val="006C6CC6"/>
    <w:rsid w:val="006C6E05"/>
    <w:rsid w:val="006D1ABB"/>
    <w:rsid w:val="006D3310"/>
    <w:rsid w:val="006D400A"/>
    <w:rsid w:val="006D4306"/>
    <w:rsid w:val="006D4B32"/>
    <w:rsid w:val="006D52B6"/>
    <w:rsid w:val="006D5E22"/>
    <w:rsid w:val="006E0CD6"/>
    <w:rsid w:val="006E0D55"/>
    <w:rsid w:val="006E347A"/>
    <w:rsid w:val="006F16AA"/>
    <w:rsid w:val="006F29B8"/>
    <w:rsid w:val="006F4F66"/>
    <w:rsid w:val="006F5D90"/>
    <w:rsid w:val="006F6EE0"/>
    <w:rsid w:val="006F77C7"/>
    <w:rsid w:val="00700956"/>
    <w:rsid w:val="00702116"/>
    <w:rsid w:val="007053F3"/>
    <w:rsid w:val="007066AC"/>
    <w:rsid w:val="007067A3"/>
    <w:rsid w:val="00712B64"/>
    <w:rsid w:val="00713D12"/>
    <w:rsid w:val="00721854"/>
    <w:rsid w:val="007242F6"/>
    <w:rsid w:val="00726144"/>
    <w:rsid w:val="00727672"/>
    <w:rsid w:val="007276C3"/>
    <w:rsid w:val="00727B0C"/>
    <w:rsid w:val="007310DA"/>
    <w:rsid w:val="0073242D"/>
    <w:rsid w:val="007331DE"/>
    <w:rsid w:val="007365BB"/>
    <w:rsid w:val="00737592"/>
    <w:rsid w:val="007379F4"/>
    <w:rsid w:val="00737B53"/>
    <w:rsid w:val="0074031C"/>
    <w:rsid w:val="007403CF"/>
    <w:rsid w:val="00742CC6"/>
    <w:rsid w:val="00743CF7"/>
    <w:rsid w:val="00745A16"/>
    <w:rsid w:val="00747C91"/>
    <w:rsid w:val="00751312"/>
    <w:rsid w:val="00751C48"/>
    <w:rsid w:val="00756DDF"/>
    <w:rsid w:val="00761130"/>
    <w:rsid w:val="00763DE7"/>
    <w:rsid w:val="00765144"/>
    <w:rsid w:val="007656E4"/>
    <w:rsid w:val="00770C51"/>
    <w:rsid w:val="00772B4A"/>
    <w:rsid w:val="0077339A"/>
    <w:rsid w:val="0077699B"/>
    <w:rsid w:val="007816DF"/>
    <w:rsid w:val="00782D74"/>
    <w:rsid w:val="00783548"/>
    <w:rsid w:val="007858BC"/>
    <w:rsid w:val="00786D05"/>
    <w:rsid w:val="007871B6"/>
    <w:rsid w:val="007875EF"/>
    <w:rsid w:val="00787A47"/>
    <w:rsid w:val="007904E4"/>
    <w:rsid w:val="007949E1"/>
    <w:rsid w:val="007977F0"/>
    <w:rsid w:val="007A0F45"/>
    <w:rsid w:val="007A2BE3"/>
    <w:rsid w:val="007A35D4"/>
    <w:rsid w:val="007A4764"/>
    <w:rsid w:val="007A5D5B"/>
    <w:rsid w:val="007A682B"/>
    <w:rsid w:val="007A72EB"/>
    <w:rsid w:val="007B0D9F"/>
    <w:rsid w:val="007B22D2"/>
    <w:rsid w:val="007B53DD"/>
    <w:rsid w:val="007B6605"/>
    <w:rsid w:val="007C2427"/>
    <w:rsid w:val="007C2762"/>
    <w:rsid w:val="007C3C47"/>
    <w:rsid w:val="007C74B4"/>
    <w:rsid w:val="007D0B16"/>
    <w:rsid w:val="007D30D2"/>
    <w:rsid w:val="007D3A70"/>
    <w:rsid w:val="007D4432"/>
    <w:rsid w:val="007D4FBF"/>
    <w:rsid w:val="007D60B5"/>
    <w:rsid w:val="007D66E9"/>
    <w:rsid w:val="007D6E70"/>
    <w:rsid w:val="007E0978"/>
    <w:rsid w:val="007E36BE"/>
    <w:rsid w:val="007E38AA"/>
    <w:rsid w:val="007E495D"/>
    <w:rsid w:val="007E4B7E"/>
    <w:rsid w:val="007E519C"/>
    <w:rsid w:val="007E6420"/>
    <w:rsid w:val="007E7EC8"/>
    <w:rsid w:val="007F095D"/>
    <w:rsid w:val="007F09DC"/>
    <w:rsid w:val="007F21DA"/>
    <w:rsid w:val="007F29E5"/>
    <w:rsid w:val="007F4473"/>
    <w:rsid w:val="007F7380"/>
    <w:rsid w:val="00800937"/>
    <w:rsid w:val="0080186D"/>
    <w:rsid w:val="00801C8E"/>
    <w:rsid w:val="00805F79"/>
    <w:rsid w:val="008069DA"/>
    <w:rsid w:val="00806DD3"/>
    <w:rsid w:val="00807C52"/>
    <w:rsid w:val="0081609A"/>
    <w:rsid w:val="00826538"/>
    <w:rsid w:val="008274B8"/>
    <w:rsid w:val="0084213B"/>
    <w:rsid w:val="0084559A"/>
    <w:rsid w:val="00846761"/>
    <w:rsid w:val="00846E62"/>
    <w:rsid w:val="0085089C"/>
    <w:rsid w:val="00850B75"/>
    <w:rsid w:val="008606C9"/>
    <w:rsid w:val="00860D93"/>
    <w:rsid w:val="00861627"/>
    <w:rsid w:val="00862A32"/>
    <w:rsid w:val="00863612"/>
    <w:rsid w:val="00863F7C"/>
    <w:rsid w:val="0086594F"/>
    <w:rsid w:val="0086661D"/>
    <w:rsid w:val="00871763"/>
    <w:rsid w:val="00873B21"/>
    <w:rsid w:val="00874EB0"/>
    <w:rsid w:val="008757B7"/>
    <w:rsid w:val="008768F3"/>
    <w:rsid w:val="00881405"/>
    <w:rsid w:val="00885604"/>
    <w:rsid w:val="00885A96"/>
    <w:rsid w:val="00885D0E"/>
    <w:rsid w:val="008870E5"/>
    <w:rsid w:val="00887DBA"/>
    <w:rsid w:val="008927AF"/>
    <w:rsid w:val="00894F1F"/>
    <w:rsid w:val="00895083"/>
    <w:rsid w:val="008963DE"/>
    <w:rsid w:val="008A2040"/>
    <w:rsid w:val="008A452B"/>
    <w:rsid w:val="008A4E1A"/>
    <w:rsid w:val="008A62AF"/>
    <w:rsid w:val="008B002D"/>
    <w:rsid w:val="008B0F06"/>
    <w:rsid w:val="008B2D27"/>
    <w:rsid w:val="008B3DA4"/>
    <w:rsid w:val="008B3FBD"/>
    <w:rsid w:val="008B4319"/>
    <w:rsid w:val="008B7E6B"/>
    <w:rsid w:val="008C0A29"/>
    <w:rsid w:val="008C49FC"/>
    <w:rsid w:val="008C6599"/>
    <w:rsid w:val="008D0420"/>
    <w:rsid w:val="008D4429"/>
    <w:rsid w:val="008D4EBD"/>
    <w:rsid w:val="008D8436"/>
    <w:rsid w:val="008E1460"/>
    <w:rsid w:val="008E5284"/>
    <w:rsid w:val="008F09DF"/>
    <w:rsid w:val="008F12F5"/>
    <w:rsid w:val="008F38CA"/>
    <w:rsid w:val="008F5A47"/>
    <w:rsid w:val="00901900"/>
    <w:rsid w:val="00903928"/>
    <w:rsid w:val="00904040"/>
    <w:rsid w:val="009066F4"/>
    <w:rsid w:val="00911ED3"/>
    <w:rsid w:val="00912842"/>
    <w:rsid w:val="00912C65"/>
    <w:rsid w:val="009134B5"/>
    <w:rsid w:val="00914C6C"/>
    <w:rsid w:val="00916D0E"/>
    <w:rsid w:val="00921D4D"/>
    <w:rsid w:val="00922988"/>
    <w:rsid w:val="00922C8C"/>
    <w:rsid w:val="00925AC5"/>
    <w:rsid w:val="00932001"/>
    <w:rsid w:val="009322BE"/>
    <w:rsid w:val="00933DCB"/>
    <w:rsid w:val="00934848"/>
    <w:rsid w:val="00935376"/>
    <w:rsid w:val="009358B7"/>
    <w:rsid w:val="00944544"/>
    <w:rsid w:val="00945FDB"/>
    <w:rsid w:val="00946744"/>
    <w:rsid w:val="00947E2A"/>
    <w:rsid w:val="00953952"/>
    <w:rsid w:val="009549A5"/>
    <w:rsid w:val="00961511"/>
    <w:rsid w:val="00961D2F"/>
    <w:rsid w:val="00965340"/>
    <w:rsid w:val="009661DD"/>
    <w:rsid w:val="009665A2"/>
    <w:rsid w:val="0096750A"/>
    <w:rsid w:val="00972E91"/>
    <w:rsid w:val="00976795"/>
    <w:rsid w:val="009875BC"/>
    <w:rsid w:val="00990E73"/>
    <w:rsid w:val="009937CF"/>
    <w:rsid w:val="00995A16"/>
    <w:rsid w:val="009A1C54"/>
    <w:rsid w:val="009A210B"/>
    <w:rsid w:val="009A3897"/>
    <w:rsid w:val="009A64C1"/>
    <w:rsid w:val="009A7FB7"/>
    <w:rsid w:val="009B0B1D"/>
    <w:rsid w:val="009B1691"/>
    <w:rsid w:val="009B23AD"/>
    <w:rsid w:val="009B243A"/>
    <w:rsid w:val="009B5B1A"/>
    <w:rsid w:val="009B5B1D"/>
    <w:rsid w:val="009B7CE7"/>
    <w:rsid w:val="009C71B6"/>
    <w:rsid w:val="009C7C91"/>
    <w:rsid w:val="009D03CD"/>
    <w:rsid w:val="009D2FF8"/>
    <w:rsid w:val="009D3363"/>
    <w:rsid w:val="009D3559"/>
    <w:rsid w:val="009D3920"/>
    <w:rsid w:val="009D3AD4"/>
    <w:rsid w:val="009D6DAA"/>
    <w:rsid w:val="009D7B9F"/>
    <w:rsid w:val="009E19E3"/>
    <w:rsid w:val="009E1A59"/>
    <w:rsid w:val="009E1B9C"/>
    <w:rsid w:val="009E2EE0"/>
    <w:rsid w:val="009E381A"/>
    <w:rsid w:val="009E59AE"/>
    <w:rsid w:val="009F0FDD"/>
    <w:rsid w:val="00A0057F"/>
    <w:rsid w:val="00A01BD9"/>
    <w:rsid w:val="00A01DBC"/>
    <w:rsid w:val="00A01F9F"/>
    <w:rsid w:val="00A039EB"/>
    <w:rsid w:val="00A060FE"/>
    <w:rsid w:val="00A06C67"/>
    <w:rsid w:val="00A104A8"/>
    <w:rsid w:val="00A14102"/>
    <w:rsid w:val="00A2284A"/>
    <w:rsid w:val="00A22F83"/>
    <w:rsid w:val="00A34149"/>
    <w:rsid w:val="00A35EFF"/>
    <w:rsid w:val="00A372D9"/>
    <w:rsid w:val="00A37D27"/>
    <w:rsid w:val="00A39057"/>
    <w:rsid w:val="00A40F9D"/>
    <w:rsid w:val="00A43885"/>
    <w:rsid w:val="00A44ABC"/>
    <w:rsid w:val="00A47DB6"/>
    <w:rsid w:val="00A50500"/>
    <w:rsid w:val="00A530F5"/>
    <w:rsid w:val="00A55DA8"/>
    <w:rsid w:val="00A60986"/>
    <w:rsid w:val="00A62803"/>
    <w:rsid w:val="00A62C69"/>
    <w:rsid w:val="00A637A3"/>
    <w:rsid w:val="00A66289"/>
    <w:rsid w:val="00A71506"/>
    <w:rsid w:val="00A72214"/>
    <w:rsid w:val="00A722E0"/>
    <w:rsid w:val="00A77DC8"/>
    <w:rsid w:val="00A862A1"/>
    <w:rsid w:val="00A86388"/>
    <w:rsid w:val="00A87A69"/>
    <w:rsid w:val="00A9048B"/>
    <w:rsid w:val="00A92FBB"/>
    <w:rsid w:val="00A93B56"/>
    <w:rsid w:val="00A94373"/>
    <w:rsid w:val="00AA3B1C"/>
    <w:rsid w:val="00AA7BDD"/>
    <w:rsid w:val="00AB3996"/>
    <w:rsid w:val="00AB475C"/>
    <w:rsid w:val="00AB74D2"/>
    <w:rsid w:val="00AB79F2"/>
    <w:rsid w:val="00AB7BE4"/>
    <w:rsid w:val="00AC0620"/>
    <w:rsid w:val="00AC53D3"/>
    <w:rsid w:val="00AC6123"/>
    <w:rsid w:val="00AC662B"/>
    <w:rsid w:val="00AD380E"/>
    <w:rsid w:val="00AD431D"/>
    <w:rsid w:val="00AD5B46"/>
    <w:rsid w:val="00AD7EFF"/>
    <w:rsid w:val="00AE0AD2"/>
    <w:rsid w:val="00AF1855"/>
    <w:rsid w:val="00AF454D"/>
    <w:rsid w:val="00AF642A"/>
    <w:rsid w:val="00AF69A9"/>
    <w:rsid w:val="00AF7F37"/>
    <w:rsid w:val="00B01D50"/>
    <w:rsid w:val="00B0216A"/>
    <w:rsid w:val="00B0225D"/>
    <w:rsid w:val="00B03175"/>
    <w:rsid w:val="00B0557D"/>
    <w:rsid w:val="00B15E4A"/>
    <w:rsid w:val="00B162EE"/>
    <w:rsid w:val="00B17BC4"/>
    <w:rsid w:val="00B23126"/>
    <w:rsid w:val="00B27335"/>
    <w:rsid w:val="00B27444"/>
    <w:rsid w:val="00B30CD9"/>
    <w:rsid w:val="00B31A00"/>
    <w:rsid w:val="00B36598"/>
    <w:rsid w:val="00B40FA0"/>
    <w:rsid w:val="00B428E3"/>
    <w:rsid w:val="00B4344A"/>
    <w:rsid w:val="00B44F31"/>
    <w:rsid w:val="00B45E19"/>
    <w:rsid w:val="00B46B40"/>
    <w:rsid w:val="00B47C0E"/>
    <w:rsid w:val="00B5053F"/>
    <w:rsid w:val="00B513DF"/>
    <w:rsid w:val="00B52FB0"/>
    <w:rsid w:val="00B565A7"/>
    <w:rsid w:val="00B60027"/>
    <w:rsid w:val="00B62AA8"/>
    <w:rsid w:val="00B62F6A"/>
    <w:rsid w:val="00B65568"/>
    <w:rsid w:val="00B704F7"/>
    <w:rsid w:val="00B71D45"/>
    <w:rsid w:val="00B72F48"/>
    <w:rsid w:val="00B74292"/>
    <w:rsid w:val="00B8081A"/>
    <w:rsid w:val="00B81FE0"/>
    <w:rsid w:val="00B827DC"/>
    <w:rsid w:val="00B82AA5"/>
    <w:rsid w:val="00B82B61"/>
    <w:rsid w:val="00B8362A"/>
    <w:rsid w:val="00B84B67"/>
    <w:rsid w:val="00B8639A"/>
    <w:rsid w:val="00B92FA6"/>
    <w:rsid w:val="00B934D6"/>
    <w:rsid w:val="00B95778"/>
    <w:rsid w:val="00B97D62"/>
    <w:rsid w:val="00B97FBF"/>
    <w:rsid w:val="00BA009D"/>
    <w:rsid w:val="00BA2AB7"/>
    <w:rsid w:val="00BA2D10"/>
    <w:rsid w:val="00BA3CD8"/>
    <w:rsid w:val="00BA66EB"/>
    <w:rsid w:val="00BB20A0"/>
    <w:rsid w:val="00BB2CAA"/>
    <w:rsid w:val="00BB4FA5"/>
    <w:rsid w:val="00BB63C9"/>
    <w:rsid w:val="00BC55F2"/>
    <w:rsid w:val="00BC624C"/>
    <w:rsid w:val="00BD2811"/>
    <w:rsid w:val="00BD4949"/>
    <w:rsid w:val="00BD4E82"/>
    <w:rsid w:val="00BD6D70"/>
    <w:rsid w:val="00BD6E4A"/>
    <w:rsid w:val="00BE312F"/>
    <w:rsid w:val="00BE3B95"/>
    <w:rsid w:val="00BE5673"/>
    <w:rsid w:val="00BF10AF"/>
    <w:rsid w:val="00BF14B6"/>
    <w:rsid w:val="00BF4071"/>
    <w:rsid w:val="00C045C4"/>
    <w:rsid w:val="00C05145"/>
    <w:rsid w:val="00C05860"/>
    <w:rsid w:val="00C10609"/>
    <w:rsid w:val="00C111AF"/>
    <w:rsid w:val="00C11DC4"/>
    <w:rsid w:val="00C1247B"/>
    <w:rsid w:val="00C14023"/>
    <w:rsid w:val="00C1502A"/>
    <w:rsid w:val="00C171E6"/>
    <w:rsid w:val="00C24CEB"/>
    <w:rsid w:val="00C27818"/>
    <w:rsid w:val="00C30093"/>
    <w:rsid w:val="00C34A4F"/>
    <w:rsid w:val="00C34D85"/>
    <w:rsid w:val="00C502E6"/>
    <w:rsid w:val="00C51F6A"/>
    <w:rsid w:val="00C533A8"/>
    <w:rsid w:val="00C547EF"/>
    <w:rsid w:val="00C54C49"/>
    <w:rsid w:val="00C558B6"/>
    <w:rsid w:val="00C563BB"/>
    <w:rsid w:val="00C57B6A"/>
    <w:rsid w:val="00C61C93"/>
    <w:rsid w:val="00C62652"/>
    <w:rsid w:val="00C65CAA"/>
    <w:rsid w:val="00C65ECE"/>
    <w:rsid w:val="00C736C3"/>
    <w:rsid w:val="00C74765"/>
    <w:rsid w:val="00C768B8"/>
    <w:rsid w:val="00C827BE"/>
    <w:rsid w:val="00C87EC2"/>
    <w:rsid w:val="00C92D4F"/>
    <w:rsid w:val="00C95990"/>
    <w:rsid w:val="00C95D9B"/>
    <w:rsid w:val="00C96034"/>
    <w:rsid w:val="00CA096E"/>
    <w:rsid w:val="00CA45DE"/>
    <w:rsid w:val="00CA5721"/>
    <w:rsid w:val="00CB1AF5"/>
    <w:rsid w:val="00CB2E30"/>
    <w:rsid w:val="00CB4138"/>
    <w:rsid w:val="00CB5967"/>
    <w:rsid w:val="00CB6CF9"/>
    <w:rsid w:val="00CB6EE5"/>
    <w:rsid w:val="00CC1167"/>
    <w:rsid w:val="00CC1632"/>
    <w:rsid w:val="00CC4728"/>
    <w:rsid w:val="00CC6D2C"/>
    <w:rsid w:val="00CC7DA7"/>
    <w:rsid w:val="00CD534C"/>
    <w:rsid w:val="00CD5603"/>
    <w:rsid w:val="00CE5A9F"/>
    <w:rsid w:val="00CF1E98"/>
    <w:rsid w:val="00CF2138"/>
    <w:rsid w:val="00CF2E12"/>
    <w:rsid w:val="00CF5D1C"/>
    <w:rsid w:val="00CF72AB"/>
    <w:rsid w:val="00D00C7D"/>
    <w:rsid w:val="00D014E0"/>
    <w:rsid w:val="00D062CF"/>
    <w:rsid w:val="00D0675E"/>
    <w:rsid w:val="00D06FD3"/>
    <w:rsid w:val="00D07573"/>
    <w:rsid w:val="00D12730"/>
    <w:rsid w:val="00D146B8"/>
    <w:rsid w:val="00D16991"/>
    <w:rsid w:val="00D26D6A"/>
    <w:rsid w:val="00D279BF"/>
    <w:rsid w:val="00D30CEF"/>
    <w:rsid w:val="00D35D30"/>
    <w:rsid w:val="00D400AC"/>
    <w:rsid w:val="00D4087F"/>
    <w:rsid w:val="00D432F5"/>
    <w:rsid w:val="00D479AE"/>
    <w:rsid w:val="00D509E6"/>
    <w:rsid w:val="00D53BCA"/>
    <w:rsid w:val="00D54251"/>
    <w:rsid w:val="00D55A59"/>
    <w:rsid w:val="00D56AB0"/>
    <w:rsid w:val="00D630FD"/>
    <w:rsid w:val="00D633FA"/>
    <w:rsid w:val="00D67625"/>
    <w:rsid w:val="00D679E0"/>
    <w:rsid w:val="00D74384"/>
    <w:rsid w:val="00D75458"/>
    <w:rsid w:val="00D809E7"/>
    <w:rsid w:val="00D85555"/>
    <w:rsid w:val="00D86CC7"/>
    <w:rsid w:val="00D94E72"/>
    <w:rsid w:val="00D96AED"/>
    <w:rsid w:val="00D97244"/>
    <w:rsid w:val="00DA26B4"/>
    <w:rsid w:val="00DA785E"/>
    <w:rsid w:val="00DB15CE"/>
    <w:rsid w:val="00DB2500"/>
    <w:rsid w:val="00DC5562"/>
    <w:rsid w:val="00DD0B62"/>
    <w:rsid w:val="00DD24B6"/>
    <w:rsid w:val="00DD2637"/>
    <w:rsid w:val="00DD35F3"/>
    <w:rsid w:val="00DF072F"/>
    <w:rsid w:val="00DF17D6"/>
    <w:rsid w:val="00DF1DB0"/>
    <w:rsid w:val="00DF1F60"/>
    <w:rsid w:val="00DF3941"/>
    <w:rsid w:val="00DF6125"/>
    <w:rsid w:val="00E1053D"/>
    <w:rsid w:val="00E1224D"/>
    <w:rsid w:val="00E13BCE"/>
    <w:rsid w:val="00E14D9E"/>
    <w:rsid w:val="00E15ED5"/>
    <w:rsid w:val="00E16786"/>
    <w:rsid w:val="00E16BC8"/>
    <w:rsid w:val="00E21455"/>
    <w:rsid w:val="00E22283"/>
    <w:rsid w:val="00E229D9"/>
    <w:rsid w:val="00E24B28"/>
    <w:rsid w:val="00E2537F"/>
    <w:rsid w:val="00E26370"/>
    <w:rsid w:val="00E27D1D"/>
    <w:rsid w:val="00E31DD8"/>
    <w:rsid w:val="00E3365D"/>
    <w:rsid w:val="00E33A0F"/>
    <w:rsid w:val="00E34C2C"/>
    <w:rsid w:val="00E435E9"/>
    <w:rsid w:val="00E44043"/>
    <w:rsid w:val="00E450E8"/>
    <w:rsid w:val="00E464A5"/>
    <w:rsid w:val="00E50E63"/>
    <w:rsid w:val="00E512C5"/>
    <w:rsid w:val="00E52596"/>
    <w:rsid w:val="00E61FE5"/>
    <w:rsid w:val="00E62737"/>
    <w:rsid w:val="00E62D5E"/>
    <w:rsid w:val="00E632A6"/>
    <w:rsid w:val="00E64321"/>
    <w:rsid w:val="00E64609"/>
    <w:rsid w:val="00E674E4"/>
    <w:rsid w:val="00E67F1B"/>
    <w:rsid w:val="00E7142E"/>
    <w:rsid w:val="00E71630"/>
    <w:rsid w:val="00E71A6D"/>
    <w:rsid w:val="00E71BF9"/>
    <w:rsid w:val="00E85D8B"/>
    <w:rsid w:val="00E867EF"/>
    <w:rsid w:val="00E90F61"/>
    <w:rsid w:val="00EA1B73"/>
    <w:rsid w:val="00EA5073"/>
    <w:rsid w:val="00EA515C"/>
    <w:rsid w:val="00EA59D8"/>
    <w:rsid w:val="00EC0A13"/>
    <w:rsid w:val="00EC26A9"/>
    <w:rsid w:val="00EC450F"/>
    <w:rsid w:val="00EC7E8F"/>
    <w:rsid w:val="00ECD3FA"/>
    <w:rsid w:val="00ED0B99"/>
    <w:rsid w:val="00ED12BF"/>
    <w:rsid w:val="00ED2A48"/>
    <w:rsid w:val="00ED521D"/>
    <w:rsid w:val="00EE03D1"/>
    <w:rsid w:val="00EE04EC"/>
    <w:rsid w:val="00EE0B26"/>
    <w:rsid w:val="00EE2336"/>
    <w:rsid w:val="00EE44E0"/>
    <w:rsid w:val="00EE53D8"/>
    <w:rsid w:val="00EF311F"/>
    <w:rsid w:val="00EF3B79"/>
    <w:rsid w:val="00EF451B"/>
    <w:rsid w:val="00EF49B2"/>
    <w:rsid w:val="00EF50C6"/>
    <w:rsid w:val="00F005F5"/>
    <w:rsid w:val="00F0183D"/>
    <w:rsid w:val="00F03BC4"/>
    <w:rsid w:val="00F07040"/>
    <w:rsid w:val="00F071E8"/>
    <w:rsid w:val="00F11B15"/>
    <w:rsid w:val="00F14A56"/>
    <w:rsid w:val="00F152DF"/>
    <w:rsid w:val="00F167B0"/>
    <w:rsid w:val="00F227F1"/>
    <w:rsid w:val="00F23F6E"/>
    <w:rsid w:val="00F2471E"/>
    <w:rsid w:val="00F273DE"/>
    <w:rsid w:val="00F30068"/>
    <w:rsid w:val="00F32407"/>
    <w:rsid w:val="00F35B1E"/>
    <w:rsid w:val="00F401E6"/>
    <w:rsid w:val="00F40289"/>
    <w:rsid w:val="00F4054A"/>
    <w:rsid w:val="00F420E0"/>
    <w:rsid w:val="00F44C51"/>
    <w:rsid w:val="00F45F5A"/>
    <w:rsid w:val="00F47DB4"/>
    <w:rsid w:val="00F51D3F"/>
    <w:rsid w:val="00F523F3"/>
    <w:rsid w:val="00F55608"/>
    <w:rsid w:val="00F56D99"/>
    <w:rsid w:val="00F57A39"/>
    <w:rsid w:val="00F60FAE"/>
    <w:rsid w:val="00F611BD"/>
    <w:rsid w:val="00F62007"/>
    <w:rsid w:val="00F63E96"/>
    <w:rsid w:val="00F66A6F"/>
    <w:rsid w:val="00F73EDA"/>
    <w:rsid w:val="00F75653"/>
    <w:rsid w:val="00F7642E"/>
    <w:rsid w:val="00F81548"/>
    <w:rsid w:val="00F82ABC"/>
    <w:rsid w:val="00F84664"/>
    <w:rsid w:val="00F871F5"/>
    <w:rsid w:val="00F87355"/>
    <w:rsid w:val="00F92665"/>
    <w:rsid w:val="00F9299E"/>
    <w:rsid w:val="00F9411C"/>
    <w:rsid w:val="00F97DC1"/>
    <w:rsid w:val="00FA1A55"/>
    <w:rsid w:val="00FA1D22"/>
    <w:rsid w:val="00FA4C3B"/>
    <w:rsid w:val="00FA7A0D"/>
    <w:rsid w:val="00FB1EA9"/>
    <w:rsid w:val="00FB5F0E"/>
    <w:rsid w:val="00FC1A88"/>
    <w:rsid w:val="00FC242D"/>
    <w:rsid w:val="00FC2C68"/>
    <w:rsid w:val="00FC3C6D"/>
    <w:rsid w:val="00FC3C90"/>
    <w:rsid w:val="00FC5A91"/>
    <w:rsid w:val="00FC75B6"/>
    <w:rsid w:val="00FD0580"/>
    <w:rsid w:val="00FD1123"/>
    <w:rsid w:val="00FD271C"/>
    <w:rsid w:val="00FD33F2"/>
    <w:rsid w:val="00FE3308"/>
    <w:rsid w:val="00FE6382"/>
    <w:rsid w:val="00FE6B2A"/>
    <w:rsid w:val="00FF04FF"/>
    <w:rsid w:val="00FF199D"/>
    <w:rsid w:val="00FF1FAE"/>
    <w:rsid w:val="00FF3A6B"/>
    <w:rsid w:val="00FF760A"/>
    <w:rsid w:val="01302DAE"/>
    <w:rsid w:val="013266B3"/>
    <w:rsid w:val="015A0D1D"/>
    <w:rsid w:val="017FB56D"/>
    <w:rsid w:val="01944AC0"/>
    <w:rsid w:val="01AD79AD"/>
    <w:rsid w:val="01C2D2E9"/>
    <w:rsid w:val="01F5B2CC"/>
    <w:rsid w:val="01FD13C1"/>
    <w:rsid w:val="0203376F"/>
    <w:rsid w:val="0213838B"/>
    <w:rsid w:val="0240AF8B"/>
    <w:rsid w:val="024B27A2"/>
    <w:rsid w:val="024B95C0"/>
    <w:rsid w:val="02504580"/>
    <w:rsid w:val="0278D953"/>
    <w:rsid w:val="02822830"/>
    <w:rsid w:val="0296BDA7"/>
    <w:rsid w:val="02B2BB8A"/>
    <w:rsid w:val="02BC88B7"/>
    <w:rsid w:val="02C63488"/>
    <w:rsid w:val="02CE3D83"/>
    <w:rsid w:val="02F9E7E9"/>
    <w:rsid w:val="030106CA"/>
    <w:rsid w:val="0301845C"/>
    <w:rsid w:val="031FE4C6"/>
    <w:rsid w:val="0364BF4B"/>
    <w:rsid w:val="03815A94"/>
    <w:rsid w:val="03978132"/>
    <w:rsid w:val="03BDF982"/>
    <w:rsid w:val="03F57526"/>
    <w:rsid w:val="040BC680"/>
    <w:rsid w:val="042EDA75"/>
    <w:rsid w:val="042F0936"/>
    <w:rsid w:val="04397306"/>
    <w:rsid w:val="04448A75"/>
    <w:rsid w:val="044A69F5"/>
    <w:rsid w:val="049D11E7"/>
    <w:rsid w:val="04B9EBC0"/>
    <w:rsid w:val="04D6B821"/>
    <w:rsid w:val="04DD00C0"/>
    <w:rsid w:val="04E052B8"/>
    <w:rsid w:val="050105B1"/>
    <w:rsid w:val="050A4711"/>
    <w:rsid w:val="050A8DBA"/>
    <w:rsid w:val="051D411D"/>
    <w:rsid w:val="05415766"/>
    <w:rsid w:val="056219F4"/>
    <w:rsid w:val="05668330"/>
    <w:rsid w:val="056B8708"/>
    <w:rsid w:val="056CEE3A"/>
    <w:rsid w:val="05778528"/>
    <w:rsid w:val="059AA927"/>
    <w:rsid w:val="05AEFE37"/>
    <w:rsid w:val="05BA3128"/>
    <w:rsid w:val="0601FB72"/>
    <w:rsid w:val="0647B457"/>
    <w:rsid w:val="0669B484"/>
    <w:rsid w:val="0684FDE7"/>
    <w:rsid w:val="06AD4C0B"/>
    <w:rsid w:val="06B7223B"/>
    <w:rsid w:val="06C5BF81"/>
    <w:rsid w:val="06D92C5E"/>
    <w:rsid w:val="0720930E"/>
    <w:rsid w:val="072446C4"/>
    <w:rsid w:val="07856749"/>
    <w:rsid w:val="07B10F30"/>
    <w:rsid w:val="07E9AB48"/>
    <w:rsid w:val="080BA438"/>
    <w:rsid w:val="0814F852"/>
    <w:rsid w:val="0848894D"/>
    <w:rsid w:val="0851A79E"/>
    <w:rsid w:val="0855A5FF"/>
    <w:rsid w:val="085B6A08"/>
    <w:rsid w:val="08905D49"/>
    <w:rsid w:val="08915BB5"/>
    <w:rsid w:val="08AA5070"/>
    <w:rsid w:val="08B471E1"/>
    <w:rsid w:val="08C9B52C"/>
    <w:rsid w:val="08F6A70E"/>
    <w:rsid w:val="08FBA0FC"/>
    <w:rsid w:val="08FD10F5"/>
    <w:rsid w:val="09026EF5"/>
    <w:rsid w:val="0925A1B4"/>
    <w:rsid w:val="0933039B"/>
    <w:rsid w:val="098500E8"/>
    <w:rsid w:val="09974E84"/>
    <w:rsid w:val="09E4FF88"/>
    <w:rsid w:val="0A043915"/>
    <w:rsid w:val="0A0BADE8"/>
    <w:rsid w:val="0A1DA848"/>
    <w:rsid w:val="0A268AAE"/>
    <w:rsid w:val="0A2D9A64"/>
    <w:rsid w:val="0A38256A"/>
    <w:rsid w:val="0A51499F"/>
    <w:rsid w:val="0A5239BF"/>
    <w:rsid w:val="0A8CA200"/>
    <w:rsid w:val="0A96E150"/>
    <w:rsid w:val="0AAE969D"/>
    <w:rsid w:val="0B0C77BF"/>
    <w:rsid w:val="0B1FA1D9"/>
    <w:rsid w:val="0B26469E"/>
    <w:rsid w:val="0B369155"/>
    <w:rsid w:val="0B4A9592"/>
    <w:rsid w:val="0B4B178D"/>
    <w:rsid w:val="0B58488C"/>
    <w:rsid w:val="0B8283FE"/>
    <w:rsid w:val="0BCF467A"/>
    <w:rsid w:val="0BFFE304"/>
    <w:rsid w:val="0C0F1472"/>
    <w:rsid w:val="0C1276DF"/>
    <w:rsid w:val="0C2471FE"/>
    <w:rsid w:val="0C4F758A"/>
    <w:rsid w:val="0CD908ED"/>
    <w:rsid w:val="0CD90995"/>
    <w:rsid w:val="0CF251C2"/>
    <w:rsid w:val="0D106B32"/>
    <w:rsid w:val="0D114D40"/>
    <w:rsid w:val="0D1607E0"/>
    <w:rsid w:val="0D2FD597"/>
    <w:rsid w:val="0D3DD3AC"/>
    <w:rsid w:val="0D47120C"/>
    <w:rsid w:val="0D6336BD"/>
    <w:rsid w:val="0D6AA72C"/>
    <w:rsid w:val="0D6E658A"/>
    <w:rsid w:val="0D9DE425"/>
    <w:rsid w:val="0DA88630"/>
    <w:rsid w:val="0DC8F5A9"/>
    <w:rsid w:val="0DD5C298"/>
    <w:rsid w:val="0E0E5461"/>
    <w:rsid w:val="0E1EDA08"/>
    <w:rsid w:val="0E2CE978"/>
    <w:rsid w:val="0E5F8512"/>
    <w:rsid w:val="0E8B3DAA"/>
    <w:rsid w:val="0EC2415C"/>
    <w:rsid w:val="0EF10F8D"/>
    <w:rsid w:val="0EF29ABF"/>
    <w:rsid w:val="0EF9D547"/>
    <w:rsid w:val="0F15E940"/>
    <w:rsid w:val="0F1B3BAD"/>
    <w:rsid w:val="0F201BF4"/>
    <w:rsid w:val="0F41BF84"/>
    <w:rsid w:val="0F55DF16"/>
    <w:rsid w:val="0F7D214B"/>
    <w:rsid w:val="0FE04E91"/>
    <w:rsid w:val="0FE2B063"/>
    <w:rsid w:val="10261700"/>
    <w:rsid w:val="104384FF"/>
    <w:rsid w:val="104B2532"/>
    <w:rsid w:val="105BA983"/>
    <w:rsid w:val="106268D0"/>
    <w:rsid w:val="1062D631"/>
    <w:rsid w:val="107A4BCD"/>
    <w:rsid w:val="107E0145"/>
    <w:rsid w:val="1080307F"/>
    <w:rsid w:val="10988EA4"/>
    <w:rsid w:val="109F12CB"/>
    <w:rsid w:val="10B0A2D2"/>
    <w:rsid w:val="10B81CC2"/>
    <w:rsid w:val="10CB5139"/>
    <w:rsid w:val="113D5050"/>
    <w:rsid w:val="116CB48B"/>
    <w:rsid w:val="118FBB11"/>
    <w:rsid w:val="11B0919C"/>
    <w:rsid w:val="11B2FC5D"/>
    <w:rsid w:val="11C5DC90"/>
    <w:rsid w:val="11FA0209"/>
    <w:rsid w:val="12002B9C"/>
    <w:rsid w:val="122CA485"/>
    <w:rsid w:val="123CC156"/>
    <w:rsid w:val="12595543"/>
    <w:rsid w:val="12627F06"/>
    <w:rsid w:val="1265714A"/>
    <w:rsid w:val="12696A3C"/>
    <w:rsid w:val="1278BFB9"/>
    <w:rsid w:val="129B6BB8"/>
    <w:rsid w:val="12BF6C91"/>
    <w:rsid w:val="130D4679"/>
    <w:rsid w:val="1338FD93"/>
    <w:rsid w:val="1358371B"/>
    <w:rsid w:val="1397ACAB"/>
    <w:rsid w:val="13B7631D"/>
    <w:rsid w:val="13D17D28"/>
    <w:rsid w:val="13E2BDF5"/>
    <w:rsid w:val="1417BD12"/>
    <w:rsid w:val="14416EF5"/>
    <w:rsid w:val="1457E02E"/>
    <w:rsid w:val="146A745B"/>
    <w:rsid w:val="14CF931E"/>
    <w:rsid w:val="14D801FB"/>
    <w:rsid w:val="14DB5300"/>
    <w:rsid w:val="14DBBAC2"/>
    <w:rsid w:val="14FFCDED"/>
    <w:rsid w:val="1522DB21"/>
    <w:rsid w:val="15240657"/>
    <w:rsid w:val="15316985"/>
    <w:rsid w:val="153E2FA4"/>
    <w:rsid w:val="156E9C47"/>
    <w:rsid w:val="156F65FC"/>
    <w:rsid w:val="15793143"/>
    <w:rsid w:val="159BA272"/>
    <w:rsid w:val="15B0B072"/>
    <w:rsid w:val="15B206CB"/>
    <w:rsid w:val="15BCE436"/>
    <w:rsid w:val="15C048D9"/>
    <w:rsid w:val="15CF2DE5"/>
    <w:rsid w:val="15CF36D8"/>
    <w:rsid w:val="15D4787A"/>
    <w:rsid w:val="1601B95F"/>
    <w:rsid w:val="1603EBF1"/>
    <w:rsid w:val="162BFCC7"/>
    <w:rsid w:val="163056FB"/>
    <w:rsid w:val="163730E0"/>
    <w:rsid w:val="166C64FF"/>
    <w:rsid w:val="167A1D72"/>
    <w:rsid w:val="16A72971"/>
    <w:rsid w:val="16A8C526"/>
    <w:rsid w:val="16C96151"/>
    <w:rsid w:val="16CB5171"/>
    <w:rsid w:val="16D9959B"/>
    <w:rsid w:val="16FECCC5"/>
    <w:rsid w:val="170F15B3"/>
    <w:rsid w:val="1713B8A2"/>
    <w:rsid w:val="172109BA"/>
    <w:rsid w:val="173C9690"/>
    <w:rsid w:val="17486494"/>
    <w:rsid w:val="175F7920"/>
    <w:rsid w:val="17689D54"/>
    <w:rsid w:val="17983953"/>
    <w:rsid w:val="17C12A00"/>
    <w:rsid w:val="17E7BF57"/>
    <w:rsid w:val="17F0A6B4"/>
    <w:rsid w:val="18010F75"/>
    <w:rsid w:val="1801D744"/>
    <w:rsid w:val="1807D03D"/>
    <w:rsid w:val="1813AF75"/>
    <w:rsid w:val="1839F712"/>
    <w:rsid w:val="184C6F6C"/>
    <w:rsid w:val="18610174"/>
    <w:rsid w:val="186D9509"/>
    <w:rsid w:val="186ED4AE"/>
    <w:rsid w:val="18700FE5"/>
    <w:rsid w:val="1897BF21"/>
    <w:rsid w:val="18ADE914"/>
    <w:rsid w:val="18B159F3"/>
    <w:rsid w:val="18CAA04A"/>
    <w:rsid w:val="18D9B435"/>
    <w:rsid w:val="190CC7B9"/>
    <w:rsid w:val="190D720B"/>
    <w:rsid w:val="191F4EB9"/>
    <w:rsid w:val="19346571"/>
    <w:rsid w:val="1943169D"/>
    <w:rsid w:val="19549A38"/>
    <w:rsid w:val="19595331"/>
    <w:rsid w:val="19CD4012"/>
    <w:rsid w:val="19DF26D5"/>
    <w:rsid w:val="19E23F3D"/>
    <w:rsid w:val="1A4FD953"/>
    <w:rsid w:val="1A6EA866"/>
    <w:rsid w:val="1A8FA628"/>
    <w:rsid w:val="1AA152F6"/>
    <w:rsid w:val="1ABD7BE1"/>
    <w:rsid w:val="1AC2F787"/>
    <w:rsid w:val="1AC69708"/>
    <w:rsid w:val="1ACBFC5E"/>
    <w:rsid w:val="1AD5C08E"/>
    <w:rsid w:val="1AE02588"/>
    <w:rsid w:val="1AE12470"/>
    <w:rsid w:val="1AEB1827"/>
    <w:rsid w:val="1AEF3E79"/>
    <w:rsid w:val="1AF8A1A4"/>
    <w:rsid w:val="1AFEE253"/>
    <w:rsid w:val="1B2E323C"/>
    <w:rsid w:val="1B37F94B"/>
    <w:rsid w:val="1B729929"/>
    <w:rsid w:val="1B82C69E"/>
    <w:rsid w:val="1B9491D9"/>
    <w:rsid w:val="1B986D6A"/>
    <w:rsid w:val="1BCFFF40"/>
    <w:rsid w:val="1C05D22A"/>
    <w:rsid w:val="1C121C66"/>
    <w:rsid w:val="1C1A36B8"/>
    <w:rsid w:val="1C278FB4"/>
    <w:rsid w:val="1C522944"/>
    <w:rsid w:val="1C5425CF"/>
    <w:rsid w:val="1CAED9AA"/>
    <w:rsid w:val="1CBDE2EC"/>
    <w:rsid w:val="1CCBFF57"/>
    <w:rsid w:val="1CCF52EF"/>
    <w:rsid w:val="1CE64B8C"/>
    <w:rsid w:val="1CF840F6"/>
    <w:rsid w:val="1CFB4BB6"/>
    <w:rsid w:val="1D5DB856"/>
    <w:rsid w:val="1D68D9AE"/>
    <w:rsid w:val="1DB8ACB9"/>
    <w:rsid w:val="1DDCD513"/>
    <w:rsid w:val="1DDD34EF"/>
    <w:rsid w:val="1DE9EA50"/>
    <w:rsid w:val="1DF8878A"/>
    <w:rsid w:val="1E01743D"/>
    <w:rsid w:val="1E06E2EC"/>
    <w:rsid w:val="1E0CAF0E"/>
    <w:rsid w:val="1E1B3F7C"/>
    <w:rsid w:val="1E1F5473"/>
    <w:rsid w:val="1E3357AD"/>
    <w:rsid w:val="1E52CB90"/>
    <w:rsid w:val="1E749A01"/>
    <w:rsid w:val="1E97BC81"/>
    <w:rsid w:val="1EB389AD"/>
    <w:rsid w:val="1EB4832D"/>
    <w:rsid w:val="1EEEF676"/>
    <w:rsid w:val="1EFD51D8"/>
    <w:rsid w:val="1F06D91F"/>
    <w:rsid w:val="1F25460A"/>
    <w:rsid w:val="1F4DBDCF"/>
    <w:rsid w:val="1F5994C7"/>
    <w:rsid w:val="1F5D5869"/>
    <w:rsid w:val="1F7E07F4"/>
    <w:rsid w:val="1F9BBE4A"/>
    <w:rsid w:val="1FA869E7"/>
    <w:rsid w:val="1FBFF762"/>
    <w:rsid w:val="1FF5B5CA"/>
    <w:rsid w:val="20196732"/>
    <w:rsid w:val="202EA437"/>
    <w:rsid w:val="2048DE1F"/>
    <w:rsid w:val="206384C0"/>
    <w:rsid w:val="206AD4B4"/>
    <w:rsid w:val="206E158C"/>
    <w:rsid w:val="208127AE"/>
    <w:rsid w:val="20A57C7D"/>
    <w:rsid w:val="20C3CE21"/>
    <w:rsid w:val="20D8C68C"/>
    <w:rsid w:val="213B45D1"/>
    <w:rsid w:val="216120ED"/>
    <w:rsid w:val="2167F954"/>
    <w:rsid w:val="216AAC5F"/>
    <w:rsid w:val="219757FE"/>
    <w:rsid w:val="21CBBF06"/>
    <w:rsid w:val="21DC91D5"/>
    <w:rsid w:val="221A52F4"/>
    <w:rsid w:val="2241128F"/>
    <w:rsid w:val="225551EC"/>
    <w:rsid w:val="227CDFAA"/>
    <w:rsid w:val="228168A3"/>
    <w:rsid w:val="228900A4"/>
    <w:rsid w:val="22AEEC63"/>
    <w:rsid w:val="22E02172"/>
    <w:rsid w:val="22E75BA0"/>
    <w:rsid w:val="22F6FE75"/>
    <w:rsid w:val="2319A371"/>
    <w:rsid w:val="2348E14A"/>
    <w:rsid w:val="2349E30D"/>
    <w:rsid w:val="23558FCE"/>
    <w:rsid w:val="239BB432"/>
    <w:rsid w:val="23A2C142"/>
    <w:rsid w:val="23CCBB41"/>
    <w:rsid w:val="23CE3408"/>
    <w:rsid w:val="23E6CF12"/>
    <w:rsid w:val="23ED3638"/>
    <w:rsid w:val="23F58447"/>
    <w:rsid w:val="23FBB3E2"/>
    <w:rsid w:val="23FDF196"/>
    <w:rsid w:val="2415D5C2"/>
    <w:rsid w:val="2446D954"/>
    <w:rsid w:val="2458DC1F"/>
    <w:rsid w:val="2459B8E9"/>
    <w:rsid w:val="2466D298"/>
    <w:rsid w:val="249BF7BB"/>
    <w:rsid w:val="249DAE01"/>
    <w:rsid w:val="24C94791"/>
    <w:rsid w:val="24CC992B"/>
    <w:rsid w:val="24DD136B"/>
    <w:rsid w:val="24E41B3D"/>
    <w:rsid w:val="251E4A90"/>
    <w:rsid w:val="25482E71"/>
    <w:rsid w:val="255FB40F"/>
    <w:rsid w:val="2572E3E7"/>
    <w:rsid w:val="257BCD84"/>
    <w:rsid w:val="2589BDF7"/>
    <w:rsid w:val="25A98FC3"/>
    <w:rsid w:val="25B1B8B2"/>
    <w:rsid w:val="25B879A5"/>
    <w:rsid w:val="25E506B8"/>
    <w:rsid w:val="25ED569A"/>
    <w:rsid w:val="263968FF"/>
    <w:rsid w:val="2679FF34"/>
    <w:rsid w:val="268776BB"/>
    <w:rsid w:val="26A5B8DF"/>
    <w:rsid w:val="26C43E5D"/>
    <w:rsid w:val="26D425FF"/>
    <w:rsid w:val="26E086D7"/>
    <w:rsid w:val="26E8DEF3"/>
    <w:rsid w:val="270094B1"/>
    <w:rsid w:val="27064031"/>
    <w:rsid w:val="272D6F90"/>
    <w:rsid w:val="2776ACF9"/>
    <w:rsid w:val="2783E595"/>
    <w:rsid w:val="27A40160"/>
    <w:rsid w:val="2814835C"/>
    <w:rsid w:val="28153380"/>
    <w:rsid w:val="281676A6"/>
    <w:rsid w:val="281DF613"/>
    <w:rsid w:val="28292461"/>
    <w:rsid w:val="283A7227"/>
    <w:rsid w:val="287F5321"/>
    <w:rsid w:val="28889B03"/>
    <w:rsid w:val="288D5E88"/>
    <w:rsid w:val="28B24842"/>
    <w:rsid w:val="28C0BFA9"/>
    <w:rsid w:val="28C21EC3"/>
    <w:rsid w:val="28CBCAD1"/>
    <w:rsid w:val="28D68B2C"/>
    <w:rsid w:val="28DF59D3"/>
    <w:rsid w:val="28EF9961"/>
    <w:rsid w:val="290EE370"/>
    <w:rsid w:val="2911CA2B"/>
    <w:rsid w:val="29217F4A"/>
    <w:rsid w:val="293082D6"/>
    <w:rsid w:val="2938B775"/>
    <w:rsid w:val="2949B94A"/>
    <w:rsid w:val="299BBF2E"/>
    <w:rsid w:val="29ABC374"/>
    <w:rsid w:val="29B14DBA"/>
    <w:rsid w:val="29E5E964"/>
    <w:rsid w:val="29EF0090"/>
    <w:rsid w:val="29F1A915"/>
    <w:rsid w:val="2A352899"/>
    <w:rsid w:val="2A79EE13"/>
    <w:rsid w:val="2B16CFF9"/>
    <w:rsid w:val="2B29FCFB"/>
    <w:rsid w:val="2B314CA5"/>
    <w:rsid w:val="2B35B296"/>
    <w:rsid w:val="2B3A8874"/>
    <w:rsid w:val="2B5080EB"/>
    <w:rsid w:val="2B7F0664"/>
    <w:rsid w:val="2BA6C945"/>
    <w:rsid w:val="2BAE0DEB"/>
    <w:rsid w:val="2BB24CF4"/>
    <w:rsid w:val="2BEED843"/>
    <w:rsid w:val="2BF16C43"/>
    <w:rsid w:val="2BFC92BA"/>
    <w:rsid w:val="2C0D6DF9"/>
    <w:rsid w:val="2C859132"/>
    <w:rsid w:val="2CB1F72A"/>
    <w:rsid w:val="2CB6CF5E"/>
    <w:rsid w:val="2CC9368C"/>
    <w:rsid w:val="2CCFD88E"/>
    <w:rsid w:val="2CF65CC7"/>
    <w:rsid w:val="2CF90F81"/>
    <w:rsid w:val="2CFB4023"/>
    <w:rsid w:val="2D0F56D6"/>
    <w:rsid w:val="2D1B4896"/>
    <w:rsid w:val="2D3F9F84"/>
    <w:rsid w:val="2D559112"/>
    <w:rsid w:val="2D79211C"/>
    <w:rsid w:val="2D871599"/>
    <w:rsid w:val="2DAB5249"/>
    <w:rsid w:val="2DB6F2B3"/>
    <w:rsid w:val="2DC93A2D"/>
    <w:rsid w:val="2DD0F910"/>
    <w:rsid w:val="2DE91BF0"/>
    <w:rsid w:val="2DE9EC0A"/>
    <w:rsid w:val="2E1366CA"/>
    <w:rsid w:val="2E171DFE"/>
    <w:rsid w:val="2E1B1E58"/>
    <w:rsid w:val="2E1DCE27"/>
    <w:rsid w:val="2E240E26"/>
    <w:rsid w:val="2E2962A9"/>
    <w:rsid w:val="2E4494D4"/>
    <w:rsid w:val="2E473D5C"/>
    <w:rsid w:val="2E782981"/>
    <w:rsid w:val="2E864422"/>
    <w:rsid w:val="2E8F2EB0"/>
    <w:rsid w:val="2EA7B36C"/>
    <w:rsid w:val="2EBEEE00"/>
    <w:rsid w:val="2EE5AB86"/>
    <w:rsid w:val="2EED37D1"/>
    <w:rsid w:val="2EEFC150"/>
    <w:rsid w:val="2EEFFBD4"/>
    <w:rsid w:val="2F13BA04"/>
    <w:rsid w:val="2F1CDE1A"/>
    <w:rsid w:val="2F1D6247"/>
    <w:rsid w:val="2F3073E3"/>
    <w:rsid w:val="2F39B24C"/>
    <w:rsid w:val="2F5380E6"/>
    <w:rsid w:val="2F8237BF"/>
    <w:rsid w:val="2FF2561E"/>
    <w:rsid w:val="2FF4EAC5"/>
    <w:rsid w:val="301C2F49"/>
    <w:rsid w:val="3029D197"/>
    <w:rsid w:val="303E047C"/>
    <w:rsid w:val="303EEBD1"/>
    <w:rsid w:val="304502E3"/>
    <w:rsid w:val="3052384F"/>
    <w:rsid w:val="305D3FCB"/>
    <w:rsid w:val="306DB299"/>
    <w:rsid w:val="30732973"/>
    <w:rsid w:val="307FC0A4"/>
    <w:rsid w:val="30A05673"/>
    <w:rsid w:val="30BE0263"/>
    <w:rsid w:val="30F1BE1E"/>
    <w:rsid w:val="3101C1E0"/>
    <w:rsid w:val="312F19DC"/>
    <w:rsid w:val="3167EB95"/>
    <w:rsid w:val="3188CDA3"/>
    <w:rsid w:val="31D43CE0"/>
    <w:rsid w:val="31D49F08"/>
    <w:rsid w:val="31ECF5A8"/>
    <w:rsid w:val="32035F6D"/>
    <w:rsid w:val="3204E9D8"/>
    <w:rsid w:val="320B6E42"/>
    <w:rsid w:val="3210DB0D"/>
    <w:rsid w:val="32174965"/>
    <w:rsid w:val="324E198B"/>
    <w:rsid w:val="326330CA"/>
    <w:rsid w:val="327B5802"/>
    <w:rsid w:val="328A7933"/>
    <w:rsid w:val="3290AFEF"/>
    <w:rsid w:val="32AAC27B"/>
    <w:rsid w:val="32B8827F"/>
    <w:rsid w:val="32CEFA61"/>
    <w:rsid w:val="32DF4B2C"/>
    <w:rsid w:val="33094635"/>
    <w:rsid w:val="331F959B"/>
    <w:rsid w:val="3325569E"/>
    <w:rsid w:val="33275C0C"/>
    <w:rsid w:val="3343593F"/>
    <w:rsid w:val="334CB77D"/>
    <w:rsid w:val="3352792D"/>
    <w:rsid w:val="335FFF93"/>
    <w:rsid w:val="3375D4AB"/>
    <w:rsid w:val="339BA489"/>
    <w:rsid w:val="339D26E3"/>
    <w:rsid w:val="339DECED"/>
    <w:rsid w:val="339F2DA2"/>
    <w:rsid w:val="33ABF3E0"/>
    <w:rsid w:val="33B12283"/>
    <w:rsid w:val="33C8C747"/>
    <w:rsid w:val="33CBDFA0"/>
    <w:rsid w:val="33D83D9B"/>
    <w:rsid w:val="33F46CA6"/>
    <w:rsid w:val="34400E51"/>
    <w:rsid w:val="34D67D10"/>
    <w:rsid w:val="34E9496E"/>
    <w:rsid w:val="35064179"/>
    <w:rsid w:val="35067062"/>
    <w:rsid w:val="35178191"/>
    <w:rsid w:val="353F5F9E"/>
    <w:rsid w:val="353F9E92"/>
    <w:rsid w:val="3557721D"/>
    <w:rsid w:val="359CEB1B"/>
    <w:rsid w:val="359D9BA8"/>
    <w:rsid w:val="35A79202"/>
    <w:rsid w:val="35F88AC8"/>
    <w:rsid w:val="361979C5"/>
    <w:rsid w:val="361A2726"/>
    <w:rsid w:val="361B58B1"/>
    <w:rsid w:val="36550F73"/>
    <w:rsid w:val="365E6FB6"/>
    <w:rsid w:val="367EE65A"/>
    <w:rsid w:val="369577BC"/>
    <w:rsid w:val="369BF977"/>
    <w:rsid w:val="36D6A52F"/>
    <w:rsid w:val="36EE82D5"/>
    <w:rsid w:val="36F03E6D"/>
    <w:rsid w:val="3700B9BB"/>
    <w:rsid w:val="372FC9AC"/>
    <w:rsid w:val="373130AA"/>
    <w:rsid w:val="373FEF2D"/>
    <w:rsid w:val="374CF28C"/>
    <w:rsid w:val="3754222E"/>
    <w:rsid w:val="3768FFA2"/>
    <w:rsid w:val="3792E5DB"/>
    <w:rsid w:val="37C225BC"/>
    <w:rsid w:val="37D31239"/>
    <w:rsid w:val="37F5C7C7"/>
    <w:rsid w:val="380B5D93"/>
    <w:rsid w:val="380C83ED"/>
    <w:rsid w:val="3826F773"/>
    <w:rsid w:val="3843BDE6"/>
    <w:rsid w:val="384DF71C"/>
    <w:rsid w:val="384E2B9F"/>
    <w:rsid w:val="386856F2"/>
    <w:rsid w:val="388F2F97"/>
    <w:rsid w:val="38AA0A99"/>
    <w:rsid w:val="38DB9281"/>
    <w:rsid w:val="39141B67"/>
    <w:rsid w:val="395AE0E6"/>
    <w:rsid w:val="395FCC21"/>
    <w:rsid w:val="39669029"/>
    <w:rsid w:val="398EB84B"/>
    <w:rsid w:val="39950A9D"/>
    <w:rsid w:val="3997EFB1"/>
    <w:rsid w:val="39C3B39A"/>
    <w:rsid w:val="39D2B59E"/>
    <w:rsid w:val="39DC3331"/>
    <w:rsid w:val="39DF0552"/>
    <w:rsid w:val="3A0DC0DE"/>
    <w:rsid w:val="3A1AB513"/>
    <w:rsid w:val="3A22898C"/>
    <w:rsid w:val="3A2C685E"/>
    <w:rsid w:val="3A2F511E"/>
    <w:rsid w:val="3A38D341"/>
    <w:rsid w:val="3A4D3222"/>
    <w:rsid w:val="3A54FF5D"/>
    <w:rsid w:val="3A69858C"/>
    <w:rsid w:val="3A725D1C"/>
    <w:rsid w:val="3A749E9F"/>
    <w:rsid w:val="3A7DD74F"/>
    <w:rsid w:val="3A8AB3D4"/>
    <w:rsid w:val="3A8F35F4"/>
    <w:rsid w:val="3AD348DD"/>
    <w:rsid w:val="3AFF2D4F"/>
    <w:rsid w:val="3B0D8F19"/>
    <w:rsid w:val="3B206D4C"/>
    <w:rsid w:val="3B273C71"/>
    <w:rsid w:val="3B2D6606"/>
    <w:rsid w:val="3B365EF2"/>
    <w:rsid w:val="3B36A7CB"/>
    <w:rsid w:val="3B3C1F81"/>
    <w:rsid w:val="3B536515"/>
    <w:rsid w:val="3B6A0E73"/>
    <w:rsid w:val="3B8822ED"/>
    <w:rsid w:val="3BF6318D"/>
    <w:rsid w:val="3C0EAC3F"/>
    <w:rsid w:val="3C16E2AD"/>
    <w:rsid w:val="3C2BDA81"/>
    <w:rsid w:val="3C2D291A"/>
    <w:rsid w:val="3C67F42F"/>
    <w:rsid w:val="3C693329"/>
    <w:rsid w:val="3C73D5E2"/>
    <w:rsid w:val="3C893097"/>
    <w:rsid w:val="3CA4532D"/>
    <w:rsid w:val="3CCD9EA4"/>
    <w:rsid w:val="3CFD6103"/>
    <w:rsid w:val="3D13C3CF"/>
    <w:rsid w:val="3D50AE3E"/>
    <w:rsid w:val="3D55776E"/>
    <w:rsid w:val="3D585E20"/>
    <w:rsid w:val="3D59E6EE"/>
    <w:rsid w:val="3D7A4861"/>
    <w:rsid w:val="3D7EB0AE"/>
    <w:rsid w:val="3D80D561"/>
    <w:rsid w:val="3D91815C"/>
    <w:rsid w:val="3DBE11DE"/>
    <w:rsid w:val="3DD03719"/>
    <w:rsid w:val="3DE547BF"/>
    <w:rsid w:val="3DE8A536"/>
    <w:rsid w:val="3DEF60B7"/>
    <w:rsid w:val="3DF44D3A"/>
    <w:rsid w:val="3E3EDB48"/>
    <w:rsid w:val="3E46453F"/>
    <w:rsid w:val="3E53D905"/>
    <w:rsid w:val="3E6075E2"/>
    <w:rsid w:val="3E8F321B"/>
    <w:rsid w:val="3EAFB731"/>
    <w:rsid w:val="3EC098B9"/>
    <w:rsid w:val="3EC6936A"/>
    <w:rsid w:val="3ECB6E4E"/>
    <w:rsid w:val="3ED0D368"/>
    <w:rsid w:val="3ED2D58F"/>
    <w:rsid w:val="3EE47AC4"/>
    <w:rsid w:val="3EEEBF8A"/>
    <w:rsid w:val="3F22C2DD"/>
    <w:rsid w:val="3F2BA25E"/>
    <w:rsid w:val="3F3D371B"/>
    <w:rsid w:val="3F542D6C"/>
    <w:rsid w:val="3F57E2E5"/>
    <w:rsid w:val="3F6535C7"/>
    <w:rsid w:val="3F82A343"/>
    <w:rsid w:val="3F8E198D"/>
    <w:rsid w:val="3F94B059"/>
    <w:rsid w:val="3FE631F4"/>
    <w:rsid w:val="3FE8A53B"/>
    <w:rsid w:val="3FF15D02"/>
    <w:rsid w:val="3FF57197"/>
    <w:rsid w:val="3FFBB05C"/>
    <w:rsid w:val="402E4F39"/>
    <w:rsid w:val="4036E267"/>
    <w:rsid w:val="403B83A8"/>
    <w:rsid w:val="4048DBC2"/>
    <w:rsid w:val="404D7098"/>
    <w:rsid w:val="4055DCE0"/>
    <w:rsid w:val="4070C401"/>
    <w:rsid w:val="4085898A"/>
    <w:rsid w:val="408C567D"/>
    <w:rsid w:val="40A31911"/>
    <w:rsid w:val="40C90D0F"/>
    <w:rsid w:val="40D073C8"/>
    <w:rsid w:val="40D29FE8"/>
    <w:rsid w:val="40D4F256"/>
    <w:rsid w:val="40FC1CA0"/>
    <w:rsid w:val="410F563B"/>
    <w:rsid w:val="4115FE61"/>
    <w:rsid w:val="411F2C84"/>
    <w:rsid w:val="413142CF"/>
    <w:rsid w:val="4137A188"/>
    <w:rsid w:val="41490C3B"/>
    <w:rsid w:val="414C9676"/>
    <w:rsid w:val="4156FF1D"/>
    <w:rsid w:val="415DAF04"/>
    <w:rsid w:val="4175272B"/>
    <w:rsid w:val="4180419F"/>
    <w:rsid w:val="419A40DC"/>
    <w:rsid w:val="41B12573"/>
    <w:rsid w:val="41B17903"/>
    <w:rsid w:val="41BE9687"/>
    <w:rsid w:val="41D77200"/>
    <w:rsid w:val="41ED3504"/>
    <w:rsid w:val="420C4789"/>
    <w:rsid w:val="422BCB48"/>
    <w:rsid w:val="422E37E0"/>
    <w:rsid w:val="42485A94"/>
    <w:rsid w:val="4249C78D"/>
    <w:rsid w:val="426A3132"/>
    <w:rsid w:val="4272C026"/>
    <w:rsid w:val="427E6F7E"/>
    <w:rsid w:val="4290EDAC"/>
    <w:rsid w:val="42B220E2"/>
    <w:rsid w:val="42B485F7"/>
    <w:rsid w:val="42B74422"/>
    <w:rsid w:val="42E38112"/>
    <w:rsid w:val="4305FBF2"/>
    <w:rsid w:val="431B554F"/>
    <w:rsid w:val="4323FC5F"/>
    <w:rsid w:val="4334139D"/>
    <w:rsid w:val="4352D601"/>
    <w:rsid w:val="435DAC32"/>
    <w:rsid w:val="438CB5AD"/>
    <w:rsid w:val="43A5DE06"/>
    <w:rsid w:val="43BE0652"/>
    <w:rsid w:val="43C6E643"/>
    <w:rsid w:val="43C9838C"/>
    <w:rsid w:val="43D99B51"/>
    <w:rsid w:val="43FF1853"/>
    <w:rsid w:val="44153D96"/>
    <w:rsid w:val="44804047"/>
    <w:rsid w:val="44D69538"/>
    <w:rsid w:val="44D8B543"/>
    <w:rsid w:val="44EFF170"/>
    <w:rsid w:val="44F453ED"/>
    <w:rsid w:val="45064FBC"/>
    <w:rsid w:val="45092FE1"/>
    <w:rsid w:val="450C0C73"/>
    <w:rsid w:val="450C10C5"/>
    <w:rsid w:val="450C30F8"/>
    <w:rsid w:val="45244BA6"/>
    <w:rsid w:val="4527734D"/>
    <w:rsid w:val="4552EE7E"/>
    <w:rsid w:val="4555BD53"/>
    <w:rsid w:val="4561B126"/>
    <w:rsid w:val="456917AE"/>
    <w:rsid w:val="456C0094"/>
    <w:rsid w:val="458E320F"/>
    <w:rsid w:val="4590E9B6"/>
    <w:rsid w:val="459D0920"/>
    <w:rsid w:val="45ABD070"/>
    <w:rsid w:val="45ACDEA5"/>
    <w:rsid w:val="45B426D9"/>
    <w:rsid w:val="45D10B49"/>
    <w:rsid w:val="45DCFA3C"/>
    <w:rsid w:val="4619E6BC"/>
    <w:rsid w:val="4632DF64"/>
    <w:rsid w:val="4633D997"/>
    <w:rsid w:val="46432BC2"/>
    <w:rsid w:val="46622C6B"/>
    <w:rsid w:val="46694847"/>
    <w:rsid w:val="467169D6"/>
    <w:rsid w:val="4674E4AE"/>
    <w:rsid w:val="468CF145"/>
    <w:rsid w:val="46B59F51"/>
    <w:rsid w:val="46F36F1F"/>
    <w:rsid w:val="47048433"/>
    <w:rsid w:val="4720AD61"/>
    <w:rsid w:val="4723C348"/>
    <w:rsid w:val="4723C49B"/>
    <w:rsid w:val="47497133"/>
    <w:rsid w:val="4781D10C"/>
    <w:rsid w:val="478A5ABB"/>
    <w:rsid w:val="478B5ADC"/>
    <w:rsid w:val="47943F09"/>
    <w:rsid w:val="47E5B513"/>
    <w:rsid w:val="47EFA572"/>
    <w:rsid w:val="47F30152"/>
    <w:rsid w:val="482DF875"/>
    <w:rsid w:val="48595B18"/>
    <w:rsid w:val="48751B50"/>
    <w:rsid w:val="488434F8"/>
    <w:rsid w:val="48B3785F"/>
    <w:rsid w:val="48F052F9"/>
    <w:rsid w:val="490FD6E0"/>
    <w:rsid w:val="4918A212"/>
    <w:rsid w:val="492E042B"/>
    <w:rsid w:val="49565BDE"/>
    <w:rsid w:val="496ADE9B"/>
    <w:rsid w:val="496D8D51"/>
    <w:rsid w:val="497E2AB8"/>
    <w:rsid w:val="4985A90B"/>
    <w:rsid w:val="49B1F850"/>
    <w:rsid w:val="49E0C577"/>
    <w:rsid w:val="49F3D02D"/>
    <w:rsid w:val="49F4F140"/>
    <w:rsid w:val="49FB73FD"/>
    <w:rsid w:val="4A2C5E39"/>
    <w:rsid w:val="4A2D2507"/>
    <w:rsid w:val="4A59C776"/>
    <w:rsid w:val="4A68AC1E"/>
    <w:rsid w:val="4A6F13AF"/>
    <w:rsid w:val="4A807715"/>
    <w:rsid w:val="4A84C601"/>
    <w:rsid w:val="4A88F05C"/>
    <w:rsid w:val="4AC60C5C"/>
    <w:rsid w:val="4AF60706"/>
    <w:rsid w:val="4B3495A3"/>
    <w:rsid w:val="4B6B5EFD"/>
    <w:rsid w:val="4B884110"/>
    <w:rsid w:val="4BA2185A"/>
    <w:rsid w:val="4BD14963"/>
    <w:rsid w:val="4C148341"/>
    <w:rsid w:val="4C1D140F"/>
    <w:rsid w:val="4C231FA6"/>
    <w:rsid w:val="4C35087D"/>
    <w:rsid w:val="4C40AE72"/>
    <w:rsid w:val="4C4B7B9C"/>
    <w:rsid w:val="4C4D8C17"/>
    <w:rsid w:val="4C505CB2"/>
    <w:rsid w:val="4C794D3C"/>
    <w:rsid w:val="4C81F198"/>
    <w:rsid w:val="4C8BB43E"/>
    <w:rsid w:val="4C93D1DB"/>
    <w:rsid w:val="4C9C2B52"/>
    <w:rsid w:val="4C9C489B"/>
    <w:rsid w:val="4C9D0993"/>
    <w:rsid w:val="4CAC51EC"/>
    <w:rsid w:val="4CAE5197"/>
    <w:rsid w:val="4CC14116"/>
    <w:rsid w:val="4CCFC04D"/>
    <w:rsid w:val="4CD91FFE"/>
    <w:rsid w:val="4CE18E33"/>
    <w:rsid w:val="4D53AE96"/>
    <w:rsid w:val="4D76636E"/>
    <w:rsid w:val="4D786F75"/>
    <w:rsid w:val="4D8C19A2"/>
    <w:rsid w:val="4D8E8273"/>
    <w:rsid w:val="4DB07FF0"/>
    <w:rsid w:val="4DCEB511"/>
    <w:rsid w:val="4DDAC2D6"/>
    <w:rsid w:val="4E0DFD67"/>
    <w:rsid w:val="4E49EE89"/>
    <w:rsid w:val="4E6C9126"/>
    <w:rsid w:val="4E6DE32C"/>
    <w:rsid w:val="4E88168E"/>
    <w:rsid w:val="4E8A136A"/>
    <w:rsid w:val="4EB69C43"/>
    <w:rsid w:val="4EC07B80"/>
    <w:rsid w:val="4EC19D2E"/>
    <w:rsid w:val="4EC6C8F6"/>
    <w:rsid w:val="4EC702FC"/>
    <w:rsid w:val="4EC94131"/>
    <w:rsid w:val="4EE990DF"/>
    <w:rsid w:val="4EEE3E0B"/>
    <w:rsid w:val="4EFA9E17"/>
    <w:rsid w:val="4F015B2F"/>
    <w:rsid w:val="4F0652DE"/>
    <w:rsid w:val="4F0766C0"/>
    <w:rsid w:val="4F2CE786"/>
    <w:rsid w:val="4F36CD5E"/>
    <w:rsid w:val="4F3A0B9F"/>
    <w:rsid w:val="4F657596"/>
    <w:rsid w:val="4F85094B"/>
    <w:rsid w:val="4F9E0519"/>
    <w:rsid w:val="4FAEEC1C"/>
    <w:rsid w:val="4FB476F1"/>
    <w:rsid w:val="4FE345BA"/>
    <w:rsid w:val="501E8C3F"/>
    <w:rsid w:val="501F8E0F"/>
    <w:rsid w:val="502B55EF"/>
    <w:rsid w:val="504E0790"/>
    <w:rsid w:val="508368AD"/>
    <w:rsid w:val="50BD8FFF"/>
    <w:rsid w:val="50C0DC80"/>
    <w:rsid w:val="50EC1FDA"/>
    <w:rsid w:val="50FB2ED1"/>
    <w:rsid w:val="51134318"/>
    <w:rsid w:val="51415C4A"/>
    <w:rsid w:val="517AAE62"/>
    <w:rsid w:val="51838A4E"/>
    <w:rsid w:val="51898806"/>
    <w:rsid w:val="519243A6"/>
    <w:rsid w:val="519D0148"/>
    <w:rsid w:val="51C5D67D"/>
    <w:rsid w:val="51E300DE"/>
    <w:rsid w:val="51EF314C"/>
    <w:rsid w:val="52028095"/>
    <w:rsid w:val="5223F85F"/>
    <w:rsid w:val="5224BC44"/>
    <w:rsid w:val="523BAEA4"/>
    <w:rsid w:val="528297CF"/>
    <w:rsid w:val="52A79F17"/>
    <w:rsid w:val="52AE0AF3"/>
    <w:rsid w:val="52C017FE"/>
    <w:rsid w:val="52C9A092"/>
    <w:rsid w:val="530AAAB9"/>
    <w:rsid w:val="530FD0F9"/>
    <w:rsid w:val="534525ED"/>
    <w:rsid w:val="535D1CAC"/>
    <w:rsid w:val="5373DF01"/>
    <w:rsid w:val="53828E0A"/>
    <w:rsid w:val="53A17617"/>
    <w:rsid w:val="53A1BC81"/>
    <w:rsid w:val="53C3CD97"/>
    <w:rsid w:val="53C82108"/>
    <w:rsid w:val="53EDB47C"/>
    <w:rsid w:val="54162EC2"/>
    <w:rsid w:val="54204B12"/>
    <w:rsid w:val="542DBD6E"/>
    <w:rsid w:val="54338599"/>
    <w:rsid w:val="5459D8ED"/>
    <w:rsid w:val="5476B31A"/>
    <w:rsid w:val="547BEF32"/>
    <w:rsid w:val="54819AFA"/>
    <w:rsid w:val="5496AC47"/>
    <w:rsid w:val="54A59C46"/>
    <w:rsid w:val="54EAB8F3"/>
    <w:rsid w:val="54F5C13C"/>
    <w:rsid w:val="5551E05A"/>
    <w:rsid w:val="557DD4DF"/>
    <w:rsid w:val="5612BC60"/>
    <w:rsid w:val="564AA0FB"/>
    <w:rsid w:val="56681220"/>
    <w:rsid w:val="566BA08A"/>
    <w:rsid w:val="56736CFE"/>
    <w:rsid w:val="5681425C"/>
    <w:rsid w:val="56AAE745"/>
    <w:rsid w:val="56AB98E1"/>
    <w:rsid w:val="56B3095F"/>
    <w:rsid w:val="56B375EB"/>
    <w:rsid w:val="56B546BF"/>
    <w:rsid w:val="56BB4AD7"/>
    <w:rsid w:val="56BCDDC6"/>
    <w:rsid w:val="56C4C281"/>
    <w:rsid w:val="56D51736"/>
    <w:rsid w:val="56F208C4"/>
    <w:rsid w:val="56F9F0E9"/>
    <w:rsid w:val="56FEA357"/>
    <w:rsid w:val="573E10D4"/>
    <w:rsid w:val="57485708"/>
    <w:rsid w:val="575AE884"/>
    <w:rsid w:val="577B50FD"/>
    <w:rsid w:val="57A1C4E6"/>
    <w:rsid w:val="57B28F0D"/>
    <w:rsid w:val="57DD490F"/>
    <w:rsid w:val="57DFCFDF"/>
    <w:rsid w:val="57E52092"/>
    <w:rsid w:val="57E85B6C"/>
    <w:rsid w:val="57EA457B"/>
    <w:rsid w:val="57FEF16D"/>
    <w:rsid w:val="57FFC7FE"/>
    <w:rsid w:val="58134CBD"/>
    <w:rsid w:val="581B2D34"/>
    <w:rsid w:val="581BF96C"/>
    <w:rsid w:val="582E758D"/>
    <w:rsid w:val="584879B6"/>
    <w:rsid w:val="5867AB54"/>
    <w:rsid w:val="586C6540"/>
    <w:rsid w:val="589E4E05"/>
    <w:rsid w:val="58A2061C"/>
    <w:rsid w:val="58A54F3F"/>
    <w:rsid w:val="58AC22C2"/>
    <w:rsid w:val="58BB88F8"/>
    <w:rsid w:val="58DAAB6A"/>
    <w:rsid w:val="58E4D3A5"/>
    <w:rsid w:val="5918DA38"/>
    <w:rsid w:val="5931E79D"/>
    <w:rsid w:val="5942C4B1"/>
    <w:rsid w:val="5946A573"/>
    <w:rsid w:val="5948B8C3"/>
    <w:rsid w:val="596AA174"/>
    <w:rsid w:val="598B9741"/>
    <w:rsid w:val="599F4A6B"/>
    <w:rsid w:val="59ACB64B"/>
    <w:rsid w:val="59B4C537"/>
    <w:rsid w:val="59B96ACB"/>
    <w:rsid w:val="59BEF7AA"/>
    <w:rsid w:val="59DA6AB2"/>
    <w:rsid w:val="59E47456"/>
    <w:rsid w:val="5A19F114"/>
    <w:rsid w:val="5A1D1BE3"/>
    <w:rsid w:val="5A22A164"/>
    <w:rsid w:val="5A2A7D04"/>
    <w:rsid w:val="5A553C70"/>
    <w:rsid w:val="5A5D6423"/>
    <w:rsid w:val="5A61A526"/>
    <w:rsid w:val="5A6E4448"/>
    <w:rsid w:val="5A918FB6"/>
    <w:rsid w:val="5AADEBD3"/>
    <w:rsid w:val="5B2B239A"/>
    <w:rsid w:val="5BB4284F"/>
    <w:rsid w:val="5BC7E69B"/>
    <w:rsid w:val="5BCD1BD1"/>
    <w:rsid w:val="5BE09D49"/>
    <w:rsid w:val="5C02FBB4"/>
    <w:rsid w:val="5C3542A7"/>
    <w:rsid w:val="5C5D5402"/>
    <w:rsid w:val="5C5F3FED"/>
    <w:rsid w:val="5C627AD3"/>
    <w:rsid w:val="5C9EB53D"/>
    <w:rsid w:val="5CCD769E"/>
    <w:rsid w:val="5CD06C50"/>
    <w:rsid w:val="5CE2328B"/>
    <w:rsid w:val="5CF1294F"/>
    <w:rsid w:val="5CF538E9"/>
    <w:rsid w:val="5D025234"/>
    <w:rsid w:val="5D16A64F"/>
    <w:rsid w:val="5D22034B"/>
    <w:rsid w:val="5D2EE004"/>
    <w:rsid w:val="5D49501A"/>
    <w:rsid w:val="5D656605"/>
    <w:rsid w:val="5D862756"/>
    <w:rsid w:val="5D8E41CC"/>
    <w:rsid w:val="5D9B83E3"/>
    <w:rsid w:val="5D9BB58F"/>
    <w:rsid w:val="5DFDACC3"/>
    <w:rsid w:val="5E060BED"/>
    <w:rsid w:val="5E18AB13"/>
    <w:rsid w:val="5E47787D"/>
    <w:rsid w:val="5E7DE7FE"/>
    <w:rsid w:val="5E80D752"/>
    <w:rsid w:val="5E80E1E4"/>
    <w:rsid w:val="5E9E63B8"/>
    <w:rsid w:val="5EDA7DEA"/>
    <w:rsid w:val="5EEE98A5"/>
    <w:rsid w:val="5F05C22C"/>
    <w:rsid w:val="5F1E297B"/>
    <w:rsid w:val="5F469739"/>
    <w:rsid w:val="5F6D4B7F"/>
    <w:rsid w:val="5F6EB732"/>
    <w:rsid w:val="5F74DA6C"/>
    <w:rsid w:val="5F77A394"/>
    <w:rsid w:val="5F9EB371"/>
    <w:rsid w:val="5FBCE976"/>
    <w:rsid w:val="5FFA10DE"/>
    <w:rsid w:val="60002C7F"/>
    <w:rsid w:val="601733C8"/>
    <w:rsid w:val="60275FDA"/>
    <w:rsid w:val="60287764"/>
    <w:rsid w:val="602CB6FF"/>
    <w:rsid w:val="60381868"/>
    <w:rsid w:val="6048361A"/>
    <w:rsid w:val="604845B9"/>
    <w:rsid w:val="606F53D2"/>
    <w:rsid w:val="60701ED8"/>
    <w:rsid w:val="607EDC5F"/>
    <w:rsid w:val="60A16678"/>
    <w:rsid w:val="60B0A971"/>
    <w:rsid w:val="60C70304"/>
    <w:rsid w:val="60D5F7F4"/>
    <w:rsid w:val="60E821AC"/>
    <w:rsid w:val="60E9A04F"/>
    <w:rsid w:val="60F7D7F3"/>
    <w:rsid w:val="6131D527"/>
    <w:rsid w:val="61A18283"/>
    <w:rsid w:val="61AB2DEC"/>
    <w:rsid w:val="61B271B0"/>
    <w:rsid w:val="61C5E3EC"/>
    <w:rsid w:val="621B9AB6"/>
    <w:rsid w:val="623224CC"/>
    <w:rsid w:val="62745D4A"/>
    <w:rsid w:val="6274888F"/>
    <w:rsid w:val="6294B8A9"/>
    <w:rsid w:val="62A5823F"/>
    <w:rsid w:val="62AE21ED"/>
    <w:rsid w:val="62D46C8D"/>
    <w:rsid w:val="62D49E0A"/>
    <w:rsid w:val="62E26655"/>
    <w:rsid w:val="62FD267A"/>
    <w:rsid w:val="634FB063"/>
    <w:rsid w:val="635CE572"/>
    <w:rsid w:val="6371132C"/>
    <w:rsid w:val="6391E7C6"/>
    <w:rsid w:val="63B0545C"/>
    <w:rsid w:val="63DF3440"/>
    <w:rsid w:val="64032588"/>
    <w:rsid w:val="64493911"/>
    <w:rsid w:val="64498CD4"/>
    <w:rsid w:val="645BDBA2"/>
    <w:rsid w:val="6470FAF5"/>
    <w:rsid w:val="6472A54E"/>
    <w:rsid w:val="648B1675"/>
    <w:rsid w:val="64CEE728"/>
    <w:rsid w:val="64D1DB31"/>
    <w:rsid w:val="64F7D2F6"/>
    <w:rsid w:val="6503004C"/>
    <w:rsid w:val="65099DE3"/>
    <w:rsid w:val="65228741"/>
    <w:rsid w:val="652DC947"/>
    <w:rsid w:val="65562C0B"/>
    <w:rsid w:val="655AB1B1"/>
    <w:rsid w:val="65643093"/>
    <w:rsid w:val="657F90CD"/>
    <w:rsid w:val="6598FEE4"/>
    <w:rsid w:val="65B2C5B8"/>
    <w:rsid w:val="661E5402"/>
    <w:rsid w:val="66543B8E"/>
    <w:rsid w:val="665B4664"/>
    <w:rsid w:val="666026BD"/>
    <w:rsid w:val="6673CE57"/>
    <w:rsid w:val="669AE8ED"/>
    <w:rsid w:val="66AC19FE"/>
    <w:rsid w:val="670038B3"/>
    <w:rsid w:val="670A7E23"/>
    <w:rsid w:val="670D7666"/>
    <w:rsid w:val="67143C7B"/>
    <w:rsid w:val="671BE370"/>
    <w:rsid w:val="671C60F7"/>
    <w:rsid w:val="671D7A1B"/>
    <w:rsid w:val="673766D7"/>
    <w:rsid w:val="674DBE87"/>
    <w:rsid w:val="674F5883"/>
    <w:rsid w:val="675542EE"/>
    <w:rsid w:val="67596380"/>
    <w:rsid w:val="6766D2B9"/>
    <w:rsid w:val="6766F973"/>
    <w:rsid w:val="676B4748"/>
    <w:rsid w:val="676D0B98"/>
    <w:rsid w:val="677C2185"/>
    <w:rsid w:val="679050DF"/>
    <w:rsid w:val="67933338"/>
    <w:rsid w:val="679546DF"/>
    <w:rsid w:val="679CF0CC"/>
    <w:rsid w:val="67C218BE"/>
    <w:rsid w:val="67C334EC"/>
    <w:rsid w:val="67E6444E"/>
    <w:rsid w:val="6848FD4C"/>
    <w:rsid w:val="685B950A"/>
    <w:rsid w:val="686AAFB3"/>
    <w:rsid w:val="68937EE9"/>
    <w:rsid w:val="68B1953A"/>
    <w:rsid w:val="68CB8B18"/>
    <w:rsid w:val="68D11202"/>
    <w:rsid w:val="68D1E261"/>
    <w:rsid w:val="690497C5"/>
    <w:rsid w:val="6905E2A6"/>
    <w:rsid w:val="6913FCAA"/>
    <w:rsid w:val="6922026D"/>
    <w:rsid w:val="69400231"/>
    <w:rsid w:val="694B06D0"/>
    <w:rsid w:val="694DFE46"/>
    <w:rsid w:val="695CCBA2"/>
    <w:rsid w:val="697C3737"/>
    <w:rsid w:val="69810BE3"/>
    <w:rsid w:val="698EA427"/>
    <w:rsid w:val="6990FB9A"/>
    <w:rsid w:val="69BA3FC5"/>
    <w:rsid w:val="69BFAF6D"/>
    <w:rsid w:val="69C998AC"/>
    <w:rsid w:val="6A023405"/>
    <w:rsid w:val="6A30607F"/>
    <w:rsid w:val="6A3573C1"/>
    <w:rsid w:val="6A387987"/>
    <w:rsid w:val="6A51BA24"/>
    <w:rsid w:val="6AB9544F"/>
    <w:rsid w:val="6ABD4388"/>
    <w:rsid w:val="6ABD8CC1"/>
    <w:rsid w:val="6ADD721F"/>
    <w:rsid w:val="6B2C157B"/>
    <w:rsid w:val="6B2DF112"/>
    <w:rsid w:val="6B3955B1"/>
    <w:rsid w:val="6B39B6C0"/>
    <w:rsid w:val="6B574E79"/>
    <w:rsid w:val="6B763E81"/>
    <w:rsid w:val="6B90EF31"/>
    <w:rsid w:val="6B99A6EA"/>
    <w:rsid w:val="6BA1CC4B"/>
    <w:rsid w:val="6BA43A94"/>
    <w:rsid w:val="6BA57F6A"/>
    <w:rsid w:val="6BB05BD8"/>
    <w:rsid w:val="6BBA89D9"/>
    <w:rsid w:val="6BD1C918"/>
    <w:rsid w:val="6C0C58F4"/>
    <w:rsid w:val="6C3E0C38"/>
    <w:rsid w:val="6C48BCB5"/>
    <w:rsid w:val="6C491E3B"/>
    <w:rsid w:val="6CCAEAD2"/>
    <w:rsid w:val="6CD918E4"/>
    <w:rsid w:val="6CE29757"/>
    <w:rsid w:val="6CE7EA70"/>
    <w:rsid w:val="6CF0A7EE"/>
    <w:rsid w:val="6CF45DB3"/>
    <w:rsid w:val="6CFB16F7"/>
    <w:rsid w:val="6D2DA85A"/>
    <w:rsid w:val="6D34C7D5"/>
    <w:rsid w:val="6D3D44AB"/>
    <w:rsid w:val="6D4793AC"/>
    <w:rsid w:val="6D6221C8"/>
    <w:rsid w:val="6DA12D4D"/>
    <w:rsid w:val="6DA6B60F"/>
    <w:rsid w:val="6DB58E69"/>
    <w:rsid w:val="6DC56A15"/>
    <w:rsid w:val="6DFE5CC2"/>
    <w:rsid w:val="6E3C3888"/>
    <w:rsid w:val="6E441B44"/>
    <w:rsid w:val="6E474651"/>
    <w:rsid w:val="6E5C0FE0"/>
    <w:rsid w:val="6E5EB197"/>
    <w:rsid w:val="6E67FF3F"/>
    <w:rsid w:val="6E79E406"/>
    <w:rsid w:val="6E8D07FE"/>
    <w:rsid w:val="6EA25D6F"/>
    <w:rsid w:val="6ECEA419"/>
    <w:rsid w:val="6EDF4B6D"/>
    <w:rsid w:val="6EDF67EC"/>
    <w:rsid w:val="6EE40642"/>
    <w:rsid w:val="6EF04117"/>
    <w:rsid w:val="6F42A2D1"/>
    <w:rsid w:val="6F42E015"/>
    <w:rsid w:val="6F4A47B8"/>
    <w:rsid w:val="6F52588D"/>
    <w:rsid w:val="6F596159"/>
    <w:rsid w:val="6F8D67C2"/>
    <w:rsid w:val="6F91A624"/>
    <w:rsid w:val="6FC1611A"/>
    <w:rsid w:val="6FD643F5"/>
    <w:rsid w:val="6FE0BA6F"/>
    <w:rsid w:val="6FF40794"/>
    <w:rsid w:val="70176432"/>
    <w:rsid w:val="701C311F"/>
    <w:rsid w:val="70215620"/>
    <w:rsid w:val="70260554"/>
    <w:rsid w:val="70345275"/>
    <w:rsid w:val="703AE835"/>
    <w:rsid w:val="703B3A2B"/>
    <w:rsid w:val="70461A2C"/>
    <w:rsid w:val="704798EC"/>
    <w:rsid w:val="7051587A"/>
    <w:rsid w:val="70770139"/>
    <w:rsid w:val="7088BEA6"/>
    <w:rsid w:val="7097331A"/>
    <w:rsid w:val="709D54ED"/>
    <w:rsid w:val="70B627CC"/>
    <w:rsid w:val="70B6A4E3"/>
    <w:rsid w:val="70BBE9DD"/>
    <w:rsid w:val="70E4DF95"/>
    <w:rsid w:val="70FF4530"/>
    <w:rsid w:val="711308CF"/>
    <w:rsid w:val="716F37CD"/>
    <w:rsid w:val="719D808F"/>
    <w:rsid w:val="71A67BF9"/>
    <w:rsid w:val="71B2303A"/>
    <w:rsid w:val="71CA8EFE"/>
    <w:rsid w:val="71D28282"/>
    <w:rsid w:val="7207A1AF"/>
    <w:rsid w:val="7216A94C"/>
    <w:rsid w:val="721C24E4"/>
    <w:rsid w:val="7236FF9D"/>
    <w:rsid w:val="7242BB51"/>
    <w:rsid w:val="727C8779"/>
    <w:rsid w:val="72818FBA"/>
    <w:rsid w:val="7288BBB0"/>
    <w:rsid w:val="72AFB0B2"/>
    <w:rsid w:val="72B1042D"/>
    <w:rsid w:val="72B306ED"/>
    <w:rsid w:val="72CB9F41"/>
    <w:rsid w:val="72E1830B"/>
    <w:rsid w:val="72EDB923"/>
    <w:rsid w:val="7325712C"/>
    <w:rsid w:val="7329779F"/>
    <w:rsid w:val="732BA0D5"/>
    <w:rsid w:val="7337E965"/>
    <w:rsid w:val="7364C75A"/>
    <w:rsid w:val="739872AF"/>
    <w:rsid w:val="73A54422"/>
    <w:rsid w:val="73A5F982"/>
    <w:rsid w:val="73DB2479"/>
    <w:rsid w:val="73F27D58"/>
    <w:rsid w:val="73FFF460"/>
    <w:rsid w:val="740DE60E"/>
    <w:rsid w:val="7448484E"/>
    <w:rsid w:val="74506D57"/>
    <w:rsid w:val="7459BE9F"/>
    <w:rsid w:val="745A54E3"/>
    <w:rsid w:val="74920E9F"/>
    <w:rsid w:val="7498E0D5"/>
    <w:rsid w:val="74A0B9CB"/>
    <w:rsid w:val="74A22A1B"/>
    <w:rsid w:val="74ADEB3F"/>
    <w:rsid w:val="74B5D701"/>
    <w:rsid w:val="74C44ED6"/>
    <w:rsid w:val="74C55E48"/>
    <w:rsid w:val="74F8A0D2"/>
    <w:rsid w:val="75264EE0"/>
    <w:rsid w:val="753A7889"/>
    <w:rsid w:val="753E9647"/>
    <w:rsid w:val="75404A38"/>
    <w:rsid w:val="75627DDD"/>
    <w:rsid w:val="75868DE2"/>
    <w:rsid w:val="7587832F"/>
    <w:rsid w:val="758DDA63"/>
    <w:rsid w:val="75C5912B"/>
    <w:rsid w:val="75E9DA58"/>
    <w:rsid w:val="75FD0AC7"/>
    <w:rsid w:val="760A4A2C"/>
    <w:rsid w:val="7616EDBB"/>
    <w:rsid w:val="7617C5C3"/>
    <w:rsid w:val="761C6738"/>
    <w:rsid w:val="763196CD"/>
    <w:rsid w:val="766D2DF6"/>
    <w:rsid w:val="766F1A60"/>
    <w:rsid w:val="76CA8E25"/>
    <w:rsid w:val="770559B3"/>
    <w:rsid w:val="7768D17C"/>
    <w:rsid w:val="776BA073"/>
    <w:rsid w:val="7788008D"/>
    <w:rsid w:val="77938D06"/>
    <w:rsid w:val="77C9EA81"/>
    <w:rsid w:val="77E17F75"/>
    <w:rsid w:val="77EF1141"/>
    <w:rsid w:val="78383C31"/>
    <w:rsid w:val="785C4D23"/>
    <w:rsid w:val="786AA3F5"/>
    <w:rsid w:val="786D9C5B"/>
    <w:rsid w:val="78868C81"/>
    <w:rsid w:val="7897EE36"/>
    <w:rsid w:val="789E2F69"/>
    <w:rsid w:val="78B7A3FB"/>
    <w:rsid w:val="78BCC957"/>
    <w:rsid w:val="78EA9A19"/>
    <w:rsid w:val="78FCCA58"/>
    <w:rsid w:val="79375AF8"/>
    <w:rsid w:val="793CE2B8"/>
    <w:rsid w:val="794BCF67"/>
    <w:rsid w:val="795ADEC8"/>
    <w:rsid w:val="797A3AB9"/>
    <w:rsid w:val="79B2D04F"/>
    <w:rsid w:val="79E689A2"/>
    <w:rsid w:val="7A2D1979"/>
    <w:rsid w:val="7A368E21"/>
    <w:rsid w:val="7A50201F"/>
    <w:rsid w:val="7A6BA608"/>
    <w:rsid w:val="7A727A9C"/>
    <w:rsid w:val="7A773C6B"/>
    <w:rsid w:val="7AA1D503"/>
    <w:rsid w:val="7ABC31C9"/>
    <w:rsid w:val="7AC1773E"/>
    <w:rsid w:val="7B05C444"/>
    <w:rsid w:val="7B205968"/>
    <w:rsid w:val="7B247E56"/>
    <w:rsid w:val="7B375CC4"/>
    <w:rsid w:val="7B37FD25"/>
    <w:rsid w:val="7B38EAD0"/>
    <w:rsid w:val="7B3C440F"/>
    <w:rsid w:val="7B3CAAF8"/>
    <w:rsid w:val="7B51C16F"/>
    <w:rsid w:val="7B66668B"/>
    <w:rsid w:val="7B9F5046"/>
    <w:rsid w:val="7BA635DB"/>
    <w:rsid w:val="7BBC2C86"/>
    <w:rsid w:val="7BBCF770"/>
    <w:rsid w:val="7BD9633F"/>
    <w:rsid w:val="7BE4B1DA"/>
    <w:rsid w:val="7BFB0F7B"/>
    <w:rsid w:val="7BFEFF7A"/>
    <w:rsid w:val="7C280C0E"/>
    <w:rsid w:val="7C758A2A"/>
    <w:rsid w:val="7C76E263"/>
    <w:rsid w:val="7C783A41"/>
    <w:rsid w:val="7C92DC4E"/>
    <w:rsid w:val="7C9D2434"/>
    <w:rsid w:val="7CA1A767"/>
    <w:rsid w:val="7CBE02B4"/>
    <w:rsid w:val="7CC0EDB5"/>
    <w:rsid w:val="7CD71619"/>
    <w:rsid w:val="7D017177"/>
    <w:rsid w:val="7D0A3596"/>
    <w:rsid w:val="7D0B0B02"/>
    <w:rsid w:val="7D0C481F"/>
    <w:rsid w:val="7D0E91E0"/>
    <w:rsid w:val="7D4CB3F7"/>
    <w:rsid w:val="7D4D0D64"/>
    <w:rsid w:val="7D66E3CC"/>
    <w:rsid w:val="7D6877C3"/>
    <w:rsid w:val="7D73BD5E"/>
    <w:rsid w:val="7D86A27B"/>
    <w:rsid w:val="7DB2564E"/>
    <w:rsid w:val="7DE6AACF"/>
    <w:rsid w:val="7DEA61C5"/>
    <w:rsid w:val="7E162ED8"/>
    <w:rsid w:val="7E295A30"/>
    <w:rsid w:val="7E2E3057"/>
    <w:rsid w:val="7E2E9BCE"/>
    <w:rsid w:val="7E3655FC"/>
    <w:rsid w:val="7E36AF71"/>
    <w:rsid w:val="7E451418"/>
    <w:rsid w:val="7E65F3EB"/>
    <w:rsid w:val="7E7D01AB"/>
    <w:rsid w:val="7E97FECE"/>
    <w:rsid w:val="7EA3A8AE"/>
    <w:rsid w:val="7EAAF19B"/>
    <w:rsid w:val="7EB1A3C0"/>
    <w:rsid w:val="7EC7B91F"/>
    <w:rsid w:val="7ECE6270"/>
    <w:rsid w:val="7ECF6E0D"/>
    <w:rsid w:val="7EDFEC92"/>
    <w:rsid w:val="7F0216FF"/>
    <w:rsid w:val="7F1699DA"/>
    <w:rsid w:val="7F21CAF9"/>
    <w:rsid w:val="7F32218D"/>
    <w:rsid w:val="7F37B332"/>
    <w:rsid w:val="7F3D066A"/>
    <w:rsid w:val="7F4C2BF7"/>
    <w:rsid w:val="7F618DF0"/>
    <w:rsid w:val="7F84EA7B"/>
    <w:rsid w:val="7F863E3C"/>
    <w:rsid w:val="7F8B24B1"/>
    <w:rsid w:val="7F8DE9B6"/>
    <w:rsid w:val="7FB4F2A0"/>
    <w:rsid w:val="7FB57DD4"/>
    <w:rsid w:val="7FC7AC86"/>
    <w:rsid w:val="7FE79F1C"/>
    <w:rsid w:val="7FEC8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04AB2B"/>
  <w15:chartTrackingRefBased/>
  <w15:docId w15:val="{79DA36D3-1355-4668-A384-ED6B8E822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CEB"/>
  </w:style>
  <w:style w:type="paragraph" w:styleId="Heading1">
    <w:name w:val="heading 1"/>
    <w:aliases w:val="H1,DM - Heading 1"/>
    <w:basedOn w:val="Normal"/>
    <w:next w:val="Normal"/>
    <w:link w:val="Heading1Char"/>
    <w:uiPriority w:val="9"/>
    <w:qFormat/>
    <w:rsid w:val="00E1224D"/>
    <w:pPr>
      <w:keepNext/>
      <w:keepLines/>
      <w:spacing w:before="360" w:after="80" w:line="360" w:lineRule="auto"/>
      <w:outlineLvl w:val="0"/>
    </w:pPr>
    <w:rPr>
      <w:rFonts w:asciiTheme="majorHAnsi" w:eastAsiaTheme="majorEastAsia" w:hAnsiTheme="majorHAnsi" w:cstheme="majorBidi"/>
      <w:color w:val="9D3511" w:themeColor="accent1" w:themeShade="BF"/>
      <w:sz w:val="32"/>
      <w:szCs w:val="40"/>
    </w:rPr>
  </w:style>
  <w:style w:type="paragraph" w:styleId="Heading2">
    <w:name w:val="heading 2"/>
    <w:aliases w:val="H2,DM - Heading 2"/>
    <w:basedOn w:val="Normal"/>
    <w:next w:val="Normal"/>
    <w:link w:val="Heading2Char"/>
    <w:uiPriority w:val="9"/>
    <w:unhideWhenUsed/>
    <w:qFormat/>
    <w:rsid w:val="00E1224D"/>
    <w:pPr>
      <w:keepNext/>
      <w:keepLines/>
      <w:spacing w:before="160" w:after="80"/>
      <w:outlineLvl w:val="1"/>
    </w:pPr>
    <w:rPr>
      <w:rFonts w:asciiTheme="majorHAnsi" w:eastAsiaTheme="majorEastAsia" w:hAnsiTheme="majorHAnsi" w:cstheme="majorBidi"/>
      <w:color w:val="9D3511" w:themeColor="accent1" w:themeShade="BF"/>
      <w:sz w:val="26"/>
      <w:szCs w:val="32"/>
    </w:rPr>
  </w:style>
  <w:style w:type="paragraph" w:styleId="Heading3">
    <w:name w:val="heading 3"/>
    <w:basedOn w:val="Normal"/>
    <w:next w:val="Normal"/>
    <w:link w:val="Heading3Char"/>
    <w:uiPriority w:val="9"/>
    <w:unhideWhenUsed/>
    <w:qFormat/>
    <w:rsid w:val="00E1224D"/>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unhideWhenUsed/>
    <w:qFormat/>
    <w:rsid w:val="00E1224D"/>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unhideWhenUsed/>
    <w:qFormat/>
    <w:rsid w:val="00E1224D"/>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E1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1 Char,DM - Heading 1 Char"/>
    <w:basedOn w:val="DefaultParagraphFont"/>
    <w:link w:val="Heading1"/>
    <w:uiPriority w:val="9"/>
    <w:rsid w:val="00E1224D"/>
    <w:rPr>
      <w:rFonts w:asciiTheme="majorHAnsi" w:eastAsiaTheme="majorEastAsia" w:hAnsiTheme="majorHAnsi" w:cstheme="majorBidi"/>
      <w:color w:val="9D3511" w:themeColor="accent1" w:themeShade="BF"/>
      <w:sz w:val="32"/>
      <w:szCs w:val="40"/>
    </w:rPr>
  </w:style>
  <w:style w:type="character" w:customStyle="1" w:styleId="Heading2Char">
    <w:name w:val="Heading 2 Char"/>
    <w:aliases w:val="H2 Char,DM - Heading 2 Char"/>
    <w:basedOn w:val="DefaultParagraphFont"/>
    <w:link w:val="Heading2"/>
    <w:uiPriority w:val="9"/>
    <w:rsid w:val="00E1224D"/>
    <w:rPr>
      <w:rFonts w:asciiTheme="majorHAnsi" w:eastAsiaTheme="majorEastAsia" w:hAnsiTheme="majorHAnsi" w:cstheme="majorBidi"/>
      <w:color w:val="9D3511" w:themeColor="accent1" w:themeShade="BF"/>
      <w:sz w:val="26"/>
      <w:szCs w:val="32"/>
    </w:rPr>
  </w:style>
  <w:style w:type="character" w:customStyle="1" w:styleId="Heading3Char">
    <w:name w:val="Heading 3 Char"/>
    <w:basedOn w:val="DefaultParagraphFont"/>
    <w:link w:val="Heading3"/>
    <w:uiPriority w:val="9"/>
    <w:rsid w:val="00E1224D"/>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rsid w:val="00E1224D"/>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rsid w:val="00E1224D"/>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E1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24D"/>
    <w:rPr>
      <w:rFonts w:eastAsiaTheme="majorEastAsia" w:cstheme="majorBidi"/>
      <w:color w:val="272727" w:themeColor="text1" w:themeTint="D8"/>
    </w:rPr>
  </w:style>
  <w:style w:type="paragraph" w:styleId="Title">
    <w:name w:val="Title"/>
    <w:basedOn w:val="Normal"/>
    <w:next w:val="Normal"/>
    <w:link w:val="TitleChar"/>
    <w:uiPriority w:val="10"/>
    <w:qFormat/>
    <w:rsid w:val="00E1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24D"/>
    <w:pPr>
      <w:spacing w:before="160"/>
      <w:jc w:val="center"/>
    </w:pPr>
    <w:rPr>
      <w:i/>
      <w:iCs/>
      <w:color w:val="404040" w:themeColor="text1" w:themeTint="BF"/>
    </w:rPr>
  </w:style>
  <w:style w:type="character" w:customStyle="1" w:styleId="QuoteChar">
    <w:name w:val="Quote Char"/>
    <w:basedOn w:val="DefaultParagraphFont"/>
    <w:link w:val="Quote"/>
    <w:uiPriority w:val="29"/>
    <w:rsid w:val="00E1224D"/>
    <w:rPr>
      <w:i/>
      <w:iCs/>
      <w:color w:val="404040" w:themeColor="text1" w:themeTint="BF"/>
    </w:rPr>
  </w:style>
  <w:style w:type="paragraph" w:styleId="ListParagraph">
    <w:name w:val="List Paragraph"/>
    <w:basedOn w:val="Normal"/>
    <w:link w:val="ListParagraphChar"/>
    <w:uiPriority w:val="34"/>
    <w:qFormat/>
    <w:rsid w:val="00E1224D"/>
    <w:pPr>
      <w:ind w:left="720"/>
      <w:contextualSpacing/>
    </w:pPr>
  </w:style>
  <w:style w:type="character" w:styleId="IntenseEmphasis">
    <w:name w:val="Intense Emphasis"/>
    <w:basedOn w:val="DefaultParagraphFont"/>
    <w:uiPriority w:val="21"/>
    <w:qFormat/>
    <w:rsid w:val="00E1224D"/>
    <w:rPr>
      <w:i/>
      <w:iCs/>
      <w:color w:val="9D3511" w:themeColor="accent1" w:themeShade="BF"/>
    </w:rPr>
  </w:style>
  <w:style w:type="paragraph" w:styleId="IntenseQuote">
    <w:name w:val="Intense Quote"/>
    <w:basedOn w:val="Normal"/>
    <w:next w:val="Normal"/>
    <w:link w:val="IntenseQuoteChar"/>
    <w:uiPriority w:val="30"/>
    <w:qFormat/>
    <w:rsid w:val="00E1224D"/>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E1224D"/>
    <w:rPr>
      <w:i/>
      <w:iCs/>
      <w:color w:val="9D3511" w:themeColor="accent1" w:themeShade="BF"/>
    </w:rPr>
  </w:style>
  <w:style w:type="character" w:styleId="IntenseReference">
    <w:name w:val="Intense Reference"/>
    <w:basedOn w:val="DefaultParagraphFont"/>
    <w:uiPriority w:val="32"/>
    <w:qFormat/>
    <w:rsid w:val="00E1224D"/>
    <w:rPr>
      <w:b/>
      <w:bCs/>
      <w:smallCaps/>
      <w:color w:val="9D3511" w:themeColor="accent1" w:themeShade="BF"/>
      <w:spacing w:val="5"/>
    </w:rPr>
  </w:style>
  <w:style w:type="paragraph" w:styleId="NoSpacing">
    <w:name w:val="No Spacing"/>
    <w:link w:val="NoSpacingChar"/>
    <w:uiPriority w:val="1"/>
    <w:rsid w:val="00E674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74E4"/>
    <w:rPr>
      <w:rFonts w:eastAsiaTheme="minorEastAsia"/>
      <w:kern w:val="0"/>
      <w:sz w:val="22"/>
      <w:szCs w:val="22"/>
      <w:lang w:eastAsia="en-GB"/>
      <w14:ligatures w14:val="none"/>
    </w:rPr>
  </w:style>
  <w:style w:type="table" w:styleId="TableGrid">
    <w:name w:val="Table Grid"/>
    <w:basedOn w:val="TableNormal"/>
    <w:uiPriority w:val="39"/>
    <w:rsid w:val="00CD5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7775A"/>
    <w:pPr>
      <w:spacing w:before="240" w:after="0" w:line="259" w:lineRule="auto"/>
      <w:outlineLvl w:val="9"/>
    </w:pPr>
    <w:rPr>
      <w:kern w:val="0"/>
      <w:szCs w:val="32"/>
      <w:lang w:eastAsia="en-GB"/>
      <w14:ligatures w14:val="none"/>
    </w:rPr>
  </w:style>
  <w:style w:type="paragraph" w:styleId="TOC1">
    <w:name w:val="toc 1"/>
    <w:basedOn w:val="Normal"/>
    <w:next w:val="Normal"/>
    <w:autoRedefine/>
    <w:uiPriority w:val="39"/>
    <w:unhideWhenUsed/>
    <w:rsid w:val="0027775A"/>
    <w:pPr>
      <w:spacing w:after="100"/>
    </w:pPr>
  </w:style>
  <w:style w:type="paragraph" w:styleId="TOC2">
    <w:name w:val="toc 2"/>
    <w:basedOn w:val="Normal"/>
    <w:next w:val="Normal"/>
    <w:autoRedefine/>
    <w:uiPriority w:val="39"/>
    <w:unhideWhenUsed/>
    <w:rsid w:val="0027775A"/>
    <w:pPr>
      <w:spacing w:after="100"/>
      <w:ind w:left="240"/>
    </w:pPr>
  </w:style>
  <w:style w:type="character" w:styleId="Hyperlink">
    <w:name w:val="Hyperlink"/>
    <w:basedOn w:val="DefaultParagraphFont"/>
    <w:uiPriority w:val="99"/>
    <w:unhideWhenUsed/>
    <w:rsid w:val="0027775A"/>
    <w:rPr>
      <w:color w:val="CC9900" w:themeColor="hyperlink"/>
      <w:u w:val="single"/>
    </w:rPr>
  </w:style>
  <w:style w:type="paragraph" w:styleId="TOC3">
    <w:name w:val="toc 3"/>
    <w:basedOn w:val="Normal"/>
    <w:next w:val="Normal"/>
    <w:autoRedefine/>
    <w:uiPriority w:val="39"/>
    <w:unhideWhenUsed/>
    <w:rsid w:val="00CA096E"/>
    <w:pPr>
      <w:spacing w:after="100"/>
      <w:ind w:left="480"/>
    </w:pPr>
    <w:rPr>
      <w:rFonts w:eastAsiaTheme="minorEastAsia"/>
      <w:lang w:eastAsia="en-GB"/>
    </w:rPr>
  </w:style>
  <w:style w:type="paragraph" w:styleId="TOC4">
    <w:name w:val="toc 4"/>
    <w:basedOn w:val="Normal"/>
    <w:next w:val="Normal"/>
    <w:autoRedefine/>
    <w:uiPriority w:val="39"/>
    <w:unhideWhenUsed/>
    <w:rsid w:val="00CA096E"/>
    <w:pPr>
      <w:spacing w:after="100"/>
      <w:ind w:left="720"/>
    </w:pPr>
    <w:rPr>
      <w:rFonts w:eastAsiaTheme="minorEastAsia"/>
      <w:lang w:eastAsia="en-GB"/>
    </w:rPr>
  </w:style>
  <w:style w:type="paragraph" w:styleId="TOC5">
    <w:name w:val="toc 5"/>
    <w:basedOn w:val="Normal"/>
    <w:next w:val="Normal"/>
    <w:autoRedefine/>
    <w:uiPriority w:val="39"/>
    <w:unhideWhenUsed/>
    <w:rsid w:val="00CA096E"/>
    <w:pPr>
      <w:spacing w:after="100"/>
      <w:ind w:left="960"/>
    </w:pPr>
    <w:rPr>
      <w:rFonts w:eastAsiaTheme="minorEastAsia"/>
      <w:lang w:eastAsia="en-GB"/>
    </w:rPr>
  </w:style>
  <w:style w:type="paragraph" w:styleId="TOC6">
    <w:name w:val="toc 6"/>
    <w:basedOn w:val="Normal"/>
    <w:next w:val="Normal"/>
    <w:autoRedefine/>
    <w:uiPriority w:val="39"/>
    <w:unhideWhenUsed/>
    <w:rsid w:val="00CA096E"/>
    <w:pPr>
      <w:spacing w:after="100"/>
      <w:ind w:left="1200"/>
    </w:pPr>
    <w:rPr>
      <w:rFonts w:eastAsiaTheme="minorEastAsia"/>
      <w:lang w:eastAsia="en-GB"/>
    </w:rPr>
  </w:style>
  <w:style w:type="paragraph" w:styleId="TOC7">
    <w:name w:val="toc 7"/>
    <w:basedOn w:val="Normal"/>
    <w:next w:val="Normal"/>
    <w:autoRedefine/>
    <w:uiPriority w:val="39"/>
    <w:unhideWhenUsed/>
    <w:rsid w:val="00CA096E"/>
    <w:pPr>
      <w:spacing w:after="100"/>
      <w:ind w:left="1440"/>
    </w:pPr>
    <w:rPr>
      <w:rFonts w:eastAsiaTheme="minorEastAsia"/>
      <w:lang w:eastAsia="en-GB"/>
    </w:rPr>
  </w:style>
  <w:style w:type="paragraph" w:styleId="TOC8">
    <w:name w:val="toc 8"/>
    <w:basedOn w:val="Normal"/>
    <w:next w:val="Normal"/>
    <w:autoRedefine/>
    <w:uiPriority w:val="39"/>
    <w:unhideWhenUsed/>
    <w:rsid w:val="00CA096E"/>
    <w:pPr>
      <w:spacing w:after="100"/>
      <w:ind w:left="1680"/>
    </w:pPr>
    <w:rPr>
      <w:rFonts w:eastAsiaTheme="minorEastAsia"/>
      <w:lang w:eastAsia="en-GB"/>
    </w:rPr>
  </w:style>
  <w:style w:type="paragraph" w:styleId="TOC9">
    <w:name w:val="toc 9"/>
    <w:basedOn w:val="Normal"/>
    <w:next w:val="Normal"/>
    <w:autoRedefine/>
    <w:uiPriority w:val="39"/>
    <w:unhideWhenUsed/>
    <w:rsid w:val="00CA096E"/>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CA096E"/>
    <w:rPr>
      <w:color w:val="605E5C"/>
      <w:shd w:val="clear" w:color="auto" w:fill="E1DFDD"/>
    </w:rPr>
  </w:style>
  <w:style w:type="character" w:styleId="CommentReference">
    <w:name w:val="annotation reference"/>
    <w:basedOn w:val="DefaultParagraphFont"/>
    <w:uiPriority w:val="99"/>
    <w:semiHidden/>
    <w:unhideWhenUsed/>
    <w:rsid w:val="00861627"/>
    <w:rPr>
      <w:sz w:val="16"/>
      <w:szCs w:val="16"/>
    </w:rPr>
  </w:style>
  <w:style w:type="paragraph" w:styleId="CommentText">
    <w:name w:val="annotation text"/>
    <w:basedOn w:val="Normal"/>
    <w:link w:val="CommentTextChar"/>
    <w:uiPriority w:val="99"/>
    <w:unhideWhenUsed/>
    <w:rsid w:val="00861627"/>
    <w:pPr>
      <w:spacing w:line="240" w:lineRule="auto"/>
    </w:pPr>
    <w:rPr>
      <w:sz w:val="20"/>
      <w:szCs w:val="20"/>
    </w:rPr>
  </w:style>
  <w:style w:type="character" w:customStyle="1" w:styleId="CommentTextChar">
    <w:name w:val="Comment Text Char"/>
    <w:basedOn w:val="DefaultParagraphFont"/>
    <w:link w:val="CommentText"/>
    <w:uiPriority w:val="99"/>
    <w:rsid w:val="00861627"/>
    <w:rPr>
      <w:sz w:val="20"/>
      <w:szCs w:val="20"/>
    </w:rPr>
  </w:style>
  <w:style w:type="paragraph" w:styleId="CommentSubject">
    <w:name w:val="annotation subject"/>
    <w:basedOn w:val="CommentText"/>
    <w:next w:val="CommentText"/>
    <w:link w:val="CommentSubjectChar"/>
    <w:uiPriority w:val="99"/>
    <w:semiHidden/>
    <w:unhideWhenUsed/>
    <w:rsid w:val="00861627"/>
    <w:rPr>
      <w:b/>
      <w:bCs/>
    </w:rPr>
  </w:style>
  <w:style w:type="character" w:customStyle="1" w:styleId="CommentSubjectChar">
    <w:name w:val="Comment Subject Char"/>
    <w:basedOn w:val="CommentTextChar"/>
    <w:link w:val="CommentSubject"/>
    <w:uiPriority w:val="99"/>
    <w:semiHidden/>
    <w:rsid w:val="00861627"/>
    <w:rPr>
      <w:b/>
      <w:bCs/>
      <w:sz w:val="20"/>
      <w:szCs w:val="20"/>
    </w:rPr>
  </w:style>
  <w:style w:type="paragraph" w:styleId="NormalWeb">
    <w:name w:val="Normal (Web)"/>
    <w:basedOn w:val="Normal"/>
    <w:uiPriority w:val="99"/>
    <w:semiHidden/>
    <w:unhideWhenUsed/>
    <w:rsid w:val="00E13BCE"/>
    <w:rPr>
      <w:rFonts w:ascii="Times New Roman" w:hAnsi="Times New Roman" w:cs="Times New Roman"/>
    </w:rPr>
  </w:style>
  <w:style w:type="paragraph" w:customStyle="1" w:styleId="paragraph">
    <w:name w:val="paragraph"/>
    <w:basedOn w:val="Normal"/>
    <w:rsid w:val="002963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96350"/>
  </w:style>
  <w:style w:type="character" w:customStyle="1" w:styleId="eop">
    <w:name w:val="eop"/>
    <w:basedOn w:val="DefaultParagraphFont"/>
    <w:rsid w:val="00296350"/>
  </w:style>
  <w:style w:type="paragraph" w:styleId="Bibliography">
    <w:name w:val="Bibliography"/>
    <w:basedOn w:val="Normal"/>
    <w:next w:val="Normal"/>
    <w:uiPriority w:val="37"/>
    <w:unhideWhenUsed/>
    <w:rsid w:val="00F47DB4"/>
  </w:style>
  <w:style w:type="paragraph" w:styleId="Caption">
    <w:name w:val="caption"/>
    <w:basedOn w:val="Normal"/>
    <w:next w:val="Normal"/>
    <w:uiPriority w:val="35"/>
    <w:unhideWhenUsed/>
    <w:qFormat/>
    <w:rsid w:val="00F55608"/>
    <w:pPr>
      <w:spacing w:after="200" w:line="240" w:lineRule="auto"/>
    </w:pPr>
    <w:rPr>
      <w:i/>
      <w:iCs/>
      <w:color w:val="696464" w:themeColor="text2"/>
      <w:sz w:val="18"/>
      <w:szCs w:val="18"/>
    </w:rPr>
  </w:style>
  <w:style w:type="paragraph" w:styleId="TableofFigures">
    <w:name w:val="table of figures"/>
    <w:basedOn w:val="Normal"/>
    <w:next w:val="Normal"/>
    <w:uiPriority w:val="99"/>
    <w:unhideWhenUsed/>
    <w:rsid w:val="00B30CD9"/>
    <w:pPr>
      <w:spacing w:after="0"/>
    </w:pPr>
  </w:style>
  <w:style w:type="character" w:customStyle="1" w:styleId="ListParagraphChar">
    <w:name w:val="List Paragraph Char"/>
    <w:link w:val="ListParagraph"/>
    <w:uiPriority w:val="34"/>
    <w:locked/>
    <w:rsid w:val="001F4E2A"/>
  </w:style>
  <w:style w:type="paragraph" w:styleId="BodyText">
    <w:name w:val="Body Text"/>
    <w:basedOn w:val="Normal"/>
    <w:link w:val="BodyTextChar"/>
    <w:qFormat/>
    <w:rsid w:val="002E20FA"/>
    <w:pPr>
      <w:spacing w:before="180" w:after="180" w:line="240" w:lineRule="auto"/>
    </w:pPr>
    <w:rPr>
      <w:kern w:val="0"/>
      <w14:ligatures w14:val="none"/>
    </w:rPr>
  </w:style>
  <w:style w:type="character" w:customStyle="1" w:styleId="BodyTextChar">
    <w:name w:val="Body Text Char"/>
    <w:basedOn w:val="DefaultParagraphFont"/>
    <w:link w:val="BodyText"/>
    <w:rsid w:val="002E20FA"/>
    <w:rPr>
      <w:kern w:val="0"/>
      <w14:ligatures w14:val="none"/>
    </w:rPr>
  </w:style>
  <w:style w:type="paragraph" w:customStyle="1" w:styleId="FirstParagraph">
    <w:name w:val="First Paragraph"/>
    <w:basedOn w:val="BodyText"/>
    <w:next w:val="BodyText"/>
    <w:qFormat/>
    <w:rsid w:val="002E20FA"/>
  </w:style>
  <w:style w:type="paragraph" w:customStyle="1" w:styleId="Compact">
    <w:name w:val="Compact"/>
    <w:basedOn w:val="BodyText"/>
    <w:qFormat/>
    <w:rsid w:val="002E20FA"/>
    <w:pPr>
      <w:spacing w:before="36" w:after="36"/>
    </w:pPr>
  </w:style>
  <w:style w:type="paragraph" w:styleId="Header">
    <w:name w:val="header"/>
    <w:basedOn w:val="Normal"/>
    <w:link w:val="HeaderChar"/>
    <w:rsid w:val="002E20FA"/>
    <w:pPr>
      <w:tabs>
        <w:tab w:val="center" w:pos="4153"/>
        <w:tab w:val="right" w:pos="8306"/>
      </w:tabs>
      <w:spacing w:after="0" w:line="240" w:lineRule="auto"/>
    </w:pPr>
    <w:rPr>
      <w:rFonts w:ascii="Times New Roman" w:eastAsia="Times New Roman" w:hAnsi="Times New Roman" w:cs="Times New Roman"/>
      <w:kern w:val="0"/>
      <w14:ligatures w14:val="none"/>
    </w:rPr>
  </w:style>
  <w:style w:type="character" w:customStyle="1" w:styleId="HeaderChar">
    <w:name w:val="Header Char"/>
    <w:basedOn w:val="DefaultParagraphFont"/>
    <w:link w:val="Header"/>
    <w:rsid w:val="002E20FA"/>
    <w:rPr>
      <w:rFonts w:ascii="Times New Roman" w:eastAsia="Times New Roman" w:hAnsi="Times New Roman" w:cs="Times New Roman"/>
      <w:kern w:val="0"/>
      <w14:ligatures w14:val="none"/>
    </w:rPr>
  </w:style>
  <w:style w:type="paragraph" w:styleId="Footer">
    <w:name w:val="footer"/>
    <w:basedOn w:val="Normal"/>
    <w:link w:val="FooterChar"/>
    <w:rsid w:val="002E20FA"/>
    <w:pPr>
      <w:tabs>
        <w:tab w:val="center" w:pos="4153"/>
        <w:tab w:val="right" w:pos="8306"/>
      </w:tabs>
      <w:spacing w:after="0" w:line="240" w:lineRule="auto"/>
    </w:pPr>
    <w:rPr>
      <w:rFonts w:ascii="Times New Roman" w:eastAsia="Times New Roman" w:hAnsi="Times New Roman" w:cs="Times New Roman"/>
      <w:kern w:val="0"/>
      <w14:ligatures w14:val="none"/>
    </w:rPr>
  </w:style>
  <w:style w:type="character" w:customStyle="1" w:styleId="FooterChar">
    <w:name w:val="Footer Char"/>
    <w:basedOn w:val="DefaultParagraphFont"/>
    <w:link w:val="Footer"/>
    <w:rsid w:val="002E20FA"/>
    <w:rPr>
      <w:rFonts w:ascii="Times New Roman" w:eastAsia="Times New Roman" w:hAnsi="Times New Roman" w:cs="Times New Roman"/>
      <w:kern w:val="0"/>
      <w14:ligatures w14:val="none"/>
    </w:rPr>
  </w:style>
  <w:style w:type="paragraph" w:customStyle="1" w:styleId="Company">
    <w:name w:val="Company"/>
    <w:basedOn w:val="Normal"/>
    <w:rsid w:val="002E20FA"/>
    <w:pPr>
      <w:spacing w:before="120" w:after="240" w:line="240" w:lineRule="auto"/>
    </w:pPr>
    <w:rPr>
      <w:rFonts w:ascii="LegacySans" w:eastAsia="Times New Roman" w:hAnsi="LegacySans" w:cs="Times New Roman"/>
      <w:b/>
      <w:kern w:val="0"/>
      <w:szCs w:val="20"/>
      <w14:ligatures w14:val="none"/>
    </w:rPr>
  </w:style>
  <w:style w:type="paragraph" w:styleId="EndnoteText">
    <w:name w:val="endnote text"/>
    <w:basedOn w:val="Normal"/>
    <w:link w:val="EndnoteTextChar"/>
    <w:uiPriority w:val="99"/>
    <w:semiHidden/>
    <w:unhideWhenUsed/>
    <w:rsid w:val="009D7B9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D7B9F"/>
    <w:rPr>
      <w:sz w:val="20"/>
      <w:szCs w:val="20"/>
    </w:rPr>
  </w:style>
  <w:style w:type="character" w:styleId="EndnoteReference">
    <w:name w:val="endnote reference"/>
    <w:basedOn w:val="DefaultParagraphFont"/>
    <w:uiPriority w:val="99"/>
    <w:semiHidden/>
    <w:unhideWhenUsed/>
    <w:rsid w:val="009D7B9F"/>
    <w:rPr>
      <w:vertAlign w:val="superscript"/>
    </w:rPr>
  </w:style>
  <w:style w:type="character" w:styleId="LineNumber">
    <w:name w:val="line number"/>
    <w:basedOn w:val="DefaultParagraphFont"/>
    <w:uiPriority w:val="99"/>
    <w:semiHidden/>
    <w:unhideWhenUsed/>
    <w:rsid w:val="00555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5539">
      <w:bodyDiv w:val="1"/>
      <w:marLeft w:val="0"/>
      <w:marRight w:val="0"/>
      <w:marTop w:val="0"/>
      <w:marBottom w:val="0"/>
      <w:divBdr>
        <w:top w:val="none" w:sz="0" w:space="0" w:color="auto"/>
        <w:left w:val="none" w:sz="0" w:space="0" w:color="auto"/>
        <w:bottom w:val="none" w:sz="0" w:space="0" w:color="auto"/>
        <w:right w:val="none" w:sz="0" w:space="0" w:color="auto"/>
      </w:divBdr>
    </w:div>
    <w:div w:id="29652443">
      <w:bodyDiv w:val="1"/>
      <w:marLeft w:val="0"/>
      <w:marRight w:val="0"/>
      <w:marTop w:val="0"/>
      <w:marBottom w:val="0"/>
      <w:divBdr>
        <w:top w:val="none" w:sz="0" w:space="0" w:color="auto"/>
        <w:left w:val="none" w:sz="0" w:space="0" w:color="auto"/>
        <w:bottom w:val="none" w:sz="0" w:space="0" w:color="auto"/>
        <w:right w:val="none" w:sz="0" w:space="0" w:color="auto"/>
      </w:divBdr>
    </w:div>
    <w:div w:id="32654086">
      <w:bodyDiv w:val="1"/>
      <w:marLeft w:val="0"/>
      <w:marRight w:val="0"/>
      <w:marTop w:val="0"/>
      <w:marBottom w:val="0"/>
      <w:divBdr>
        <w:top w:val="none" w:sz="0" w:space="0" w:color="auto"/>
        <w:left w:val="none" w:sz="0" w:space="0" w:color="auto"/>
        <w:bottom w:val="none" w:sz="0" w:space="0" w:color="auto"/>
        <w:right w:val="none" w:sz="0" w:space="0" w:color="auto"/>
      </w:divBdr>
    </w:div>
    <w:div w:id="38477021">
      <w:bodyDiv w:val="1"/>
      <w:marLeft w:val="0"/>
      <w:marRight w:val="0"/>
      <w:marTop w:val="0"/>
      <w:marBottom w:val="0"/>
      <w:divBdr>
        <w:top w:val="none" w:sz="0" w:space="0" w:color="auto"/>
        <w:left w:val="none" w:sz="0" w:space="0" w:color="auto"/>
        <w:bottom w:val="none" w:sz="0" w:space="0" w:color="auto"/>
        <w:right w:val="none" w:sz="0" w:space="0" w:color="auto"/>
      </w:divBdr>
    </w:div>
    <w:div w:id="49575470">
      <w:bodyDiv w:val="1"/>
      <w:marLeft w:val="0"/>
      <w:marRight w:val="0"/>
      <w:marTop w:val="0"/>
      <w:marBottom w:val="0"/>
      <w:divBdr>
        <w:top w:val="none" w:sz="0" w:space="0" w:color="auto"/>
        <w:left w:val="none" w:sz="0" w:space="0" w:color="auto"/>
        <w:bottom w:val="none" w:sz="0" w:space="0" w:color="auto"/>
        <w:right w:val="none" w:sz="0" w:space="0" w:color="auto"/>
      </w:divBdr>
    </w:div>
    <w:div w:id="88232362">
      <w:bodyDiv w:val="1"/>
      <w:marLeft w:val="0"/>
      <w:marRight w:val="0"/>
      <w:marTop w:val="0"/>
      <w:marBottom w:val="0"/>
      <w:divBdr>
        <w:top w:val="none" w:sz="0" w:space="0" w:color="auto"/>
        <w:left w:val="none" w:sz="0" w:space="0" w:color="auto"/>
        <w:bottom w:val="none" w:sz="0" w:space="0" w:color="auto"/>
        <w:right w:val="none" w:sz="0" w:space="0" w:color="auto"/>
      </w:divBdr>
    </w:div>
    <w:div w:id="117800420">
      <w:bodyDiv w:val="1"/>
      <w:marLeft w:val="0"/>
      <w:marRight w:val="0"/>
      <w:marTop w:val="0"/>
      <w:marBottom w:val="0"/>
      <w:divBdr>
        <w:top w:val="none" w:sz="0" w:space="0" w:color="auto"/>
        <w:left w:val="none" w:sz="0" w:space="0" w:color="auto"/>
        <w:bottom w:val="none" w:sz="0" w:space="0" w:color="auto"/>
        <w:right w:val="none" w:sz="0" w:space="0" w:color="auto"/>
      </w:divBdr>
    </w:div>
    <w:div w:id="141655527">
      <w:bodyDiv w:val="1"/>
      <w:marLeft w:val="0"/>
      <w:marRight w:val="0"/>
      <w:marTop w:val="0"/>
      <w:marBottom w:val="0"/>
      <w:divBdr>
        <w:top w:val="none" w:sz="0" w:space="0" w:color="auto"/>
        <w:left w:val="none" w:sz="0" w:space="0" w:color="auto"/>
        <w:bottom w:val="none" w:sz="0" w:space="0" w:color="auto"/>
        <w:right w:val="none" w:sz="0" w:space="0" w:color="auto"/>
      </w:divBdr>
    </w:div>
    <w:div w:id="259719862">
      <w:bodyDiv w:val="1"/>
      <w:marLeft w:val="0"/>
      <w:marRight w:val="0"/>
      <w:marTop w:val="0"/>
      <w:marBottom w:val="0"/>
      <w:divBdr>
        <w:top w:val="none" w:sz="0" w:space="0" w:color="auto"/>
        <w:left w:val="none" w:sz="0" w:space="0" w:color="auto"/>
        <w:bottom w:val="none" w:sz="0" w:space="0" w:color="auto"/>
        <w:right w:val="none" w:sz="0" w:space="0" w:color="auto"/>
      </w:divBdr>
    </w:div>
    <w:div w:id="274682495">
      <w:bodyDiv w:val="1"/>
      <w:marLeft w:val="0"/>
      <w:marRight w:val="0"/>
      <w:marTop w:val="0"/>
      <w:marBottom w:val="0"/>
      <w:divBdr>
        <w:top w:val="none" w:sz="0" w:space="0" w:color="auto"/>
        <w:left w:val="none" w:sz="0" w:space="0" w:color="auto"/>
        <w:bottom w:val="none" w:sz="0" w:space="0" w:color="auto"/>
        <w:right w:val="none" w:sz="0" w:space="0" w:color="auto"/>
      </w:divBdr>
    </w:div>
    <w:div w:id="293565671">
      <w:bodyDiv w:val="1"/>
      <w:marLeft w:val="0"/>
      <w:marRight w:val="0"/>
      <w:marTop w:val="0"/>
      <w:marBottom w:val="0"/>
      <w:divBdr>
        <w:top w:val="none" w:sz="0" w:space="0" w:color="auto"/>
        <w:left w:val="none" w:sz="0" w:space="0" w:color="auto"/>
        <w:bottom w:val="none" w:sz="0" w:space="0" w:color="auto"/>
        <w:right w:val="none" w:sz="0" w:space="0" w:color="auto"/>
      </w:divBdr>
    </w:div>
    <w:div w:id="314265191">
      <w:bodyDiv w:val="1"/>
      <w:marLeft w:val="0"/>
      <w:marRight w:val="0"/>
      <w:marTop w:val="0"/>
      <w:marBottom w:val="0"/>
      <w:divBdr>
        <w:top w:val="none" w:sz="0" w:space="0" w:color="auto"/>
        <w:left w:val="none" w:sz="0" w:space="0" w:color="auto"/>
        <w:bottom w:val="none" w:sz="0" w:space="0" w:color="auto"/>
        <w:right w:val="none" w:sz="0" w:space="0" w:color="auto"/>
      </w:divBdr>
    </w:div>
    <w:div w:id="326053294">
      <w:bodyDiv w:val="1"/>
      <w:marLeft w:val="0"/>
      <w:marRight w:val="0"/>
      <w:marTop w:val="0"/>
      <w:marBottom w:val="0"/>
      <w:divBdr>
        <w:top w:val="none" w:sz="0" w:space="0" w:color="auto"/>
        <w:left w:val="none" w:sz="0" w:space="0" w:color="auto"/>
        <w:bottom w:val="none" w:sz="0" w:space="0" w:color="auto"/>
        <w:right w:val="none" w:sz="0" w:space="0" w:color="auto"/>
      </w:divBdr>
    </w:div>
    <w:div w:id="344400607">
      <w:bodyDiv w:val="1"/>
      <w:marLeft w:val="0"/>
      <w:marRight w:val="0"/>
      <w:marTop w:val="0"/>
      <w:marBottom w:val="0"/>
      <w:divBdr>
        <w:top w:val="none" w:sz="0" w:space="0" w:color="auto"/>
        <w:left w:val="none" w:sz="0" w:space="0" w:color="auto"/>
        <w:bottom w:val="none" w:sz="0" w:space="0" w:color="auto"/>
        <w:right w:val="none" w:sz="0" w:space="0" w:color="auto"/>
      </w:divBdr>
    </w:div>
    <w:div w:id="344480741">
      <w:bodyDiv w:val="1"/>
      <w:marLeft w:val="0"/>
      <w:marRight w:val="0"/>
      <w:marTop w:val="0"/>
      <w:marBottom w:val="0"/>
      <w:divBdr>
        <w:top w:val="none" w:sz="0" w:space="0" w:color="auto"/>
        <w:left w:val="none" w:sz="0" w:space="0" w:color="auto"/>
        <w:bottom w:val="none" w:sz="0" w:space="0" w:color="auto"/>
        <w:right w:val="none" w:sz="0" w:space="0" w:color="auto"/>
      </w:divBdr>
    </w:div>
    <w:div w:id="344987262">
      <w:bodyDiv w:val="1"/>
      <w:marLeft w:val="0"/>
      <w:marRight w:val="0"/>
      <w:marTop w:val="0"/>
      <w:marBottom w:val="0"/>
      <w:divBdr>
        <w:top w:val="none" w:sz="0" w:space="0" w:color="auto"/>
        <w:left w:val="none" w:sz="0" w:space="0" w:color="auto"/>
        <w:bottom w:val="none" w:sz="0" w:space="0" w:color="auto"/>
        <w:right w:val="none" w:sz="0" w:space="0" w:color="auto"/>
      </w:divBdr>
    </w:div>
    <w:div w:id="394284947">
      <w:bodyDiv w:val="1"/>
      <w:marLeft w:val="0"/>
      <w:marRight w:val="0"/>
      <w:marTop w:val="0"/>
      <w:marBottom w:val="0"/>
      <w:divBdr>
        <w:top w:val="none" w:sz="0" w:space="0" w:color="auto"/>
        <w:left w:val="none" w:sz="0" w:space="0" w:color="auto"/>
        <w:bottom w:val="none" w:sz="0" w:space="0" w:color="auto"/>
        <w:right w:val="none" w:sz="0" w:space="0" w:color="auto"/>
      </w:divBdr>
    </w:div>
    <w:div w:id="458883237">
      <w:bodyDiv w:val="1"/>
      <w:marLeft w:val="0"/>
      <w:marRight w:val="0"/>
      <w:marTop w:val="0"/>
      <w:marBottom w:val="0"/>
      <w:divBdr>
        <w:top w:val="none" w:sz="0" w:space="0" w:color="auto"/>
        <w:left w:val="none" w:sz="0" w:space="0" w:color="auto"/>
        <w:bottom w:val="none" w:sz="0" w:space="0" w:color="auto"/>
        <w:right w:val="none" w:sz="0" w:space="0" w:color="auto"/>
      </w:divBdr>
    </w:div>
    <w:div w:id="471412038">
      <w:bodyDiv w:val="1"/>
      <w:marLeft w:val="0"/>
      <w:marRight w:val="0"/>
      <w:marTop w:val="0"/>
      <w:marBottom w:val="0"/>
      <w:divBdr>
        <w:top w:val="none" w:sz="0" w:space="0" w:color="auto"/>
        <w:left w:val="none" w:sz="0" w:space="0" w:color="auto"/>
        <w:bottom w:val="none" w:sz="0" w:space="0" w:color="auto"/>
        <w:right w:val="none" w:sz="0" w:space="0" w:color="auto"/>
      </w:divBdr>
    </w:div>
    <w:div w:id="480079568">
      <w:bodyDiv w:val="1"/>
      <w:marLeft w:val="0"/>
      <w:marRight w:val="0"/>
      <w:marTop w:val="0"/>
      <w:marBottom w:val="0"/>
      <w:divBdr>
        <w:top w:val="none" w:sz="0" w:space="0" w:color="auto"/>
        <w:left w:val="none" w:sz="0" w:space="0" w:color="auto"/>
        <w:bottom w:val="none" w:sz="0" w:space="0" w:color="auto"/>
        <w:right w:val="none" w:sz="0" w:space="0" w:color="auto"/>
      </w:divBdr>
    </w:div>
    <w:div w:id="481509418">
      <w:bodyDiv w:val="1"/>
      <w:marLeft w:val="0"/>
      <w:marRight w:val="0"/>
      <w:marTop w:val="0"/>
      <w:marBottom w:val="0"/>
      <w:divBdr>
        <w:top w:val="none" w:sz="0" w:space="0" w:color="auto"/>
        <w:left w:val="none" w:sz="0" w:space="0" w:color="auto"/>
        <w:bottom w:val="none" w:sz="0" w:space="0" w:color="auto"/>
        <w:right w:val="none" w:sz="0" w:space="0" w:color="auto"/>
      </w:divBdr>
    </w:div>
    <w:div w:id="509149188">
      <w:bodyDiv w:val="1"/>
      <w:marLeft w:val="0"/>
      <w:marRight w:val="0"/>
      <w:marTop w:val="0"/>
      <w:marBottom w:val="0"/>
      <w:divBdr>
        <w:top w:val="none" w:sz="0" w:space="0" w:color="auto"/>
        <w:left w:val="none" w:sz="0" w:space="0" w:color="auto"/>
        <w:bottom w:val="none" w:sz="0" w:space="0" w:color="auto"/>
        <w:right w:val="none" w:sz="0" w:space="0" w:color="auto"/>
      </w:divBdr>
    </w:div>
    <w:div w:id="534315327">
      <w:bodyDiv w:val="1"/>
      <w:marLeft w:val="0"/>
      <w:marRight w:val="0"/>
      <w:marTop w:val="0"/>
      <w:marBottom w:val="0"/>
      <w:divBdr>
        <w:top w:val="none" w:sz="0" w:space="0" w:color="auto"/>
        <w:left w:val="none" w:sz="0" w:space="0" w:color="auto"/>
        <w:bottom w:val="none" w:sz="0" w:space="0" w:color="auto"/>
        <w:right w:val="none" w:sz="0" w:space="0" w:color="auto"/>
      </w:divBdr>
    </w:div>
    <w:div w:id="604338606">
      <w:bodyDiv w:val="1"/>
      <w:marLeft w:val="0"/>
      <w:marRight w:val="0"/>
      <w:marTop w:val="0"/>
      <w:marBottom w:val="0"/>
      <w:divBdr>
        <w:top w:val="none" w:sz="0" w:space="0" w:color="auto"/>
        <w:left w:val="none" w:sz="0" w:space="0" w:color="auto"/>
        <w:bottom w:val="none" w:sz="0" w:space="0" w:color="auto"/>
        <w:right w:val="none" w:sz="0" w:space="0" w:color="auto"/>
      </w:divBdr>
    </w:div>
    <w:div w:id="626090073">
      <w:bodyDiv w:val="1"/>
      <w:marLeft w:val="0"/>
      <w:marRight w:val="0"/>
      <w:marTop w:val="0"/>
      <w:marBottom w:val="0"/>
      <w:divBdr>
        <w:top w:val="none" w:sz="0" w:space="0" w:color="auto"/>
        <w:left w:val="none" w:sz="0" w:space="0" w:color="auto"/>
        <w:bottom w:val="none" w:sz="0" w:space="0" w:color="auto"/>
        <w:right w:val="none" w:sz="0" w:space="0" w:color="auto"/>
      </w:divBdr>
    </w:div>
    <w:div w:id="626205408">
      <w:bodyDiv w:val="1"/>
      <w:marLeft w:val="0"/>
      <w:marRight w:val="0"/>
      <w:marTop w:val="0"/>
      <w:marBottom w:val="0"/>
      <w:divBdr>
        <w:top w:val="none" w:sz="0" w:space="0" w:color="auto"/>
        <w:left w:val="none" w:sz="0" w:space="0" w:color="auto"/>
        <w:bottom w:val="none" w:sz="0" w:space="0" w:color="auto"/>
        <w:right w:val="none" w:sz="0" w:space="0" w:color="auto"/>
      </w:divBdr>
    </w:div>
    <w:div w:id="645162161">
      <w:bodyDiv w:val="1"/>
      <w:marLeft w:val="0"/>
      <w:marRight w:val="0"/>
      <w:marTop w:val="0"/>
      <w:marBottom w:val="0"/>
      <w:divBdr>
        <w:top w:val="none" w:sz="0" w:space="0" w:color="auto"/>
        <w:left w:val="none" w:sz="0" w:space="0" w:color="auto"/>
        <w:bottom w:val="none" w:sz="0" w:space="0" w:color="auto"/>
        <w:right w:val="none" w:sz="0" w:space="0" w:color="auto"/>
      </w:divBdr>
    </w:div>
    <w:div w:id="675303471">
      <w:bodyDiv w:val="1"/>
      <w:marLeft w:val="0"/>
      <w:marRight w:val="0"/>
      <w:marTop w:val="0"/>
      <w:marBottom w:val="0"/>
      <w:divBdr>
        <w:top w:val="none" w:sz="0" w:space="0" w:color="auto"/>
        <w:left w:val="none" w:sz="0" w:space="0" w:color="auto"/>
        <w:bottom w:val="none" w:sz="0" w:space="0" w:color="auto"/>
        <w:right w:val="none" w:sz="0" w:space="0" w:color="auto"/>
      </w:divBdr>
    </w:div>
    <w:div w:id="698048884">
      <w:marLeft w:val="0"/>
      <w:marRight w:val="0"/>
      <w:marTop w:val="0"/>
      <w:marBottom w:val="0"/>
      <w:divBdr>
        <w:top w:val="none" w:sz="0" w:space="0" w:color="auto"/>
        <w:left w:val="none" w:sz="0" w:space="0" w:color="auto"/>
        <w:bottom w:val="none" w:sz="0" w:space="0" w:color="auto"/>
        <w:right w:val="none" w:sz="0" w:space="0" w:color="auto"/>
      </w:divBdr>
    </w:div>
    <w:div w:id="700398145">
      <w:bodyDiv w:val="1"/>
      <w:marLeft w:val="0"/>
      <w:marRight w:val="0"/>
      <w:marTop w:val="0"/>
      <w:marBottom w:val="0"/>
      <w:divBdr>
        <w:top w:val="none" w:sz="0" w:space="0" w:color="auto"/>
        <w:left w:val="none" w:sz="0" w:space="0" w:color="auto"/>
        <w:bottom w:val="none" w:sz="0" w:space="0" w:color="auto"/>
        <w:right w:val="none" w:sz="0" w:space="0" w:color="auto"/>
      </w:divBdr>
    </w:div>
    <w:div w:id="710693315">
      <w:bodyDiv w:val="1"/>
      <w:marLeft w:val="0"/>
      <w:marRight w:val="0"/>
      <w:marTop w:val="0"/>
      <w:marBottom w:val="0"/>
      <w:divBdr>
        <w:top w:val="none" w:sz="0" w:space="0" w:color="auto"/>
        <w:left w:val="none" w:sz="0" w:space="0" w:color="auto"/>
        <w:bottom w:val="none" w:sz="0" w:space="0" w:color="auto"/>
        <w:right w:val="none" w:sz="0" w:space="0" w:color="auto"/>
      </w:divBdr>
    </w:div>
    <w:div w:id="803624598">
      <w:bodyDiv w:val="1"/>
      <w:marLeft w:val="0"/>
      <w:marRight w:val="0"/>
      <w:marTop w:val="0"/>
      <w:marBottom w:val="0"/>
      <w:divBdr>
        <w:top w:val="none" w:sz="0" w:space="0" w:color="auto"/>
        <w:left w:val="none" w:sz="0" w:space="0" w:color="auto"/>
        <w:bottom w:val="none" w:sz="0" w:space="0" w:color="auto"/>
        <w:right w:val="none" w:sz="0" w:space="0" w:color="auto"/>
      </w:divBdr>
    </w:div>
    <w:div w:id="817499940">
      <w:bodyDiv w:val="1"/>
      <w:marLeft w:val="0"/>
      <w:marRight w:val="0"/>
      <w:marTop w:val="0"/>
      <w:marBottom w:val="0"/>
      <w:divBdr>
        <w:top w:val="none" w:sz="0" w:space="0" w:color="auto"/>
        <w:left w:val="none" w:sz="0" w:space="0" w:color="auto"/>
        <w:bottom w:val="none" w:sz="0" w:space="0" w:color="auto"/>
        <w:right w:val="none" w:sz="0" w:space="0" w:color="auto"/>
      </w:divBdr>
    </w:div>
    <w:div w:id="844636440">
      <w:bodyDiv w:val="1"/>
      <w:marLeft w:val="0"/>
      <w:marRight w:val="0"/>
      <w:marTop w:val="0"/>
      <w:marBottom w:val="0"/>
      <w:divBdr>
        <w:top w:val="none" w:sz="0" w:space="0" w:color="auto"/>
        <w:left w:val="none" w:sz="0" w:space="0" w:color="auto"/>
        <w:bottom w:val="none" w:sz="0" w:space="0" w:color="auto"/>
        <w:right w:val="none" w:sz="0" w:space="0" w:color="auto"/>
      </w:divBdr>
    </w:div>
    <w:div w:id="855466179">
      <w:bodyDiv w:val="1"/>
      <w:marLeft w:val="0"/>
      <w:marRight w:val="0"/>
      <w:marTop w:val="0"/>
      <w:marBottom w:val="0"/>
      <w:divBdr>
        <w:top w:val="none" w:sz="0" w:space="0" w:color="auto"/>
        <w:left w:val="none" w:sz="0" w:space="0" w:color="auto"/>
        <w:bottom w:val="none" w:sz="0" w:space="0" w:color="auto"/>
        <w:right w:val="none" w:sz="0" w:space="0" w:color="auto"/>
      </w:divBdr>
    </w:div>
    <w:div w:id="912204104">
      <w:bodyDiv w:val="1"/>
      <w:marLeft w:val="0"/>
      <w:marRight w:val="0"/>
      <w:marTop w:val="0"/>
      <w:marBottom w:val="0"/>
      <w:divBdr>
        <w:top w:val="none" w:sz="0" w:space="0" w:color="auto"/>
        <w:left w:val="none" w:sz="0" w:space="0" w:color="auto"/>
        <w:bottom w:val="none" w:sz="0" w:space="0" w:color="auto"/>
        <w:right w:val="none" w:sz="0" w:space="0" w:color="auto"/>
      </w:divBdr>
    </w:div>
    <w:div w:id="948008451">
      <w:bodyDiv w:val="1"/>
      <w:marLeft w:val="0"/>
      <w:marRight w:val="0"/>
      <w:marTop w:val="0"/>
      <w:marBottom w:val="0"/>
      <w:divBdr>
        <w:top w:val="none" w:sz="0" w:space="0" w:color="auto"/>
        <w:left w:val="none" w:sz="0" w:space="0" w:color="auto"/>
        <w:bottom w:val="none" w:sz="0" w:space="0" w:color="auto"/>
        <w:right w:val="none" w:sz="0" w:space="0" w:color="auto"/>
      </w:divBdr>
    </w:div>
    <w:div w:id="997659493">
      <w:bodyDiv w:val="1"/>
      <w:marLeft w:val="0"/>
      <w:marRight w:val="0"/>
      <w:marTop w:val="0"/>
      <w:marBottom w:val="0"/>
      <w:divBdr>
        <w:top w:val="none" w:sz="0" w:space="0" w:color="auto"/>
        <w:left w:val="none" w:sz="0" w:space="0" w:color="auto"/>
        <w:bottom w:val="none" w:sz="0" w:space="0" w:color="auto"/>
        <w:right w:val="none" w:sz="0" w:space="0" w:color="auto"/>
      </w:divBdr>
    </w:div>
    <w:div w:id="1069965306">
      <w:bodyDiv w:val="1"/>
      <w:marLeft w:val="0"/>
      <w:marRight w:val="0"/>
      <w:marTop w:val="0"/>
      <w:marBottom w:val="0"/>
      <w:divBdr>
        <w:top w:val="none" w:sz="0" w:space="0" w:color="auto"/>
        <w:left w:val="none" w:sz="0" w:space="0" w:color="auto"/>
        <w:bottom w:val="none" w:sz="0" w:space="0" w:color="auto"/>
        <w:right w:val="none" w:sz="0" w:space="0" w:color="auto"/>
      </w:divBdr>
    </w:div>
    <w:div w:id="1075317407">
      <w:marLeft w:val="0"/>
      <w:marRight w:val="0"/>
      <w:marTop w:val="0"/>
      <w:marBottom w:val="0"/>
      <w:divBdr>
        <w:top w:val="none" w:sz="0" w:space="0" w:color="auto"/>
        <w:left w:val="none" w:sz="0" w:space="0" w:color="auto"/>
        <w:bottom w:val="none" w:sz="0" w:space="0" w:color="auto"/>
        <w:right w:val="none" w:sz="0" w:space="0" w:color="auto"/>
      </w:divBdr>
    </w:div>
    <w:div w:id="1086682375">
      <w:bodyDiv w:val="1"/>
      <w:marLeft w:val="0"/>
      <w:marRight w:val="0"/>
      <w:marTop w:val="0"/>
      <w:marBottom w:val="0"/>
      <w:divBdr>
        <w:top w:val="none" w:sz="0" w:space="0" w:color="auto"/>
        <w:left w:val="none" w:sz="0" w:space="0" w:color="auto"/>
        <w:bottom w:val="none" w:sz="0" w:space="0" w:color="auto"/>
        <w:right w:val="none" w:sz="0" w:space="0" w:color="auto"/>
      </w:divBdr>
    </w:div>
    <w:div w:id="1124888694">
      <w:bodyDiv w:val="1"/>
      <w:marLeft w:val="0"/>
      <w:marRight w:val="0"/>
      <w:marTop w:val="0"/>
      <w:marBottom w:val="0"/>
      <w:divBdr>
        <w:top w:val="none" w:sz="0" w:space="0" w:color="auto"/>
        <w:left w:val="none" w:sz="0" w:space="0" w:color="auto"/>
        <w:bottom w:val="none" w:sz="0" w:space="0" w:color="auto"/>
        <w:right w:val="none" w:sz="0" w:space="0" w:color="auto"/>
      </w:divBdr>
    </w:div>
    <w:div w:id="1150173803">
      <w:bodyDiv w:val="1"/>
      <w:marLeft w:val="0"/>
      <w:marRight w:val="0"/>
      <w:marTop w:val="0"/>
      <w:marBottom w:val="0"/>
      <w:divBdr>
        <w:top w:val="none" w:sz="0" w:space="0" w:color="auto"/>
        <w:left w:val="none" w:sz="0" w:space="0" w:color="auto"/>
        <w:bottom w:val="none" w:sz="0" w:space="0" w:color="auto"/>
        <w:right w:val="none" w:sz="0" w:space="0" w:color="auto"/>
      </w:divBdr>
    </w:div>
    <w:div w:id="1160930490">
      <w:bodyDiv w:val="1"/>
      <w:marLeft w:val="0"/>
      <w:marRight w:val="0"/>
      <w:marTop w:val="0"/>
      <w:marBottom w:val="0"/>
      <w:divBdr>
        <w:top w:val="none" w:sz="0" w:space="0" w:color="auto"/>
        <w:left w:val="none" w:sz="0" w:space="0" w:color="auto"/>
        <w:bottom w:val="none" w:sz="0" w:space="0" w:color="auto"/>
        <w:right w:val="none" w:sz="0" w:space="0" w:color="auto"/>
      </w:divBdr>
    </w:div>
    <w:div w:id="1174806820">
      <w:bodyDiv w:val="1"/>
      <w:marLeft w:val="0"/>
      <w:marRight w:val="0"/>
      <w:marTop w:val="0"/>
      <w:marBottom w:val="0"/>
      <w:divBdr>
        <w:top w:val="none" w:sz="0" w:space="0" w:color="auto"/>
        <w:left w:val="none" w:sz="0" w:space="0" w:color="auto"/>
        <w:bottom w:val="none" w:sz="0" w:space="0" w:color="auto"/>
        <w:right w:val="none" w:sz="0" w:space="0" w:color="auto"/>
      </w:divBdr>
    </w:div>
    <w:div w:id="1190994588">
      <w:bodyDiv w:val="1"/>
      <w:marLeft w:val="0"/>
      <w:marRight w:val="0"/>
      <w:marTop w:val="0"/>
      <w:marBottom w:val="0"/>
      <w:divBdr>
        <w:top w:val="none" w:sz="0" w:space="0" w:color="auto"/>
        <w:left w:val="none" w:sz="0" w:space="0" w:color="auto"/>
        <w:bottom w:val="none" w:sz="0" w:space="0" w:color="auto"/>
        <w:right w:val="none" w:sz="0" w:space="0" w:color="auto"/>
      </w:divBdr>
    </w:div>
    <w:div w:id="1198470225">
      <w:bodyDiv w:val="1"/>
      <w:marLeft w:val="0"/>
      <w:marRight w:val="0"/>
      <w:marTop w:val="0"/>
      <w:marBottom w:val="0"/>
      <w:divBdr>
        <w:top w:val="none" w:sz="0" w:space="0" w:color="auto"/>
        <w:left w:val="none" w:sz="0" w:space="0" w:color="auto"/>
        <w:bottom w:val="none" w:sz="0" w:space="0" w:color="auto"/>
        <w:right w:val="none" w:sz="0" w:space="0" w:color="auto"/>
      </w:divBdr>
    </w:div>
    <w:div w:id="1210612664">
      <w:bodyDiv w:val="1"/>
      <w:marLeft w:val="0"/>
      <w:marRight w:val="0"/>
      <w:marTop w:val="0"/>
      <w:marBottom w:val="0"/>
      <w:divBdr>
        <w:top w:val="none" w:sz="0" w:space="0" w:color="auto"/>
        <w:left w:val="none" w:sz="0" w:space="0" w:color="auto"/>
        <w:bottom w:val="none" w:sz="0" w:space="0" w:color="auto"/>
        <w:right w:val="none" w:sz="0" w:space="0" w:color="auto"/>
      </w:divBdr>
    </w:div>
    <w:div w:id="1222208708">
      <w:bodyDiv w:val="1"/>
      <w:marLeft w:val="0"/>
      <w:marRight w:val="0"/>
      <w:marTop w:val="0"/>
      <w:marBottom w:val="0"/>
      <w:divBdr>
        <w:top w:val="none" w:sz="0" w:space="0" w:color="auto"/>
        <w:left w:val="none" w:sz="0" w:space="0" w:color="auto"/>
        <w:bottom w:val="none" w:sz="0" w:space="0" w:color="auto"/>
        <w:right w:val="none" w:sz="0" w:space="0" w:color="auto"/>
      </w:divBdr>
    </w:div>
    <w:div w:id="1226645627">
      <w:bodyDiv w:val="1"/>
      <w:marLeft w:val="0"/>
      <w:marRight w:val="0"/>
      <w:marTop w:val="0"/>
      <w:marBottom w:val="0"/>
      <w:divBdr>
        <w:top w:val="none" w:sz="0" w:space="0" w:color="auto"/>
        <w:left w:val="none" w:sz="0" w:space="0" w:color="auto"/>
        <w:bottom w:val="none" w:sz="0" w:space="0" w:color="auto"/>
        <w:right w:val="none" w:sz="0" w:space="0" w:color="auto"/>
      </w:divBdr>
    </w:div>
    <w:div w:id="1278412381">
      <w:bodyDiv w:val="1"/>
      <w:marLeft w:val="0"/>
      <w:marRight w:val="0"/>
      <w:marTop w:val="0"/>
      <w:marBottom w:val="0"/>
      <w:divBdr>
        <w:top w:val="none" w:sz="0" w:space="0" w:color="auto"/>
        <w:left w:val="none" w:sz="0" w:space="0" w:color="auto"/>
        <w:bottom w:val="none" w:sz="0" w:space="0" w:color="auto"/>
        <w:right w:val="none" w:sz="0" w:space="0" w:color="auto"/>
      </w:divBdr>
    </w:div>
    <w:div w:id="1316759472">
      <w:bodyDiv w:val="1"/>
      <w:marLeft w:val="0"/>
      <w:marRight w:val="0"/>
      <w:marTop w:val="0"/>
      <w:marBottom w:val="0"/>
      <w:divBdr>
        <w:top w:val="none" w:sz="0" w:space="0" w:color="auto"/>
        <w:left w:val="none" w:sz="0" w:space="0" w:color="auto"/>
        <w:bottom w:val="none" w:sz="0" w:space="0" w:color="auto"/>
        <w:right w:val="none" w:sz="0" w:space="0" w:color="auto"/>
      </w:divBdr>
    </w:div>
    <w:div w:id="1323657325">
      <w:bodyDiv w:val="1"/>
      <w:marLeft w:val="0"/>
      <w:marRight w:val="0"/>
      <w:marTop w:val="0"/>
      <w:marBottom w:val="0"/>
      <w:divBdr>
        <w:top w:val="none" w:sz="0" w:space="0" w:color="auto"/>
        <w:left w:val="none" w:sz="0" w:space="0" w:color="auto"/>
        <w:bottom w:val="none" w:sz="0" w:space="0" w:color="auto"/>
        <w:right w:val="none" w:sz="0" w:space="0" w:color="auto"/>
      </w:divBdr>
    </w:div>
    <w:div w:id="1332103868">
      <w:bodyDiv w:val="1"/>
      <w:marLeft w:val="0"/>
      <w:marRight w:val="0"/>
      <w:marTop w:val="0"/>
      <w:marBottom w:val="0"/>
      <w:divBdr>
        <w:top w:val="none" w:sz="0" w:space="0" w:color="auto"/>
        <w:left w:val="none" w:sz="0" w:space="0" w:color="auto"/>
        <w:bottom w:val="none" w:sz="0" w:space="0" w:color="auto"/>
        <w:right w:val="none" w:sz="0" w:space="0" w:color="auto"/>
      </w:divBdr>
    </w:div>
    <w:div w:id="1354921633">
      <w:bodyDiv w:val="1"/>
      <w:marLeft w:val="0"/>
      <w:marRight w:val="0"/>
      <w:marTop w:val="0"/>
      <w:marBottom w:val="0"/>
      <w:divBdr>
        <w:top w:val="none" w:sz="0" w:space="0" w:color="auto"/>
        <w:left w:val="none" w:sz="0" w:space="0" w:color="auto"/>
        <w:bottom w:val="none" w:sz="0" w:space="0" w:color="auto"/>
        <w:right w:val="none" w:sz="0" w:space="0" w:color="auto"/>
      </w:divBdr>
    </w:div>
    <w:div w:id="1372265448">
      <w:bodyDiv w:val="1"/>
      <w:marLeft w:val="0"/>
      <w:marRight w:val="0"/>
      <w:marTop w:val="0"/>
      <w:marBottom w:val="0"/>
      <w:divBdr>
        <w:top w:val="none" w:sz="0" w:space="0" w:color="auto"/>
        <w:left w:val="none" w:sz="0" w:space="0" w:color="auto"/>
        <w:bottom w:val="none" w:sz="0" w:space="0" w:color="auto"/>
        <w:right w:val="none" w:sz="0" w:space="0" w:color="auto"/>
      </w:divBdr>
    </w:div>
    <w:div w:id="1384795414">
      <w:bodyDiv w:val="1"/>
      <w:marLeft w:val="0"/>
      <w:marRight w:val="0"/>
      <w:marTop w:val="0"/>
      <w:marBottom w:val="0"/>
      <w:divBdr>
        <w:top w:val="none" w:sz="0" w:space="0" w:color="auto"/>
        <w:left w:val="none" w:sz="0" w:space="0" w:color="auto"/>
        <w:bottom w:val="none" w:sz="0" w:space="0" w:color="auto"/>
        <w:right w:val="none" w:sz="0" w:space="0" w:color="auto"/>
      </w:divBdr>
    </w:div>
    <w:div w:id="1414624934">
      <w:bodyDiv w:val="1"/>
      <w:marLeft w:val="0"/>
      <w:marRight w:val="0"/>
      <w:marTop w:val="0"/>
      <w:marBottom w:val="0"/>
      <w:divBdr>
        <w:top w:val="none" w:sz="0" w:space="0" w:color="auto"/>
        <w:left w:val="none" w:sz="0" w:space="0" w:color="auto"/>
        <w:bottom w:val="none" w:sz="0" w:space="0" w:color="auto"/>
        <w:right w:val="none" w:sz="0" w:space="0" w:color="auto"/>
      </w:divBdr>
    </w:div>
    <w:div w:id="1449857636">
      <w:bodyDiv w:val="1"/>
      <w:marLeft w:val="0"/>
      <w:marRight w:val="0"/>
      <w:marTop w:val="0"/>
      <w:marBottom w:val="0"/>
      <w:divBdr>
        <w:top w:val="none" w:sz="0" w:space="0" w:color="auto"/>
        <w:left w:val="none" w:sz="0" w:space="0" w:color="auto"/>
        <w:bottom w:val="none" w:sz="0" w:space="0" w:color="auto"/>
        <w:right w:val="none" w:sz="0" w:space="0" w:color="auto"/>
      </w:divBdr>
    </w:div>
    <w:div w:id="1454709303">
      <w:bodyDiv w:val="1"/>
      <w:marLeft w:val="0"/>
      <w:marRight w:val="0"/>
      <w:marTop w:val="0"/>
      <w:marBottom w:val="0"/>
      <w:divBdr>
        <w:top w:val="none" w:sz="0" w:space="0" w:color="auto"/>
        <w:left w:val="none" w:sz="0" w:space="0" w:color="auto"/>
        <w:bottom w:val="none" w:sz="0" w:space="0" w:color="auto"/>
        <w:right w:val="none" w:sz="0" w:space="0" w:color="auto"/>
      </w:divBdr>
    </w:div>
    <w:div w:id="1466309434">
      <w:bodyDiv w:val="1"/>
      <w:marLeft w:val="0"/>
      <w:marRight w:val="0"/>
      <w:marTop w:val="0"/>
      <w:marBottom w:val="0"/>
      <w:divBdr>
        <w:top w:val="none" w:sz="0" w:space="0" w:color="auto"/>
        <w:left w:val="none" w:sz="0" w:space="0" w:color="auto"/>
        <w:bottom w:val="none" w:sz="0" w:space="0" w:color="auto"/>
        <w:right w:val="none" w:sz="0" w:space="0" w:color="auto"/>
      </w:divBdr>
    </w:div>
    <w:div w:id="1513954190">
      <w:bodyDiv w:val="1"/>
      <w:marLeft w:val="0"/>
      <w:marRight w:val="0"/>
      <w:marTop w:val="0"/>
      <w:marBottom w:val="0"/>
      <w:divBdr>
        <w:top w:val="none" w:sz="0" w:space="0" w:color="auto"/>
        <w:left w:val="none" w:sz="0" w:space="0" w:color="auto"/>
        <w:bottom w:val="none" w:sz="0" w:space="0" w:color="auto"/>
        <w:right w:val="none" w:sz="0" w:space="0" w:color="auto"/>
      </w:divBdr>
    </w:div>
    <w:div w:id="1527600229">
      <w:bodyDiv w:val="1"/>
      <w:marLeft w:val="0"/>
      <w:marRight w:val="0"/>
      <w:marTop w:val="0"/>
      <w:marBottom w:val="0"/>
      <w:divBdr>
        <w:top w:val="none" w:sz="0" w:space="0" w:color="auto"/>
        <w:left w:val="none" w:sz="0" w:space="0" w:color="auto"/>
        <w:bottom w:val="none" w:sz="0" w:space="0" w:color="auto"/>
        <w:right w:val="none" w:sz="0" w:space="0" w:color="auto"/>
      </w:divBdr>
    </w:div>
    <w:div w:id="1538589791">
      <w:bodyDiv w:val="1"/>
      <w:marLeft w:val="0"/>
      <w:marRight w:val="0"/>
      <w:marTop w:val="0"/>
      <w:marBottom w:val="0"/>
      <w:divBdr>
        <w:top w:val="none" w:sz="0" w:space="0" w:color="auto"/>
        <w:left w:val="none" w:sz="0" w:space="0" w:color="auto"/>
        <w:bottom w:val="none" w:sz="0" w:space="0" w:color="auto"/>
        <w:right w:val="none" w:sz="0" w:space="0" w:color="auto"/>
      </w:divBdr>
    </w:div>
    <w:div w:id="1541824486">
      <w:bodyDiv w:val="1"/>
      <w:marLeft w:val="0"/>
      <w:marRight w:val="0"/>
      <w:marTop w:val="0"/>
      <w:marBottom w:val="0"/>
      <w:divBdr>
        <w:top w:val="none" w:sz="0" w:space="0" w:color="auto"/>
        <w:left w:val="none" w:sz="0" w:space="0" w:color="auto"/>
        <w:bottom w:val="none" w:sz="0" w:space="0" w:color="auto"/>
        <w:right w:val="none" w:sz="0" w:space="0" w:color="auto"/>
      </w:divBdr>
    </w:div>
    <w:div w:id="1571501210">
      <w:bodyDiv w:val="1"/>
      <w:marLeft w:val="0"/>
      <w:marRight w:val="0"/>
      <w:marTop w:val="0"/>
      <w:marBottom w:val="0"/>
      <w:divBdr>
        <w:top w:val="none" w:sz="0" w:space="0" w:color="auto"/>
        <w:left w:val="none" w:sz="0" w:space="0" w:color="auto"/>
        <w:bottom w:val="none" w:sz="0" w:space="0" w:color="auto"/>
        <w:right w:val="none" w:sz="0" w:space="0" w:color="auto"/>
      </w:divBdr>
    </w:div>
    <w:div w:id="1596985287">
      <w:bodyDiv w:val="1"/>
      <w:marLeft w:val="0"/>
      <w:marRight w:val="0"/>
      <w:marTop w:val="0"/>
      <w:marBottom w:val="0"/>
      <w:divBdr>
        <w:top w:val="none" w:sz="0" w:space="0" w:color="auto"/>
        <w:left w:val="none" w:sz="0" w:space="0" w:color="auto"/>
        <w:bottom w:val="none" w:sz="0" w:space="0" w:color="auto"/>
        <w:right w:val="none" w:sz="0" w:space="0" w:color="auto"/>
      </w:divBdr>
    </w:div>
    <w:div w:id="1719431139">
      <w:bodyDiv w:val="1"/>
      <w:marLeft w:val="0"/>
      <w:marRight w:val="0"/>
      <w:marTop w:val="0"/>
      <w:marBottom w:val="0"/>
      <w:divBdr>
        <w:top w:val="none" w:sz="0" w:space="0" w:color="auto"/>
        <w:left w:val="none" w:sz="0" w:space="0" w:color="auto"/>
        <w:bottom w:val="none" w:sz="0" w:space="0" w:color="auto"/>
        <w:right w:val="none" w:sz="0" w:space="0" w:color="auto"/>
      </w:divBdr>
    </w:div>
    <w:div w:id="1742172827">
      <w:bodyDiv w:val="1"/>
      <w:marLeft w:val="0"/>
      <w:marRight w:val="0"/>
      <w:marTop w:val="0"/>
      <w:marBottom w:val="0"/>
      <w:divBdr>
        <w:top w:val="none" w:sz="0" w:space="0" w:color="auto"/>
        <w:left w:val="none" w:sz="0" w:space="0" w:color="auto"/>
        <w:bottom w:val="none" w:sz="0" w:space="0" w:color="auto"/>
        <w:right w:val="none" w:sz="0" w:space="0" w:color="auto"/>
      </w:divBdr>
    </w:div>
    <w:div w:id="1772433994">
      <w:bodyDiv w:val="1"/>
      <w:marLeft w:val="0"/>
      <w:marRight w:val="0"/>
      <w:marTop w:val="0"/>
      <w:marBottom w:val="0"/>
      <w:divBdr>
        <w:top w:val="none" w:sz="0" w:space="0" w:color="auto"/>
        <w:left w:val="none" w:sz="0" w:space="0" w:color="auto"/>
        <w:bottom w:val="none" w:sz="0" w:space="0" w:color="auto"/>
        <w:right w:val="none" w:sz="0" w:space="0" w:color="auto"/>
      </w:divBdr>
    </w:div>
    <w:div w:id="1928611253">
      <w:bodyDiv w:val="1"/>
      <w:marLeft w:val="0"/>
      <w:marRight w:val="0"/>
      <w:marTop w:val="0"/>
      <w:marBottom w:val="0"/>
      <w:divBdr>
        <w:top w:val="none" w:sz="0" w:space="0" w:color="auto"/>
        <w:left w:val="none" w:sz="0" w:space="0" w:color="auto"/>
        <w:bottom w:val="none" w:sz="0" w:space="0" w:color="auto"/>
        <w:right w:val="none" w:sz="0" w:space="0" w:color="auto"/>
      </w:divBdr>
    </w:div>
    <w:div w:id="1935823064">
      <w:bodyDiv w:val="1"/>
      <w:marLeft w:val="0"/>
      <w:marRight w:val="0"/>
      <w:marTop w:val="0"/>
      <w:marBottom w:val="0"/>
      <w:divBdr>
        <w:top w:val="none" w:sz="0" w:space="0" w:color="auto"/>
        <w:left w:val="none" w:sz="0" w:space="0" w:color="auto"/>
        <w:bottom w:val="none" w:sz="0" w:space="0" w:color="auto"/>
        <w:right w:val="none" w:sz="0" w:space="0" w:color="auto"/>
      </w:divBdr>
    </w:div>
    <w:div w:id="1972977840">
      <w:bodyDiv w:val="1"/>
      <w:marLeft w:val="0"/>
      <w:marRight w:val="0"/>
      <w:marTop w:val="0"/>
      <w:marBottom w:val="0"/>
      <w:divBdr>
        <w:top w:val="none" w:sz="0" w:space="0" w:color="auto"/>
        <w:left w:val="none" w:sz="0" w:space="0" w:color="auto"/>
        <w:bottom w:val="none" w:sz="0" w:space="0" w:color="auto"/>
        <w:right w:val="none" w:sz="0" w:space="0" w:color="auto"/>
      </w:divBdr>
    </w:div>
    <w:div w:id="1976566072">
      <w:bodyDiv w:val="1"/>
      <w:marLeft w:val="0"/>
      <w:marRight w:val="0"/>
      <w:marTop w:val="0"/>
      <w:marBottom w:val="0"/>
      <w:divBdr>
        <w:top w:val="none" w:sz="0" w:space="0" w:color="auto"/>
        <w:left w:val="none" w:sz="0" w:space="0" w:color="auto"/>
        <w:bottom w:val="none" w:sz="0" w:space="0" w:color="auto"/>
        <w:right w:val="none" w:sz="0" w:space="0" w:color="auto"/>
      </w:divBdr>
    </w:div>
    <w:div w:id="2015573462">
      <w:bodyDiv w:val="1"/>
      <w:marLeft w:val="0"/>
      <w:marRight w:val="0"/>
      <w:marTop w:val="0"/>
      <w:marBottom w:val="0"/>
      <w:divBdr>
        <w:top w:val="none" w:sz="0" w:space="0" w:color="auto"/>
        <w:left w:val="none" w:sz="0" w:space="0" w:color="auto"/>
        <w:bottom w:val="none" w:sz="0" w:space="0" w:color="auto"/>
        <w:right w:val="none" w:sz="0" w:space="0" w:color="auto"/>
      </w:divBdr>
    </w:div>
    <w:div w:id="2027751130">
      <w:bodyDiv w:val="1"/>
      <w:marLeft w:val="0"/>
      <w:marRight w:val="0"/>
      <w:marTop w:val="0"/>
      <w:marBottom w:val="0"/>
      <w:divBdr>
        <w:top w:val="none" w:sz="0" w:space="0" w:color="auto"/>
        <w:left w:val="none" w:sz="0" w:space="0" w:color="auto"/>
        <w:bottom w:val="none" w:sz="0" w:space="0" w:color="auto"/>
        <w:right w:val="none" w:sz="0" w:space="0" w:color="auto"/>
      </w:divBdr>
    </w:div>
    <w:div w:id="2095736391">
      <w:bodyDiv w:val="1"/>
      <w:marLeft w:val="0"/>
      <w:marRight w:val="0"/>
      <w:marTop w:val="0"/>
      <w:marBottom w:val="0"/>
      <w:divBdr>
        <w:top w:val="none" w:sz="0" w:space="0" w:color="auto"/>
        <w:left w:val="none" w:sz="0" w:space="0" w:color="auto"/>
        <w:bottom w:val="none" w:sz="0" w:space="0" w:color="auto"/>
        <w:right w:val="none" w:sz="0" w:space="0" w:color="auto"/>
      </w:divBdr>
    </w:div>
    <w:div w:id="2096321398">
      <w:bodyDiv w:val="1"/>
      <w:marLeft w:val="0"/>
      <w:marRight w:val="0"/>
      <w:marTop w:val="0"/>
      <w:marBottom w:val="0"/>
      <w:divBdr>
        <w:top w:val="none" w:sz="0" w:space="0" w:color="auto"/>
        <w:left w:val="none" w:sz="0" w:space="0" w:color="auto"/>
        <w:bottom w:val="none" w:sz="0" w:space="0" w:color="auto"/>
        <w:right w:val="none" w:sz="0" w:space="0" w:color="auto"/>
      </w:divBdr>
    </w:div>
    <w:div w:id="2122263985">
      <w:bodyDiv w:val="1"/>
      <w:marLeft w:val="0"/>
      <w:marRight w:val="0"/>
      <w:marTop w:val="0"/>
      <w:marBottom w:val="0"/>
      <w:divBdr>
        <w:top w:val="none" w:sz="0" w:space="0" w:color="auto"/>
        <w:left w:val="none" w:sz="0" w:space="0" w:color="auto"/>
        <w:bottom w:val="none" w:sz="0" w:space="0" w:color="auto"/>
        <w:right w:val="none" w:sz="0" w:space="0" w:color="auto"/>
      </w:divBdr>
    </w:div>
    <w:div w:id="2130198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Bri</b:Tag>
    <b:SourceType>InternetSite</b:SourceType>
    <b:Guid>{250349D7-D66C-4956-8D4B-E387B4B9D182}</b:Guid>
    <b:Title>British Geology Survey</b:Title>
    <b:URL>https://mapapps.bgs.ac.uk/geologyofbritain/home.html?&amp;_ga=2.253426441.1419141073.1640179226-128954566.1640179226</b:URL>
    <b:Author>
      <b:Author>
        <b:Corporate>British Geology Survey</b:Corporate>
      </b:Author>
    </b:Author>
    <b:InternetSiteTitle>British Geology Survey</b:InternetSiteTitle>
    <b:Year>2025</b:Year>
    <b:Month>10</b:Month>
    <b:Day>07</b:Day>
    <b:RefOrder>25</b:RefOrder>
  </b:Source>
  <b:Source>
    <b:Tag>Dal25</b:Tag>
    <b:SourceType>ElectronicSource</b:SourceType>
    <b:Guid>{C79BE36F-C89E-4405-8AA0-DF6FDE76C2AB}</b:Guid>
    <b:Author>
      <b:Author>
        <b:NameList>
          <b:Person>
            <b:Last>Monks</b:Last>
            <b:First>Dale</b:First>
          </b:Person>
        </b:NameList>
      </b:Author>
    </b:Author>
    <b:Title>Site Investigation</b:Title>
    <b:City>Swansea</b:City>
    <b:StateProvince>Swansea</b:StateProvince>
    <b:CountryRegion>Swansea</b:CountryRegion>
    <b:Year>2025</b:Year>
    <b:Month>10</b:Month>
    <b:Day>28</b:Day>
    <b:RefOrder>24</b:RefOrder>
  </b:Source>
  <b:Source>
    <b:Tag>Goo25</b:Tag>
    <b:SourceType>ElectronicSource</b:SourceType>
    <b:Guid>{657CDB33-21B3-4C74-912D-8AF9053936D2}</b:Guid>
    <b:Author>
      <b:Author>
        <b:Corporate>Google Maps (2025)</b:Corporate>
      </b:Author>
    </b:Author>
    <b:Title>SA1, Kings Road, Swansea</b:Title>
    <b:City>Swansea</b:City>
    <b:StateProvince>Swansea</b:StateProvince>
    <b:CountryRegion>Swansea</b:CountryRegion>
    <b:Year>2025</b:Year>
    <b:Month>10</b:Month>
    <b:Day>10</b:Day>
    <b:RefOrder>23</b:RefOrder>
  </b:Source>
  <b:Source>
    <b:Tag>Str</b:Tag>
    <b:SourceType>Report</b:SourceType>
    <b:Guid>{1F2521AE-D442-41C1-A101-2BCA67C14ED8}</b:Guid>
    <b:Title>External Materials Subject to Planning Approval: FACE and Library Building for UWTSD</b:Title>
    <b:Author>
      <b:Author>
        <b:Corporate>Stride Treglown Architecture</b:Corporate>
      </b:Author>
    </b:Author>
    <b:Publisher>Stride Treglown Architecture</b:Publisher>
    <b:RefOrder>26</b:RefOrder>
  </b:Source>
  <b:Source>
    <b:Tag>Taw25</b:Tag>
    <b:SourceType>Report</b:SourceType>
    <b:Guid>{CB8BF637-6D1D-420A-AA23-8D766A28E34D}</b:Guid>
    <b:Author>
      <b:Author>
        <b:Corporate>Tawe Construction</b:Corporate>
      </b:Author>
    </b:Author>
    <b:Title>Feasibility Report: Centre of Excellence for Construction Training</b:Title>
    <b:Year>2025</b:Year>
    <b:Publisher>ACE Capital Projects LTD</b:Publisher>
    <b:City>Swansea</b:City>
    <b:RefOrder>27</b:RefOrder>
  </b:Source>
  <b:Source>
    <b:Tag>Dig26</b:Tag>
    <b:SourceType>DocumentFromInternetSite</b:SourceType>
    <b:Guid>{F12F5EC3-00BD-40F8-B111-D9E77DF55EF2}</b:Guid>
    <b:Title>Historic Roam</b:Title>
    <b:Year>2026</b:Year>
    <b:Author>
      <b:Author>
        <b:Corporate>Digimap</b:Corporate>
      </b:Author>
    </b:Author>
    <b:InternetSiteTitle>Edina.ac.uk</b:InternetSiteTitle>
    <b:Month>02</b:Month>
    <b:Day>01</b:Day>
    <b:URL>https://digimap.edina.ac.uk/roam/map/historic</b:URL>
    <b:RefOrder>1</b:RefOrder>
  </b:Source>
  <b:Source>
    <b:Tag>Nat26</b:Tag>
    <b:SourceType>DocumentFromInternetSite</b:SourceType>
    <b:Guid>{821523AB-FCA9-4EBB-BD41-F014416F4CA1}</b:Guid>
    <b:Author>
      <b:Author>
        <b:Corporate>Natural Resources Wales </b:Corporate>
      </b:Author>
    </b:Author>
    <b:Title>flood-map-for-planning natural resources Wales Story Map Series</b:Title>
    <b:InternetSiteTitle>Natural Resources Wales (NRW)</b:InternetSiteTitle>
    <b:Year>2026</b:Year>
    <b:Month>02</b:Month>
    <b:Day>01</b:Day>
    <b:URL>https://flood-map-for-planning.naturalresources.wales/</b:URL>
    <b:RefOrder>2</b:RefOrder>
  </b:Source>
  <b:Source>
    <b:Tag>Bri111</b:Tag>
    <b:SourceType>InternetSite</b:SourceType>
    <b:Guid>{0CF9B6F5-581D-4CD1-959F-6722294C2CD3}</b:Guid>
    <b:Author>
      <b:Author>
        <b:Corporate>British Standards Institution (BSI)</b:Corporate>
      </b:Author>
    </b:Author>
    <b:Title>BS 5975 – Temporary Works Procedures</b:Title>
    <b:Year>2011</b:Year>
    <b:YearAccessed>2026</b:YearAccessed>
    <b:MonthAccessed>02</b:MonthAccessed>
    <b:DayAccessed>26th</b:DayAccessed>
    <b:URL>https://shop.bsigroup.com</b:URL>
    <b:RefOrder>3</b:RefOrder>
  </b:Source>
  <b:Source>
    <b:Tag>HMG151</b:Tag>
    <b:SourceType>InternetSite</b:SourceType>
    <b:Guid>{00C253F6-5B0D-4EAA-B639-DFE29C013B06}</b:Guid>
    <b:Author>
      <b:Author>
        <b:Corporate>HM Government</b:Corporate>
      </b:Author>
    </b:Author>
    <b:Title>The Construction (Design and Management) Regulations 2015</b:Title>
    <b:Year>2015</b:Year>
    <b:YearAccessed>2026</b:YearAccessed>
    <b:MonthAccessed>02</b:MonthAccessed>
    <b:DayAccessed>26th</b:DayAccessed>
    <b:URL>https://www.legislation.gov.uk/uksi/2015/51/contents/made</b:URL>
    <b:RefOrder>4</b:RefOrder>
  </b:Source>
  <b:Source>
    <b:Tag>Hea19</b:Tag>
    <b:SourceType>InternetSite</b:SourceType>
    <b:Guid>{22ED2040-3782-4083-A2A0-B7796CB5661B}</b:Guid>
    <b:Author>
      <b:Author>
        <b:Corporate>Health and Safety Executive (HSE)</b:Corporate>
      </b:Author>
    </b:Author>
    <b:Title>L153 – Managing Health and Safety in Construction</b:Title>
    <b:Year>2019</b:Year>
    <b:YearAccessed>2026</b:YearAccessed>
    <b:MonthAccessed>02</b:MonthAccessed>
    <b:DayAccessed>26th</b:DayAccessed>
    <b:URL>https://www.hse.gov.uk/pubns/books/l153.htm</b:URL>
    <b:RefOrder>5</b:RefOrder>
  </b:Source>
  <b:Source>
    <b:Tag>Hea14</b:Tag>
    <b:SourceType>InternetSite</b:SourceType>
    <b:Guid>{5F1314FD-8EB1-4883-9BA2-B5D37817EE8F}</b:Guid>
    <b:Author>
      <b:Author>
        <b:Corporate>Health and Safety Executive</b:Corporate>
      </b:Author>
    </b:Author>
    <b:Title>HSG47 – Avoiding Danger from Underground Services</b:Title>
    <b:Year>2014</b:Year>
    <b:YearAccessed>2026</b:YearAccessed>
    <b:MonthAccessed>02</b:MonthAccessed>
    <b:DayAccessed>26th</b:DayAccessed>
    <b:URL>https://www.hse.gov.uk/pubns/books/hsg47.htm</b:URL>
    <b:RefOrder>6</b:RefOrder>
  </b:Source>
  <b:Source>
    <b:Tag>Hea06</b:Tag>
    <b:SourceType>InternetSite</b:SourceType>
    <b:Guid>{BBFBBB3C-5A0E-4509-AD5A-C60313B7347A}</b:Guid>
    <b:Author>
      <b:Author>
        <b:Corporate>Health and Safety Executive</b:Corporate>
      </b:Author>
    </b:Author>
    <b:Title>INDG401 – Working at Height</b:Title>
    <b:Year>2006</b:Year>
    <b:YearAccessed>2026</b:YearAccessed>
    <b:MonthAccessed>02</b:MonthAccessed>
    <b:DayAccessed>26th</b:DayAccessed>
    <b:URL>https://www.hse.gov.uk/pubns/indg401.htm</b:URL>
    <b:RefOrder>7</b:RefOrder>
  </b:Source>
  <b:Source>
    <b:Tag>HMG05</b:Tag>
    <b:SourceType>InternetSite</b:SourceType>
    <b:Guid>{88E9B198-AA70-48CF-BDF6-6819B491C809}</b:Guid>
    <b:Author>
      <b:Author>
        <b:Corporate>HM Government</b:Corporate>
      </b:Author>
    </b:Author>
    <b:Title>Work at Height Regulations 2005</b:Title>
    <b:Year>2005</b:Year>
    <b:YearAccessed>2026</b:YearAccessed>
    <b:MonthAccessed>02</b:MonthAccessed>
    <b:DayAccessed>26th</b:DayAccessed>
    <b:URL>https://www.legislation.gov.uk/uksi/2005/735/contents/made</b:URL>
    <b:RefOrder>8</b:RefOrder>
  </b:Source>
  <b:Source>
    <b:Tag>HMG92</b:Tag>
    <b:SourceType>InternetSite</b:SourceType>
    <b:Guid>{AC064323-5E41-4178-A7C3-2C50EDEA31DD}</b:Guid>
    <b:Author>
      <b:Author>
        <b:Corporate>HM Government</b:Corporate>
      </b:Author>
    </b:Author>
    <b:Title>HM Government (1992) Manual Handling Operations Regulations</b:Title>
    <b:Year>1992</b:Year>
    <b:YearAccessed>2026</b:YearAccessed>
    <b:MonthAccessed>02</b:MonthAccessed>
    <b:DayAccessed>26th</b:DayAccessed>
    <b:URL>https://www.legislation.gov.uk/uksi/1992/2793/contents/made</b:URL>
    <b:RefOrder>9</b:RefOrder>
  </b:Source>
  <b:Source>
    <b:Tag>HMG89</b:Tag>
    <b:SourceType>InternetSite</b:SourceType>
    <b:Guid>{9341B643-F58D-40D0-AAF1-DD3A5F031EB2}</b:Guid>
    <b:Author>
      <b:Author>
        <b:Corporate>HM Government</b:Corporate>
      </b:Author>
    </b:Author>
    <b:Title>HM Government (1989) Electricity at Work Regulations 1989</b:Title>
    <b:Year>1989</b:Year>
    <b:YearAccessed>2026</b:YearAccessed>
    <b:MonthAccessed>02</b:MonthAccessed>
    <b:DayAccessed>26th</b:DayAccessed>
    <b:URL>https://www.legislation.gov.uk/uksi/1989/635/contents/made</b:URL>
    <b:RefOrder>10</b:RefOrder>
  </b:Source>
  <b:Source>
    <b:Tag>Hea15</b:Tag>
    <b:SourceType>InternetSite</b:SourceType>
    <b:Guid>{98B7FB6A-7A66-425F-B844-D4AFF587BC0A}</b:Guid>
    <b:Author>
      <b:Author>
        <b:Corporate>Health and Safety Executive (HSE)</b:Corporate>
      </b:Author>
    </b:Author>
    <b:Title>Managing health and safety in construction: Construction (Design and Management) Regulations 2015. Guidance on Regulations</b:Title>
    <b:Year>2015</b:Year>
    <b:YearAccessed>2026</b:YearAccessed>
    <b:MonthAccessed>February</b:MonthAccessed>
    <b:DayAccessed>25th</b:DayAccessed>
    <b:URL>https://www.hse.gov.uk/pubns/books/l153.htm</b:URL>
    <b:RefOrder>11</b:RefOrder>
  </b:Source>
  <b:Source>
    <b:Tag>Dep13</b:Tag>
    <b:SourceType>InternetSite</b:SourceType>
    <b:Guid>{C8E02A29-9477-4540-8A22-01F1F26A36C3}</b:Guid>
    <b:Author>
      <b:Author>
        <b:Corporate>Department for Transport (DfT)</b:Corporate>
      </b:Author>
    </b:Author>
    <b:Title>Department for Transport (2013) Traffic Signs Manual, Chapter 8: Traffic safety measures and signs for road works and temporary situations</b:Title>
    <b:Year>2013</b:Year>
    <b:YearAccessed>2026</b:YearAccessed>
    <b:MonthAccessed>February</b:MonthAccessed>
    <b:DayAccessed>25th</b:DayAccessed>
    <b:URL>https://www.gov.uk/government/publications/traffic-signs-manual</b:URL>
    <b:RefOrder>12</b:RefOrder>
  </b:Source>
  <b:Source>
    <b:Tag>HMG15</b:Tag>
    <b:SourceType>InternetSite</b:SourceType>
    <b:Guid>{736D01D2-8B24-45EA-A7D0-5389F59E9A44}</b:Guid>
    <b:Author>
      <b:Author>
        <b:Corporate>HM Government</b:Corporate>
      </b:Author>
    </b:Author>
    <b:Title>The Construction (Design and Management) Regulations 2015</b:Title>
    <b:Year>2015</b:Year>
    <b:YearAccessed>2026</b:YearAccessed>
    <b:MonthAccessed>February</b:MonthAccessed>
    <b:DayAccessed>25th</b:DayAccessed>
    <b:URL>https://www.legislation.gov.uk/uksi/2015/51/contents/made</b:URL>
    <b:RefOrder>13</b:RefOrder>
  </b:Source>
  <b:Source>
    <b:Tag>Con232</b:Tag>
    <b:SourceType>InternetSite</b:SourceType>
    <b:Guid>{ED248047-A3EE-44E1-8003-74E51FF9A526}</b:Guid>
    <b:Author>
      <b:Author>
        <b:Corporate>Considerate Constructors Scheme (CCS)</b:Corporate>
      </b:Author>
    </b:Author>
    <b:Title>Considerate Constructors Scheme (2023) Code of Considerate Practice</b:Title>
    <b:Year>2023</b:Year>
    <b:YearAccessed>2026</b:YearAccessed>
    <b:MonthAccessed>02</b:MonthAccessed>
    <b:DayAccessed>25th</b:DayAccessed>
    <b:URL>https://www.ccscheme.org.uk</b:URL>
    <b:RefOrder>14</b:RefOrder>
  </b:Source>
  <b:Source>
    <b:Tag>CLO22</b:Tag>
    <b:SourceType>InternetSite</b:SourceType>
    <b:Guid>{B9B0E354-1CE9-499A-8E1C-5381B3C0C50A}</b:Guid>
    <b:Author>
      <b:Author>
        <b:Corporate>CLOCS (Construction Logistics and Community Safety)</b:Corporate>
      </b:Author>
    </b:Author>
    <b:Title>CLOCS (2022) Construction Logistics and Community Safety Standard</b:Title>
    <b:Year>2022</b:Year>
    <b:YearAccessed>2026</b:YearAccessed>
    <b:MonthAccessed>02</b:MonthAccessed>
    <b:DayAccessed>25th</b:DayAccessed>
    <b:URL>https://www.clocs.org.uk</b:URL>
    <b:RefOrder>15</b:RefOrder>
  </b:Source>
  <b:Source>
    <b:Tag>HMG88</b:Tag>
    <b:SourceType>InternetSite</b:SourceType>
    <b:Guid>{F4B82294-C6A4-443F-B10E-9267565B4E2C}</b:Guid>
    <b:Author>
      <b:Author>
        <b:Corporate>HM Government</b:Corporate>
      </b:Author>
    </b:Author>
    <b:Title>HM Government (1988) Road Traffic Act 1988. London</b:Title>
    <b:Year>1988</b:Year>
    <b:YearAccessed>2026</b:YearAccessed>
    <b:MonthAccessed>02</b:MonthAccessed>
    <b:DayAccessed>26th</b:DayAccessed>
    <b:URL>https://www.legislation.gov.uk/ukpga/1988/52/contents</b:URL>
    <b:RefOrder>16</b:RefOrder>
  </b:Source>
  <b:Source>
    <b:Tag>Dep131</b:Tag>
    <b:SourceType>InternetSite</b:SourceType>
    <b:Guid>{1D4FB1A7-8DEB-46F2-9357-671613408AF9}</b:Guid>
    <b:Author>
      <b:Author>
        <b:Corporate>Department for Transport (DfT)</b:Corporate>
      </b:Author>
    </b:Author>
    <b:Title>Department for Transport (2013) Safety at Street Works and Road Works: A Code of Practice</b:Title>
    <b:Year>2013</b:Year>
    <b:YearAccessed>2026</b:YearAccessed>
    <b:MonthAccessed>02</b:MonthAccessed>
    <b:DayAccessed>25th</b:DayAccessed>
    <b:URL>https://www.gov.uk/government/publications/safety-at-street-works-and-road-works</b:URL>
    <b:RefOrder>17</b:RefOrder>
  </b:Source>
  <b:Source>
    <b:Tag>HMG16</b:Tag>
    <b:SourceType>InternetSite</b:SourceType>
    <b:Guid>{71137C10-E912-42B5-AA88-D2D8154FD6B6}</b:Guid>
    <b:Author>
      <b:Author>
        <b:Corporate>HM Government</b:Corporate>
      </b:Author>
    </b:Author>
    <b:Title>HM Government (2016) The Traffic Signs Regulations and General Directions 2016</b:Title>
    <b:Year>2016</b:Year>
    <b:YearAccessed>2026</b:YearAccessed>
    <b:MonthAccessed>02</b:MonthAccessed>
    <b:DayAccessed>25th</b:DayAccessed>
    <b:URL>https://www.legislation.gov.uk/uksi/2016/362/contents</b:URL>
    <b:RefOrder>18</b:RefOrder>
  </b:Source>
  <b:Source>
    <b:Tag>Bri11</b:Tag>
    <b:SourceType>InternetSite</b:SourceType>
    <b:Guid>{3DEB0CF1-5966-443D-9F3B-63D01D4792D8}</b:Guid>
    <b:Author>
      <b:Author>
        <b:Corporate>British Standards Institution (BSI)</b:Corporate>
      </b:Author>
    </b:Author>
    <b:Title>British Standards Institution (2011) BS 6187:2011 Code of practice for full and partial demolition</b:Title>
    <b:Year>2011</b:Year>
    <b:YearAccessed>2026</b:YearAccessed>
    <b:MonthAccessed>02</b:MonthAccessed>
    <b:DayAccessed>26th</b:DayAccessed>
    <b:URL>https://shop.bsigroup.com</b:URL>
    <b:RefOrder>19</b:RefOrder>
  </b:Source>
  <b:Source>
    <b:Tag>Fle23</b:Tag>
    <b:SourceType>InternetSite</b:SourceType>
    <b:Guid>{5B24C6DB-129F-4E48-B359-E2E427701209}</b:Guid>
    <b:Author>
      <b:Author>
        <b:Corporate>Fleet Operator Recognition Scheme (FORS)</b:Corporate>
      </b:Author>
    </b:Author>
    <b:Title>Fleet Operator Recognition Scheme (2023) FORS Standard</b:Title>
    <b:Year>2023</b:Year>
    <b:YearAccessed>2026</b:YearAccessed>
    <b:MonthAccessed>02</b:MonthAccessed>
    <b:DayAccessed>25th</b:DayAccessed>
    <b:URL>https://www.fors-online.org.uk</b:URL>
    <b:RefOrder>20</b:RefOrder>
  </b:Source>
  <b:Source>
    <b:Tag>Ins19</b:Tag>
    <b:SourceType>InternetSite</b:SourceType>
    <b:Guid>{9EBAFFF3-9C58-4531-8C68-D45BB613F9D2}</b:Guid>
    <b:Author>
      <b:Author>
        <b:Corporate>Institution of Civil Engineers (ICE)</b:Corporate>
      </b:Author>
    </b:Author>
    <b:Title>Institution of Civil Engineers (2019) Managing construction logistics</b:Title>
    <b:Year>2019</b:Year>
    <b:YearAccessed>2026</b:YearAccessed>
    <b:MonthAccessed>02</b:MonthAccessed>
    <b:DayAccessed>26th</b:DayAccessed>
    <b:URL>https://www.ice.org.uk</b:URL>
    <b:RefOrder>21</b:RefOrder>
  </b:Source>
  <b:Source>
    <b:Tag>HMG74</b:Tag>
    <b:SourceType>InternetSite</b:SourceType>
    <b:Guid>{B7AFE745-A74C-4EE3-A71F-37DCAF67D4B1}</b:Guid>
    <b:Author>
      <b:Author>
        <b:Corporate>HM Government</b:Corporate>
      </b:Author>
    </b:Author>
    <b:Title>HM Government (1974) Control of Pollution Act 1974</b:Title>
    <b:Year>1974</b:Year>
    <b:YearAccessed>2026</b:YearAccessed>
    <b:MonthAccessed>02</b:MonthAccessed>
    <b:DayAccessed>26th</b:DayAccessed>
    <b:URL>https://www.legislation.gov.uk/ukpga/1974/40</b:URL>
    <b:RefOrder>22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BD446F8822C25E4BB00FBD106CD55981" ma:contentTypeVersion="12" ma:contentTypeDescription="Create a new document." ma:contentTypeScope="" ma:versionID="12a395c6ba0f4d9700cd2638d0d8fe4e">
  <xsd:schema xmlns:xsd="http://www.w3.org/2001/XMLSchema" xmlns:xs="http://www.w3.org/2001/XMLSchema" xmlns:p="http://schemas.microsoft.com/office/2006/metadata/properties" xmlns:ns2="3bfcde1f-a262-4696-b7bf-2400aaacede1" targetNamespace="http://schemas.microsoft.com/office/2006/metadata/properties" ma:root="true" ma:fieldsID="3f08cdb74412a91f307c7b4db970aa8a" ns2:_="">
    <xsd:import namespace="3bfcde1f-a262-4696-b7bf-2400aaaced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2:MediaServiceLocation" minOccurs="0"/>
                <xsd:element ref="ns2:MediaServiceGenerationTime" minOccurs="0"/>
                <xsd:element ref="ns2:MediaServiceEventHashCode" minOccurs="0"/>
                <xsd:element ref="ns2:MediaServiceOCR" minOccurs="0"/>
                <xsd:element ref="ns2:MediaServiceBilling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fcde1f-a262-4696-b7bf-2400aaaced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BillingMetadata" ma:index="18" nillable="true" ma:displayName="MediaServiceBillingMetadata" ma:hidden="true" ma:internalName="MediaServiceBillingMetadata"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bfcde1f-a262-4696-b7bf-2400aaacede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DAFB289-9676-4AD3-8401-FD5A3E912E1C}">
  <ds:schemaRefs>
    <ds:schemaRef ds:uri="http://schemas.microsoft.com/sharepoint/v3/contenttype/forms"/>
  </ds:schemaRefs>
</ds:datastoreItem>
</file>

<file path=customXml/itemProps2.xml><?xml version="1.0" encoding="utf-8"?>
<ds:datastoreItem xmlns:ds="http://schemas.openxmlformats.org/officeDocument/2006/customXml" ds:itemID="{A42A6554-4F04-40C3-813D-0A8EB2E51B2E}">
  <ds:schemaRefs>
    <ds:schemaRef ds:uri="http://schemas.openxmlformats.org/officeDocument/2006/bibliography"/>
  </ds:schemaRefs>
</ds:datastoreItem>
</file>

<file path=customXml/itemProps3.xml><?xml version="1.0" encoding="utf-8"?>
<ds:datastoreItem xmlns:ds="http://schemas.openxmlformats.org/officeDocument/2006/customXml" ds:itemID="{D8E65B2F-BD5C-4F25-BC44-FE01E4E2D4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fcde1f-a262-4696-b7bf-2400aaaced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9F22FA-3F4B-428B-88E4-1A80AE2A337A}">
  <ds:schemaRefs>
    <ds:schemaRef ds:uri="http://schemas.microsoft.com/office/2006/metadata/properties"/>
    <ds:schemaRef ds:uri="http://schemas.microsoft.com/office/infopath/2007/PartnerControls"/>
    <ds:schemaRef ds:uri="3bfcde1f-a262-4696-b7bf-2400aaacede1"/>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31</Pages>
  <Words>6304</Words>
  <Characters>35938</Characters>
  <Application>Microsoft Office Word</Application>
  <DocSecurity>0</DocSecurity>
  <Lines>299</Lines>
  <Paragraphs>84</Paragraphs>
  <ScaleCrop>false</ScaleCrop>
  <Company>Tawe Construction</Company>
  <LinksUpToDate>false</LinksUpToDate>
  <CharactersWithSpaces>42158</CharactersWithSpaces>
  <SharedDoc>false</SharedDoc>
  <HLinks>
    <vt:vector size="564" baseType="variant">
      <vt:variant>
        <vt:i4>8323126</vt:i4>
      </vt:variant>
      <vt:variant>
        <vt:i4>471</vt:i4>
      </vt:variant>
      <vt:variant>
        <vt:i4>0</vt:i4>
      </vt:variant>
      <vt:variant>
        <vt:i4>5</vt:i4>
      </vt:variant>
      <vt:variant>
        <vt:lpwstr>https://www.ukradon.org/information/ukmaps</vt:lpwstr>
      </vt:variant>
      <vt:variant>
        <vt:lpwstr/>
      </vt:variant>
      <vt:variant>
        <vt:i4>589852</vt:i4>
      </vt:variant>
      <vt:variant>
        <vt:i4>468</vt:i4>
      </vt:variant>
      <vt:variant>
        <vt:i4>0</vt:i4>
      </vt:variant>
      <vt:variant>
        <vt:i4>5</vt:i4>
      </vt:variant>
      <vt:variant>
        <vt:lpwstr>https://www.gov.uk/government/publications/net-zero-strategy</vt:lpwstr>
      </vt:variant>
      <vt:variant>
        <vt:lpwstr/>
      </vt:variant>
      <vt:variant>
        <vt:i4>2490384</vt:i4>
      </vt:variant>
      <vt:variant>
        <vt:i4>465</vt:i4>
      </vt:variant>
      <vt:variant>
        <vt:i4>0</vt:i4>
      </vt:variant>
      <vt:variant>
        <vt:i4>5</vt:i4>
      </vt:variant>
      <vt:variant>
        <vt:lpwstr>https://ukbimframework.org/wp-content/uploads/2022/03/UK-BIM-Framework-UpcomingStandards_FINAL.pdf</vt:lpwstr>
      </vt:variant>
      <vt:variant>
        <vt:lpwstr/>
      </vt:variant>
      <vt:variant>
        <vt:i4>1376318</vt:i4>
      </vt:variant>
      <vt:variant>
        <vt:i4>462</vt:i4>
      </vt:variant>
      <vt:variant>
        <vt:i4>0</vt:i4>
      </vt:variant>
      <vt:variant>
        <vt:i4>5</vt:i4>
      </vt:variant>
      <vt:variant>
        <vt:lpwstr>https://www.rics.org/content/dam/ricsglobal/documents/standards/Whole_life_carbon_assessment_PS_Sept23.pdf</vt:lpwstr>
      </vt:variant>
      <vt:variant>
        <vt:lpwstr/>
      </vt:variant>
      <vt:variant>
        <vt:i4>2293773</vt:i4>
      </vt:variant>
      <vt:variant>
        <vt:i4>459</vt:i4>
      </vt:variant>
      <vt:variant>
        <vt:i4>0</vt:i4>
      </vt:variant>
      <vt:variant>
        <vt:i4>5</vt:i4>
      </vt:variant>
      <vt:variant>
        <vt:lpwstr>https://librarysearch.uwtsd.ac.uk/discovery/fulldisplay?docid=cdi_perlego_books_4924848&amp;context=PC&amp;vid=44WHELF_UWTSD:44WHELF_UWTSD_VU1&amp;lang=en&amp;search_scope=MyInst_and_CI&amp;adaptor=Primo%20Central&amp;tab=Everything&amp;query=any,contains,IM%20Handbook:%20A%20Guide%20to%20Building%20Information%20Modelling%20for%20Owners,%20Managers,%20Designers,%20Engineers%20and%20Contractors.&amp;offset=0</vt:lpwstr>
      </vt:variant>
      <vt:variant>
        <vt:lpwstr/>
      </vt:variant>
      <vt:variant>
        <vt:i4>4587536</vt:i4>
      </vt:variant>
      <vt:variant>
        <vt:i4>456</vt:i4>
      </vt:variant>
      <vt:variant>
        <vt:i4>0</vt:i4>
      </vt:variant>
      <vt:variant>
        <vt:i4>5</vt:i4>
      </vt:variant>
      <vt:variant>
        <vt:lpwstr>https://passipedia.org/_media/picopen/9f_160815_phi_building_criteria_en.pdf</vt:lpwstr>
      </vt:variant>
      <vt:variant>
        <vt:lpwstr/>
      </vt:variant>
      <vt:variant>
        <vt:i4>3407924</vt:i4>
      </vt:variant>
      <vt:variant>
        <vt:i4>453</vt:i4>
      </vt:variant>
      <vt:variant>
        <vt:i4>0</vt:i4>
      </vt:variant>
      <vt:variant>
        <vt:i4>5</vt:i4>
      </vt:variant>
      <vt:variant>
        <vt:lpwstr>https://naturalresources.wales/flooding/flood-map-for-planning/?lang=en</vt:lpwstr>
      </vt:variant>
      <vt:variant>
        <vt:lpwstr/>
      </vt:variant>
      <vt:variant>
        <vt:i4>4128822</vt:i4>
      </vt:variant>
      <vt:variant>
        <vt:i4>450</vt:i4>
      </vt:variant>
      <vt:variant>
        <vt:i4>0</vt:i4>
      </vt:variant>
      <vt:variant>
        <vt:i4>5</vt:i4>
      </vt:variant>
      <vt:variant>
        <vt:lpwstr>https://www.thenbs.com/knowledge/what-is-the-pas-1192-framework</vt:lpwstr>
      </vt:variant>
      <vt:variant>
        <vt:lpwstr/>
      </vt:variant>
      <vt:variant>
        <vt:i4>458774</vt:i4>
      </vt:variant>
      <vt:variant>
        <vt:i4>447</vt:i4>
      </vt:variant>
      <vt:variant>
        <vt:i4>0</vt:i4>
      </vt:variant>
      <vt:variant>
        <vt:i4>5</vt:i4>
      </vt:variant>
      <vt:variant>
        <vt:lpwstr>https://www.legislation.gov.uk/uksi/2015/51/contents</vt:lpwstr>
      </vt:variant>
      <vt:variant>
        <vt:lpwstr/>
      </vt:variant>
      <vt:variant>
        <vt:i4>7864428</vt:i4>
      </vt:variant>
      <vt:variant>
        <vt:i4>444</vt:i4>
      </vt:variant>
      <vt:variant>
        <vt:i4>0</vt:i4>
      </vt:variant>
      <vt:variant>
        <vt:i4>5</vt:i4>
      </vt:variant>
      <vt:variant>
        <vt:lpwstr>https://www.gov.uk/government/publications/land-contamination-risk-management-lcrm</vt:lpwstr>
      </vt:variant>
      <vt:variant>
        <vt:lpwstr/>
      </vt:variant>
      <vt:variant>
        <vt:i4>7340088</vt:i4>
      </vt:variant>
      <vt:variant>
        <vt:i4>441</vt:i4>
      </vt:variant>
      <vt:variant>
        <vt:i4>0</vt:i4>
      </vt:variant>
      <vt:variant>
        <vt:i4>5</vt:i4>
      </vt:variant>
      <vt:variant>
        <vt:lpwstr>https://www.thenbs.com/publicationindex/documents/details?Pub=CPIC&amp;DocId=316848</vt:lpwstr>
      </vt:variant>
      <vt:variant>
        <vt:lpwstr/>
      </vt:variant>
      <vt:variant>
        <vt:i4>131159</vt:i4>
      </vt:variant>
      <vt:variant>
        <vt:i4>438</vt:i4>
      </vt:variant>
      <vt:variant>
        <vt:i4>0</vt:i4>
      </vt:variant>
      <vt:variant>
        <vt:i4>5</vt:i4>
      </vt:variant>
      <vt:variant>
        <vt:lpwstr>https://www.swansea.gov.uk/article/9914/Swansea-Local-Development-Plan-2010-2025-LDP</vt:lpwstr>
      </vt:variant>
      <vt:variant>
        <vt:lpwstr/>
      </vt:variant>
      <vt:variant>
        <vt:i4>5177364</vt:i4>
      </vt:variant>
      <vt:variant>
        <vt:i4>435</vt:i4>
      </vt:variant>
      <vt:variant>
        <vt:i4>0</vt:i4>
      </vt:variant>
      <vt:variant>
        <vt:i4>5</vt:i4>
      </vt:variant>
      <vt:variant>
        <vt:lpwstr>https://www.cibsejournal.com/technical/guide-b-essentials-air-conditioning-and-refrigeration/</vt:lpwstr>
      </vt:variant>
      <vt:variant>
        <vt:lpwstr/>
      </vt:variant>
      <vt:variant>
        <vt:i4>6684774</vt:i4>
      </vt:variant>
      <vt:variant>
        <vt:i4>432</vt:i4>
      </vt:variant>
      <vt:variant>
        <vt:i4>0</vt:i4>
      </vt:variant>
      <vt:variant>
        <vt:i4>5</vt:i4>
      </vt:variant>
      <vt:variant>
        <vt:lpwstr>https://ierga.com/wp-content/uploads/sites/2/2017/10/CIBSE-Guide-A-Environmental-design.pdf</vt:lpwstr>
      </vt:variant>
      <vt:variant>
        <vt:lpwstr/>
      </vt:variant>
      <vt:variant>
        <vt:i4>6815776</vt:i4>
      </vt:variant>
      <vt:variant>
        <vt:i4>429</vt:i4>
      </vt:variant>
      <vt:variant>
        <vt:i4>0</vt:i4>
      </vt:variant>
      <vt:variant>
        <vt:i4>5</vt:i4>
      </vt:variant>
      <vt:variant>
        <vt:lpwstr>https://cis.ihs.com/CIS/document/324869?PreviousPage=search%3ff%3dAll%26t%3dBS%2b1192%253a2007%252bA2%253a2016%26sqm%3dExactPhrase</vt:lpwstr>
      </vt:variant>
      <vt:variant>
        <vt:lpwstr/>
      </vt:variant>
      <vt:variant>
        <vt:i4>5636127</vt:i4>
      </vt:variant>
      <vt:variant>
        <vt:i4>426</vt:i4>
      </vt:variant>
      <vt:variant>
        <vt:i4>0</vt:i4>
      </vt:variant>
      <vt:variant>
        <vt:i4>5</vt:i4>
      </vt:variant>
      <vt:variant>
        <vt:lpwstr>https://cis.ihs.com/CIS/document/328925?PreviousPage=search%3ff%3dAll%26t%3dBS%2bEN%2bISO%2b12006%26sqm%3dExactPhrase</vt:lpwstr>
      </vt:variant>
      <vt:variant>
        <vt:lpwstr/>
      </vt:variant>
      <vt:variant>
        <vt:i4>4325465</vt:i4>
      </vt:variant>
      <vt:variant>
        <vt:i4>420</vt:i4>
      </vt:variant>
      <vt:variant>
        <vt:i4>0</vt:i4>
      </vt:variant>
      <vt:variant>
        <vt:i4>5</vt:i4>
      </vt:variant>
      <vt:variant>
        <vt:lpwstr>https://www.breedongroup.com/content/dam/breedon/corporate/documents/products-services/gb/asphalt-2025/breedon-driveway.pdf.downloadasset.pdf</vt:lpwstr>
      </vt:variant>
      <vt:variant>
        <vt:lpwstr/>
      </vt:variant>
      <vt:variant>
        <vt:i4>786456</vt:i4>
      </vt:variant>
      <vt:variant>
        <vt:i4>417</vt:i4>
      </vt:variant>
      <vt:variant>
        <vt:i4>0</vt:i4>
      </vt:variant>
      <vt:variant>
        <vt:i4>5</vt:i4>
      </vt:variant>
      <vt:variant>
        <vt:lpwstr>https://www.marshalls.co.uk/landscaping/commercial-paving/products/priora-permeable-block-paving</vt:lpwstr>
      </vt:variant>
      <vt:variant>
        <vt:lpwstr/>
      </vt:variant>
      <vt:variant>
        <vt:i4>5046349</vt:i4>
      </vt:variant>
      <vt:variant>
        <vt:i4>414</vt:i4>
      </vt:variant>
      <vt:variant>
        <vt:i4>0</vt:i4>
      </vt:variant>
      <vt:variant>
        <vt:i4>5</vt:i4>
      </vt:variant>
      <vt:variant>
        <vt:lpwstr>C:\Users\liame\Downloads\ULTIPAVE Single brochure.pdf</vt:lpwstr>
      </vt:variant>
      <vt:variant>
        <vt:lpwstr/>
      </vt:variant>
      <vt:variant>
        <vt:i4>196718</vt:i4>
      </vt:variant>
      <vt:variant>
        <vt:i4>411</vt:i4>
      </vt:variant>
      <vt:variant>
        <vt:i4>0</vt:i4>
      </vt:variant>
      <vt:variant>
        <vt:i4>5</vt:i4>
      </vt:variant>
      <vt:variant>
        <vt:lpwstr>https://www.interface.com/content/dam/interfaceinc/interface/publications/brochures-collateral/global/nora-product-catalog/nora Catalogue_2025_EN_digital.pdf</vt:lpwstr>
      </vt:variant>
      <vt:variant>
        <vt:lpwstr/>
      </vt:variant>
      <vt:variant>
        <vt:i4>6881280</vt:i4>
      </vt:variant>
      <vt:variant>
        <vt:i4>408</vt:i4>
      </vt:variant>
      <vt:variant>
        <vt:i4>0</vt:i4>
      </vt:variant>
      <vt:variant>
        <vt:i4>5</vt:i4>
      </vt:variant>
      <vt:variant>
        <vt:lpwstr>https://professionals.tarkett.co.uk/en_GB/collection-C000120-iq-granit</vt:lpwstr>
      </vt:variant>
      <vt:variant>
        <vt:lpwstr/>
      </vt:variant>
      <vt:variant>
        <vt:i4>5242907</vt:i4>
      </vt:variant>
      <vt:variant>
        <vt:i4>405</vt:i4>
      </vt:variant>
      <vt:variant>
        <vt:i4>0</vt:i4>
      </vt:variant>
      <vt:variant>
        <vt:i4>5</vt:i4>
      </vt:variant>
      <vt:variant>
        <vt:lpwstr>https://www.altro.com/getmedia/9601cf65-85ba-457d-a806-471e9761bc25/DATASHEET_ALTRO-STRONGHOLD_WEB.pdf</vt:lpwstr>
      </vt:variant>
      <vt:variant>
        <vt:lpwstr/>
      </vt:variant>
      <vt:variant>
        <vt:i4>6946826</vt:i4>
      </vt:variant>
      <vt:variant>
        <vt:i4>402</vt:i4>
      </vt:variant>
      <vt:variant>
        <vt:i4>0</vt:i4>
      </vt:variant>
      <vt:variant>
        <vt:i4>5</vt:i4>
      </vt:variant>
      <vt:variant>
        <vt:lpwstr>https://www.altro.com/getmedia/f8a971df-6797-44c5-b598-e9d7e66c9c32/DATASHEET_ALTRO-WHITEROCK.pdf</vt:lpwstr>
      </vt:variant>
      <vt:variant>
        <vt:lpwstr/>
      </vt:variant>
      <vt:variant>
        <vt:i4>8257625</vt:i4>
      </vt:variant>
      <vt:variant>
        <vt:i4>399</vt:i4>
      </vt:variant>
      <vt:variant>
        <vt:i4>0</vt:i4>
      </vt:variant>
      <vt:variant>
        <vt:i4>5</vt:i4>
      </vt:variant>
      <vt:variant>
        <vt:lpwstr>https://www.duluxtradepaintexpert.co.uk/en/datasheets?gclsrc=aw.ds&amp;gad_source=1&amp;gad_campaignid=193351723&amp;gbraid=0AAAAADwirD1U64Xa6fT0RbR9XezpTMY8E&amp;gclid=CjwKCAjwhLPOBhBiEiwA8_wJHGCaqfpU6wHz8TOLokIgqvaTy8ul70O0O53VgKlAQkWfK_GHEpfcIRoCDQAQAvD_BwE</vt:lpwstr>
      </vt:variant>
      <vt:variant>
        <vt:lpwstr/>
      </vt:variant>
      <vt:variant>
        <vt:i4>6291517</vt:i4>
      </vt:variant>
      <vt:variant>
        <vt:i4>396</vt:i4>
      </vt:variant>
      <vt:variant>
        <vt:i4>0</vt:i4>
      </vt:variant>
      <vt:variant>
        <vt:i4>5</vt:i4>
      </vt:variant>
      <vt:variant>
        <vt:lpwstr>https://www.british-gypsum.com/documents/product-data-sheet-pds/british-gypsum-pds-thistle-multifinish.pdf</vt:lpwstr>
      </vt:variant>
      <vt:variant>
        <vt:lpwstr/>
      </vt:variant>
      <vt:variant>
        <vt:i4>1179654</vt:i4>
      </vt:variant>
      <vt:variant>
        <vt:i4>393</vt:i4>
      </vt:variant>
      <vt:variant>
        <vt:i4>0</vt:i4>
      </vt:variant>
      <vt:variant>
        <vt:i4>5</vt:i4>
      </vt:variant>
      <vt:variant>
        <vt:lpwstr>https://www.british-gypsum.com/documents/product-data-sheet-pds/british-gypsum-pds-gyptone-quattro-41.pdf</vt:lpwstr>
      </vt:variant>
      <vt:variant>
        <vt:lpwstr/>
      </vt:variant>
      <vt:variant>
        <vt:i4>393274</vt:i4>
      </vt:variant>
      <vt:variant>
        <vt:i4>390</vt:i4>
      </vt:variant>
      <vt:variant>
        <vt:i4>0</vt:i4>
      </vt:variant>
      <vt:variant>
        <vt:i4>5</vt:i4>
      </vt:variant>
      <vt:variant>
        <vt:lpwstr>https://www.rockfon.com/siteassets/rockfon-na/datasheets/rockfon_stone-wool_sonar_datasheet.pdf?f=20191217192446</vt:lpwstr>
      </vt:variant>
      <vt:variant>
        <vt:lpwstr/>
      </vt:variant>
      <vt:variant>
        <vt:i4>1376332</vt:i4>
      </vt:variant>
      <vt:variant>
        <vt:i4>387</vt:i4>
      </vt:variant>
      <vt:variant>
        <vt:i4>0</vt:i4>
      </vt:variant>
      <vt:variant>
        <vt:i4>5</vt:i4>
      </vt:variant>
      <vt:variant>
        <vt:lpwstr>https://www.armstrongceilings.com/commercial/en/commercial-ceilings-walls/ceilings/ultima-ceiling-family.html</vt:lpwstr>
      </vt:variant>
      <vt:variant>
        <vt:lpwstr/>
      </vt:variant>
      <vt:variant>
        <vt:i4>4456463</vt:i4>
      </vt:variant>
      <vt:variant>
        <vt:i4>384</vt:i4>
      </vt:variant>
      <vt:variant>
        <vt:i4>0</vt:i4>
      </vt:variant>
      <vt:variant>
        <vt:i4>5</vt:i4>
      </vt:variant>
      <vt:variant>
        <vt:lpwstr>https://www.reynaers.co.uk/products/aluminium-doors/conceptsystem-77</vt:lpwstr>
      </vt:variant>
      <vt:variant>
        <vt:lpwstr/>
      </vt:variant>
      <vt:variant>
        <vt:i4>7208997</vt:i4>
      </vt:variant>
      <vt:variant>
        <vt:i4>381</vt:i4>
      </vt:variant>
      <vt:variant>
        <vt:i4>0</vt:i4>
      </vt:variant>
      <vt:variant>
        <vt:i4>5</vt:i4>
      </vt:variant>
      <vt:variant>
        <vt:lpwstr>https://www.seniorarchitectural.co.uk/architectural-systems/spw600e-window/</vt:lpwstr>
      </vt:variant>
      <vt:variant>
        <vt:lpwstr/>
      </vt:variant>
      <vt:variant>
        <vt:i4>5111898</vt:i4>
      </vt:variant>
      <vt:variant>
        <vt:i4>378</vt:i4>
      </vt:variant>
      <vt:variant>
        <vt:i4>0</vt:i4>
      </vt:variant>
      <vt:variant>
        <vt:i4>5</vt:i4>
      </vt:variant>
      <vt:variant>
        <vt:lpwstr>https://www.schueco.com/uk/specifiers/products/windows/aluminium/aws-70-hi</vt:lpwstr>
      </vt:variant>
      <vt:variant>
        <vt:lpwstr>Accordion-techInfo</vt:lpwstr>
      </vt:variant>
      <vt:variant>
        <vt:i4>3997823</vt:i4>
      </vt:variant>
      <vt:variant>
        <vt:i4>375</vt:i4>
      </vt:variant>
      <vt:variant>
        <vt:i4>0</vt:i4>
      </vt:variant>
      <vt:variant>
        <vt:i4>5</vt:i4>
      </vt:variant>
      <vt:variant>
        <vt:lpwstr>https://gbr.sika.com/dms/getdocument.get/eff82981-56a6-3ea3-9cd4-902f7c4a5045/G410-18EL</vt:lpwstr>
      </vt:variant>
      <vt:variant>
        <vt:lpwstr/>
      </vt:variant>
      <vt:variant>
        <vt:i4>6553633</vt:i4>
      </vt:variant>
      <vt:variant>
        <vt:i4>372</vt:i4>
      </vt:variant>
      <vt:variant>
        <vt:i4>0</vt:i4>
      </vt:variant>
      <vt:variant>
        <vt:i4>5</vt:i4>
      </vt:variant>
      <vt:variant>
        <vt:lpwstr>https://www.kingspan.com/content/dam/kingspan/kip-west/roof-panels/ks1000rw-roof-panel/kingspan-ks1000rw-trapezoidal-roof-wall-data-sheet-en-nz.pdf</vt:lpwstr>
      </vt:variant>
      <vt:variant>
        <vt:lpwstr/>
      </vt:variant>
      <vt:variant>
        <vt:i4>4980808</vt:i4>
      </vt:variant>
      <vt:variant>
        <vt:i4>369</vt:i4>
      </vt:variant>
      <vt:variant>
        <vt:i4>0</vt:i4>
      </vt:variant>
      <vt:variant>
        <vt:i4>5</vt:i4>
      </vt:variant>
      <vt:variant>
        <vt:lpwstr>https://www.bauder.co.uk/getcontentasset/dc1081bb-9b83-4736-96fa-e3da90133feb/7d6e2dfa-e012-4c99-925b-dc695a20fab7/bauder_warmroofpvc_thermofol-u15v-bg-ad-fa-ksd-fbs-system-summary.pdf</vt:lpwstr>
      </vt:variant>
      <vt:variant>
        <vt:lpwstr/>
      </vt:variant>
      <vt:variant>
        <vt:i4>6225994</vt:i4>
      </vt:variant>
      <vt:variant>
        <vt:i4>366</vt:i4>
      </vt:variant>
      <vt:variant>
        <vt:i4>0</vt:i4>
      </vt:variant>
      <vt:variant>
        <vt:i4>5</vt:i4>
      </vt:variant>
      <vt:variant>
        <vt:lpwstr>https://www.ibstock.co.uk/pdf/A2611A-Commercial-Red-Technical-Data-Sheet.pdf</vt:lpwstr>
      </vt:variant>
      <vt:variant>
        <vt:lpwstr/>
      </vt:variant>
      <vt:variant>
        <vt:i4>7077968</vt:i4>
      </vt:variant>
      <vt:variant>
        <vt:i4>363</vt:i4>
      </vt:variant>
      <vt:variant>
        <vt:i4>0</vt:i4>
      </vt:variant>
      <vt:variant>
        <vt:i4>5</vt:i4>
      </vt:variant>
      <vt:variant>
        <vt:lpwstr>https://www.tatasteeluk.com/construction/products/wall/profiles/trisobuild wall systems?campaignid=11226343139&amp;adgroupid=110422071975&amp;adid=662089462287&amp;gad_source=1&amp;gad_campaignid=11226343139&amp;gbraid=0AAAAADb_wkNcKGsiz1s7IhdLhswGVM</vt:lpwstr>
      </vt:variant>
      <vt:variant>
        <vt:lpwstr/>
      </vt:variant>
      <vt:variant>
        <vt:i4>6553633</vt:i4>
      </vt:variant>
      <vt:variant>
        <vt:i4>360</vt:i4>
      </vt:variant>
      <vt:variant>
        <vt:i4>0</vt:i4>
      </vt:variant>
      <vt:variant>
        <vt:i4>5</vt:i4>
      </vt:variant>
      <vt:variant>
        <vt:lpwstr>https://www.kingspan.com/content/dam/kingspan/kip-west/roof-panels/ks1000rw-roof-panel/kingspan-ks1000rw-trapezoidal-roof-wall-data-sheet-en-nz.pdf</vt:lpwstr>
      </vt:variant>
      <vt:variant>
        <vt:lpwstr/>
      </vt:variant>
      <vt:variant>
        <vt:i4>1900593</vt:i4>
      </vt:variant>
      <vt:variant>
        <vt:i4>344</vt:i4>
      </vt:variant>
      <vt:variant>
        <vt:i4>0</vt:i4>
      </vt:variant>
      <vt:variant>
        <vt:i4>5</vt:i4>
      </vt:variant>
      <vt:variant>
        <vt:lpwstr/>
      </vt:variant>
      <vt:variant>
        <vt:lpwstr>_Toc226372299</vt:lpwstr>
      </vt:variant>
      <vt:variant>
        <vt:i4>1900593</vt:i4>
      </vt:variant>
      <vt:variant>
        <vt:i4>338</vt:i4>
      </vt:variant>
      <vt:variant>
        <vt:i4>0</vt:i4>
      </vt:variant>
      <vt:variant>
        <vt:i4>5</vt:i4>
      </vt:variant>
      <vt:variant>
        <vt:lpwstr/>
      </vt:variant>
      <vt:variant>
        <vt:lpwstr>_Toc226372298</vt:lpwstr>
      </vt:variant>
      <vt:variant>
        <vt:i4>1900593</vt:i4>
      </vt:variant>
      <vt:variant>
        <vt:i4>332</vt:i4>
      </vt:variant>
      <vt:variant>
        <vt:i4>0</vt:i4>
      </vt:variant>
      <vt:variant>
        <vt:i4>5</vt:i4>
      </vt:variant>
      <vt:variant>
        <vt:lpwstr/>
      </vt:variant>
      <vt:variant>
        <vt:lpwstr>_Toc226372297</vt:lpwstr>
      </vt:variant>
      <vt:variant>
        <vt:i4>1900593</vt:i4>
      </vt:variant>
      <vt:variant>
        <vt:i4>326</vt:i4>
      </vt:variant>
      <vt:variant>
        <vt:i4>0</vt:i4>
      </vt:variant>
      <vt:variant>
        <vt:i4>5</vt:i4>
      </vt:variant>
      <vt:variant>
        <vt:lpwstr/>
      </vt:variant>
      <vt:variant>
        <vt:lpwstr>_Toc226372296</vt:lpwstr>
      </vt:variant>
      <vt:variant>
        <vt:i4>1900593</vt:i4>
      </vt:variant>
      <vt:variant>
        <vt:i4>320</vt:i4>
      </vt:variant>
      <vt:variant>
        <vt:i4>0</vt:i4>
      </vt:variant>
      <vt:variant>
        <vt:i4>5</vt:i4>
      </vt:variant>
      <vt:variant>
        <vt:lpwstr/>
      </vt:variant>
      <vt:variant>
        <vt:lpwstr>_Toc226372295</vt:lpwstr>
      </vt:variant>
      <vt:variant>
        <vt:i4>1900593</vt:i4>
      </vt:variant>
      <vt:variant>
        <vt:i4>314</vt:i4>
      </vt:variant>
      <vt:variant>
        <vt:i4>0</vt:i4>
      </vt:variant>
      <vt:variant>
        <vt:i4>5</vt:i4>
      </vt:variant>
      <vt:variant>
        <vt:lpwstr/>
      </vt:variant>
      <vt:variant>
        <vt:lpwstr>_Toc226372294</vt:lpwstr>
      </vt:variant>
      <vt:variant>
        <vt:i4>1900593</vt:i4>
      </vt:variant>
      <vt:variant>
        <vt:i4>308</vt:i4>
      </vt:variant>
      <vt:variant>
        <vt:i4>0</vt:i4>
      </vt:variant>
      <vt:variant>
        <vt:i4>5</vt:i4>
      </vt:variant>
      <vt:variant>
        <vt:lpwstr/>
      </vt:variant>
      <vt:variant>
        <vt:lpwstr>_Toc226372293</vt:lpwstr>
      </vt:variant>
      <vt:variant>
        <vt:i4>1900593</vt:i4>
      </vt:variant>
      <vt:variant>
        <vt:i4>302</vt:i4>
      </vt:variant>
      <vt:variant>
        <vt:i4>0</vt:i4>
      </vt:variant>
      <vt:variant>
        <vt:i4>5</vt:i4>
      </vt:variant>
      <vt:variant>
        <vt:lpwstr/>
      </vt:variant>
      <vt:variant>
        <vt:lpwstr>_Toc226372292</vt:lpwstr>
      </vt:variant>
      <vt:variant>
        <vt:i4>1900593</vt:i4>
      </vt:variant>
      <vt:variant>
        <vt:i4>296</vt:i4>
      </vt:variant>
      <vt:variant>
        <vt:i4>0</vt:i4>
      </vt:variant>
      <vt:variant>
        <vt:i4>5</vt:i4>
      </vt:variant>
      <vt:variant>
        <vt:lpwstr/>
      </vt:variant>
      <vt:variant>
        <vt:lpwstr>_Toc226372291</vt:lpwstr>
      </vt:variant>
      <vt:variant>
        <vt:i4>1900593</vt:i4>
      </vt:variant>
      <vt:variant>
        <vt:i4>290</vt:i4>
      </vt:variant>
      <vt:variant>
        <vt:i4>0</vt:i4>
      </vt:variant>
      <vt:variant>
        <vt:i4>5</vt:i4>
      </vt:variant>
      <vt:variant>
        <vt:lpwstr/>
      </vt:variant>
      <vt:variant>
        <vt:lpwstr>_Toc226372290</vt:lpwstr>
      </vt:variant>
      <vt:variant>
        <vt:i4>1835057</vt:i4>
      </vt:variant>
      <vt:variant>
        <vt:i4>284</vt:i4>
      </vt:variant>
      <vt:variant>
        <vt:i4>0</vt:i4>
      </vt:variant>
      <vt:variant>
        <vt:i4>5</vt:i4>
      </vt:variant>
      <vt:variant>
        <vt:lpwstr/>
      </vt:variant>
      <vt:variant>
        <vt:lpwstr>_Toc226372289</vt:lpwstr>
      </vt:variant>
      <vt:variant>
        <vt:i4>1835057</vt:i4>
      </vt:variant>
      <vt:variant>
        <vt:i4>278</vt:i4>
      </vt:variant>
      <vt:variant>
        <vt:i4>0</vt:i4>
      </vt:variant>
      <vt:variant>
        <vt:i4>5</vt:i4>
      </vt:variant>
      <vt:variant>
        <vt:lpwstr/>
      </vt:variant>
      <vt:variant>
        <vt:lpwstr>_Toc226372288</vt:lpwstr>
      </vt:variant>
      <vt:variant>
        <vt:i4>1835057</vt:i4>
      </vt:variant>
      <vt:variant>
        <vt:i4>272</vt:i4>
      </vt:variant>
      <vt:variant>
        <vt:i4>0</vt:i4>
      </vt:variant>
      <vt:variant>
        <vt:i4>5</vt:i4>
      </vt:variant>
      <vt:variant>
        <vt:lpwstr/>
      </vt:variant>
      <vt:variant>
        <vt:lpwstr>_Toc226372287</vt:lpwstr>
      </vt:variant>
      <vt:variant>
        <vt:i4>1835057</vt:i4>
      </vt:variant>
      <vt:variant>
        <vt:i4>266</vt:i4>
      </vt:variant>
      <vt:variant>
        <vt:i4>0</vt:i4>
      </vt:variant>
      <vt:variant>
        <vt:i4>5</vt:i4>
      </vt:variant>
      <vt:variant>
        <vt:lpwstr/>
      </vt:variant>
      <vt:variant>
        <vt:lpwstr>_Toc226372286</vt:lpwstr>
      </vt:variant>
      <vt:variant>
        <vt:i4>1835057</vt:i4>
      </vt:variant>
      <vt:variant>
        <vt:i4>260</vt:i4>
      </vt:variant>
      <vt:variant>
        <vt:i4>0</vt:i4>
      </vt:variant>
      <vt:variant>
        <vt:i4>5</vt:i4>
      </vt:variant>
      <vt:variant>
        <vt:lpwstr/>
      </vt:variant>
      <vt:variant>
        <vt:lpwstr>_Toc226372285</vt:lpwstr>
      </vt:variant>
      <vt:variant>
        <vt:i4>1835057</vt:i4>
      </vt:variant>
      <vt:variant>
        <vt:i4>254</vt:i4>
      </vt:variant>
      <vt:variant>
        <vt:i4>0</vt:i4>
      </vt:variant>
      <vt:variant>
        <vt:i4>5</vt:i4>
      </vt:variant>
      <vt:variant>
        <vt:lpwstr/>
      </vt:variant>
      <vt:variant>
        <vt:lpwstr>_Toc226372284</vt:lpwstr>
      </vt:variant>
      <vt:variant>
        <vt:i4>1835057</vt:i4>
      </vt:variant>
      <vt:variant>
        <vt:i4>248</vt:i4>
      </vt:variant>
      <vt:variant>
        <vt:i4>0</vt:i4>
      </vt:variant>
      <vt:variant>
        <vt:i4>5</vt:i4>
      </vt:variant>
      <vt:variant>
        <vt:lpwstr/>
      </vt:variant>
      <vt:variant>
        <vt:lpwstr>_Toc226372283</vt:lpwstr>
      </vt:variant>
      <vt:variant>
        <vt:i4>1835057</vt:i4>
      </vt:variant>
      <vt:variant>
        <vt:i4>242</vt:i4>
      </vt:variant>
      <vt:variant>
        <vt:i4>0</vt:i4>
      </vt:variant>
      <vt:variant>
        <vt:i4>5</vt:i4>
      </vt:variant>
      <vt:variant>
        <vt:lpwstr/>
      </vt:variant>
      <vt:variant>
        <vt:lpwstr>_Toc226372282</vt:lpwstr>
      </vt:variant>
      <vt:variant>
        <vt:i4>1835057</vt:i4>
      </vt:variant>
      <vt:variant>
        <vt:i4>236</vt:i4>
      </vt:variant>
      <vt:variant>
        <vt:i4>0</vt:i4>
      </vt:variant>
      <vt:variant>
        <vt:i4>5</vt:i4>
      </vt:variant>
      <vt:variant>
        <vt:lpwstr/>
      </vt:variant>
      <vt:variant>
        <vt:lpwstr>_Toc226372281</vt:lpwstr>
      </vt:variant>
      <vt:variant>
        <vt:i4>1835057</vt:i4>
      </vt:variant>
      <vt:variant>
        <vt:i4>230</vt:i4>
      </vt:variant>
      <vt:variant>
        <vt:i4>0</vt:i4>
      </vt:variant>
      <vt:variant>
        <vt:i4>5</vt:i4>
      </vt:variant>
      <vt:variant>
        <vt:lpwstr/>
      </vt:variant>
      <vt:variant>
        <vt:lpwstr>_Toc226372280</vt:lpwstr>
      </vt:variant>
      <vt:variant>
        <vt:i4>1245233</vt:i4>
      </vt:variant>
      <vt:variant>
        <vt:i4>224</vt:i4>
      </vt:variant>
      <vt:variant>
        <vt:i4>0</vt:i4>
      </vt:variant>
      <vt:variant>
        <vt:i4>5</vt:i4>
      </vt:variant>
      <vt:variant>
        <vt:lpwstr/>
      </vt:variant>
      <vt:variant>
        <vt:lpwstr>_Toc226372279</vt:lpwstr>
      </vt:variant>
      <vt:variant>
        <vt:i4>1048625</vt:i4>
      </vt:variant>
      <vt:variant>
        <vt:i4>215</vt:i4>
      </vt:variant>
      <vt:variant>
        <vt:i4>0</vt:i4>
      </vt:variant>
      <vt:variant>
        <vt:i4>5</vt:i4>
      </vt:variant>
      <vt:variant>
        <vt:lpwstr/>
      </vt:variant>
      <vt:variant>
        <vt:lpwstr>_Toc225101653</vt:lpwstr>
      </vt:variant>
      <vt:variant>
        <vt:i4>1048625</vt:i4>
      </vt:variant>
      <vt:variant>
        <vt:i4>209</vt:i4>
      </vt:variant>
      <vt:variant>
        <vt:i4>0</vt:i4>
      </vt:variant>
      <vt:variant>
        <vt:i4>5</vt:i4>
      </vt:variant>
      <vt:variant>
        <vt:lpwstr/>
      </vt:variant>
      <vt:variant>
        <vt:lpwstr>_Toc225101652</vt:lpwstr>
      </vt:variant>
      <vt:variant>
        <vt:i4>1441844</vt:i4>
      </vt:variant>
      <vt:variant>
        <vt:i4>200</vt:i4>
      </vt:variant>
      <vt:variant>
        <vt:i4>0</vt:i4>
      </vt:variant>
      <vt:variant>
        <vt:i4>5</vt:i4>
      </vt:variant>
      <vt:variant>
        <vt:lpwstr/>
      </vt:variant>
      <vt:variant>
        <vt:lpwstr>_Toc221455223</vt:lpwstr>
      </vt:variant>
      <vt:variant>
        <vt:i4>1441844</vt:i4>
      </vt:variant>
      <vt:variant>
        <vt:i4>194</vt:i4>
      </vt:variant>
      <vt:variant>
        <vt:i4>0</vt:i4>
      </vt:variant>
      <vt:variant>
        <vt:i4>5</vt:i4>
      </vt:variant>
      <vt:variant>
        <vt:lpwstr/>
      </vt:variant>
      <vt:variant>
        <vt:lpwstr>_Toc221455222</vt:lpwstr>
      </vt:variant>
      <vt:variant>
        <vt:i4>1441844</vt:i4>
      </vt:variant>
      <vt:variant>
        <vt:i4>188</vt:i4>
      </vt:variant>
      <vt:variant>
        <vt:i4>0</vt:i4>
      </vt:variant>
      <vt:variant>
        <vt:i4>5</vt:i4>
      </vt:variant>
      <vt:variant>
        <vt:lpwstr/>
      </vt:variant>
      <vt:variant>
        <vt:lpwstr>_Toc221455221</vt:lpwstr>
      </vt:variant>
      <vt:variant>
        <vt:i4>1441844</vt:i4>
      </vt:variant>
      <vt:variant>
        <vt:i4>182</vt:i4>
      </vt:variant>
      <vt:variant>
        <vt:i4>0</vt:i4>
      </vt:variant>
      <vt:variant>
        <vt:i4>5</vt:i4>
      </vt:variant>
      <vt:variant>
        <vt:lpwstr/>
      </vt:variant>
      <vt:variant>
        <vt:lpwstr>_Toc221455220</vt:lpwstr>
      </vt:variant>
      <vt:variant>
        <vt:i4>1376308</vt:i4>
      </vt:variant>
      <vt:variant>
        <vt:i4>176</vt:i4>
      </vt:variant>
      <vt:variant>
        <vt:i4>0</vt:i4>
      </vt:variant>
      <vt:variant>
        <vt:i4>5</vt:i4>
      </vt:variant>
      <vt:variant>
        <vt:lpwstr/>
      </vt:variant>
      <vt:variant>
        <vt:lpwstr>_Toc221455219</vt:lpwstr>
      </vt:variant>
      <vt:variant>
        <vt:i4>1376308</vt:i4>
      </vt:variant>
      <vt:variant>
        <vt:i4>170</vt:i4>
      </vt:variant>
      <vt:variant>
        <vt:i4>0</vt:i4>
      </vt:variant>
      <vt:variant>
        <vt:i4>5</vt:i4>
      </vt:variant>
      <vt:variant>
        <vt:lpwstr/>
      </vt:variant>
      <vt:variant>
        <vt:lpwstr>_Toc221455218</vt:lpwstr>
      </vt:variant>
      <vt:variant>
        <vt:i4>1376308</vt:i4>
      </vt:variant>
      <vt:variant>
        <vt:i4>164</vt:i4>
      </vt:variant>
      <vt:variant>
        <vt:i4>0</vt:i4>
      </vt:variant>
      <vt:variant>
        <vt:i4>5</vt:i4>
      </vt:variant>
      <vt:variant>
        <vt:lpwstr/>
      </vt:variant>
      <vt:variant>
        <vt:lpwstr>_Toc221455215</vt:lpwstr>
      </vt:variant>
      <vt:variant>
        <vt:i4>1376308</vt:i4>
      </vt:variant>
      <vt:variant>
        <vt:i4>158</vt:i4>
      </vt:variant>
      <vt:variant>
        <vt:i4>0</vt:i4>
      </vt:variant>
      <vt:variant>
        <vt:i4>5</vt:i4>
      </vt:variant>
      <vt:variant>
        <vt:lpwstr/>
      </vt:variant>
      <vt:variant>
        <vt:lpwstr>_Toc221455214</vt:lpwstr>
      </vt:variant>
      <vt:variant>
        <vt:i4>1376308</vt:i4>
      </vt:variant>
      <vt:variant>
        <vt:i4>152</vt:i4>
      </vt:variant>
      <vt:variant>
        <vt:i4>0</vt:i4>
      </vt:variant>
      <vt:variant>
        <vt:i4>5</vt:i4>
      </vt:variant>
      <vt:variant>
        <vt:lpwstr/>
      </vt:variant>
      <vt:variant>
        <vt:lpwstr>_Toc221455213</vt:lpwstr>
      </vt:variant>
      <vt:variant>
        <vt:i4>1376308</vt:i4>
      </vt:variant>
      <vt:variant>
        <vt:i4>146</vt:i4>
      </vt:variant>
      <vt:variant>
        <vt:i4>0</vt:i4>
      </vt:variant>
      <vt:variant>
        <vt:i4>5</vt:i4>
      </vt:variant>
      <vt:variant>
        <vt:lpwstr/>
      </vt:variant>
      <vt:variant>
        <vt:lpwstr>_Toc221455212</vt:lpwstr>
      </vt:variant>
      <vt:variant>
        <vt:i4>1376308</vt:i4>
      </vt:variant>
      <vt:variant>
        <vt:i4>140</vt:i4>
      </vt:variant>
      <vt:variant>
        <vt:i4>0</vt:i4>
      </vt:variant>
      <vt:variant>
        <vt:i4>5</vt:i4>
      </vt:variant>
      <vt:variant>
        <vt:lpwstr/>
      </vt:variant>
      <vt:variant>
        <vt:lpwstr>_Toc221455211</vt:lpwstr>
      </vt:variant>
      <vt:variant>
        <vt:i4>1376308</vt:i4>
      </vt:variant>
      <vt:variant>
        <vt:i4>134</vt:i4>
      </vt:variant>
      <vt:variant>
        <vt:i4>0</vt:i4>
      </vt:variant>
      <vt:variant>
        <vt:i4>5</vt:i4>
      </vt:variant>
      <vt:variant>
        <vt:lpwstr/>
      </vt:variant>
      <vt:variant>
        <vt:lpwstr>_Toc221455210</vt:lpwstr>
      </vt:variant>
      <vt:variant>
        <vt:i4>1310772</vt:i4>
      </vt:variant>
      <vt:variant>
        <vt:i4>128</vt:i4>
      </vt:variant>
      <vt:variant>
        <vt:i4>0</vt:i4>
      </vt:variant>
      <vt:variant>
        <vt:i4>5</vt:i4>
      </vt:variant>
      <vt:variant>
        <vt:lpwstr/>
      </vt:variant>
      <vt:variant>
        <vt:lpwstr>_Toc221455209</vt:lpwstr>
      </vt:variant>
      <vt:variant>
        <vt:i4>1310772</vt:i4>
      </vt:variant>
      <vt:variant>
        <vt:i4>122</vt:i4>
      </vt:variant>
      <vt:variant>
        <vt:i4>0</vt:i4>
      </vt:variant>
      <vt:variant>
        <vt:i4>5</vt:i4>
      </vt:variant>
      <vt:variant>
        <vt:lpwstr/>
      </vt:variant>
      <vt:variant>
        <vt:lpwstr>_Toc221455208</vt:lpwstr>
      </vt:variant>
      <vt:variant>
        <vt:i4>1310772</vt:i4>
      </vt:variant>
      <vt:variant>
        <vt:i4>116</vt:i4>
      </vt:variant>
      <vt:variant>
        <vt:i4>0</vt:i4>
      </vt:variant>
      <vt:variant>
        <vt:i4>5</vt:i4>
      </vt:variant>
      <vt:variant>
        <vt:lpwstr/>
      </vt:variant>
      <vt:variant>
        <vt:lpwstr>_Toc221455207</vt:lpwstr>
      </vt:variant>
      <vt:variant>
        <vt:i4>1310772</vt:i4>
      </vt:variant>
      <vt:variant>
        <vt:i4>110</vt:i4>
      </vt:variant>
      <vt:variant>
        <vt:i4>0</vt:i4>
      </vt:variant>
      <vt:variant>
        <vt:i4>5</vt:i4>
      </vt:variant>
      <vt:variant>
        <vt:lpwstr/>
      </vt:variant>
      <vt:variant>
        <vt:lpwstr>_Toc221455206</vt:lpwstr>
      </vt:variant>
      <vt:variant>
        <vt:i4>1310772</vt:i4>
      </vt:variant>
      <vt:variant>
        <vt:i4>104</vt:i4>
      </vt:variant>
      <vt:variant>
        <vt:i4>0</vt:i4>
      </vt:variant>
      <vt:variant>
        <vt:i4>5</vt:i4>
      </vt:variant>
      <vt:variant>
        <vt:lpwstr/>
      </vt:variant>
      <vt:variant>
        <vt:lpwstr>_Toc221455205</vt:lpwstr>
      </vt:variant>
      <vt:variant>
        <vt:i4>1310772</vt:i4>
      </vt:variant>
      <vt:variant>
        <vt:i4>98</vt:i4>
      </vt:variant>
      <vt:variant>
        <vt:i4>0</vt:i4>
      </vt:variant>
      <vt:variant>
        <vt:i4>5</vt:i4>
      </vt:variant>
      <vt:variant>
        <vt:lpwstr/>
      </vt:variant>
      <vt:variant>
        <vt:lpwstr>_Toc221455204</vt:lpwstr>
      </vt:variant>
      <vt:variant>
        <vt:i4>1310772</vt:i4>
      </vt:variant>
      <vt:variant>
        <vt:i4>92</vt:i4>
      </vt:variant>
      <vt:variant>
        <vt:i4>0</vt:i4>
      </vt:variant>
      <vt:variant>
        <vt:i4>5</vt:i4>
      </vt:variant>
      <vt:variant>
        <vt:lpwstr/>
      </vt:variant>
      <vt:variant>
        <vt:lpwstr>_Toc221455203</vt:lpwstr>
      </vt:variant>
      <vt:variant>
        <vt:i4>1310772</vt:i4>
      </vt:variant>
      <vt:variant>
        <vt:i4>86</vt:i4>
      </vt:variant>
      <vt:variant>
        <vt:i4>0</vt:i4>
      </vt:variant>
      <vt:variant>
        <vt:i4>5</vt:i4>
      </vt:variant>
      <vt:variant>
        <vt:lpwstr/>
      </vt:variant>
      <vt:variant>
        <vt:lpwstr>_Toc221455202</vt:lpwstr>
      </vt:variant>
      <vt:variant>
        <vt:i4>1310772</vt:i4>
      </vt:variant>
      <vt:variant>
        <vt:i4>80</vt:i4>
      </vt:variant>
      <vt:variant>
        <vt:i4>0</vt:i4>
      </vt:variant>
      <vt:variant>
        <vt:i4>5</vt:i4>
      </vt:variant>
      <vt:variant>
        <vt:lpwstr/>
      </vt:variant>
      <vt:variant>
        <vt:lpwstr>_Toc221455201</vt:lpwstr>
      </vt:variant>
      <vt:variant>
        <vt:i4>1310772</vt:i4>
      </vt:variant>
      <vt:variant>
        <vt:i4>74</vt:i4>
      </vt:variant>
      <vt:variant>
        <vt:i4>0</vt:i4>
      </vt:variant>
      <vt:variant>
        <vt:i4>5</vt:i4>
      </vt:variant>
      <vt:variant>
        <vt:lpwstr/>
      </vt:variant>
      <vt:variant>
        <vt:lpwstr>_Toc221455200</vt:lpwstr>
      </vt:variant>
      <vt:variant>
        <vt:i4>1900599</vt:i4>
      </vt:variant>
      <vt:variant>
        <vt:i4>68</vt:i4>
      </vt:variant>
      <vt:variant>
        <vt:i4>0</vt:i4>
      </vt:variant>
      <vt:variant>
        <vt:i4>5</vt:i4>
      </vt:variant>
      <vt:variant>
        <vt:lpwstr/>
      </vt:variant>
      <vt:variant>
        <vt:lpwstr>_Toc221455199</vt:lpwstr>
      </vt:variant>
      <vt:variant>
        <vt:i4>1900599</vt:i4>
      </vt:variant>
      <vt:variant>
        <vt:i4>62</vt:i4>
      </vt:variant>
      <vt:variant>
        <vt:i4>0</vt:i4>
      </vt:variant>
      <vt:variant>
        <vt:i4>5</vt:i4>
      </vt:variant>
      <vt:variant>
        <vt:lpwstr/>
      </vt:variant>
      <vt:variant>
        <vt:lpwstr>_Toc221455198</vt:lpwstr>
      </vt:variant>
      <vt:variant>
        <vt:i4>1900599</vt:i4>
      </vt:variant>
      <vt:variant>
        <vt:i4>56</vt:i4>
      </vt:variant>
      <vt:variant>
        <vt:i4>0</vt:i4>
      </vt:variant>
      <vt:variant>
        <vt:i4>5</vt:i4>
      </vt:variant>
      <vt:variant>
        <vt:lpwstr/>
      </vt:variant>
      <vt:variant>
        <vt:lpwstr>_Toc221455197</vt:lpwstr>
      </vt:variant>
      <vt:variant>
        <vt:i4>1900599</vt:i4>
      </vt:variant>
      <vt:variant>
        <vt:i4>50</vt:i4>
      </vt:variant>
      <vt:variant>
        <vt:i4>0</vt:i4>
      </vt:variant>
      <vt:variant>
        <vt:i4>5</vt:i4>
      </vt:variant>
      <vt:variant>
        <vt:lpwstr/>
      </vt:variant>
      <vt:variant>
        <vt:lpwstr>_Toc221455196</vt:lpwstr>
      </vt:variant>
      <vt:variant>
        <vt:i4>1900599</vt:i4>
      </vt:variant>
      <vt:variant>
        <vt:i4>44</vt:i4>
      </vt:variant>
      <vt:variant>
        <vt:i4>0</vt:i4>
      </vt:variant>
      <vt:variant>
        <vt:i4>5</vt:i4>
      </vt:variant>
      <vt:variant>
        <vt:lpwstr/>
      </vt:variant>
      <vt:variant>
        <vt:lpwstr>_Toc221455195</vt:lpwstr>
      </vt:variant>
      <vt:variant>
        <vt:i4>1900599</vt:i4>
      </vt:variant>
      <vt:variant>
        <vt:i4>38</vt:i4>
      </vt:variant>
      <vt:variant>
        <vt:i4>0</vt:i4>
      </vt:variant>
      <vt:variant>
        <vt:i4>5</vt:i4>
      </vt:variant>
      <vt:variant>
        <vt:lpwstr/>
      </vt:variant>
      <vt:variant>
        <vt:lpwstr>_Toc221455194</vt:lpwstr>
      </vt:variant>
      <vt:variant>
        <vt:i4>1900599</vt:i4>
      </vt:variant>
      <vt:variant>
        <vt:i4>32</vt:i4>
      </vt:variant>
      <vt:variant>
        <vt:i4>0</vt:i4>
      </vt:variant>
      <vt:variant>
        <vt:i4>5</vt:i4>
      </vt:variant>
      <vt:variant>
        <vt:lpwstr/>
      </vt:variant>
      <vt:variant>
        <vt:lpwstr>_Toc221455193</vt:lpwstr>
      </vt:variant>
      <vt:variant>
        <vt:i4>1900599</vt:i4>
      </vt:variant>
      <vt:variant>
        <vt:i4>26</vt:i4>
      </vt:variant>
      <vt:variant>
        <vt:i4>0</vt:i4>
      </vt:variant>
      <vt:variant>
        <vt:i4>5</vt:i4>
      </vt:variant>
      <vt:variant>
        <vt:lpwstr/>
      </vt:variant>
      <vt:variant>
        <vt:lpwstr>_Toc221455192</vt:lpwstr>
      </vt:variant>
      <vt:variant>
        <vt:i4>1900599</vt:i4>
      </vt:variant>
      <vt:variant>
        <vt:i4>20</vt:i4>
      </vt:variant>
      <vt:variant>
        <vt:i4>0</vt:i4>
      </vt:variant>
      <vt:variant>
        <vt:i4>5</vt:i4>
      </vt:variant>
      <vt:variant>
        <vt:lpwstr/>
      </vt:variant>
      <vt:variant>
        <vt:lpwstr>_Toc221455191</vt:lpwstr>
      </vt:variant>
      <vt:variant>
        <vt:i4>1900599</vt:i4>
      </vt:variant>
      <vt:variant>
        <vt:i4>14</vt:i4>
      </vt:variant>
      <vt:variant>
        <vt:i4>0</vt:i4>
      </vt:variant>
      <vt:variant>
        <vt:i4>5</vt:i4>
      </vt:variant>
      <vt:variant>
        <vt:lpwstr/>
      </vt:variant>
      <vt:variant>
        <vt:lpwstr>_Toc221455190</vt:lpwstr>
      </vt:variant>
      <vt:variant>
        <vt:i4>1835063</vt:i4>
      </vt:variant>
      <vt:variant>
        <vt:i4>8</vt:i4>
      </vt:variant>
      <vt:variant>
        <vt:i4>0</vt:i4>
      </vt:variant>
      <vt:variant>
        <vt:i4>5</vt:i4>
      </vt:variant>
      <vt:variant>
        <vt:lpwstr/>
      </vt:variant>
      <vt:variant>
        <vt:lpwstr>_Toc221455189</vt:lpwstr>
      </vt:variant>
      <vt:variant>
        <vt:i4>1835063</vt:i4>
      </vt:variant>
      <vt:variant>
        <vt:i4>2</vt:i4>
      </vt:variant>
      <vt:variant>
        <vt:i4>0</vt:i4>
      </vt:variant>
      <vt:variant>
        <vt:i4>5</vt:i4>
      </vt:variant>
      <vt:variant>
        <vt:lpwstr/>
      </vt:variant>
      <vt:variant>
        <vt:lpwstr>_Toc221455188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 Report</dc:title>
  <dc:subject>Developed for ACE Capital Projects LT</dc:subject>
  <dc:creator>Kieran Bowen – Quantity Surveyor</dc:creator>
  <cp:keywords/>
  <dc:description/>
  <cp:lastModifiedBy>Kieran Bowen</cp:lastModifiedBy>
  <cp:revision>39</cp:revision>
  <dcterms:created xsi:type="dcterms:W3CDTF">2026-05-13T14:31:00Z</dcterms:created>
  <dcterms:modified xsi:type="dcterms:W3CDTF">2026-05-13T18:12:00Z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0x010100BD446F8822C25E4BB00FBD106CD55981</vt:lpwstr>
  </property>
  <property fmtid="{D5CDD505-2E9C-101B-9397-08002B2CF9AE}" pid="3" name="MediaServiceImageTags">
    <vt:lpwstr/>
  </property>
  <property fmtid="{D5CDD505-2E9C-101B-9397-08002B2CF9AE}" pid="4" name="GrammarlyDocumentId">
    <vt:lpwstr>d192e4ea-3a82-4c71-962d-5bebfc758be2</vt:lpwstr>
  </property>
</Properties>
</file>