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2359F" w14:textId="51560350" w:rsidR="000D7A50" w:rsidRDefault="000D7A50" w:rsidP="000E7DD0">
      <w:pPr>
        <w:pStyle w:val="Heading1"/>
        <w:jc w:val="center"/>
        <w:rPr>
          <w:rFonts w:ascii="Arial" w:hAnsi="Arial" w:cs="Arial"/>
          <w:b w:val="0"/>
          <w:bCs w:val="0"/>
          <w:color w:val="000000" w:themeColor="text1"/>
        </w:rPr>
      </w:pPr>
      <w:r>
        <w:rPr>
          <w:noProof/>
        </w:rPr>
        <w:drawing>
          <wp:anchor distT="0" distB="0" distL="114300" distR="114300" simplePos="0" relativeHeight="251653632" behindDoc="0" locked="0" layoutInCell="1" allowOverlap="1" wp14:anchorId="6BC9ED00" wp14:editId="3BD42F08">
            <wp:simplePos x="0" y="0"/>
            <wp:positionH relativeFrom="margin">
              <wp:align>center</wp:align>
            </wp:positionH>
            <wp:positionV relativeFrom="paragraph">
              <wp:posOffset>0</wp:posOffset>
            </wp:positionV>
            <wp:extent cx="1770380" cy="984250"/>
            <wp:effectExtent l="0" t="0" r="1270" b="6350"/>
            <wp:wrapSquare wrapText="bothSides"/>
            <wp:docPr id="1"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Logo Vector - (.SVG + .PNG) -  Tukuz.Com"/>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70380" cy="984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F42AEF" w14:textId="77777777" w:rsidR="000D7A50" w:rsidRDefault="000D7A50" w:rsidP="000E7DD0">
      <w:pPr>
        <w:pStyle w:val="Heading1"/>
        <w:jc w:val="center"/>
        <w:rPr>
          <w:rFonts w:ascii="Arial" w:hAnsi="Arial" w:cs="Arial"/>
          <w:b w:val="0"/>
          <w:bCs w:val="0"/>
          <w:color w:val="000000" w:themeColor="text1"/>
        </w:rPr>
      </w:pPr>
    </w:p>
    <w:p w14:paraId="3E08B68E" w14:textId="094FF845" w:rsidR="000E7DD0" w:rsidRPr="00034270" w:rsidRDefault="000E7DD0" w:rsidP="008B13AC">
      <w:pPr>
        <w:pStyle w:val="Heading1"/>
        <w:jc w:val="center"/>
        <w:rPr>
          <w:rFonts w:ascii="Arial" w:hAnsi="Arial" w:cs="Arial"/>
          <w:b w:val="0"/>
          <w:bCs w:val="0"/>
          <w:color w:val="000000" w:themeColor="text1"/>
          <w:sz w:val="22"/>
          <w:szCs w:val="22"/>
        </w:rPr>
      </w:pPr>
      <w:r w:rsidRPr="00034270">
        <w:rPr>
          <w:rFonts w:ascii="Arial" w:hAnsi="Arial" w:cs="Arial"/>
          <w:b w:val="0"/>
          <w:bCs w:val="0"/>
          <w:color w:val="000000" w:themeColor="text1"/>
          <w:sz w:val="22"/>
          <w:szCs w:val="22"/>
        </w:rPr>
        <w:t>MSc Public Health and Social care in Practice</w:t>
      </w:r>
    </w:p>
    <w:p w14:paraId="5B7D7392" w14:textId="40D1851C" w:rsidR="000E7DD0" w:rsidRPr="00034270" w:rsidRDefault="000E7DD0" w:rsidP="008B13AC">
      <w:pPr>
        <w:jc w:val="center"/>
        <w:rPr>
          <w:rFonts w:ascii="Arial" w:hAnsi="Arial" w:cs="Arial"/>
          <w:color w:val="000000" w:themeColor="text1"/>
        </w:rPr>
      </w:pPr>
      <w:r w:rsidRPr="00034270">
        <w:rPr>
          <w:rFonts w:ascii="Arial" w:hAnsi="Arial" w:cs="Arial"/>
          <w:color w:val="000000" w:themeColor="text1"/>
        </w:rPr>
        <w:t>LCHS7002: Health Care System Organisation and Leadership</w:t>
      </w:r>
    </w:p>
    <w:p w14:paraId="2F0F1629" w14:textId="06E19571" w:rsidR="000E7DD0" w:rsidRPr="00034270" w:rsidRDefault="001E3FC4" w:rsidP="008B13AC">
      <w:pPr>
        <w:jc w:val="center"/>
        <w:rPr>
          <w:rFonts w:ascii="Arial" w:hAnsi="Arial" w:cs="Arial"/>
          <w:color w:val="000000" w:themeColor="text1"/>
        </w:rPr>
      </w:pPr>
      <w:r w:rsidRPr="00034270">
        <w:rPr>
          <w:noProof/>
        </w:rPr>
        <w:drawing>
          <wp:anchor distT="0" distB="0" distL="114300" distR="114300" simplePos="0" relativeHeight="251649536" behindDoc="0" locked="0" layoutInCell="1" allowOverlap="1" wp14:anchorId="73F87BBB" wp14:editId="3FDBEE08">
            <wp:simplePos x="0" y="0"/>
            <wp:positionH relativeFrom="column">
              <wp:posOffset>-802640</wp:posOffset>
            </wp:positionH>
            <wp:positionV relativeFrom="paragraph">
              <wp:posOffset>518160</wp:posOffset>
            </wp:positionV>
            <wp:extent cx="7101205" cy="4438650"/>
            <wp:effectExtent l="0" t="0" r="4445" b="0"/>
            <wp:wrapSquare wrapText="bothSides"/>
            <wp:docPr id="376390998" name="Picture 1" descr="A close-up of a vir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390998" name="Picture 1" descr="A close-up of a virus&#10;&#10;Description automatically generated"/>
                    <pic:cNvPicPr/>
                  </pic:nvPicPr>
                  <pic:blipFill>
                    <a:blip r:embed="rId9"/>
                    <a:stretch>
                      <a:fillRect/>
                    </a:stretch>
                  </pic:blipFill>
                  <pic:spPr>
                    <a:xfrm>
                      <a:off x="0" y="0"/>
                      <a:ext cx="7101205" cy="4438650"/>
                    </a:xfrm>
                    <a:prstGeom prst="rect">
                      <a:avLst/>
                    </a:prstGeom>
                    <a:effectLst>
                      <a:softEdge rad="332787"/>
                    </a:effectLst>
                  </pic:spPr>
                </pic:pic>
              </a:graphicData>
            </a:graphic>
            <wp14:sizeRelH relativeFrom="margin">
              <wp14:pctWidth>0</wp14:pctWidth>
            </wp14:sizeRelH>
            <wp14:sizeRelV relativeFrom="margin">
              <wp14:pctHeight>0</wp14:pctHeight>
            </wp14:sizeRelV>
          </wp:anchor>
        </w:drawing>
      </w:r>
      <w:r w:rsidR="000E7DD0" w:rsidRPr="00034270">
        <w:rPr>
          <w:rFonts w:ascii="Arial" w:hAnsi="Arial" w:cs="Arial"/>
          <w:color w:val="000000" w:themeColor="text1"/>
        </w:rPr>
        <w:t>Case Study Analysis Report: Comparative report on COVID19 leadership responses</w:t>
      </w:r>
    </w:p>
    <w:p w14:paraId="7C42281B" w14:textId="27DD1933" w:rsidR="000E7DD0" w:rsidRDefault="000E7DD0" w:rsidP="000E7DD0"/>
    <w:p w14:paraId="74CEE3DE" w14:textId="6A489C9D" w:rsidR="002E42E4" w:rsidRPr="00034270" w:rsidRDefault="002E42E4" w:rsidP="00034270">
      <w:pPr>
        <w:tabs>
          <w:tab w:val="left" w:pos="5607"/>
        </w:tabs>
        <w:jc w:val="center"/>
        <w:rPr>
          <w:rFonts w:ascii="Arial" w:hAnsi="Arial" w:cs="Arial"/>
        </w:rPr>
      </w:pPr>
      <w:r w:rsidRPr="00034270">
        <w:rPr>
          <w:rFonts w:ascii="Arial" w:hAnsi="Arial" w:cs="Arial"/>
        </w:rPr>
        <w:t>Lecturer name: Dr. Fahad Khan</w:t>
      </w:r>
    </w:p>
    <w:p w14:paraId="1517B989" w14:textId="4D21ABF8" w:rsidR="002E42E4" w:rsidRPr="00034270" w:rsidRDefault="002E42E4" w:rsidP="00034270">
      <w:pPr>
        <w:tabs>
          <w:tab w:val="left" w:pos="5607"/>
        </w:tabs>
        <w:jc w:val="center"/>
        <w:rPr>
          <w:rFonts w:ascii="Arial" w:hAnsi="Arial" w:cs="Arial"/>
        </w:rPr>
      </w:pPr>
      <w:r w:rsidRPr="00034270">
        <w:rPr>
          <w:rFonts w:ascii="Arial" w:hAnsi="Arial" w:cs="Arial"/>
        </w:rPr>
        <w:t>Student name: Melvita Da Silva</w:t>
      </w:r>
    </w:p>
    <w:p w14:paraId="03358A90" w14:textId="550BE39F" w:rsidR="000E7DD0" w:rsidRPr="001E3FC4" w:rsidRDefault="002E42E4" w:rsidP="00034270">
      <w:pPr>
        <w:tabs>
          <w:tab w:val="left" w:pos="5607"/>
        </w:tabs>
        <w:jc w:val="center"/>
        <w:rPr>
          <w:rFonts w:ascii="Arial" w:hAnsi="Arial" w:cs="Arial"/>
          <w:sz w:val="28"/>
          <w:szCs w:val="28"/>
        </w:rPr>
      </w:pPr>
      <w:r w:rsidRPr="00034270">
        <w:rPr>
          <w:rFonts w:ascii="Arial" w:hAnsi="Arial" w:cs="Arial"/>
        </w:rPr>
        <w:t>Student number :2436452</w:t>
      </w:r>
    </w:p>
    <w:p w14:paraId="20AE8A78" w14:textId="117D1A6C" w:rsidR="00034270" w:rsidRDefault="00071B1E" w:rsidP="00432CB2">
      <w:r>
        <w:t xml:space="preserve">                                                                    </w:t>
      </w:r>
    </w:p>
    <w:p w14:paraId="43675B4C" w14:textId="20C16685" w:rsidR="00782872" w:rsidRDefault="00C80D19" w:rsidP="00432CB2">
      <w:pPr>
        <w:rPr>
          <w:sz w:val="28"/>
          <w:szCs w:val="28"/>
        </w:rPr>
      </w:pPr>
      <w:r>
        <w:rPr>
          <w:noProof/>
          <w:sz w:val="28"/>
          <w:szCs w:val="28"/>
        </w:rPr>
        <w:lastRenderedPageBreak/>
        <mc:AlternateContent>
          <mc:Choice Requires="wps">
            <w:drawing>
              <wp:anchor distT="0" distB="0" distL="114300" distR="114300" simplePos="0" relativeHeight="251666944" behindDoc="1" locked="0" layoutInCell="1" allowOverlap="1" wp14:anchorId="3686C5D2" wp14:editId="5601901D">
                <wp:simplePos x="0" y="0"/>
                <wp:positionH relativeFrom="column">
                  <wp:posOffset>1893570</wp:posOffset>
                </wp:positionH>
                <wp:positionV relativeFrom="paragraph">
                  <wp:posOffset>331470</wp:posOffset>
                </wp:positionV>
                <wp:extent cx="1699260" cy="274320"/>
                <wp:effectExtent l="0" t="0" r="15240" b="11430"/>
                <wp:wrapNone/>
                <wp:docPr id="1722710974" name="Rectangle 2"/>
                <wp:cNvGraphicFramePr/>
                <a:graphic xmlns:a="http://schemas.openxmlformats.org/drawingml/2006/main">
                  <a:graphicData uri="http://schemas.microsoft.com/office/word/2010/wordprocessingShape">
                    <wps:wsp>
                      <wps:cNvSpPr/>
                      <wps:spPr>
                        <a:xfrm>
                          <a:off x="0" y="0"/>
                          <a:ext cx="1699260" cy="274320"/>
                        </a:xfrm>
                        <a:prstGeom prst="rect">
                          <a:avLst/>
                        </a:prstGeom>
                        <a:ln w="12700">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0B15A9" id="Rectangle 2" o:spid="_x0000_s1026" style="position:absolute;margin-left:149.1pt;margin-top:26.1pt;width:133.8pt;height:21.6pt;z-index:-251636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" fillcolor="white [3201]" strokecolor="black [3213]" strokeweight="1pt"/>
            </w:pict>
          </mc:Fallback>
        </mc:AlternateContent>
      </w:r>
      <w:r w:rsidR="00034270" w:rsidRPr="008C560B">
        <w:rPr>
          <w:sz w:val="28"/>
          <w:szCs w:val="28"/>
        </w:rPr>
        <w:t xml:space="preserve">                                                     </w:t>
      </w:r>
    </w:p>
    <w:p w14:paraId="46686183" w14:textId="261AFBAB" w:rsidR="009B112F" w:rsidRPr="001E3A88" w:rsidRDefault="00782872" w:rsidP="00432CB2">
      <w:pPr>
        <w:rPr>
          <w:sz w:val="28"/>
          <w:szCs w:val="28"/>
        </w:rPr>
      </w:pPr>
      <w:r>
        <w:rPr>
          <w:sz w:val="28"/>
          <w:szCs w:val="28"/>
        </w:rPr>
        <w:t xml:space="preserve">                                                   </w:t>
      </w:r>
      <w:r w:rsidR="00034270" w:rsidRPr="008C560B">
        <w:rPr>
          <w:sz w:val="28"/>
          <w:szCs w:val="28"/>
        </w:rPr>
        <w:t xml:space="preserve"> </w:t>
      </w:r>
      <w:r w:rsidR="00071B1E" w:rsidRPr="008C560B">
        <w:rPr>
          <w:sz w:val="28"/>
          <w:szCs w:val="28"/>
        </w:rPr>
        <w:t xml:space="preserve"> </w:t>
      </w:r>
      <w:r w:rsidR="009B112F" w:rsidRPr="008C560B">
        <w:rPr>
          <w:rFonts w:ascii="Arial" w:hAnsi="Arial" w:cs="Arial"/>
          <w:sz w:val="28"/>
          <w:szCs w:val="28"/>
        </w:rPr>
        <w:t xml:space="preserve">Table of </w:t>
      </w:r>
      <w:r w:rsidR="00071B1E" w:rsidRPr="008C560B">
        <w:rPr>
          <w:rFonts w:ascii="Arial" w:hAnsi="Arial" w:cs="Arial"/>
          <w:sz w:val="28"/>
          <w:szCs w:val="28"/>
        </w:rPr>
        <w:t>C</w:t>
      </w:r>
      <w:r w:rsidR="009B112F" w:rsidRPr="008C560B">
        <w:rPr>
          <w:rFonts w:ascii="Arial" w:hAnsi="Arial" w:cs="Arial"/>
          <w:sz w:val="28"/>
          <w:szCs w:val="28"/>
        </w:rPr>
        <w:t>ontent</w:t>
      </w:r>
      <w:r w:rsidR="00071B1E" w:rsidRPr="008C560B">
        <w:rPr>
          <w:rFonts w:ascii="Arial" w:hAnsi="Arial" w:cs="Arial"/>
          <w:sz w:val="28"/>
          <w:szCs w:val="28"/>
        </w:rPr>
        <w:t>s</w:t>
      </w:r>
    </w:p>
    <w:p w14:paraId="22BE5D1B" w14:textId="60814069" w:rsidR="001E3A88" w:rsidRDefault="001E3A88" w:rsidP="004C5622">
      <w:pPr>
        <w:pStyle w:val="NoSpacing"/>
        <w:rPr>
          <w:rFonts w:ascii="Arial" w:hAnsi="Arial" w:cs="Arial"/>
        </w:rPr>
      </w:pPr>
    </w:p>
    <w:p w14:paraId="248FA8B3" w14:textId="72A596D0" w:rsidR="001E3A88" w:rsidRDefault="001E3A88" w:rsidP="004C5622">
      <w:pPr>
        <w:pStyle w:val="NoSpacing"/>
        <w:rPr>
          <w:rFonts w:ascii="Arial" w:hAnsi="Arial" w:cs="Arial"/>
        </w:rPr>
      </w:pPr>
    </w:p>
    <w:p w14:paraId="200503DF" w14:textId="77777777" w:rsidR="00C80D19" w:rsidRDefault="00C80D19" w:rsidP="004C5622">
      <w:pPr>
        <w:pStyle w:val="NoSpacing"/>
        <w:rPr>
          <w:rFonts w:ascii="Arial" w:hAnsi="Arial" w:cs="Arial"/>
        </w:rPr>
      </w:pPr>
    </w:p>
    <w:p w14:paraId="7414D02D" w14:textId="15029B1A" w:rsidR="00432CB2" w:rsidRPr="008C560B" w:rsidRDefault="00432CB2" w:rsidP="004C5622">
      <w:pPr>
        <w:pStyle w:val="NoSpacing"/>
        <w:rPr>
          <w:rFonts w:ascii="Arial" w:hAnsi="Arial" w:cs="Arial"/>
        </w:rPr>
      </w:pPr>
      <w:r w:rsidRPr="008C560B">
        <w:rPr>
          <w:rFonts w:ascii="Arial" w:hAnsi="Arial" w:cs="Arial"/>
        </w:rPr>
        <w:t>1. Introduction</w:t>
      </w:r>
      <w:r w:rsidRPr="008C560B">
        <w:rPr>
          <w:rFonts w:ascii="Arial" w:hAnsi="Arial" w:cs="Arial"/>
        </w:rPr>
        <w:tab/>
      </w:r>
      <w:r w:rsidR="00071B1E" w:rsidRPr="008C560B">
        <w:rPr>
          <w:rFonts w:ascii="Arial" w:hAnsi="Arial" w:cs="Arial"/>
        </w:rPr>
        <w:t>------------------------------------------------------------------------------------------------</w:t>
      </w:r>
      <w:r w:rsidRPr="008C560B">
        <w:rPr>
          <w:rFonts w:ascii="Arial" w:hAnsi="Arial" w:cs="Arial"/>
        </w:rPr>
        <w:t>3</w:t>
      </w:r>
    </w:p>
    <w:p w14:paraId="5D833B24" w14:textId="54A3BBAB" w:rsidR="00432CB2" w:rsidRPr="008C560B" w:rsidRDefault="00432CB2" w:rsidP="004C5622">
      <w:pPr>
        <w:pStyle w:val="NoSpacing"/>
        <w:rPr>
          <w:rFonts w:ascii="Arial" w:hAnsi="Arial" w:cs="Arial"/>
        </w:rPr>
      </w:pPr>
      <w:r w:rsidRPr="008C560B">
        <w:rPr>
          <w:rFonts w:ascii="Arial" w:hAnsi="Arial" w:cs="Arial"/>
        </w:rPr>
        <w:t xml:space="preserve">    1.1 Context and Significance</w:t>
      </w:r>
      <w:r w:rsidR="00071B1E" w:rsidRPr="008C560B">
        <w:rPr>
          <w:rFonts w:ascii="Arial" w:hAnsi="Arial" w:cs="Arial"/>
        </w:rPr>
        <w:t>--------------------------------------------</w:t>
      </w:r>
      <w:r w:rsidR="00851ECE" w:rsidRPr="008C560B">
        <w:rPr>
          <w:rFonts w:ascii="Arial" w:hAnsi="Arial" w:cs="Arial"/>
        </w:rPr>
        <w:t>-</w:t>
      </w:r>
      <w:r w:rsidR="00071B1E" w:rsidRPr="008C560B">
        <w:rPr>
          <w:rFonts w:ascii="Arial" w:hAnsi="Arial" w:cs="Arial"/>
        </w:rPr>
        <w:t>-----------------------------</w:t>
      </w:r>
      <w:r w:rsidRPr="008C560B">
        <w:rPr>
          <w:rFonts w:ascii="Arial" w:hAnsi="Arial" w:cs="Arial"/>
        </w:rPr>
        <w:t>3</w:t>
      </w:r>
    </w:p>
    <w:p w14:paraId="0E80CA65" w14:textId="0484967F" w:rsidR="00432CB2" w:rsidRPr="008C560B" w:rsidRDefault="00432CB2" w:rsidP="004C5622">
      <w:pPr>
        <w:pStyle w:val="NoSpacing"/>
        <w:rPr>
          <w:rFonts w:ascii="Arial" w:hAnsi="Arial" w:cs="Arial"/>
        </w:rPr>
      </w:pPr>
      <w:r w:rsidRPr="008C560B">
        <w:rPr>
          <w:rFonts w:ascii="Arial" w:hAnsi="Arial" w:cs="Arial"/>
        </w:rPr>
        <w:t xml:space="preserve">    1.2 Aim and Objective of the Report</w:t>
      </w:r>
      <w:r w:rsidR="00071B1E" w:rsidRPr="008C560B">
        <w:rPr>
          <w:rFonts w:ascii="Arial" w:hAnsi="Arial" w:cs="Arial"/>
        </w:rPr>
        <w:t>-----------------------------------------------------------------</w:t>
      </w:r>
      <w:r w:rsidR="0067448F">
        <w:rPr>
          <w:rFonts w:ascii="Arial" w:hAnsi="Arial" w:cs="Arial"/>
        </w:rPr>
        <w:t>4</w:t>
      </w:r>
    </w:p>
    <w:p w14:paraId="2CC291B5" w14:textId="77777777" w:rsidR="003A0F22" w:rsidRPr="008C560B" w:rsidRDefault="003A0F22" w:rsidP="004C5622">
      <w:pPr>
        <w:pStyle w:val="NoSpacing"/>
        <w:rPr>
          <w:rFonts w:ascii="Arial" w:hAnsi="Arial" w:cs="Arial"/>
        </w:rPr>
      </w:pPr>
    </w:p>
    <w:p w14:paraId="6D4020EF" w14:textId="77777777" w:rsidR="003A0F22" w:rsidRPr="004C5622" w:rsidRDefault="003A0F22" w:rsidP="004C5622">
      <w:pPr>
        <w:pStyle w:val="NoSpacing"/>
        <w:rPr>
          <w:rFonts w:ascii="Arial" w:hAnsi="Arial" w:cs="Arial"/>
        </w:rPr>
      </w:pPr>
    </w:p>
    <w:p w14:paraId="431DC7D6" w14:textId="027C0246" w:rsidR="00432CB2" w:rsidRPr="004C5622" w:rsidRDefault="00432CB2" w:rsidP="004C5622">
      <w:pPr>
        <w:pStyle w:val="NoSpacing"/>
        <w:rPr>
          <w:rFonts w:ascii="Arial" w:hAnsi="Arial" w:cs="Arial"/>
        </w:rPr>
      </w:pPr>
      <w:r w:rsidRPr="004C5622">
        <w:rPr>
          <w:rFonts w:ascii="Arial" w:hAnsi="Arial" w:cs="Arial"/>
        </w:rPr>
        <w:t>2. Organisational Structure of Health Systems in Pandemic Response</w:t>
      </w:r>
      <w:r w:rsidR="00071B1E" w:rsidRPr="004C5622">
        <w:rPr>
          <w:rFonts w:ascii="Arial" w:hAnsi="Arial" w:cs="Arial"/>
        </w:rPr>
        <w:t>-----------------------</w:t>
      </w:r>
      <w:r w:rsidR="0067448F">
        <w:rPr>
          <w:rFonts w:ascii="Arial" w:hAnsi="Arial" w:cs="Arial"/>
        </w:rPr>
        <w:t>5</w:t>
      </w:r>
    </w:p>
    <w:p w14:paraId="68884650" w14:textId="33B6C4FA" w:rsidR="00432CB2" w:rsidRPr="004C5622" w:rsidRDefault="00432CB2" w:rsidP="004C5622">
      <w:pPr>
        <w:pStyle w:val="NoSpacing"/>
        <w:rPr>
          <w:rFonts w:ascii="Arial" w:hAnsi="Arial" w:cs="Arial"/>
        </w:rPr>
      </w:pPr>
      <w:r w:rsidRPr="004C5622">
        <w:rPr>
          <w:rFonts w:ascii="Arial" w:hAnsi="Arial" w:cs="Arial"/>
        </w:rPr>
        <w:t xml:space="preserve">    2.1 Spain: Centralised but Bureaucratically Slow Response</w:t>
      </w:r>
      <w:r w:rsidR="00071B1E" w:rsidRPr="004C5622">
        <w:rPr>
          <w:rFonts w:ascii="Arial" w:hAnsi="Arial" w:cs="Arial"/>
        </w:rPr>
        <w:t>----------------------------------</w:t>
      </w:r>
      <w:r w:rsidR="000415E5">
        <w:rPr>
          <w:rFonts w:ascii="Arial" w:hAnsi="Arial" w:cs="Arial"/>
        </w:rPr>
        <w:t>5</w:t>
      </w:r>
    </w:p>
    <w:p w14:paraId="4EFE68A4" w14:textId="47437FEC" w:rsidR="00432CB2" w:rsidRPr="004C5622" w:rsidRDefault="00432CB2" w:rsidP="004C5622">
      <w:pPr>
        <w:pStyle w:val="NoSpacing"/>
        <w:rPr>
          <w:rFonts w:ascii="Arial" w:hAnsi="Arial" w:cs="Arial"/>
        </w:rPr>
      </w:pPr>
      <w:r w:rsidRPr="004C5622">
        <w:rPr>
          <w:rFonts w:ascii="Arial" w:hAnsi="Arial" w:cs="Arial"/>
        </w:rPr>
        <w:t xml:space="preserve">    2.2 South Korea: Centralised Command with Institutional Collaboration</w:t>
      </w:r>
      <w:r w:rsidR="00622DCC" w:rsidRPr="004C5622">
        <w:rPr>
          <w:rFonts w:ascii="Arial" w:hAnsi="Arial" w:cs="Arial"/>
        </w:rPr>
        <w:t>------------------</w:t>
      </w:r>
      <w:r w:rsidR="00BD2F93">
        <w:rPr>
          <w:rFonts w:ascii="Arial" w:hAnsi="Arial" w:cs="Arial"/>
        </w:rPr>
        <w:t>7</w:t>
      </w:r>
    </w:p>
    <w:p w14:paraId="110145E8" w14:textId="308F28AD" w:rsidR="00432CB2" w:rsidRPr="004C5622" w:rsidRDefault="00432CB2" w:rsidP="004C5622">
      <w:pPr>
        <w:pStyle w:val="NoSpacing"/>
        <w:rPr>
          <w:rFonts w:ascii="Arial" w:hAnsi="Arial" w:cs="Arial"/>
        </w:rPr>
      </w:pPr>
      <w:r w:rsidRPr="004C5622">
        <w:rPr>
          <w:rFonts w:ascii="Arial" w:hAnsi="Arial" w:cs="Arial"/>
        </w:rPr>
        <w:t xml:space="preserve">    2.3 Canada: Decentralised System with Inter-Governmental Collaboration</w:t>
      </w:r>
      <w:r w:rsidR="00622DCC" w:rsidRPr="004C5622">
        <w:rPr>
          <w:rFonts w:ascii="Arial" w:hAnsi="Arial" w:cs="Arial"/>
        </w:rPr>
        <w:t>---------------</w:t>
      </w:r>
      <w:r w:rsidR="00BD2F93">
        <w:rPr>
          <w:rFonts w:ascii="Arial" w:hAnsi="Arial" w:cs="Arial"/>
        </w:rPr>
        <w:t>9</w:t>
      </w:r>
    </w:p>
    <w:p w14:paraId="78E37F17" w14:textId="3D57A524" w:rsidR="00432CB2" w:rsidRDefault="00432CB2" w:rsidP="004C5622">
      <w:pPr>
        <w:pStyle w:val="NoSpacing"/>
        <w:rPr>
          <w:rFonts w:ascii="Arial" w:hAnsi="Arial" w:cs="Arial"/>
        </w:rPr>
      </w:pPr>
      <w:r w:rsidRPr="004C5622">
        <w:rPr>
          <w:rFonts w:ascii="Arial" w:hAnsi="Arial" w:cs="Arial"/>
        </w:rPr>
        <w:t xml:space="preserve">    2.4 Comparative Analysis</w:t>
      </w:r>
      <w:r w:rsidR="00622DCC" w:rsidRPr="004C5622">
        <w:rPr>
          <w:rFonts w:ascii="Arial" w:hAnsi="Arial" w:cs="Arial"/>
        </w:rPr>
        <w:t>------------------------------------------------------------------------------</w:t>
      </w:r>
      <w:r w:rsidR="00723983">
        <w:rPr>
          <w:rFonts w:ascii="Arial" w:hAnsi="Arial" w:cs="Arial"/>
        </w:rPr>
        <w:t>8</w:t>
      </w:r>
    </w:p>
    <w:p w14:paraId="37BDCE5E" w14:textId="77777777" w:rsidR="003A0F22" w:rsidRDefault="003A0F22" w:rsidP="004C5622">
      <w:pPr>
        <w:pStyle w:val="NoSpacing"/>
        <w:rPr>
          <w:rFonts w:ascii="Arial" w:hAnsi="Arial" w:cs="Arial"/>
        </w:rPr>
      </w:pPr>
    </w:p>
    <w:p w14:paraId="3936E9C3" w14:textId="77777777" w:rsidR="000B5048" w:rsidRDefault="000B5048" w:rsidP="004C5622">
      <w:pPr>
        <w:pStyle w:val="NoSpacing"/>
        <w:rPr>
          <w:rFonts w:ascii="Arial" w:hAnsi="Arial" w:cs="Arial"/>
        </w:rPr>
      </w:pPr>
    </w:p>
    <w:p w14:paraId="7DB4CB5F" w14:textId="7CCE2E02" w:rsidR="00432CB2" w:rsidRPr="004C5622" w:rsidRDefault="00432CB2" w:rsidP="004C5622">
      <w:pPr>
        <w:pStyle w:val="NoSpacing"/>
        <w:rPr>
          <w:rFonts w:ascii="Arial" w:hAnsi="Arial" w:cs="Arial"/>
        </w:rPr>
      </w:pPr>
      <w:r w:rsidRPr="004C5622">
        <w:rPr>
          <w:rFonts w:ascii="Arial" w:hAnsi="Arial" w:cs="Arial"/>
        </w:rPr>
        <w:t>3. Comparative Leadership Analysis</w:t>
      </w:r>
      <w:r w:rsidR="0090072E" w:rsidRPr="004C5622">
        <w:rPr>
          <w:rFonts w:ascii="Arial" w:hAnsi="Arial" w:cs="Arial"/>
        </w:rPr>
        <w:t>------------------------------------------------------------------</w:t>
      </w:r>
      <w:r w:rsidR="00BD2F93">
        <w:rPr>
          <w:rFonts w:ascii="Arial" w:hAnsi="Arial" w:cs="Arial"/>
        </w:rPr>
        <w:t>11</w:t>
      </w:r>
    </w:p>
    <w:p w14:paraId="1BEAED1B" w14:textId="3B0E0628" w:rsidR="00432CB2" w:rsidRPr="004C5622" w:rsidRDefault="00432CB2" w:rsidP="004C5622">
      <w:pPr>
        <w:pStyle w:val="NoSpacing"/>
        <w:rPr>
          <w:rFonts w:ascii="Arial" w:hAnsi="Arial" w:cs="Arial"/>
        </w:rPr>
      </w:pPr>
      <w:r w:rsidRPr="004C5622">
        <w:rPr>
          <w:rFonts w:ascii="Arial" w:hAnsi="Arial" w:cs="Arial"/>
        </w:rPr>
        <w:t xml:space="preserve">    3.1 Salvador Illa (Spain)</w:t>
      </w:r>
      <w:r w:rsidR="0090072E" w:rsidRPr="004C5622">
        <w:rPr>
          <w:rFonts w:ascii="Arial" w:hAnsi="Arial" w:cs="Arial"/>
        </w:rPr>
        <w:t>-------------------------------------------------------------------------------</w:t>
      </w:r>
      <w:r w:rsidR="00BD2F93">
        <w:rPr>
          <w:rFonts w:ascii="Arial" w:hAnsi="Arial" w:cs="Arial"/>
        </w:rPr>
        <w:t>11</w:t>
      </w:r>
    </w:p>
    <w:p w14:paraId="1E96E660" w14:textId="704332DF" w:rsidR="00432CB2" w:rsidRPr="004C5622" w:rsidRDefault="00432CB2" w:rsidP="004C5622">
      <w:pPr>
        <w:pStyle w:val="NoSpacing"/>
        <w:rPr>
          <w:rFonts w:ascii="Arial" w:hAnsi="Arial" w:cs="Arial"/>
        </w:rPr>
      </w:pPr>
      <w:r w:rsidRPr="004C5622">
        <w:rPr>
          <w:rFonts w:ascii="Arial" w:hAnsi="Arial" w:cs="Arial"/>
        </w:rPr>
        <w:t xml:space="preserve">    3.2 Chung Sye-kyun (South Korea</w:t>
      </w:r>
      <w:r w:rsidR="00683068">
        <w:rPr>
          <w:rFonts w:ascii="Arial" w:hAnsi="Arial" w:cs="Arial"/>
        </w:rPr>
        <w:t xml:space="preserve">) </w:t>
      </w:r>
      <w:r w:rsidR="0090072E" w:rsidRPr="004C5622">
        <w:rPr>
          <w:rFonts w:ascii="Arial" w:hAnsi="Arial" w:cs="Arial"/>
        </w:rPr>
        <w:t>------</w:t>
      </w:r>
      <w:r w:rsidR="00683068">
        <w:rPr>
          <w:rFonts w:ascii="Arial" w:hAnsi="Arial" w:cs="Arial"/>
        </w:rPr>
        <w:t>-</w:t>
      </w:r>
      <w:r w:rsidR="0090072E" w:rsidRPr="004C5622">
        <w:rPr>
          <w:rFonts w:ascii="Arial" w:hAnsi="Arial" w:cs="Arial"/>
        </w:rPr>
        <w:t>--------------------------------------------------------</w:t>
      </w:r>
      <w:r w:rsidRPr="004C5622">
        <w:rPr>
          <w:rFonts w:ascii="Arial" w:hAnsi="Arial" w:cs="Arial"/>
        </w:rPr>
        <w:t>1</w:t>
      </w:r>
      <w:r w:rsidR="00BD2F93">
        <w:rPr>
          <w:rFonts w:ascii="Arial" w:hAnsi="Arial" w:cs="Arial"/>
        </w:rPr>
        <w:t>2</w:t>
      </w:r>
    </w:p>
    <w:p w14:paraId="1E10A1E1" w14:textId="69362221" w:rsidR="00432CB2" w:rsidRPr="004C5622" w:rsidRDefault="00432CB2" w:rsidP="004C5622">
      <w:pPr>
        <w:pStyle w:val="NoSpacing"/>
        <w:rPr>
          <w:rFonts w:ascii="Arial" w:hAnsi="Arial" w:cs="Arial"/>
        </w:rPr>
      </w:pPr>
      <w:r w:rsidRPr="004C5622">
        <w:rPr>
          <w:rFonts w:ascii="Arial" w:hAnsi="Arial" w:cs="Arial"/>
        </w:rPr>
        <w:t xml:space="preserve">    3.3 Justin Trudeau (Canada)</w:t>
      </w:r>
      <w:r w:rsidR="0090072E" w:rsidRPr="004C5622">
        <w:rPr>
          <w:rFonts w:ascii="Arial" w:hAnsi="Arial" w:cs="Arial"/>
        </w:rPr>
        <w:t>------------------------------------------------------------------------</w:t>
      </w:r>
      <w:r w:rsidRPr="004C5622">
        <w:rPr>
          <w:rFonts w:ascii="Arial" w:hAnsi="Arial" w:cs="Arial"/>
        </w:rPr>
        <w:t>1</w:t>
      </w:r>
      <w:r w:rsidR="00BD2F93">
        <w:rPr>
          <w:rFonts w:ascii="Arial" w:hAnsi="Arial" w:cs="Arial"/>
        </w:rPr>
        <w:t>3</w:t>
      </w:r>
    </w:p>
    <w:p w14:paraId="7F1F06A2" w14:textId="068DDA1D" w:rsidR="00432CB2" w:rsidRDefault="00432CB2" w:rsidP="004C5622">
      <w:pPr>
        <w:pStyle w:val="NoSpacing"/>
        <w:rPr>
          <w:rFonts w:ascii="Arial" w:hAnsi="Arial" w:cs="Arial"/>
        </w:rPr>
      </w:pPr>
      <w:r w:rsidRPr="004C5622">
        <w:rPr>
          <w:rFonts w:ascii="Arial" w:hAnsi="Arial" w:cs="Arial"/>
        </w:rPr>
        <w:t xml:space="preserve">    3.4 Cross-Jurisdictional Leadership Comparison</w:t>
      </w:r>
      <w:r w:rsidR="0090072E" w:rsidRPr="004C5622">
        <w:rPr>
          <w:rFonts w:ascii="Arial" w:hAnsi="Arial" w:cs="Arial"/>
        </w:rPr>
        <w:t>-----------------------------------------------</w:t>
      </w:r>
      <w:r w:rsidRPr="004C5622">
        <w:rPr>
          <w:rFonts w:ascii="Arial" w:hAnsi="Arial" w:cs="Arial"/>
        </w:rPr>
        <w:t>1</w:t>
      </w:r>
      <w:r w:rsidR="00BD2F93">
        <w:rPr>
          <w:rFonts w:ascii="Arial" w:hAnsi="Arial" w:cs="Arial"/>
        </w:rPr>
        <w:t>5</w:t>
      </w:r>
    </w:p>
    <w:p w14:paraId="60B203EA" w14:textId="77777777" w:rsidR="003A0F22" w:rsidRDefault="003A0F22" w:rsidP="004C5622">
      <w:pPr>
        <w:pStyle w:val="NoSpacing"/>
        <w:rPr>
          <w:rFonts w:ascii="Arial" w:hAnsi="Arial" w:cs="Arial"/>
        </w:rPr>
      </w:pPr>
    </w:p>
    <w:p w14:paraId="3046713C" w14:textId="2E4E9EBF" w:rsidR="003A0F22" w:rsidRPr="004C5622" w:rsidRDefault="003A0F22" w:rsidP="004C5622">
      <w:pPr>
        <w:pStyle w:val="NoSpacing"/>
        <w:rPr>
          <w:rFonts w:ascii="Arial" w:hAnsi="Arial" w:cs="Arial"/>
        </w:rPr>
      </w:pPr>
    </w:p>
    <w:p w14:paraId="2E3E6AAB" w14:textId="7BAC7E07" w:rsidR="00432CB2" w:rsidRPr="004C5622" w:rsidRDefault="00432CB2" w:rsidP="004C5622">
      <w:pPr>
        <w:pStyle w:val="NoSpacing"/>
        <w:rPr>
          <w:rFonts w:ascii="Arial" w:hAnsi="Arial" w:cs="Arial"/>
        </w:rPr>
      </w:pPr>
      <w:r w:rsidRPr="004C5622">
        <w:rPr>
          <w:rFonts w:ascii="Arial" w:hAnsi="Arial" w:cs="Arial"/>
        </w:rPr>
        <w:t>4. Crisis Governance</w:t>
      </w:r>
      <w:r w:rsidR="009B112F" w:rsidRPr="004C5622">
        <w:rPr>
          <w:rFonts w:ascii="Arial" w:hAnsi="Arial" w:cs="Arial"/>
        </w:rPr>
        <w:t>--------------------------------------------------------------------------------------</w:t>
      </w:r>
      <w:r w:rsidRPr="004C5622">
        <w:rPr>
          <w:rFonts w:ascii="Arial" w:hAnsi="Arial" w:cs="Arial"/>
        </w:rPr>
        <w:t>1</w:t>
      </w:r>
      <w:r w:rsidR="00BD2F93">
        <w:rPr>
          <w:rFonts w:ascii="Arial" w:hAnsi="Arial" w:cs="Arial"/>
        </w:rPr>
        <w:t>6</w:t>
      </w:r>
    </w:p>
    <w:p w14:paraId="2B8EEF00" w14:textId="7A781B71" w:rsidR="00432CB2" w:rsidRPr="004C5622" w:rsidRDefault="00432CB2" w:rsidP="004C5622">
      <w:pPr>
        <w:pStyle w:val="NoSpacing"/>
        <w:rPr>
          <w:rFonts w:ascii="Arial" w:hAnsi="Arial" w:cs="Arial"/>
        </w:rPr>
      </w:pPr>
      <w:r w:rsidRPr="004C5622">
        <w:rPr>
          <w:rFonts w:ascii="Arial" w:hAnsi="Arial" w:cs="Arial"/>
        </w:rPr>
        <w:t xml:space="preserve">    4.1 Theoretical Context</w:t>
      </w:r>
      <w:r w:rsidR="009B112F" w:rsidRPr="004C5622">
        <w:rPr>
          <w:rFonts w:ascii="Arial" w:hAnsi="Arial" w:cs="Arial"/>
        </w:rPr>
        <w:t>--------------------------------------------------------------------------------</w:t>
      </w:r>
      <w:r w:rsidRPr="004C5622">
        <w:rPr>
          <w:rFonts w:ascii="Arial" w:hAnsi="Arial" w:cs="Arial"/>
        </w:rPr>
        <w:t>1</w:t>
      </w:r>
      <w:r w:rsidR="00BD2F93">
        <w:rPr>
          <w:rFonts w:ascii="Arial" w:hAnsi="Arial" w:cs="Arial"/>
        </w:rPr>
        <w:t>6</w:t>
      </w:r>
    </w:p>
    <w:p w14:paraId="2573946A" w14:textId="2DB61FFD" w:rsidR="00432CB2" w:rsidRDefault="00432CB2" w:rsidP="004C5622">
      <w:pPr>
        <w:pStyle w:val="NoSpacing"/>
        <w:rPr>
          <w:rFonts w:ascii="Arial" w:hAnsi="Arial" w:cs="Arial"/>
        </w:rPr>
      </w:pPr>
      <w:r w:rsidRPr="004C5622">
        <w:rPr>
          <w:rFonts w:ascii="Arial" w:hAnsi="Arial" w:cs="Arial"/>
        </w:rPr>
        <w:t xml:space="preserve">    4.2 Spain, South Korea and Canada’s Context</w:t>
      </w:r>
      <w:r w:rsidR="001A0F6F" w:rsidRPr="004C5622">
        <w:rPr>
          <w:rFonts w:ascii="Arial" w:hAnsi="Arial" w:cs="Arial"/>
        </w:rPr>
        <w:t>-------------------------------------------------</w:t>
      </w:r>
      <w:r w:rsidRPr="004C5622">
        <w:rPr>
          <w:rFonts w:ascii="Arial" w:hAnsi="Arial" w:cs="Arial"/>
        </w:rPr>
        <w:t>1</w:t>
      </w:r>
      <w:r w:rsidR="00BD2F93">
        <w:rPr>
          <w:rFonts w:ascii="Arial" w:hAnsi="Arial" w:cs="Arial"/>
        </w:rPr>
        <w:t>8</w:t>
      </w:r>
    </w:p>
    <w:p w14:paraId="64F9D292" w14:textId="40BA0DAB" w:rsidR="003A0F22" w:rsidRDefault="003A0F22" w:rsidP="004C5622">
      <w:pPr>
        <w:pStyle w:val="NoSpacing"/>
        <w:rPr>
          <w:rFonts w:ascii="Arial" w:hAnsi="Arial" w:cs="Arial"/>
        </w:rPr>
      </w:pPr>
    </w:p>
    <w:p w14:paraId="065B491C" w14:textId="0AC2868B" w:rsidR="003A0F22" w:rsidRPr="004C5622" w:rsidRDefault="003A0F22" w:rsidP="004C5622">
      <w:pPr>
        <w:pStyle w:val="NoSpacing"/>
        <w:rPr>
          <w:rFonts w:ascii="Arial" w:hAnsi="Arial" w:cs="Arial"/>
        </w:rPr>
      </w:pPr>
    </w:p>
    <w:p w14:paraId="5E002453" w14:textId="00EC70D2" w:rsidR="00432CB2" w:rsidRPr="004C5622" w:rsidRDefault="00432CB2" w:rsidP="004C5622">
      <w:pPr>
        <w:pStyle w:val="NoSpacing"/>
        <w:rPr>
          <w:rFonts w:ascii="Arial" w:hAnsi="Arial" w:cs="Arial"/>
        </w:rPr>
      </w:pPr>
      <w:r w:rsidRPr="004C5622">
        <w:rPr>
          <w:rFonts w:ascii="Arial" w:hAnsi="Arial" w:cs="Arial"/>
        </w:rPr>
        <w:t>5. Policy Recommendations</w:t>
      </w:r>
      <w:r w:rsidR="001A0F6F" w:rsidRPr="004C5622">
        <w:rPr>
          <w:rFonts w:ascii="Arial" w:hAnsi="Arial" w:cs="Arial"/>
        </w:rPr>
        <w:t>--------------------------------------------</w:t>
      </w:r>
      <w:r w:rsidR="006D0F68">
        <w:rPr>
          <w:rFonts w:ascii="Arial" w:hAnsi="Arial" w:cs="Arial"/>
        </w:rPr>
        <w:t>-</w:t>
      </w:r>
      <w:r w:rsidR="001A0F6F" w:rsidRPr="004C5622">
        <w:rPr>
          <w:rFonts w:ascii="Arial" w:hAnsi="Arial" w:cs="Arial"/>
        </w:rPr>
        <w:t>--------------------------------</w:t>
      </w:r>
      <w:r w:rsidR="00BD2F93">
        <w:rPr>
          <w:rFonts w:ascii="Arial" w:hAnsi="Arial" w:cs="Arial"/>
        </w:rPr>
        <w:t>21</w:t>
      </w:r>
    </w:p>
    <w:p w14:paraId="467E71B3" w14:textId="1A61C3D5" w:rsidR="00432CB2" w:rsidRPr="004C5622" w:rsidRDefault="00432CB2" w:rsidP="004C5622">
      <w:pPr>
        <w:pStyle w:val="NoSpacing"/>
        <w:rPr>
          <w:rFonts w:ascii="Arial" w:hAnsi="Arial" w:cs="Arial"/>
        </w:rPr>
      </w:pPr>
      <w:r w:rsidRPr="004C5622">
        <w:rPr>
          <w:rFonts w:ascii="Arial" w:hAnsi="Arial" w:cs="Arial"/>
        </w:rPr>
        <w:t xml:space="preserve">    5.1 Institutional Readiness and System Flexibility</w:t>
      </w:r>
      <w:r w:rsidR="001A0F6F" w:rsidRPr="004C5622">
        <w:rPr>
          <w:rFonts w:ascii="Arial" w:hAnsi="Arial" w:cs="Arial"/>
        </w:rPr>
        <w:t>----------------------------------------------</w:t>
      </w:r>
      <w:r w:rsidR="00BD2F93">
        <w:rPr>
          <w:rFonts w:ascii="Arial" w:hAnsi="Arial" w:cs="Arial"/>
        </w:rPr>
        <w:t>21</w:t>
      </w:r>
    </w:p>
    <w:p w14:paraId="7BDCA8EE" w14:textId="2E4347EC" w:rsidR="00432CB2" w:rsidRPr="004C5622" w:rsidRDefault="00432CB2" w:rsidP="004C5622">
      <w:pPr>
        <w:pStyle w:val="NoSpacing"/>
        <w:rPr>
          <w:rFonts w:ascii="Arial" w:hAnsi="Arial" w:cs="Arial"/>
        </w:rPr>
      </w:pPr>
      <w:r w:rsidRPr="004C5622">
        <w:rPr>
          <w:rFonts w:ascii="Arial" w:hAnsi="Arial" w:cs="Arial"/>
        </w:rPr>
        <w:t xml:space="preserve">    5.2 Leadership Agility and Communication</w:t>
      </w:r>
      <w:r w:rsidR="001A0F6F" w:rsidRPr="004C5622">
        <w:rPr>
          <w:rFonts w:ascii="Arial" w:hAnsi="Arial" w:cs="Arial"/>
        </w:rPr>
        <w:t xml:space="preserve"> ------------------------------------------------------</w:t>
      </w:r>
      <w:r w:rsidR="00BD2F93">
        <w:rPr>
          <w:rFonts w:ascii="Arial" w:hAnsi="Arial" w:cs="Arial"/>
        </w:rPr>
        <w:t>22</w:t>
      </w:r>
    </w:p>
    <w:p w14:paraId="5B49A88C" w14:textId="5F31AFD3" w:rsidR="00432CB2" w:rsidRDefault="00432CB2" w:rsidP="004C5622">
      <w:pPr>
        <w:pStyle w:val="NoSpacing"/>
        <w:rPr>
          <w:rFonts w:ascii="Arial" w:hAnsi="Arial" w:cs="Arial"/>
        </w:rPr>
      </w:pPr>
      <w:r w:rsidRPr="004C5622">
        <w:rPr>
          <w:rFonts w:ascii="Arial" w:hAnsi="Arial" w:cs="Arial"/>
        </w:rPr>
        <w:t xml:space="preserve">    5.3 Strengthen Intergovernmental Coordinatio</w:t>
      </w:r>
      <w:r w:rsidR="001A0F6F" w:rsidRPr="004C5622">
        <w:rPr>
          <w:rFonts w:ascii="Arial" w:hAnsi="Arial" w:cs="Arial"/>
        </w:rPr>
        <w:t>n -----------------------------------------------</w:t>
      </w:r>
      <w:r w:rsidR="00BD2F93">
        <w:rPr>
          <w:rFonts w:ascii="Arial" w:hAnsi="Arial" w:cs="Arial"/>
        </w:rPr>
        <w:t>23</w:t>
      </w:r>
    </w:p>
    <w:p w14:paraId="4C8D4BD4" w14:textId="77777777" w:rsidR="003A0F22" w:rsidRDefault="003A0F22" w:rsidP="004C5622">
      <w:pPr>
        <w:pStyle w:val="NoSpacing"/>
        <w:rPr>
          <w:rFonts w:ascii="Arial" w:hAnsi="Arial" w:cs="Arial"/>
        </w:rPr>
      </w:pPr>
    </w:p>
    <w:p w14:paraId="7B6D9D7C" w14:textId="77777777" w:rsidR="003A0F22" w:rsidRPr="004C5622" w:rsidRDefault="003A0F22" w:rsidP="004C5622">
      <w:pPr>
        <w:pStyle w:val="NoSpacing"/>
        <w:rPr>
          <w:rFonts w:ascii="Arial" w:hAnsi="Arial" w:cs="Arial"/>
        </w:rPr>
      </w:pPr>
    </w:p>
    <w:p w14:paraId="634D7F1C" w14:textId="13AB3729" w:rsidR="00432CB2" w:rsidRPr="004C5622" w:rsidRDefault="00432CB2" w:rsidP="004C5622">
      <w:pPr>
        <w:pStyle w:val="NoSpacing"/>
        <w:rPr>
          <w:rFonts w:ascii="Arial" w:hAnsi="Arial" w:cs="Arial"/>
        </w:rPr>
      </w:pPr>
      <w:r w:rsidRPr="004C5622">
        <w:rPr>
          <w:rFonts w:ascii="Arial" w:hAnsi="Arial" w:cs="Arial"/>
        </w:rPr>
        <w:t xml:space="preserve">6. </w:t>
      </w:r>
      <w:r w:rsidR="00864460" w:rsidRPr="004C5622">
        <w:rPr>
          <w:rFonts w:ascii="Arial" w:hAnsi="Arial" w:cs="Arial"/>
        </w:rPr>
        <w:t>Conclusion ------------</w:t>
      </w:r>
      <w:r w:rsidRPr="004C5622">
        <w:rPr>
          <w:rFonts w:ascii="Arial" w:hAnsi="Arial" w:cs="Arial"/>
        </w:rPr>
        <w:t>--------------------------------------------------------------------------</w:t>
      </w:r>
      <w:r w:rsidR="005B6CF4" w:rsidRPr="004C5622">
        <w:rPr>
          <w:rFonts w:ascii="Arial" w:hAnsi="Arial" w:cs="Arial"/>
        </w:rPr>
        <w:t>--------</w:t>
      </w:r>
      <w:r w:rsidRPr="004C5622">
        <w:rPr>
          <w:rFonts w:ascii="Arial" w:hAnsi="Arial" w:cs="Arial"/>
        </w:rPr>
        <w:t>2</w:t>
      </w:r>
      <w:r w:rsidR="00BD2F93">
        <w:rPr>
          <w:rFonts w:ascii="Arial" w:hAnsi="Arial" w:cs="Arial"/>
        </w:rPr>
        <w:t>5</w:t>
      </w:r>
    </w:p>
    <w:p w14:paraId="005C43A4" w14:textId="52FB45E9" w:rsidR="00034270" w:rsidRPr="004C5622" w:rsidRDefault="00432CB2" w:rsidP="004C5622">
      <w:pPr>
        <w:pStyle w:val="NoSpacing"/>
        <w:rPr>
          <w:rFonts w:ascii="Arial" w:hAnsi="Arial" w:cs="Arial"/>
        </w:rPr>
      </w:pPr>
      <w:r w:rsidRPr="004C5622">
        <w:rPr>
          <w:rFonts w:ascii="Arial" w:hAnsi="Arial" w:cs="Arial"/>
        </w:rPr>
        <w:t xml:space="preserve">Reference </w:t>
      </w:r>
      <w:r w:rsidR="00864460" w:rsidRPr="004C5622">
        <w:rPr>
          <w:rFonts w:ascii="Arial" w:hAnsi="Arial" w:cs="Arial"/>
        </w:rPr>
        <w:t>Lis</w:t>
      </w:r>
      <w:r w:rsidR="00BA21B1" w:rsidRPr="004C5622">
        <w:rPr>
          <w:rFonts w:ascii="Arial" w:hAnsi="Arial" w:cs="Arial"/>
        </w:rPr>
        <w:t>t</w:t>
      </w:r>
      <w:r w:rsidR="00864460" w:rsidRPr="004C5622">
        <w:rPr>
          <w:rFonts w:ascii="Arial" w:hAnsi="Arial" w:cs="Arial"/>
        </w:rPr>
        <w:t xml:space="preserve"> ----------</w:t>
      </w:r>
      <w:r w:rsidR="005B6CF4" w:rsidRPr="004C5622">
        <w:rPr>
          <w:rFonts w:ascii="Arial" w:hAnsi="Arial" w:cs="Arial"/>
        </w:rPr>
        <w:t>-----------------------------------------------------------------------------</w:t>
      </w:r>
      <w:r w:rsidR="003A0F22">
        <w:rPr>
          <w:rFonts w:ascii="Arial" w:hAnsi="Arial" w:cs="Arial"/>
        </w:rPr>
        <w:t>---2</w:t>
      </w:r>
      <w:r w:rsidR="00BD2F93">
        <w:rPr>
          <w:rFonts w:ascii="Arial" w:hAnsi="Arial" w:cs="Arial"/>
        </w:rPr>
        <w:t>6</w:t>
      </w:r>
      <w:r w:rsidR="00162D72">
        <w:rPr>
          <w:rFonts w:ascii="Arial" w:hAnsi="Arial" w:cs="Arial"/>
        </w:rPr>
        <w:t>-2</w:t>
      </w:r>
      <w:r w:rsidR="00BD2F93">
        <w:rPr>
          <w:rFonts w:ascii="Arial" w:hAnsi="Arial" w:cs="Arial"/>
        </w:rPr>
        <w:t>8</w:t>
      </w:r>
    </w:p>
    <w:p w14:paraId="646CEC59" w14:textId="77777777" w:rsidR="00034270" w:rsidRPr="004C5622" w:rsidRDefault="00034270" w:rsidP="004C5622">
      <w:pPr>
        <w:pStyle w:val="NoSpacing"/>
        <w:rPr>
          <w:rFonts w:ascii="Arial" w:hAnsi="Arial" w:cs="Arial"/>
        </w:rPr>
      </w:pPr>
    </w:p>
    <w:p w14:paraId="0D31B71A" w14:textId="0389E0D6" w:rsidR="00034270" w:rsidRDefault="00034270" w:rsidP="00034270">
      <w:r>
        <w:t xml:space="preserve">                  </w:t>
      </w:r>
    </w:p>
    <w:p w14:paraId="517302FA" w14:textId="4879BEBF" w:rsidR="00597544" w:rsidRDefault="00034270" w:rsidP="00034270">
      <w:r>
        <w:t xml:space="preserve">                  </w:t>
      </w:r>
    </w:p>
    <w:p w14:paraId="6C88A376" w14:textId="5B0DD174" w:rsidR="004C5622" w:rsidRDefault="00034270" w:rsidP="00034270">
      <w:r>
        <w:t xml:space="preserve">      </w:t>
      </w:r>
    </w:p>
    <w:p w14:paraId="42A938F5" w14:textId="18671995" w:rsidR="003A0F22" w:rsidRDefault="00034270" w:rsidP="00034270">
      <w:r>
        <w:t xml:space="preserve"> </w:t>
      </w:r>
    </w:p>
    <w:p w14:paraId="641F9F83" w14:textId="77777777" w:rsidR="003A0F22" w:rsidRDefault="003A0F22" w:rsidP="00034270"/>
    <w:p w14:paraId="2F345618" w14:textId="2ACBDEB0" w:rsidR="0014025F" w:rsidRPr="00034270" w:rsidRDefault="00DD3332" w:rsidP="00034270">
      <w:r w:rsidRPr="00AD59C4">
        <w:rPr>
          <w:rFonts w:ascii="Arial" w:hAnsi="Arial" w:cs="Arial"/>
          <w:color w:val="000000" w:themeColor="text1"/>
        </w:rPr>
        <w:lastRenderedPageBreak/>
        <w:t>Comparative Report on COVID-19 Leadership Responses</w:t>
      </w:r>
    </w:p>
    <w:p w14:paraId="620A6DEA" w14:textId="77777777" w:rsidR="002F5C44" w:rsidRDefault="002F5C44">
      <w:pPr>
        <w:pStyle w:val="Heading2"/>
        <w:rPr>
          <w:rFonts w:ascii="Arial" w:hAnsi="Arial" w:cs="Arial"/>
          <w:color w:val="000000" w:themeColor="text1"/>
          <w:sz w:val="22"/>
          <w:szCs w:val="22"/>
        </w:rPr>
      </w:pPr>
      <w:bookmarkStart w:id="0" w:name="_Hlk214605543"/>
    </w:p>
    <w:p w14:paraId="05D79909" w14:textId="703FFE44" w:rsidR="0014025F" w:rsidRPr="00AD59C4" w:rsidRDefault="00E62D6E">
      <w:pPr>
        <w:pStyle w:val="Heading2"/>
        <w:rPr>
          <w:rFonts w:ascii="Arial" w:hAnsi="Arial" w:cs="Arial"/>
          <w:color w:val="000000" w:themeColor="text1"/>
          <w:sz w:val="22"/>
          <w:szCs w:val="22"/>
        </w:rPr>
      </w:pPr>
      <w:r>
        <w:rPr>
          <w:rFonts w:ascii="Arial" w:hAnsi="Arial" w:cs="Arial"/>
          <w:noProof/>
          <w:color w:val="000000" w:themeColor="text1"/>
          <w:sz w:val="22"/>
          <w:szCs w:val="22"/>
        </w:rPr>
        <w:drawing>
          <wp:anchor distT="0" distB="0" distL="114300" distR="114300" simplePos="0" relativeHeight="251664896" behindDoc="0" locked="0" layoutInCell="1" allowOverlap="1" wp14:anchorId="1EA706B6" wp14:editId="63E08E4E">
            <wp:simplePos x="0" y="0"/>
            <wp:positionH relativeFrom="column">
              <wp:posOffset>1158240</wp:posOffset>
            </wp:positionH>
            <wp:positionV relativeFrom="paragraph">
              <wp:posOffset>26670</wp:posOffset>
            </wp:positionV>
            <wp:extent cx="434340" cy="434340"/>
            <wp:effectExtent l="0" t="0" r="3810" b="3810"/>
            <wp:wrapThrough wrapText="bothSides">
              <wp:wrapPolygon edited="0">
                <wp:start x="7579" y="0"/>
                <wp:lineTo x="947" y="4737"/>
                <wp:lineTo x="0" y="11368"/>
                <wp:lineTo x="1895" y="16105"/>
                <wp:lineTo x="6632" y="19895"/>
                <wp:lineTo x="7579" y="20842"/>
                <wp:lineTo x="13263" y="20842"/>
                <wp:lineTo x="14211" y="19895"/>
                <wp:lineTo x="18947" y="16105"/>
                <wp:lineTo x="20842" y="11368"/>
                <wp:lineTo x="19895" y="4737"/>
                <wp:lineTo x="13263" y="0"/>
                <wp:lineTo x="7579" y="0"/>
              </wp:wrapPolygon>
            </wp:wrapThrough>
            <wp:docPr id="2917636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340" cy="434340"/>
                    </a:xfrm>
                    <a:prstGeom prst="rect">
                      <a:avLst/>
                    </a:prstGeom>
                    <a:noFill/>
                  </pic:spPr>
                </pic:pic>
              </a:graphicData>
            </a:graphic>
            <wp14:sizeRelH relativeFrom="margin">
              <wp14:pctWidth>0</wp14:pctWidth>
            </wp14:sizeRelH>
            <wp14:sizeRelV relativeFrom="margin">
              <wp14:pctHeight>0</wp14:pctHeight>
            </wp14:sizeRelV>
          </wp:anchor>
        </w:drawing>
      </w:r>
      <w:r w:rsidR="00DD3332" w:rsidRPr="00AD59C4">
        <w:rPr>
          <w:rFonts w:ascii="Arial" w:hAnsi="Arial" w:cs="Arial"/>
          <w:color w:val="000000" w:themeColor="text1"/>
          <w:sz w:val="22"/>
          <w:szCs w:val="22"/>
        </w:rPr>
        <w:t>1. Introduction</w:t>
      </w:r>
    </w:p>
    <w:p w14:paraId="7E451624" w14:textId="77777777" w:rsidR="00BE5630" w:rsidRDefault="00BE5630">
      <w:pPr>
        <w:pStyle w:val="Heading3"/>
        <w:rPr>
          <w:rFonts w:ascii="Arial" w:hAnsi="Arial" w:cs="Arial"/>
          <w:color w:val="000000" w:themeColor="text1"/>
        </w:rPr>
      </w:pPr>
    </w:p>
    <w:p w14:paraId="3B16983B" w14:textId="25A6778D" w:rsidR="0014025F" w:rsidRPr="00AD59C4" w:rsidRDefault="00DD3332">
      <w:pPr>
        <w:pStyle w:val="Heading3"/>
        <w:rPr>
          <w:rFonts w:ascii="Arial" w:hAnsi="Arial" w:cs="Arial"/>
          <w:color w:val="000000" w:themeColor="text1"/>
        </w:rPr>
      </w:pPr>
      <w:r w:rsidRPr="00AD59C4">
        <w:rPr>
          <w:rFonts w:ascii="Arial" w:hAnsi="Arial" w:cs="Arial"/>
          <w:color w:val="000000" w:themeColor="text1"/>
        </w:rPr>
        <w:t>1.1 Context and Significance</w:t>
      </w:r>
    </w:p>
    <w:bookmarkEnd w:id="0"/>
    <w:p w14:paraId="0367246A" w14:textId="77777777" w:rsidR="00580546" w:rsidRPr="00AD59C4" w:rsidRDefault="00580546" w:rsidP="00580546">
      <w:pPr>
        <w:rPr>
          <w:rFonts w:ascii="Arial" w:hAnsi="Arial" w:cs="Arial"/>
        </w:rPr>
      </w:pPr>
      <w:r w:rsidRPr="00AD59C4">
        <w:rPr>
          <w:rFonts w:ascii="Arial" w:hAnsi="Arial" w:cs="Arial"/>
        </w:rPr>
        <w:t>The COVID-19 pandemic emerged in late 2019 and quickly developed into the most extensive global health crisis in a century. By 2025, more than 770 million confirmed cases and over 7 million deaths had been reported worldwide (WHO, 2024). Beyond its public health toll, COVID-19 disrupted societies, economies, and political systems, placing extraordinary pressure on national health infrastructures.</w:t>
      </w:r>
    </w:p>
    <w:p w14:paraId="5ED7CA83" w14:textId="77777777" w:rsidR="00580546" w:rsidRPr="00AD59C4" w:rsidRDefault="00580546" w:rsidP="00580546">
      <w:pPr>
        <w:rPr>
          <w:rFonts w:ascii="Arial" w:hAnsi="Arial" w:cs="Arial"/>
        </w:rPr>
      </w:pPr>
      <w:r w:rsidRPr="00AD59C4">
        <w:rPr>
          <w:rFonts w:ascii="Arial" w:hAnsi="Arial" w:cs="Arial"/>
        </w:rPr>
        <w:t>The crisis exposed major structural vulnerabilities within health systems, including shortages in intensive care capacity, insufficient stockpiles of personal protective equipment (PPE), limited laboratory testing capability, and weak communication channels between government agencies and the public. Countries with fragmented or highly decentralised systems struggled to coordinate timely responses, while those with centralised authority often responded more swiftly but faced concerns about transparency or civil liberties.</w:t>
      </w:r>
    </w:p>
    <w:p w14:paraId="5F54ECCB" w14:textId="77777777" w:rsidR="00CF0E40" w:rsidRDefault="00580546" w:rsidP="00580546">
      <w:pPr>
        <w:rPr>
          <w:rFonts w:ascii="Arial" w:hAnsi="Arial" w:cs="Arial"/>
        </w:rPr>
      </w:pPr>
      <w:r w:rsidRPr="00AD59C4">
        <w:rPr>
          <w:rFonts w:ascii="Arial" w:hAnsi="Arial" w:cs="Arial"/>
        </w:rPr>
        <w:t>Spain, South Korea, and Canada represent three contrasting governance and health system models:</w:t>
      </w:r>
    </w:p>
    <w:p w14:paraId="163D7518" w14:textId="2897B704" w:rsidR="00580546" w:rsidRPr="00AD59C4" w:rsidRDefault="00580546" w:rsidP="00580546">
      <w:pPr>
        <w:rPr>
          <w:rFonts w:ascii="Arial" w:hAnsi="Arial" w:cs="Arial"/>
        </w:rPr>
      </w:pPr>
      <w:r w:rsidRPr="00AD59C4">
        <w:rPr>
          <w:rFonts w:ascii="Arial" w:hAnsi="Arial" w:cs="Arial"/>
        </w:rPr>
        <w:t xml:space="preserve">Spain operates a semi-decentralised national health system where regional governments (Autonomous Communities) manage health services. This structure strained early coordination efforts and contributed to one of the highest </w:t>
      </w:r>
      <w:r w:rsidR="00CF0E40" w:rsidRPr="00AD59C4">
        <w:rPr>
          <w:rFonts w:ascii="Arial" w:hAnsi="Arial" w:cs="Arial"/>
        </w:rPr>
        <w:t>cases</w:t>
      </w:r>
      <w:r w:rsidRPr="00AD59C4">
        <w:rPr>
          <w:rFonts w:ascii="Arial" w:hAnsi="Arial" w:cs="Arial"/>
        </w:rPr>
        <w:t xml:space="preserve"> and mortality surges in Europe during the first wave.</w:t>
      </w:r>
    </w:p>
    <w:p w14:paraId="7C17C6C3" w14:textId="77777777" w:rsidR="00580546" w:rsidRPr="00AD59C4" w:rsidRDefault="00580546" w:rsidP="00580546">
      <w:pPr>
        <w:rPr>
          <w:rFonts w:ascii="Arial" w:hAnsi="Arial" w:cs="Arial"/>
        </w:rPr>
      </w:pPr>
      <w:r w:rsidRPr="00AD59C4">
        <w:rPr>
          <w:rFonts w:ascii="Arial" w:hAnsi="Arial" w:cs="Arial"/>
        </w:rPr>
        <w:t>South Korea, by contrast, entered the pandemic with strong central leadership, advanced digital surveillance capabilities, and legal frameworks developed after the 2015 MERS outbreak. These foundations enabled rapid case detection, effective quarantine enforcement, and robust public communication—resulting in comparatively low mortality during early waves.</w:t>
      </w:r>
    </w:p>
    <w:p w14:paraId="754050E5" w14:textId="77777777" w:rsidR="00580546" w:rsidRPr="00AD59C4" w:rsidRDefault="00580546" w:rsidP="00580546">
      <w:pPr>
        <w:rPr>
          <w:rFonts w:ascii="Arial" w:hAnsi="Arial" w:cs="Arial"/>
        </w:rPr>
      </w:pPr>
      <w:r w:rsidRPr="00AD59C4">
        <w:rPr>
          <w:rFonts w:ascii="Arial" w:hAnsi="Arial" w:cs="Arial"/>
        </w:rPr>
        <w:t>Canada, with its highly decentralised federal system, saw significant provincial variability in public health restrictions, testing capacity, and long-term care oversight. While some provinces responded decisively, others delayed interventions, contributing to disproportionate mortality in long-term care facilities.</w:t>
      </w:r>
    </w:p>
    <w:p w14:paraId="6CDADE7B" w14:textId="4DEF2EEF" w:rsidR="0014025F" w:rsidRPr="00AD59C4" w:rsidRDefault="00580546">
      <w:pPr>
        <w:rPr>
          <w:rFonts w:ascii="Arial" w:hAnsi="Arial" w:cs="Arial"/>
        </w:rPr>
      </w:pPr>
      <w:r w:rsidRPr="00AD59C4">
        <w:rPr>
          <w:rFonts w:ascii="Arial" w:hAnsi="Arial" w:cs="Arial"/>
        </w:rPr>
        <w:t xml:space="preserve">Understanding how structural design, governance arrangements, and leadership behaviour shaped these countries’ pandemic trajectories is essential for preparing future public health systems and policies. This context makes </w:t>
      </w:r>
      <w:r w:rsidR="007F24F2" w:rsidRPr="00AD59C4">
        <w:rPr>
          <w:rFonts w:ascii="Arial" w:hAnsi="Arial" w:cs="Arial"/>
        </w:rPr>
        <w:t>comparative</w:t>
      </w:r>
      <w:r w:rsidRPr="00AD59C4">
        <w:rPr>
          <w:rFonts w:ascii="Arial" w:hAnsi="Arial" w:cs="Arial"/>
        </w:rPr>
        <w:t xml:space="preserve"> study particularly relevant to ongoing debates about crisis governance, institutional resilience, and the role of political leadership in health emergencies.</w:t>
      </w:r>
    </w:p>
    <w:p w14:paraId="50496378" w14:textId="48B154F4" w:rsidR="007F24F2" w:rsidRDefault="001E3A88">
      <w:pPr>
        <w:pStyle w:val="Heading3"/>
        <w:rPr>
          <w:rFonts w:ascii="Arial" w:hAnsi="Arial" w:cs="Arial"/>
        </w:rPr>
      </w:pPr>
      <w:r>
        <w:rPr>
          <w:rFonts w:ascii="Arial" w:hAnsi="Arial" w:cs="Arial"/>
          <w:noProof/>
          <w:color w:val="000000" w:themeColor="text1"/>
        </w:rPr>
        <w:lastRenderedPageBreak/>
        <w:drawing>
          <wp:anchor distT="0" distB="0" distL="114300" distR="114300" simplePos="0" relativeHeight="251660800" behindDoc="1" locked="0" layoutInCell="1" allowOverlap="1" wp14:anchorId="328A7F2E" wp14:editId="025D52AE">
            <wp:simplePos x="0" y="0"/>
            <wp:positionH relativeFrom="margin">
              <wp:posOffset>2522220</wp:posOffset>
            </wp:positionH>
            <wp:positionV relativeFrom="paragraph">
              <wp:posOffset>135890</wp:posOffset>
            </wp:positionV>
            <wp:extent cx="457200" cy="457200"/>
            <wp:effectExtent l="0" t="0" r="0" b="0"/>
            <wp:wrapTight wrapText="bothSides">
              <wp:wrapPolygon edited="0">
                <wp:start x="5400" y="0"/>
                <wp:lineTo x="1800" y="4500"/>
                <wp:lineTo x="1800" y="8100"/>
                <wp:lineTo x="3600" y="20700"/>
                <wp:lineTo x="15300" y="20700"/>
                <wp:lineTo x="16200" y="18900"/>
                <wp:lineTo x="19800" y="15300"/>
                <wp:lineTo x="20700" y="10800"/>
                <wp:lineTo x="18000" y="5400"/>
                <wp:lineTo x="14400" y="0"/>
                <wp:lineTo x="5400" y="0"/>
              </wp:wrapPolygon>
            </wp:wrapTight>
            <wp:docPr id="10995249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pic:spPr>
                </pic:pic>
              </a:graphicData>
            </a:graphic>
            <wp14:sizeRelH relativeFrom="margin">
              <wp14:pctWidth>0</wp14:pctWidth>
            </wp14:sizeRelH>
            <wp14:sizeRelV relativeFrom="margin">
              <wp14:pctHeight>0</wp14:pctHeight>
            </wp14:sizeRelV>
          </wp:anchor>
        </w:drawing>
      </w:r>
    </w:p>
    <w:p w14:paraId="239606BA" w14:textId="4AB624DF" w:rsidR="0014025F" w:rsidRDefault="00DD3332">
      <w:pPr>
        <w:pStyle w:val="Heading3"/>
        <w:rPr>
          <w:rFonts w:ascii="Arial" w:hAnsi="Arial" w:cs="Arial"/>
          <w:color w:val="000000" w:themeColor="text1"/>
        </w:rPr>
      </w:pPr>
      <w:r w:rsidRPr="007F24F2">
        <w:rPr>
          <w:rFonts w:ascii="Arial" w:hAnsi="Arial" w:cs="Arial"/>
          <w:color w:val="000000" w:themeColor="text1"/>
        </w:rPr>
        <w:t>1.2 Aim and Objective of the Report</w:t>
      </w:r>
    </w:p>
    <w:p w14:paraId="7F99C6DC" w14:textId="77777777" w:rsidR="00991766" w:rsidRPr="00991766" w:rsidRDefault="00991766" w:rsidP="00991766"/>
    <w:p w14:paraId="60915A4F" w14:textId="77777777" w:rsidR="00AB6FDB" w:rsidRPr="00AD59C4" w:rsidRDefault="00AB6FDB" w:rsidP="00AB6FDB">
      <w:pPr>
        <w:rPr>
          <w:rFonts w:ascii="Arial" w:hAnsi="Arial" w:cs="Arial"/>
        </w:rPr>
      </w:pPr>
      <w:r w:rsidRPr="00AD59C4">
        <w:rPr>
          <w:rFonts w:ascii="Arial" w:hAnsi="Arial" w:cs="Arial"/>
        </w:rPr>
        <w:t>The primary aim of this report is to conduct an in-depth comparative analysis of the COVID-19 responses in Spain, South Korea, and Canada, focusing specifically on how systemic organisation and political leadership shaped national outcomes.</w:t>
      </w:r>
    </w:p>
    <w:p w14:paraId="6890EE59" w14:textId="77777777" w:rsidR="00AB6FDB" w:rsidRDefault="00AB6FDB" w:rsidP="00AB6FDB">
      <w:pPr>
        <w:rPr>
          <w:rFonts w:ascii="Arial" w:hAnsi="Arial" w:cs="Arial"/>
        </w:rPr>
      </w:pPr>
      <w:r w:rsidRPr="00AD59C4">
        <w:rPr>
          <w:rFonts w:ascii="Arial" w:hAnsi="Arial" w:cs="Arial"/>
        </w:rPr>
        <w:t>To achieve this, the report examines three core objectives:</w:t>
      </w:r>
    </w:p>
    <w:p w14:paraId="355AE31C" w14:textId="77777777" w:rsidR="001844F9" w:rsidRPr="00AD59C4" w:rsidRDefault="001844F9" w:rsidP="00AB6FDB">
      <w:pPr>
        <w:rPr>
          <w:rFonts w:ascii="Arial" w:hAnsi="Arial" w:cs="Arial"/>
        </w:rPr>
      </w:pPr>
    </w:p>
    <w:p w14:paraId="075C3C6E" w14:textId="77777777" w:rsidR="00AB6FDB" w:rsidRPr="00AD59C4" w:rsidRDefault="00AB6FDB" w:rsidP="00AB6FDB">
      <w:pPr>
        <w:rPr>
          <w:rFonts w:ascii="Arial" w:hAnsi="Arial" w:cs="Arial"/>
        </w:rPr>
      </w:pPr>
      <w:r w:rsidRPr="00AD59C4">
        <w:rPr>
          <w:rFonts w:ascii="Arial" w:hAnsi="Arial" w:cs="Arial"/>
        </w:rPr>
        <w:t>1.</w:t>
      </w:r>
      <w:r w:rsidRPr="00AD59C4">
        <w:rPr>
          <w:rFonts w:ascii="Segoe UI Symbol" w:hAnsi="Segoe UI Symbol" w:cs="Segoe UI Symbol"/>
        </w:rPr>
        <w:t>⁠</w:t>
      </w:r>
      <w:r w:rsidRPr="00AD59C4">
        <w:rPr>
          <w:rFonts w:ascii="Arial" w:hAnsi="Arial" w:cs="Arial"/>
        </w:rPr>
        <w:t xml:space="preserve"> </w:t>
      </w:r>
      <w:r w:rsidRPr="00AD59C4">
        <w:rPr>
          <w:rFonts w:ascii="Segoe UI Symbol" w:hAnsi="Segoe UI Symbol" w:cs="Segoe UI Symbol"/>
        </w:rPr>
        <w:t>⁠</w:t>
      </w:r>
      <w:r w:rsidRPr="00AD59C4">
        <w:rPr>
          <w:rFonts w:ascii="Arial" w:hAnsi="Arial" w:cs="Arial"/>
        </w:rPr>
        <w:t>To examine the organisation and capacity of each country’s healthcare system</w:t>
      </w:r>
    </w:p>
    <w:p w14:paraId="6C325753" w14:textId="77777777" w:rsidR="00AB6FDB" w:rsidRPr="00AD59C4" w:rsidRDefault="00AB6FDB" w:rsidP="00AB6FDB">
      <w:pPr>
        <w:rPr>
          <w:rFonts w:ascii="Arial" w:hAnsi="Arial" w:cs="Arial"/>
        </w:rPr>
      </w:pPr>
      <w:r w:rsidRPr="00AD59C4">
        <w:rPr>
          <w:rFonts w:ascii="Arial" w:hAnsi="Arial" w:cs="Arial"/>
        </w:rPr>
        <w:t>This includes an evaluation of:</w:t>
      </w:r>
    </w:p>
    <w:p w14:paraId="3E5DCEF7" w14:textId="77777777" w:rsidR="00AB6FDB" w:rsidRPr="00AD59C4" w:rsidRDefault="00AB6FDB" w:rsidP="00AB6FDB">
      <w:pPr>
        <w:rPr>
          <w:rFonts w:ascii="Arial" w:hAnsi="Arial" w:cs="Arial"/>
        </w:rPr>
      </w:pPr>
      <w:r w:rsidRPr="00AD59C4">
        <w:rPr>
          <w:rFonts w:ascii="Arial" w:hAnsi="Arial" w:cs="Arial"/>
        </w:rPr>
        <w:t>Health system structure (centralised vs decentralised governance)</w:t>
      </w:r>
    </w:p>
    <w:p w14:paraId="4C3B2BB0" w14:textId="77777777" w:rsidR="00AB6FDB" w:rsidRPr="00AD59C4" w:rsidRDefault="00AB6FDB" w:rsidP="00AB6FDB">
      <w:pPr>
        <w:rPr>
          <w:rFonts w:ascii="Arial" w:hAnsi="Arial" w:cs="Arial"/>
        </w:rPr>
      </w:pPr>
      <w:r w:rsidRPr="00AD59C4">
        <w:rPr>
          <w:rFonts w:ascii="Arial" w:hAnsi="Arial" w:cs="Arial"/>
        </w:rPr>
        <w:t>Differing levels of preparedness before the pandemic</w:t>
      </w:r>
    </w:p>
    <w:p w14:paraId="689E4144" w14:textId="77777777" w:rsidR="00AB6FDB" w:rsidRPr="00AD59C4" w:rsidRDefault="00AB6FDB" w:rsidP="00AB6FDB">
      <w:pPr>
        <w:rPr>
          <w:rFonts w:ascii="Arial" w:hAnsi="Arial" w:cs="Arial"/>
        </w:rPr>
      </w:pPr>
      <w:r w:rsidRPr="00AD59C4">
        <w:rPr>
          <w:rFonts w:ascii="Arial" w:hAnsi="Arial" w:cs="Arial"/>
        </w:rPr>
        <w:t>ICU and hospital surge capacity</w:t>
      </w:r>
    </w:p>
    <w:p w14:paraId="597C172C" w14:textId="77777777" w:rsidR="00AB6FDB" w:rsidRPr="00AD59C4" w:rsidRDefault="00AB6FDB" w:rsidP="00AB6FDB">
      <w:pPr>
        <w:rPr>
          <w:rFonts w:ascii="Arial" w:hAnsi="Arial" w:cs="Arial"/>
        </w:rPr>
      </w:pPr>
      <w:r w:rsidRPr="00AD59C4">
        <w:rPr>
          <w:rFonts w:ascii="Arial" w:hAnsi="Arial" w:cs="Arial"/>
        </w:rPr>
        <w:t>Availability of PPE, ventilators, and testing laboratories</w:t>
      </w:r>
    </w:p>
    <w:p w14:paraId="5EB31212" w14:textId="77777777" w:rsidR="00AB6FDB" w:rsidRPr="00AD59C4" w:rsidRDefault="00AB6FDB" w:rsidP="00AB6FDB">
      <w:pPr>
        <w:rPr>
          <w:rFonts w:ascii="Arial" w:hAnsi="Arial" w:cs="Arial"/>
        </w:rPr>
      </w:pPr>
      <w:r w:rsidRPr="00AD59C4">
        <w:rPr>
          <w:rFonts w:ascii="Arial" w:hAnsi="Arial" w:cs="Arial"/>
        </w:rPr>
        <w:t>The efficiency of data-sharing mechanisms across government levels</w:t>
      </w:r>
    </w:p>
    <w:p w14:paraId="563033DD" w14:textId="77777777" w:rsidR="00AB6FDB" w:rsidRPr="00AD59C4" w:rsidRDefault="00AB6FDB" w:rsidP="00AB6FDB">
      <w:pPr>
        <w:rPr>
          <w:rFonts w:ascii="Arial" w:hAnsi="Arial" w:cs="Arial"/>
        </w:rPr>
      </w:pPr>
      <w:r w:rsidRPr="00AD59C4">
        <w:rPr>
          <w:rFonts w:ascii="Arial" w:hAnsi="Arial" w:cs="Arial"/>
        </w:rPr>
        <w:t>These structural differences were critical in shaping each country's ability to detect and contain transmission, allocate resources effectively, and maintain continuity of care.</w:t>
      </w:r>
    </w:p>
    <w:p w14:paraId="1242965B" w14:textId="77777777" w:rsidR="00AB6FDB" w:rsidRPr="00AD59C4" w:rsidRDefault="00AB6FDB" w:rsidP="00AB6FDB">
      <w:pPr>
        <w:rPr>
          <w:rFonts w:ascii="Arial" w:hAnsi="Arial" w:cs="Arial"/>
        </w:rPr>
      </w:pPr>
    </w:p>
    <w:p w14:paraId="1F8ED835" w14:textId="34DBF9AC" w:rsidR="00AB6FDB" w:rsidRPr="00AD59C4" w:rsidRDefault="00AB6FDB" w:rsidP="00AB6FDB">
      <w:pPr>
        <w:rPr>
          <w:rFonts w:ascii="Arial" w:hAnsi="Arial" w:cs="Arial"/>
        </w:rPr>
      </w:pPr>
      <w:r w:rsidRPr="00AD59C4">
        <w:rPr>
          <w:rFonts w:ascii="Arial" w:hAnsi="Arial" w:cs="Arial"/>
        </w:rPr>
        <w:t>2.</w:t>
      </w:r>
      <w:r w:rsidRPr="00AD59C4">
        <w:rPr>
          <w:rFonts w:ascii="Segoe UI Symbol" w:hAnsi="Segoe UI Symbol" w:cs="Segoe UI Symbol"/>
        </w:rPr>
        <w:t>⁠</w:t>
      </w:r>
      <w:r w:rsidRPr="00AD59C4">
        <w:rPr>
          <w:rFonts w:ascii="Arial" w:hAnsi="Arial" w:cs="Arial"/>
        </w:rPr>
        <w:t xml:space="preserve"> </w:t>
      </w:r>
      <w:r w:rsidRPr="00AD59C4">
        <w:rPr>
          <w:rFonts w:ascii="Segoe UI Symbol" w:hAnsi="Segoe UI Symbol" w:cs="Segoe UI Symbol"/>
        </w:rPr>
        <w:t>⁠</w:t>
      </w:r>
      <w:r w:rsidRPr="00AD59C4">
        <w:rPr>
          <w:rFonts w:ascii="Arial" w:hAnsi="Arial" w:cs="Arial"/>
        </w:rPr>
        <w:t>To analyse the leadership strategies of Salvador Illa (Spain), Chung Sye-</w:t>
      </w:r>
      <w:r w:rsidR="007B51F1" w:rsidRPr="00AD59C4">
        <w:rPr>
          <w:rFonts w:ascii="Arial" w:hAnsi="Arial" w:cs="Arial"/>
        </w:rPr>
        <w:t>Kyun</w:t>
      </w:r>
      <w:r w:rsidRPr="00AD59C4">
        <w:rPr>
          <w:rFonts w:ascii="Arial" w:hAnsi="Arial" w:cs="Arial"/>
        </w:rPr>
        <w:t xml:space="preserve"> (South Korea), and Justin Trudeau (Canada)</w:t>
      </w:r>
    </w:p>
    <w:p w14:paraId="0A218131" w14:textId="77777777" w:rsidR="003229E3" w:rsidRDefault="00AB6FDB" w:rsidP="00AB6FDB">
      <w:pPr>
        <w:rPr>
          <w:rFonts w:ascii="Arial" w:hAnsi="Arial" w:cs="Arial"/>
        </w:rPr>
      </w:pPr>
      <w:r w:rsidRPr="00AD59C4">
        <w:rPr>
          <w:rFonts w:ascii="Arial" w:hAnsi="Arial" w:cs="Arial"/>
        </w:rPr>
        <w:t>The report reviews:</w:t>
      </w:r>
    </w:p>
    <w:p w14:paraId="322AC638" w14:textId="77777777" w:rsidR="003229E3" w:rsidRDefault="00AB6FDB" w:rsidP="00AB6FDB">
      <w:pPr>
        <w:rPr>
          <w:rFonts w:ascii="Arial" w:hAnsi="Arial" w:cs="Arial"/>
        </w:rPr>
      </w:pPr>
      <w:r w:rsidRPr="00AD59C4">
        <w:rPr>
          <w:rFonts w:ascii="Arial" w:hAnsi="Arial" w:cs="Arial"/>
        </w:rPr>
        <w:t>Communication strategies and their impact on public trust</w:t>
      </w:r>
    </w:p>
    <w:p w14:paraId="739AE131" w14:textId="4C3541D1" w:rsidR="00AB6FDB" w:rsidRPr="00AD59C4" w:rsidRDefault="00AB6FDB" w:rsidP="00AB6FDB">
      <w:pPr>
        <w:rPr>
          <w:rFonts w:ascii="Arial" w:hAnsi="Arial" w:cs="Arial"/>
        </w:rPr>
      </w:pPr>
      <w:r w:rsidRPr="00AD59C4">
        <w:rPr>
          <w:rFonts w:ascii="Arial" w:hAnsi="Arial" w:cs="Arial"/>
        </w:rPr>
        <w:t>Crisis decision-making (proactive vs reactive strategies)</w:t>
      </w:r>
    </w:p>
    <w:p w14:paraId="6E9B02C0" w14:textId="77777777" w:rsidR="00AB6FDB" w:rsidRPr="00AD59C4" w:rsidRDefault="00AB6FDB" w:rsidP="00AB6FDB">
      <w:pPr>
        <w:rPr>
          <w:rFonts w:ascii="Arial" w:hAnsi="Arial" w:cs="Arial"/>
        </w:rPr>
      </w:pPr>
      <w:r w:rsidRPr="00AD59C4">
        <w:rPr>
          <w:rFonts w:ascii="Arial" w:hAnsi="Arial" w:cs="Arial"/>
        </w:rPr>
        <w:t>Collaboration with scientific experts and public health agencies</w:t>
      </w:r>
    </w:p>
    <w:p w14:paraId="7168F538" w14:textId="77777777" w:rsidR="00AB6FDB" w:rsidRPr="00AD59C4" w:rsidRDefault="00AB6FDB" w:rsidP="00AB6FDB">
      <w:pPr>
        <w:rPr>
          <w:rFonts w:ascii="Arial" w:hAnsi="Arial" w:cs="Arial"/>
        </w:rPr>
      </w:pPr>
      <w:r w:rsidRPr="00AD59C4">
        <w:rPr>
          <w:rFonts w:ascii="Arial" w:hAnsi="Arial" w:cs="Arial"/>
        </w:rPr>
        <w:t>Use of transformational, transactional, situational, and servant leadership frameworks</w:t>
      </w:r>
    </w:p>
    <w:p w14:paraId="6D70D26C" w14:textId="77777777" w:rsidR="00AB6FDB" w:rsidRPr="00AD59C4" w:rsidRDefault="00AB6FDB" w:rsidP="00AB6FDB">
      <w:pPr>
        <w:rPr>
          <w:rFonts w:ascii="Arial" w:hAnsi="Arial" w:cs="Arial"/>
        </w:rPr>
      </w:pPr>
      <w:r w:rsidRPr="00AD59C4">
        <w:rPr>
          <w:rFonts w:ascii="Arial" w:hAnsi="Arial" w:cs="Arial"/>
        </w:rPr>
        <w:t>The relationship between leadership style and compliance with public health measures</w:t>
      </w:r>
    </w:p>
    <w:p w14:paraId="50DE7413" w14:textId="77777777" w:rsidR="00AB6FDB" w:rsidRPr="00AD59C4" w:rsidRDefault="00AB6FDB" w:rsidP="00AB6FDB">
      <w:pPr>
        <w:rPr>
          <w:rFonts w:ascii="Arial" w:hAnsi="Arial" w:cs="Arial"/>
        </w:rPr>
      </w:pPr>
      <w:r w:rsidRPr="00AD59C4">
        <w:rPr>
          <w:rFonts w:ascii="Arial" w:hAnsi="Arial" w:cs="Arial"/>
        </w:rPr>
        <w:t>These comparisons illuminate how individual leadership traits influenced national response timelines, policy coherence, and public compliance.</w:t>
      </w:r>
    </w:p>
    <w:p w14:paraId="0117E2E2" w14:textId="77777777" w:rsidR="00AB6FDB" w:rsidRPr="00AD59C4" w:rsidRDefault="00AB6FDB" w:rsidP="00AB6FDB">
      <w:pPr>
        <w:rPr>
          <w:rFonts w:ascii="Arial" w:hAnsi="Arial" w:cs="Arial"/>
        </w:rPr>
      </w:pPr>
    </w:p>
    <w:p w14:paraId="0C67B3BF" w14:textId="77777777" w:rsidR="00AB6FDB" w:rsidRPr="00AD59C4" w:rsidRDefault="00AB6FDB" w:rsidP="00AB6FDB">
      <w:pPr>
        <w:rPr>
          <w:rFonts w:ascii="Arial" w:hAnsi="Arial" w:cs="Arial"/>
        </w:rPr>
      </w:pPr>
      <w:r w:rsidRPr="00AD59C4">
        <w:rPr>
          <w:rFonts w:ascii="Arial" w:hAnsi="Arial" w:cs="Arial"/>
        </w:rPr>
        <w:lastRenderedPageBreak/>
        <w:t>3.</w:t>
      </w:r>
      <w:r w:rsidRPr="00AD59C4">
        <w:rPr>
          <w:rFonts w:ascii="Segoe UI Symbol" w:hAnsi="Segoe UI Symbol" w:cs="Segoe UI Symbol"/>
        </w:rPr>
        <w:t>⁠</w:t>
      </w:r>
      <w:r w:rsidRPr="00AD59C4">
        <w:rPr>
          <w:rFonts w:ascii="Arial" w:hAnsi="Arial" w:cs="Arial"/>
        </w:rPr>
        <w:t xml:space="preserve"> </w:t>
      </w:r>
      <w:r w:rsidRPr="00AD59C4">
        <w:rPr>
          <w:rFonts w:ascii="Segoe UI Symbol" w:hAnsi="Segoe UI Symbol" w:cs="Segoe UI Symbol"/>
        </w:rPr>
        <w:t>⁠</w:t>
      </w:r>
      <w:r w:rsidRPr="00AD59C4">
        <w:rPr>
          <w:rFonts w:ascii="Arial" w:hAnsi="Arial" w:cs="Arial"/>
        </w:rPr>
        <w:t>To assess the impact of centralisation vs decentralisation in shaping health outcomes</w:t>
      </w:r>
    </w:p>
    <w:p w14:paraId="784DA9A8" w14:textId="310F26BE" w:rsidR="00AB6FDB" w:rsidRPr="00AD59C4" w:rsidRDefault="002A2824" w:rsidP="00AB6FDB">
      <w:pPr>
        <w:rPr>
          <w:rFonts w:ascii="Arial" w:hAnsi="Arial" w:cs="Arial"/>
        </w:rPr>
      </w:pPr>
      <w:r w:rsidRPr="00AD59C4">
        <w:rPr>
          <w:rFonts w:ascii="Arial" w:hAnsi="Arial" w:cs="Arial"/>
        </w:rPr>
        <w:t>This</w:t>
      </w:r>
      <w:r w:rsidR="00AB6FDB" w:rsidRPr="00AD59C4">
        <w:rPr>
          <w:rFonts w:ascii="Arial" w:hAnsi="Arial" w:cs="Arial"/>
        </w:rPr>
        <w:t xml:space="preserve"> includes an analysis of:</w:t>
      </w:r>
    </w:p>
    <w:p w14:paraId="05342B78" w14:textId="77777777" w:rsidR="00AB6FDB" w:rsidRPr="00AD59C4" w:rsidRDefault="00AB6FDB" w:rsidP="00AB6FDB">
      <w:pPr>
        <w:rPr>
          <w:rFonts w:ascii="Arial" w:hAnsi="Arial" w:cs="Arial"/>
        </w:rPr>
      </w:pPr>
      <w:r w:rsidRPr="00AD59C4">
        <w:rPr>
          <w:rFonts w:ascii="Arial" w:hAnsi="Arial" w:cs="Arial"/>
        </w:rPr>
        <w:t>How decision-making authority affected lockdown timing and enforcement</w:t>
      </w:r>
    </w:p>
    <w:p w14:paraId="31BE7BE5" w14:textId="77777777" w:rsidR="00AB6FDB" w:rsidRPr="00AD59C4" w:rsidRDefault="00AB6FDB" w:rsidP="00AB6FDB">
      <w:pPr>
        <w:rPr>
          <w:rFonts w:ascii="Arial" w:hAnsi="Arial" w:cs="Arial"/>
        </w:rPr>
      </w:pPr>
      <w:r w:rsidRPr="00AD59C4">
        <w:rPr>
          <w:rFonts w:ascii="Arial" w:hAnsi="Arial" w:cs="Arial"/>
        </w:rPr>
        <w:t>Differences in coordination across levels of government</w:t>
      </w:r>
    </w:p>
    <w:p w14:paraId="6C66BF50" w14:textId="2A3D246C" w:rsidR="00AB6FDB" w:rsidRPr="00AD59C4" w:rsidRDefault="00903B62" w:rsidP="00AB6FDB">
      <w:pPr>
        <w:rPr>
          <w:rFonts w:ascii="Arial" w:hAnsi="Arial" w:cs="Arial"/>
        </w:rPr>
      </w:pPr>
      <w:r w:rsidRPr="00AD59C4">
        <w:rPr>
          <w:rFonts w:ascii="Arial" w:hAnsi="Arial" w:cs="Arial"/>
        </w:rPr>
        <w:t>a</w:t>
      </w:r>
      <w:r w:rsidR="00AB6FDB" w:rsidRPr="00AD59C4">
        <w:rPr>
          <w:rFonts w:ascii="Arial" w:hAnsi="Arial" w:cs="Arial"/>
        </w:rPr>
        <w:t>dvantages and limitations of strong central command vs regional autonomy</w:t>
      </w:r>
    </w:p>
    <w:p w14:paraId="206AEDD5" w14:textId="77777777" w:rsidR="00AB6FDB" w:rsidRPr="00AD59C4" w:rsidRDefault="00AB6FDB" w:rsidP="00AB6FDB">
      <w:pPr>
        <w:rPr>
          <w:rFonts w:ascii="Arial" w:hAnsi="Arial" w:cs="Arial"/>
        </w:rPr>
      </w:pPr>
      <w:r w:rsidRPr="00AD59C4">
        <w:rPr>
          <w:rFonts w:ascii="Arial" w:hAnsi="Arial" w:cs="Arial"/>
        </w:rPr>
        <w:t>Impact on mortality rates, infection peaks, vaccination rollout, and economic stability</w:t>
      </w:r>
    </w:p>
    <w:p w14:paraId="04C7CD5C" w14:textId="77777777" w:rsidR="008B6447" w:rsidRPr="00AD59C4" w:rsidRDefault="008B6447" w:rsidP="00AB6FDB">
      <w:pPr>
        <w:rPr>
          <w:rFonts w:ascii="Arial" w:hAnsi="Arial" w:cs="Arial"/>
        </w:rPr>
      </w:pPr>
    </w:p>
    <w:p w14:paraId="4D8CD294" w14:textId="44156B72" w:rsidR="0014025F" w:rsidRPr="00AD59C4" w:rsidRDefault="00AB6FDB" w:rsidP="00AB6FDB">
      <w:pPr>
        <w:rPr>
          <w:rFonts w:ascii="Arial" w:hAnsi="Arial" w:cs="Arial"/>
        </w:rPr>
      </w:pPr>
      <w:r w:rsidRPr="00AD59C4">
        <w:rPr>
          <w:rFonts w:ascii="Arial" w:hAnsi="Arial" w:cs="Arial"/>
        </w:rPr>
        <w:t>The objective is to determine whether strong national command, balanced federal collaboration, or flexible regional governance contributed to more effective health outcomes.</w:t>
      </w:r>
    </w:p>
    <w:p w14:paraId="162D8439" w14:textId="77777777" w:rsidR="008B6447" w:rsidRPr="00AD59C4" w:rsidRDefault="008B6447">
      <w:pPr>
        <w:pStyle w:val="Heading2"/>
        <w:rPr>
          <w:rFonts w:ascii="Arial" w:hAnsi="Arial" w:cs="Arial"/>
          <w:sz w:val="22"/>
          <w:szCs w:val="22"/>
        </w:rPr>
      </w:pPr>
    </w:p>
    <w:p w14:paraId="2E775CC5" w14:textId="6B364870" w:rsidR="0014025F" w:rsidRDefault="00DD3332">
      <w:pPr>
        <w:pStyle w:val="Heading2"/>
        <w:rPr>
          <w:rFonts w:ascii="Arial" w:hAnsi="Arial" w:cs="Arial"/>
          <w:color w:val="000000" w:themeColor="text1"/>
          <w:sz w:val="22"/>
          <w:szCs w:val="22"/>
        </w:rPr>
      </w:pPr>
      <w:r w:rsidRPr="002A2824">
        <w:rPr>
          <w:rFonts w:ascii="Arial" w:hAnsi="Arial" w:cs="Arial"/>
          <w:color w:val="000000" w:themeColor="text1"/>
          <w:sz w:val="22"/>
          <w:szCs w:val="22"/>
        </w:rPr>
        <w:t>2. Organisational Structure of Health Systems in Pandemic Response</w:t>
      </w:r>
    </w:p>
    <w:p w14:paraId="5B82D3B4" w14:textId="5EA28AEC" w:rsidR="002A2824" w:rsidRPr="002A2824" w:rsidRDefault="00F366B6" w:rsidP="002A2824">
      <w:r>
        <w:rPr>
          <w:rFonts w:ascii="Arial" w:hAnsi="Arial" w:cs="Arial"/>
          <w:noProof/>
        </w:rPr>
        <w:drawing>
          <wp:anchor distT="0" distB="0" distL="114300" distR="114300" simplePos="0" relativeHeight="251665920" behindDoc="1" locked="0" layoutInCell="1" allowOverlap="1" wp14:anchorId="6D56CF41" wp14:editId="55DB4F66">
            <wp:simplePos x="0" y="0"/>
            <wp:positionH relativeFrom="column">
              <wp:posOffset>3810000</wp:posOffset>
            </wp:positionH>
            <wp:positionV relativeFrom="paragraph">
              <wp:posOffset>139065</wp:posOffset>
            </wp:positionV>
            <wp:extent cx="426720" cy="426720"/>
            <wp:effectExtent l="0" t="0" r="0" b="0"/>
            <wp:wrapTight wrapText="bothSides">
              <wp:wrapPolygon edited="0">
                <wp:start x="3857" y="0"/>
                <wp:lineTo x="1929" y="1929"/>
                <wp:lineTo x="0" y="8679"/>
                <wp:lineTo x="964" y="16393"/>
                <wp:lineTo x="5786" y="20250"/>
                <wp:lineTo x="6750" y="20250"/>
                <wp:lineTo x="10607" y="20250"/>
                <wp:lineTo x="14464" y="20250"/>
                <wp:lineTo x="16393" y="16393"/>
                <wp:lineTo x="20250" y="15429"/>
                <wp:lineTo x="19286" y="1929"/>
                <wp:lineTo x="9643" y="0"/>
                <wp:lineTo x="3857" y="0"/>
              </wp:wrapPolygon>
            </wp:wrapTight>
            <wp:docPr id="12035519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6720" cy="426720"/>
                    </a:xfrm>
                    <a:prstGeom prst="rect">
                      <a:avLst/>
                    </a:prstGeom>
                    <a:noFill/>
                  </pic:spPr>
                </pic:pic>
              </a:graphicData>
            </a:graphic>
            <wp14:sizeRelH relativeFrom="margin">
              <wp14:pctWidth>0</wp14:pctWidth>
            </wp14:sizeRelH>
            <wp14:sizeRelV relativeFrom="margin">
              <wp14:pctHeight>0</wp14:pctHeight>
            </wp14:sizeRelV>
          </wp:anchor>
        </w:drawing>
      </w:r>
    </w:p>
    <w:p w14:paraId="0EDC0AD2" w14:textId="4938720B" w:rsidR="005651B7" w:rsidRPr="00AD59C4" w:rsidRDefault="00F01CFD" w:rsidP="005651B7">
      <w:pPr>
        <w:rPr>
          <w:rFonts w:ascii="Arial" w:hAnsi="Arial" w:cs="Arial"/>
        </w:rPr>
      </w:pPr>
      <w:r>
        <w:rPr>
          <w:rFonts w:ascii="Arial" w:hAnsi="Arial" w:cs="Arial"/>
          <w:noProof/>
        </w:rPr>
        <w:drawing>
          <wp:anchor distT="0" distB="0" distL="114300" distR="114300" simplePos="0" relativeHeight="251652608" behindDoc="1" locked="0" layoutInCell="1" allowOverlap="1" wp14:anchorId="42D4AACB" wp14:editId="6123D768">
            <wp:simplePos x="0" y="0"/>
            <wp:positionH relativeFrom="margin">
              <wp:posOffset>662940</wp:posOffset>
            </wp:positionH>
            <wp:positionV relativeFrom="paragraph">
              <wp:posOffset>464185</wp:posOffset>
            </wp:positionV>
            <wp:extent cx="4170045" cy="3108960"/>
            <wp:effectExtent l="0" t="0" r="1905" b="0"/>
            <wp:wrapTopAndBottom/>
            <wp:docPr id="15730698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70045" cy="310896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noProof/>
        </w:rPr>
        <mc:AlternateContent>
          <mc:Choice Requires="wps">
            <w:drawing>
              <wp:anchor distT="0" distB="0" distL="114300" distR="114300" simplePos="0" relativeHeight="251651584" behindDoc="0" locked="0" layoutInCell="1" allowOverlap="1" wp14:anchorId="0A114593" wp14:editId="7FC09DD6">
                <wp:simplePos x="0" y="0"/>
                <wp:positionH relativeFrom="column">
                  <wp:posOffset>632460</wp:posOffset>
                </wp:positionH>
                <wp:positionV relativeFrom="paragraph">
                  <wp:posOffset>426085</wp:posOffset>
                </wp:positionV>
                <wp:extent cx="4213860" cy="3163570"/>
                <wp:effectExtent l="19050" t="19050" r="15240" b="17780"/>
                <wp:wrapNone/>
                <wp:docPr id="327124305" name="Rectangle 9"/>
                <wp:cNvGraphicFramePr/>
                <a:graphic xmlns:a="http://schemas.openxmlformats.org/drawingml/2006/main">
                  <a:graphicData uri="http://schemas.microsoft.com/office/word/2010/wordprocessingShape">
                    <wps:wsp>
                      <wps:cNvSpPr/>
                      <wps:spPr>
                        <a:xfrm>
                          <a:off x="0" y="0"/>
                          <a:ext cx="4213860" cy="3163570"/>
                        </a:xfrm>
                        <a:prstGeom prst="rect">
                          <a:avLst/>
                        </a:prstGeom>
                        <a:ln w="38100"/>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7541A1" id="Rectangle 9" o:spid="_x0000_s1026" style="position:absolute;margin-left:49.8pt;margin-top:33.55pt;width:331.8pt;height:249.1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" fillcolor="white [3201]" strokecolor="black [3200]" strokeweight="3pt"/>
            </w:pict>
          </mc:Fallback>
        </mc:AlternateContent>
      </w:r>
      <w:r w:rsidR="005651B7" w:rsidRPr="00AD59C4">
        <w:rPr>
          <w:rFonts w:ascii="Arial" w:hAnsi="Arial" w:cs="Arial"/>
        </w:rPr>
        <w:t xml:space="preserve">2.1 Spain: Centralised but Bureaucratically Slow Response </w:t>
      </w:r>
    </w:p>
    <w:p w14:paraId="13B9F196" w14:textId="072EF85E" w:rsidR="007379B2" w:rsidRDefault="007379B2" w:rsidP="005651B7">
      <w:pPr>
        <w:rPr>
          <w:rFonts w:ascii="Arial" w:hAnsi="Arial" w:cs="Arial"/>
        </w:rPr>
      </w:pPr>
    </w:p>
    <w:p w14:paraId="4FB4805D" w14:textId="3EE77504" w:rsidR="007840A9" w:rsidRPr="007840A9" w:rsidRDefault="007840A9" w:rsidP="007840A9">
      <w:pPr>
        <w:jc w:val="center"/>
        <w:rPr>
          <w:rFonts w:ascii="Arial" w:hAnsi="Arial" w:cs="Arial"/>
          <w:b/>
          <w:bCs/>
          <w:u w:val="single"/>
        </w:rPr>
      </w:pPr>
      <w:r w:rsidRPr="007840A9">
        <w:rPr>
          <w:rFonts w:ascii="Arial" w:hAnsi="Arial" w:cs="Arial"/>
          <w:b/>
          <w:bCs/>
          <w:u w:val="single"/>
        </w:rPr>
        <w:t>Figure 1: Spain’s COVID-19 cases</w:t>
      </w:r>
    </w:p>
    <w:p w14:paraId="4EEB0BA1" w14:textId="72EB1CFA" w:rsidR="007840A9" w:rsidRPr="007840A9" w:rsidRDefault="007840A9" w:rsidP="007840A9">
      <w:pPr>
        <w:jc w:val="center"/>
        <w:rPr>
          <w:rFonts w:ascii="Arial" w:hAnsi="Arial" w:cs="Arial"/>
          <w:b/>
          <w:bCs/>
          <w:u w:val="single"/>
        </w:rPr>
      </w:pPr>
      <w:r w:rsidRPr="007840A9">
        <w:rPr>
          <w:rFonts w:ascii="Arial" w:hAnsi="Arial" w:cs="Arial"/>
          <w:b/>
          <w:bCs/>
          <w:u w:val="single"/>
        </w:rPr>
        <w:t>(Source: Roser et al.</w:t>
      </w:r>
      <w:r w:rsidR="00F01CFD">
        <w:rPr>
          <w:rFonts w:ascii="Arial" w:hAnsi="Arial" w:cs="Arial"/>
          <w:b/>
          <w:bCs/>
          <w:u w:val="single"/>
        </w:rPr>
        <w:t>,</w:t>
      </w:r>
      <w:r w:rsidRPr="007840A9">
        <w:rPr>
          <w:rFonts w:ascii="Arial" w:hAnsi="Arial" w:cs="Arial"/>
          <w:b/>
          <w:bCs/>
          <w:u w:val="single"/>
        </w:rPr>
        <w:t xml:space="preserve"> 2020)</w:t>
      </w:r>
    </w:p>
    <w:p w14:paraId="1DCEBD97" w14:textId="0A501826" w:rsidR="005651B7" w:rsidRPr="00AD59C4" w:rsidRDefault="00D71D6C" w:rsidP="007840A9">
      <w:pPr>
        <w:rPr>
          <w:rFonts w:ascii="Arial" w:hAnsi="Arial" w:cs="Arial"/>
        </w:rPr>
      </w:pPr>
      <w:r>
        <w:rPr>
          <w:noProof/>
        </w:rPr>
        <w:lastRenderedPageBreak/>
        <w:drawing>
          <wp:anchor distT="0" distB="0" distL="114300" distR="114300" simplePos="0" relativeHeight="251654656" behindDoc="0" locked="0" layoutInCell="1" allowOverlap="1" wp14:anchorId="74BFD545" wp14:editId="43042D68">
            <wp:simplePos x="0" y="0"/>
            <wp:positionH relativeFrom="margin">
              <wp:align>center</wp:align>
            </wp:positionH>
            <wp:positionV relativeFrom="paragraph">
              <wp:posOffset>1249680</wp:posOffset>
            </wp:positionV>
            <wp:extent cx="3634740" cy="2644140"/>
            <wp:effectExtent l="0" t="0" r="3810" b="3810"/>
            <wp:wrapTopAndBottom/>
            <wp:docPr id="4" name="Picture 1" descr="A graph of vaccin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graph of vaccinations&#10;&#10;AI-generated content may be incorrect."/>
                    <pic:cNvPicPr>
                      <a:picLocks noChangeAspect="1"/>
                    </pic:cNvPicPr>
                  </pic:nvPicPr>
                  <pic:blipFill rotWithShape="1">
                    <a:blip r:embed="rId14"/>
                    <a:srcRect l="7971" t="7398" r="15967" b="4082"/>
                    <a:stretch>
                      <a:fillRect/>
                    </a:stretch>
                  </pic:blipFill>
                  <pic:spPr bwMode="auto">
                    <a:xfrm>
                      <a:off x="0" y="0"/>
                      <a:ext cx="3634740" cy="2644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651B7" w:rsidRPr="00AD59C4">
        <w:rPr>
          <w:rFonts w:ascii="Arial" w:hAnsi="Arial" w:cs="Arial"/>
        </w:rPr>
        <w:t>Spain’s health system, the Sistema Nacional de Salud (SNS), is publicly funded and provides universal health coverage. Although governed by the national Ministry of Health, the 17 Autonomous Communities (regions) hold substantial power over healthcare delivery, epidemiological surveillance, and hospital management. This decentralisation model, while effective under normal conditions, proved problematic during the rapid escalation of COVID-19.</w:t>
      </w:r>
    </w:p>
    <w:p w14:paraId="14A4AC69" w14:textId="56A08503" w:rsidR="001767E1" w:rsidRPr="0003125E" w:rsidRDefault="001767E1" w:rsidP="001767E1">
      <w:pPr>
        <w:jc w:val="center"/>
        <w:rPr>
          <w:rFonts w:ascii="Arial" w:hAnsi="Arial" w:cs="Arial"/>
          <w:b/>
          <w:bCs/>
          <w:u w:val="single"/>
        </w:rPr>
      </w:pPr>
      <w:r w:rsidRPr="0003125E">
        <w:rPr>
          <w:rFonts w:ascii="Arial" w:hAnsi="Arial" w:cs="Arial"/>
          <w:b/>
          <w:bCs/>
          <w:u w:val="single"/>
        </w:rPr>
        <w:t>Figure 2: Spain’s COVID-19 vaccination</w:t>
      </w:r>
    </w:p>
    <w:p w14:paraId="1F4C1B61" w14:textId="0C76FE35" w:rsidR="005651B7" w:rsidRPr="0003125E" w:rsidRDefault="001767E1" w:rsidP="001767E1">
      <w:pPr>
        <w:jc w:val="center"/>
        <w:rPr>
          <w:rFonts w:ascii="Arial" w:hAnsi="Arial" w:cs="Arial"/>
          <w:b/>
          <w:bCs/>
          <w:u w:val="single"/>
        </w:rPr>
      </w:pPr>
      <w:r w:rsidRPr="0003125E">
        <w:rPr>
          <w:rFonts w:ascii="Arial" w:hAnsi="Arial" w:cs="Arial"/>
          <w:b/>
          <w:bCs/>
          <w:u w:val="single"/>
        </w:rPr>
        <w:t>(Source: Martínez-Bazet al. 2024)</w:t>
      </w:r>
    </w:p>
    <w:p w14:paraId="45C323B1" w14:textId="77777777" w:rsidR="005651B7" w:rsidRPr="00AD59C4" w:rsidRDefault="005651B7" w:rsidP="005651B7">
      <w:pPr>
        <w:rPr>
          <w:rFonts w:ascii="Arial" w:hAnsi="Arial" w:cs="Arial"/>
        </w:rPr>
      </w:pPr>
      <w:r w:rsidRPr="00AD59C4">
        <w:rPr>
          <w:rFonts w:ascii="Arial" w:hAnsi="Arial" w:cs="Arial"/>
        </w:rPr>
        <w:t>During the early months of 2020, Spain lacked unified coordination of testing, surveillance, and clinical capacity. Regions such as Madrid, Catalonia, and Castile-La Mancha reported shortages of ICU beds, PPE, and diagnostic capacity. The decentralised model also meant that data reporting varied between regions, causing delays in national situational awareness.</w:t>
      </w:r>
    </w:p>
    <w:p w14:paraId="6A3D13C4" w14:textId="77777777" w:rsidR="005651B7" w:rsidRPr="00AD59C4" w:rsidRDefault="005651B7" w:rsidP="005651B7">
      <w:pPr>
        <w:rPr>
          <w:rFonts w:ascii="Arial" w:hAnsi="Arial" w:cs="Arial"/>
        </w:rPr>
      </w:pPr>
    </w:p>
    <w:p w14:paraId="442C3792" w14:textId="77777777" w:rsidR="005651B7" w:rsidRPr="00AD59C4" w:rsidRDefault="005651B7" w:rsidP="005651B7">
      <w:pPr>
        <w:rPr>
          <w:rFonts w:ascii="Arial" w:hAnsi="Arial" w:cs="Arial"/>
        </w:rPr>
      </w:pPr>
      <w:r w:rsidRPr="00AD59C4">
        <w:rPr>
          <w:rFonts w:ascii="Arial" w:hAnsi="Arial" w:cs="Arial"/>
        </w:rPr>
        <w:t>Spain entered the pandemic with fewer critical care beds than many EU countries—approximately 9.7 ICU beds per 100,000 residents, lower than Germany (33.9) and Italy (12.5). As cases surged in March 2020, hospitals in Madrid experienced near-collapse, prompting emergency conversions of hotels and convention centres into temporary care facilities.</w:t>
      </w:r>
    </w:p>
    <w:p w14:paraId="6F5CAF0F" w14:textId="77777777" w:rsidR="005651B7" w:rsidRPr="00AD59C4" w:rsidRDefault="005651B7" w:rsidP="005651B7">
      <w:pPr>
        <w:rPr>
          <w:rFonts w:ascii="Arial" w:hAnsi="Arial" w:cs="Arial"/>
        </w:rPr>
      </w:pPr>
    </w:p>
    <w:p w14:paraId="51B4B62E" w14:textId="77777777" w:rsidR="005651B7" w:rsidRPr="00AD59C4" w:rsidRDefault="005651B7" w:rsidP="005651B7">
      <w:pPr>
        <w:rPr>
          <w:rFonts w:ascii="Arial" w:hAnsi="Arial" w:cs="Arial"/>
        </w:rPr>
      </w:pPr>
      <w:r w:rsidRPr="00AD59C4">
        <w:rPr>
          <w:rFonts w:ascii="Arial" w:hAnsi="Arial" w:cs="Arial"/>
        </w:rPr>
        <w:t>The government declared a State of Alarm on 14 March 2020, temporarily centralising authority under Prime Minister Pedro Sánchez and Health Minister Salvador Illa. This emergency re-centralisation allowed for standardisation of restrictions, procurement of medical supplies, and coordinated nationwide lockdowns. While many criticised the delay in declaring the emergency, this shift significantly improved response capacity.</w:t>
      </w:r>
    </w:p>
    <w:p w14:paraId="1CBDD390" w14:textId="77777777" w:rsidR="005651B7" w:rsidRPr="00AD59C4" w:rsidRDefault="005651B7" w:rsidP="005651B7">
      <w:pPr>
        <w:rPr>
          <w:rFonts w:ascii="Arial" w:hAnsi="Arial" w:cs="Arial"/>
        </w:rPr>
      </w:pPr>
    </w:p>
    <w:p w14:paraId="375BE991" w14:textId="3969EE6A" w:rsidR="00CD48AF" w:rsidRPr="00AD59C4" w:rsidRDefault="005651B7" w:rsidP="005651B7">
      <w:pPr>
        <w:rPr>
          <w:rFonts w:ascii="Arial" w:hAnsi="Arial" w:cs="Arial"/>
        </w:rPr>
      </w:pPr>
      <w:r w:rsidRPr="00AD59C4">
        <w:rPr>
          <w:rFonts w:ascii="Arial" w:hAnsi="Arial" w:cs="Arial"/>
        </w:rPr>
        <w:t>Spain later implemented one of Europe’s most successful vaccination campaigns. By late 2021, over 81% of the population was fully vaccinated. This achievement was supported by central procurement through the European Union, strong public trust in vaccination, and coordinated regional health systems—demonstrating how Spain’s structure can function effectively when paired with unified national direction.</w:t>
      </w:r>
    </w:p>
    <w:p w14:paraId="4B763C8E" w14:textId="77777777" w:rsidR="006360D2" w:rsidRDefault="006360D2" w:rsidP="00077611">
      <w:pPr>
        <w:rPr>
          <w:rFonts w:ascii="Arial" w:hAnsi="Arial" w:cs="Arial"/>
        </w:rPr>
      </w:pPr>
    </w:p>
    <w:p w14:paraId="44565551" w14:textId="77777777" w:rsidR="00B6624F" w:rsidRDefault="00B6624F" w:rsidP="00077611">
      <w:pPr>
        <w:rPr>
          <w:rFonts w:ascii="Arial" w:hAnsi="Arial" w:cs="Arial"/>
        </w:rPr>
      </w:pPr>
    </w:p>
    <w:p w14:paraId="45EAB3A1" w14:textId="3773BACC" w:rsidR="00077611" w:rsidRDefault="00D94526" w:rsidP="00077611">
      <w:pPr>
        <w:rPr>
          <w:rFonts w:ascii="Arial" w:hAnsi="Arial" w:cs="Arial"/>
        </w:rPr>
      </w:pPr>
      <w:r>
        <w:rPr>
          <w:noProof/>
        </w:rPr>
        <w:drawing>
          <wp:anchor distT="0" distB="0" distL="114300" distR="114300" simplePos="0" relativeHeight="251656704" behindDoc="0" locked="0" layoutInCell="1" allowOverlap="1" wp14:anchorId="2E2C5EC0" wp14:editId="44D1ECC9">
            <wp:simplePos x="0" y="0"/>
            <wp:positionH relativeFrom="column">
              <wp:posOffset>30480</wp:posOffset>
            </wp:positionH>
            <wp:positionV relativeFrom="paragraph">
              <wp:posOffset>406400</wp:posOffset>
            </wp:positionV>
            <wp:extent cx="5412740" cy="3688080"/>
            <wp:effectExtent l="0" t="0" r="0" b="7620"/>
            <wp:wrapTopAndBottom/>
            <wp:docPr id="1384129944" name="Picture 1" descr="A graph of covid-19&#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129944" name="Picture 1" descr="A graph of covid-19&#10;&#10;AI-generated content may be incorrect."/>
                    <pic:cNvPicPr>
                      <a:picLocks noChangeAspect="1"/>
                    </pic:cNvPicPr>
                  </pic:nvPicPr>
                  <pic:blipFill rotWithShape="1">
                    <a:blip r:embed="rId15" cstate="print">
                      <a:extLst>
                        <a:ext uri="{28A0092B-C50C-407E-A947-70E740481C1C}">
                          <a14:useLocalDpi xmlns:a14="http://schemas.microsoft.com/office/drawing/2010/main" val="0"/>
                        </a:ext>
                      </a:extLst>
                    </a:blip>
                    <a:srcRect l="278" r="1"/>
                    <a:stretch>
                      <a:fillRect/>
                    </a:stretch>
                  </pic:blipFill>
                  <pic:spPr bwMode="auto">
                    <a:xfrm>
                      <a:off x="0" y="0"/>
                      <a:ext cx="5412740" cy="3688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7611" w:rsidRPr="00C65131">
        <w:rPr>
          <w:rFonts w:ascii="Arial" w:hAnsi="Arial" w:cs="Arial"/>
        </w:rPr>
        <w:t xml:space="preserve">2.2 South Korea: Centralised Command with Institutional Collaboration </w:t>
      </w:r>
    </w:p>
    <w:p w14:paraId="629E565C" w14:textId="3E7C090B" w:rsidR="00D94526" w:rsidRPr="00C65131" w:rsidRDefault="00D94526" w:rsidP="00077611">
      <w:pPr>
        <w:rPr>
          <w:rFonts w:ascii="Arial" w:hAnsi="Arial" w:cs="Arial"/>
        </w:rPr>
      </w:pPr>
      <w:r>
        <w:rPr>
          <w:noProof/>
        </w:rPr>
        <mc:AlternateContent>
          <mc:Choice Requires="wps">
            <w:drawing>
              <wp:anchor distT="0" distB="0" distL="114300" distR="114300" simplePos="0" relativeHeight="251655680" behindDoc="1" locked="0" layoutInCell="1" allowOverlap="1" wp14:anchorId="5C06511F" wp14:editId="6C13F1DF">
                <wp:simplePos x="0" y="0"/>
                <wp:positionH relativeFrom="margin">
                  <wp:align>right</wp:align>
                </wp:positionH>
                <wp:positionV relativeFrom="paragraph">
                  <wp:posOffset>75565</wp:posOffset>
                </wp:positionV>
                <wp:extent cx="5459730" cy="3722370"/>
                <wp:effectExtent l="19050" t="19050" r="26670" b="11430"/>
                <wp:wrapNone/>
                <wp:docPr id="694021504" name="Rectangle 10"/>
                <wp:cNvGraphicFramePr/>
                <a:graphic xmlns:a="http://schemas.openxmlformats.org/drawingml/2006/main">
                  <a:graphicData uri="http://schemas.microsoft.com/office/word/2010/wordprocessingShape">
                    <wps:wsp>
                      <wps:cNvSpPr/>
                      <wps:spPr>
                        <a:xfrm>
                          <a:off x="0" y="0"/>
                          <a:ext cx="5459730" cy="3722370"/>
                        </a:xfrm>
                        <a:prstGeom prst="rect">
                          <a:avLst/>
                        </a:prstGeom>
                        <a:ln w="38100"/>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73CA09" id="Rectangle 10" o:spid="_x0000_s1026" style="position:absolute;margin-left:378.7pt;margin-top:5.95pt;width:429.9pt;height:293.1pt;z-index:-2516551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" fillcolor="white [3201]" strokecolor="black [3200]" strokeweight="3pt">
                <w10:wrap anchorx="margin"/>
              </v:rect>
            </w:pict>
          </mc:Fallback>
        </mc:AlternateContent>
      </w:r>
    </w:p>
    <w:p w14:paraId="785C8735" w14:textId="77777777" w:rsidR="00B6624F" w:rsidRDefault="00B6624F" w:rsidP="000D6819">
      <w:pPr>
        <w:jc w:val="center"/>
        <w:rPr>
          <w:rFonts w:ascii="Arial" w:hAnsi="Arial" w:cs="Arial"/>
          <w:b/>
          <w:bCs/>
          <w:u w:val="single"/>
        </w:rPr>
      </w:pPr>
    </w:p>
    <w:p w14:paraId="158845E7" w14:textId="3F13DEF1" w:rsidR="000D6819" w:rsidRPr="000D6819" w:rsidRDefault="000D6819" w:rsidP="000D6819">
      <w:pPr>
        <w:jc w:val="center"/>
        <w:rPr>
          <w:rFonts w:ascii="Arial" w:hAnsi="Arial" w:cs="Arial"/>
          <w:b/>
          <w:bCs/>
          <w:u w:val="single"/>
        </w:rPr>
      </w:pPr>
      <w:r w:rsidRPr="000D6819">
        <w:rPr>
          <w:rFonts w:ascii="Arial" w:hAnsi="Arial" w:cs="Arial"/>
          <w:b/>
          <w:bCs/>
          <w:u w:val="single"/>
        </w:rPr>
        <w:t>Figure</w:t>
      </w:r>
      <w:r>
        <w:rPr>
          <w:rFonts w:ascii="Arial" w:hAnsi="Arial" w:cs="Arial"/>
          <w:b/>
          <w:bCs/>
          <w:u w:val="single"/>
        </w:rPr>
        <w:t xml:space="preserve">3 </w:t>
      </w:r>
      <w:r w:rsidRPr="000D6819">
        <w:rPr>
          <w:rFonts w:ascii="Arial" w:hAnsi="Arial" w:cs="Arial"/>
          <w:b/>
          <w:bCs/>
          <w:u w:val="single"/>
        </w:rPr>
        <w:t>:South Korea’s COVID-19 cases</w:t>
      </w:r>
    </w:p>
    <w:p w14:paraId="17368228" w14:textId="27EE6D69" w:rsidR="00D94526" w:rsidRPr="000D6819" w:rsidRDefault="000D6819" w:rsidP="000D6819">
      <w:pPr>
        <w:jc w:val="center"/>
        <w:rPr>
          <w:rFonts w:ascii="Arial" w:hAnsi="Arial" w:cs="Arial"/>
          <w:b/>
          <w:bCs/>
          <w:u w:val="single"/>
        </w:rPr>
      </w:pPr>
      <w:r w:rsidRPr="000D6819">
        <w:rPr>
          <w:rFonts w:ascii="Arial" w:hAnsi="Arial" w:cs="Arial"/>
          <w:b/>
          <w:bCs/>
          <w:u w:val="single"/>
        </w:rPr>
        <w:t>(Source: Ourworldindata.org, 2025)</w:t>
      </w:r>
    </w:p>
    <w:p w14:paraId="2D93D431" w14:textId="77777777" w:rsidR="00D94526" w:rsidRDefault="00D94526" w:rsidP="00077611">
      <w:pPr>
        <w:rPr>
          <w:rFonts w:ascii="Arial" w:hAnsi="Arial" w:cs="Arial"/>
        </w:rPr>
      </w:pPr>
    </w:p>
    <w:p w14:paraId="59861863" w14:textId="77777777" w:rsidR="00A232D5" w:rsidRDefault="00A232D5" w:rsidP="00077611">
      <w:pPr>
        <w:rPr>
          <w:rFonts w:ascii="Arial" w:hAnsi="Arial" w:cs="Arial"/>
        </w:rPr>
      </w:pPr>
    </w:p>
    <w:p w14:paraId="427CF846" w14:textId="77777777" w:rsidR="00A232D5" w:rsidRDefault="00A232D5" w:rsidP="00077611">
      <w:pPr>
        <w:rPr>
          <w:rFonts w:ascii="Arial" w:hAnsi="Arial" w:cs="Arial"/>
        </w:rPr>
      </w:pPr>
    </w:p>
    <w:p w14:paraId="6A7007B1" w14:textId="77777777" w:rsidR="00A232D5" w:rsidRDefault="00A232D5" w:rsidP="00077611">
      <w:pPr>
        <w:rPr>
          <w:rFonts w:ascii="Arial" w:hAnsi="Arial" w:cs="Arial"/>
        </w:rPr>
      </w:pPr>
    </w:p>
    <w:p w14:paraId="52B1DF60" w14:textId="77777777" w:rsidR="00A232D5" w:rsidRDefault="00A232D5" w:rsidP="00077611">
      <w:pPr>
        <w:rPr>
          <w:rFonts w:ascii="Arial" w:hAnsi="Arial" w:cs="Arial"/>
        </w:rPr>
      </w:pPr>
    </w:p>
    <w:p w14:paraId="21932662" w14:textId="77777777" w:rsidR="00A232D5" w:rsidRDefault="00A232D5" w:rsidP="00077611">
      <w:pPr>
        <w:rPr>
          <w:rFonts w:ascii="Arial" w:hAnsi="Arial" w:cs="Arial"/>
        </w:rPr>
      </w:pPr>
    </w:p>
    <w:p w14:paraId="2BDE3307" w14:textId="0CD34F3A" w:rsidR="00077611" w:rsidRPr="00AD59C4" w:rsidRDefault="00077611" w:rsidP="00077611">
      <w:pPr>
        <w:rPr>
          <w:rFonts w:ascii="Arial" w:hAnsi="Arial" w:cs="Arial"/>
        </w:rPr>
      </w:pPr>
      <w:r w:rsidRPr="00AD59C4">
        <w:rPr>
          <w:rFonts w:ascii="Arial" w:hAnsi="Arial" w:cs="Arial"/>
        </w:rPr>
        <w:t>South Korea’s health governance is characterised by strong national leadership through the Ministry of Health and Welfare (MOHW) and the Korea Disease Control and Prevention Agency (KDCA). Unlike Spain, South Korea operates a highly centralised public health architecture, allowing rapid and uniform responses during infectious disease emergencies.</w:t>
      </w:r>
    </w:p>
    <w:p w14:paraId="7F4A2F1C" w14:textId="77777777" w:rsidR="00A232D5" w:rsidRDefault="00A232D5" w:rsidP="00077611">
      <w:pPr>
        <w:rPr>
          <w:rFonts w:ascii="Arial" w:hAnsi="Arial" w:cs="Arial"/>
        </w:rPr>
      </w:pPr>
    </w:p>
    <w:p w14:paraId="066F5C8C" w14:textId="0E6CCEE7" w:rsidR="00077611" w:rsidRPr="00AD59C4" w:rsidRDefault="00077611" w:rsidP="00077611">
      <w:pPr>
        <w:rPr>
          <w:rFonts w:ascii="Arial" w:hAnsi="Arial" w:cs="Arial"/>
        </w:rPr>
      </w:pPr>
      <w:r w:rsidRPr="00AD59C4">
        <w:rPr>
          <w:rFonts w:ascii="Arial" w:hAnsi="Arial" w:cs="Arial"/>
        </w:rPr>
        <w:t>Following the 2015 MERS outbreak, South Korea enacted several legislative reforms, including the Infectious Disease Control and Prevention Act, which expanded state authority for emergency data collection, digital tracking, and mandatory reporting. As a result, the country entered COVID-19 with advanced surveillance systems and ready-made protocols for testing, tracing, and quarantine.</w:t>
      </w:r>
    </w:p>
    <w:p w14:paraId="11D52C0E" w14:textId="77777777" w:rsidR="00A232D5" w:rsidRDefault="00A232D5" w:rsidP="00077611">
      <w:pPr>
        <w:rPr>
          <w:rFonts w:ascii="Arial" w:hAnsi="Arial" w:cs="Arial"/>
        </w:rPr>
      </w:pPr>
    </w:p>
    <w:p w14:paraId="6122E8C8" w14:textId="495D0D54" w:rsidR="00077611" w:rsidRPr="00AD59C4" w:rsidRDefault="00077611" w:rsidP="00077611">
      <w:pPr>
        <w:rPr>
          <w:rFonts w:ascii="Arial" w:hAnsi="Arial" w:cs="Arial"/>
        </w:rPr>
      </w:pPr>
      <w:r w:rsidRPr="00AD59C4">
        <w:rPr>
          <w:rFonts w:ascii="Arial" w:hAnsi="Arial" w:cs="Arial"/>
        </w:rPr>
        <w:t>When the first COVID-19 clusters emerged in Daegu in February 2020, the government rapidly mobilised:</w:t>
      </w:r>
    </w:p>
    <w:p w14:paraId="7650CE64" w14:textId="77777777" w:rsidR="00077611" w:rsidRPr="00A54D56" w:rsidRDefault="00077611" w:rsidP="00A54D56">
      <w:pPr>
        <w:pStyle w:val="ListParagraph"/>
        <w:numPr>
          <w:ilvl w:val="0"/>
          <w:numId w:val="11"/>
        </w:numPr>
        <w:rPr>
          <w:rFonts w:ascii="Arial" w:hAnsi="Arial" w:cs="Arial"/>
        </w:rPr>
      </w:pPr>
      <w:r w:rsidRPr="00A54D56">
        <w:rPr>
          <w:rFonts w:ascii="Arial" w:hAnsi="Arial" w:cs="Arial"/>
        </w:rPr>
        <w:t>Nationwide free testing, including drive-through and walk-through stations</w:t>
      </w:r>
    </w:p>
    <w:p w14:paraId="5C04B419" w14:textId="77777777" w:rsidR="00077611" w:rsidRPr="00A54D56" w:rsidRDefault="00077611" w:rsidP="00A54D56">
      <w:pPr>
        <w:pStyle w:val="ListParagraph"/>
        <w:numPr>
          <w:ilvl w:val="0"/>
          <w:numId w:val="11"/>
        </w:numPr>
        <w:rPr>
          <w:rFonts w:ascii="Arial" w:hAnsi="Arial" w:cs="Arial"/>
        </w:rPr>
      </w:pPr>
      <w:r w:rsidRPr="00A54D56">
        <w:rPr>
          <w:rFonts w:ascii="Arial" w:hAnsi="Arial" w:cs="Arial"/>
        </w:rPr>
        <w:t>Aggressive digital contact tracing, using GPS, credit card records, CCTV footage</w:t>
      </w:r>
    </w:p>
    <w:p w14:paraId="6F19F057" w14:textId="77777777" w:rsidR="00077611" w:rsidRPr="00A54D56" w:rsidRDefault="00077611" w:rsidP="00A54D56">
      <w:pPr>
        <w:pStyle w:val="ListParagraph"/>
        <w:numPr>
          <w:ilvl w:val="0"/>
          <w:numId w:val="11"/>
        </w:numPr>
        <w:rPr>
          <w:rFonts w:ascii="Arial" w:hAnsi="Arial" w:cs="Arial"/>
        </w:rPr>
      </w:pPr>
      <w:r w:rsidRPr="00A54D56">
        <w:rPr>
          <w:rFonts w:ascii="Arial" w:hAnsi="Arial" w:cs="Arial"/>
        </w:rPr>
        <w:t>Transparent public messaging, with twice-daily briefings</w:t>
      </w:r>
    </w:p>
    <w:p w14:paraId="3E03DFBB" w14:textId="77777777" w:rsidR="00077611" w:rsidRPr="00A54D56" w:rsidRDefault="00077611" w:rsidP="00A54D56">
      <w:pPr>
        <w:pStyle w:val="ListParagraph"/>
        <w:numPr>
          <w:ilvl w:val="0"/>
          <w:numId w:val="11"/>
        </w:numPr>
        <w:rPr>
          <w:rFonts w:ascii="Arial" w:hAnsi="Arial" w:cs="Arial"/>
        </w:rPr>
      </w:pPr>
      <w:r w:rsidRPr="00A54D56">
        <w:rPr>
          <w:rFonts w:ascii="Arial" w:hAnsi="Arial" w:cs="Arial"/>
        </w:rPr>
        <w:t>Real-time hospital bed management across regions</w:t>
      </w:r>
    </w:p>
    <w:p w14:paraId="41D2A6FD" w14:textId="77777777" w:rsidR="00A232D5" w:rsidRDefault="00A232D5" w:rsidP="00077611">
      <w:pPr>
        <w:rPr>
          <w:rFonts w:ascii="Arial" w:hAnsi="Arial" w:cs="Arial"/>
        </w:rPr>
      </w:pPr>
    </w:p>
    <w:p w14:paraId="693A6EB9" w14:textId="5BFE320B" w:rsidR="00077611" w:rsidRPr="00AD59C4" w:rsidRDefault="00077611" w:rsidP="00077611">
      <w:pPr>
        <w:rPr>
          <w:rFonts w:ascii="Arial" w:hAnsi="Arial" w:cs="Arial"/>
        </w:rPr>
      </w:pPr>
      <w:r w:rsidRPr="00AD59C4">
        <w:rPr>
          <w:rFonts w:ascii="Arial" w:hAnsi="Arial" w:cs="Arial"/>
        </w:rPr>
        <w:t>South Korea’s early response did not rely on national lockdowns. Instead, stringent isolation orders, mass testing, and fast identification of exposure chains were sufficient to slow transmission. Public-private partnerships were crucial: within weeks, Korean biotech firms produced testing kits at scale, enabling over 20,000 tests per day by March 2020, one of the highest per-capita rates globally at that time.</w:t>
      </w:r>
    </w:p>
    <w:p w14:paraId="01B6B02A" w14:textId="77777777" w:rsidR="00077611" w:rsidRPr="00AD59C4" w:rsidRDefault="00077611" w:rsidP="00077611">
      <w:pPr>
        <w:rPr>
          <w:rFonts w:ascii="Arial" w:hAnsi="Arial" w:cs="Arial"/>
        </w:rPr>
      </w:pPr>
    </w:p>
    <w:p w14:paraId="5890DF86" w14:textId="77777777" w:rsidR="00077611" w:rsidRPr="00AD59C4" w:rsidRDefault="00077611" w:rsidP="00077611">
      <w:pPr>
        <w:rPr>
          <w:rFonts w:ascii="Arial" w:hAnsi="Arial" w:cs="Arial"/>
        </w:rPr>
      </w:pPr>
      <w:r w:rsidRPr="00AD59C4">
        <w:rPr>
          <w:rFonts w:ascii="Arial" w:hAnsi="Arial" w:cs="Arial"/>
        </w:rPr>
        <w:t>Despite periodic surges driven by variants, South Korea maintained one of the lowest COVID-19 mortality rates in the OECD in 2020–2021. Vaccination also progressed effectively once doses became available, supported by central scheduling platforms and minimal vaccine hesitancy.</w:t>
      </w:r>
    </w:p>
    <w:p w14:paraId="384EE9AF" w14:textId="77777777" w:rsidR="00077611" w:rsidRPr="00AD59C4" w:rsidRDefault="00077611" w:rsidP="00077611">
      <w:pPr>
        <w:rPr>
          <w:rFonts w:ascii="Arial" w:hAnsi="Arial" w:cs="Arial"/>
        </w:rPr>
      </w:pPr>
      <w:r w:rsidRPr="00AD59C4">
        <w:rPr>
          <w:rFonts w:ascii="Arial" w:hAnsi="Arial" w:cs="Arial"/>
        </w:rPr>
        <w:t>South Korea’s response illustrates the advantages of institutional preparedness, strong central command, and societal trust in government health measures.</w:t>
      </w:r>
    </w:p>
    <w:p w14:paraId="3F70C588" w14:textId="7BA4CBAE" w:rsidR="00E636B7" w:rsidRDefault="00E636B7" w:rsidP="005C224F">
      <w:pPr>
        <w:rPr>
          <w:rFonts w:ascii="Arial" w:hAnsi="Arial" w:cs="Arial"/>
        </w:rPr>
      </w:pPr>
    </w:p>
    <w:p w14:paraId="7B46F7BF" w14:textId="77777777" w:rsidR="00A232D5" w:rsidRDefault="00A232D5" w:rsidP="005C224F">
      <w:pPr>
        <w:rPr>
          <w:rFonts w:ascii="Arial" w:hAnsi="Arial" w:cs="Arial"/>
        </w:rPr>
      </w:pPr>
    </w:p>
    <w:p w14:paraId="17CDD62F" w14:textId="197D698D" w:rsidR="005C224F" w:rsidRDefault="00576FF1" w:rsidP="005C224F">
      <w:pPr>
        <w:rPr>
          <w:rFonts w:ascii="Arial" w:hAnsi="Arial" w:cs="Arial"/>
        </w:rPr>
      </w:pPr>
      <w:r>
        <w:rPr>
          <w:noProof/>
        </w:rPr>
        <w:drawing>
          <wp:anchor distT="0" distB="0" distL="114300" distR="114300" simplePos="0" relativeHeight="251657728" behindDoc="0" locked="0" layoutInCell="1" allowOverlap="1" wp14:anchorId="26038C54" wp14:editId="18B2D850">
            <wp:simplePos x="0" y="0"/>
            <wp:positionH relativeFrom="column">
              <wp:posOffset>861060</wp:posOffset>
            </wp:positionH>
            <wp:positionV relativeFrom="paragraph">
              <wp:posOffset>292735</wp:posOffset>
            </wp:positionV>
            <wp:extent cx="3002280" cy="2472055"/>
            <wp:effectExtent l="0" t="0" r="7620" b="4445"/>
            <wp:wrapTopAndBottom/>
            <wp:docPr id="10" name="Picture 1" descr="A map of canada with green circles and black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A map of canada with green circles and black circles&#10;&#10;AI-generated content may be incorrect."/>
                    <pic:cNvPicPr>
                      <a:picLocks noChangeAspect="1"/>
                    </pic:cNvPicPr>
                  </pic:nvPicPr>
                  <pic:blipFill>
                    <a:blip r:embed="rId16"/>
                    <a:stretch>
                      <a:fillRect/>
                    </a:stretch>
                  </pic:blipFill>
                  <pic:spPr>
                    <a:xfrm>
                      <a:off x="0" y="0"/>
                      <a:ext cx="3002280" cy="2472055"/>
                    </a:xfrm>
                    <a:prstGeom prst="rect">
                      <a:avLst/>
                    </a:prstGeom>
                  </pic:spPr>
                </pic:pic>
              </a:graphicData>
            </a:graphic>
          </wp:anchor>
        </w:drawing>
      </w:r>
      <w:r w:rsidR="005C224F" w:rsidRPr="00AD59C4">
        <w:rPr>
          <w:rFonts w:ascii="Arial" w:hAnsi="Arial" w:cs="Arial"/>
        </w:rPr>
        <w:t xml:space="preserve">2.3 Canada: Decentralised System with Inter-Governmental Collaboration </w:t>
      </w:r>
    </w:p>
    <w:p w14:paraId="73A9F55E" w14:textId="5091FE1D" w:rsidR="00727E47" w:rsidRPr="00A232D5" w:rsidRDefault="00727E47" w:rsidP="00A232D5">
      <w:pPr>
        <w:jc w:val="center"/>
        <w:rPr>
          <w:rFonts w:ascii="Arial" w:hAnsi="Arial" w:cs="Arial"/>
          <w:b/>
          <w:bCs/>
          <w:u w:val="single"/>
        </w:rPr>
      </w:pPr>
      <w:r w:rsidRPr="00A232D5">
        <w:rPr>
          <w:rFonts w:ascii="Arial" w:hAnsi="Arial" w:cs="Arial"/>
          <w:b/>
          <w:bCs/>
          <w:u w:val="single"/>
        </w:rPr>
        <w:t xml:space="preserve">Figure </w:t>
      </w:r>
      <w:r w:rsidR="000C3291">
        <w:rPr>
          <w:rFonts w:ascii="Arial" w:hAnsi="Arial" w:cs="Arial"/>
          <w:b/>
          <w:bCs/>
          <w:u w:val="single"/>
        </w:rPr>
        <w:t>4</w:t>
      </w:r>
      <w:r w:rsidRPr="00A232D5">
        <w:rPr>
          <w:rFonts w:ascii="Arial" w:hAnsi="Arial" w:cs="Arial"/>
          <w:b/>
          <w:bCs/>
          <w:u w:val="single"/>
        </w:rPr>
        <w:t>: Vaccine doses in Canada</w:t>
      </w:r>
    </w:p>
    <w:p w14:paraId="13C6DAFB" w14:textId="5A37134E" w:rsidR="00576FF1" w:rsidRDefault="00727E47" w:rsidP="00A232D5">
      <w:pPr>
        <w:jc w:val="center"/>
        <w:rPr>
          <w:rFonts w:ascii="Arial" w:hAnsi="Arial" w:cs="Arial"/>
          <w:b/>
          <w:bCs/>
          <w:u w:val="single"/>
        </w:rPr>
      </w:pPr>
      <w:r w:rsidRPr="00A232D5">
        <w:rPr>
          <w:rFonts w:ascii="Arial" w:hAnsi="Arial" w:cs="Arial"/>
          <w:b/>
          <w:bCs/>
          <w:u w:val="single"/>
        </w:rPr>
        <w:t>(Source: Public Health Agency of Canada, 2021)</w:t>
      </w:r>
    </w:p>
    <w:p w14:paraId="1F4E0043" w14:textId="77777777" w:rsidR="00A232D5" w:rsidRPr="00A232D5" w:rsidRDefault="00A232D5" w:rsidP="00A232D5">
      <w:pPr>
        <w:jc w:val="center"/>
        <w:rPr>
          <w:rFonts w:ascii="Arial" w:hAnsi="Arial" w:cs="Arial"/>
          <w:b/>
          <w:bCs/>
          <w:u w:val="single"/>
        </w:rPr>
      </w:pPr>
    </w:p>
    <w:p w14:paraId="33E8BEB2" w14:textId="77777777" w:rsidR="005C224F" w:rsidRPr="00AD59C4" w:rsidRDefault="005C224F" w:rsidP="005C224F">
      <w:pPr>
        <w:rPr>
          <w:rFonts w:ascii="Arial" w:hAnsi="Arial" w:cs="Arial"/>
        </w:rPr>
      </w:pPr>
      <w:r w:rsidRPr="00AD59C4">
        <w:rPr>
          <w:rFonts w:ascii="Arial" w:hAnsi="Arial" w:cs="Arial"/>
        </w:rPr>
        <w:t>Canada’s health system is governed under a federal model, where healthcare delivery is primarily the responsibility of the 10 provinces and 3 territories. The federal government provides funding through the Canada Health Transfer and oversees regulation of drugs, vaccines, and public health emergencies. However, provinces independently control hospitals, public health units, and testing policies.</w:t>
      </w:r>
    </w:p>
    <w:p w14:paraId="2A04D4D8" w14:textId="77777777" w:rsidR="005C224F" w:rsidRPr="00AD59C4" w:rsidRDefault="005C224F" w:rsidP="005C224F">
      <w:pPr>
        <w:rPr>
          <w:rFonts w:ascii="Arial" w:hAnsi="Arial" w:cs="Arial"/>
        </w:rPr>
      </w:pPr>
      <w:r w:rsidRPr="00AD59C4">
        <w:rPr>
          <w:rFonts w:ascii="Arial" w:hAnsi="Arial" w:cs="Arial"/>
        </w:rPr>
        <w:t>This structure resulted in significant variability in early COVID-19 responses:</w:t>
      </w:r>
    </w:p>
    <w:p w14:paraId="69D9FA3F" w14:textId="77777777" w:rsidR="005C224F" w:rsidRPr="00AD59C4" w:rsidRDefault="005C224F" w:rsidP="005C224F">
      <w:pPr>
        <w:rPr>
          <w:rFonts w:ascii="Arial" w:hAnsi="Arial" w:cs="Arial"/>
        </w:rPr>
      </w:pPr>
      <w:r w:rsidRPr="00AD59C4">
        <w:rPr>
          <w:rFonts w:ascii="Arial" w:hAnsi="Arial" w:cs="Arial"/>
        </w:rPr>
        <w:t>British Columbia acted early with strong contact-tracing and risk communication</w:t>
      </w:r>
    </w:p>
    <w:p w14:paraId="51901642" w14:textId="77777777" w:rsidR="005C224F" w:rsidRPr="00AD59C4" w:rsidRDefault="005C224F" w:rsidP="005C224F">
      <w:pPr>
        <w:rPr>
          <w:rFonts w:ascii="Arial" w:hAnsi="Arial" w:cs="Arial"/>
        </w:rPr>
      </w:pPr>
      <w:r w:rsidRPr="00AD59C4">
        <w:rPr>
          <w:rFonts w:ascii="Arial" w:hAnsi="Arial" w:cs="Arial"/>
        </w:rPr>
        <w:t>Ontario and Alberta faced criticism for delayed restrictions and rapid reopening policies</w:t>
      </w:r>
    </w:p>
    <w:p w14:paraId="27F0062F" w14:textId="4AFD8ED8" w:rsidR="005C224F" w:rsidRPr="00AD59C4" w:rsidRDefault="005C224F" w:rsidP="005C224F">
      <w:pPr>
        <w:rPr>
          <w:rFonts w:ascii="Arial" w:hAnsi="Arial" w:cs="Arial"/>
        </w:rPr>
      </w:pPr>
      <w:r w:rsidRPr="00AD59C4">
        <w:rPr>
          <w:rFonts w:ascii="Arial" w:hAnsi="Arial" w:cs="Arial"/>
        </w:rPr>
        <w:t xml:space="preserve">Quebec experienced the highest </w:t>
      </w:r>
      <w:r w:rsidR="004503E8" w:rsidRPr="00AD59C4">
        <w:rPr>
          <w:rFonts w:ascii="Arial" w:hAnsi="Arial" w:cs="Arial"/>
        </w:rPr>
        <w:t>mortality rate</w:t>
      </w:r>
      <w:r w:rsidRPr="00AD59C4">
        <w:rPr>
          <w:rFonts w:ascii="Arial" w:hAnsi="Arial" w:cs="Arial"/>
        </w:rPr>
        <w:t xml:space="preserve"> in the first wave, largely due to outbreaks in long-term care facilities</w:t>
      </w:r>
    </w:p>
    <w:p w14:paraId="61C17EC0" w14:textId="77777777" w:rsidR="005C224F" w:rsidRPr="00AD59C4" w:rsidRDefault="005C224F" w:rsidP="005C224F">
      <w:pPr>
        <w:rPr>
          <w:rFonts w:ascii="Arial" w:hAnsi="Arial" w:cs="Arial"/>
        </w:rPr>
      </w:pPr>
      <w:r w:rsidRPr="00AD59C4">
        <w:rPr>
          <w:rFonts w:ascii="Arial" w:hAnsi="Arial" w:cs="Arial"/>
        </w:rPr>
        <w:t>A major national weakness was the long-term care (LTC) sector, where approximately 80% of deaths in early 2020 occurred. Fragmentation, underfunding, and inconsistent provincial oversight contributed to severe outbreaks.</w:t>
      </w:r>
    </w:p>
    <w:p w14:paraId="44411E5B" w14:textId="77777777" w:rsidR="005C224F" w:rsidRPr="00AD59C4" w:rsidRDefault="005C224F" w:rsidP="005C224F">
      <w:pPr>
        <w:rPr>
          <w:rFonts w:ascii="Arial" w:hAnsi="Arial" w:cs="Arial"/>
        </w:rPr>
      </w:pPr>
      <w:r w:rsidRPr="00AD59C4">
        <w:rPr>
          <w:rFonts w:ascii="Arial" w:hAnsi="Arial" w:cs="Arial"/>
        </w:rPr>
        <w:t>The federal government, led by Prime Minister Justin Trudeau, primarily supported provinces by:</w:t>
      </w:r>
    </w:p>
    <w:p w14:paraId="061BF823" w14:textId="77777777" w:rsidR="00E636B7" w:rsidRPr="00E636B7" w:rsidRDefault="005C224F" w:rsidP="00E636B7">
      <w:pPr>
        <w:pStyle w:val="ListParagraph"/>
        <w:numPr>
          <w:ilvl w:val="0"/>
          <w:numId w:val="12"/>
        </w:numPr>
        <w:rPr>
          <w:rFonts w:ascii="Arial" w:hAnsi="Arial" w:cs="Arial"/>
        </w:rPr>
      </w:pPr>
      <w:r w:rsidRPr="00E636B7">
        <w:rPr>
          <w:rFonts w:ascii="Arial" w:hAnsi="Arial" w:cs="Arial"/>
        </w:rPr>
        <w:t>Closing international borders</w:t>
      </w:r>
    </w:p>
    <w:p w14:paraId="6BF95A21" w14:textId="5FD4E9D8" w:rsidR="005C224F" w:rsidRPr="00E636B7" w:rsidRDefault="005C224F" w:rsidP="00E636B7">
      <w:pPr>
        <w:pStyle w:val="ListParagraph"/>
        <w:numPr>
          <w:ilvl w:val="0"/>
          <w:numId w:val="12"/>
        </w:numPr>
        <w:rPr>
          <w:rFonts w:ascii="Arial" w:hAnsi="Arial" w:cs="Arial"/>
        </w:rPr>
      </w:pPr>
      <w:r w:rsidRPr="00E636B7">
        <w:rPr>
          <w:rFonts w:ascii="Arial" w:hAnsi="Arial" w:cs="Arial"/>
        </w:rPr>
        <w:t>Deploying the Canadian Armed Forces into overwhelmed LTC homes</w:t>
      </w:r>
    </w:p>
    <w:p w14:paraId="1AD38A9C" w14:textId="77777777" w:rsidR="005C224F" w:rsidRPr="00E636B7" w:rsidRDefault="005C224F" w:rsidP="00E636B7">
      <w:pPr>
        <w:pStyle w:val="ListParagraph"/>
        <w:numPr>
          <w:ilvl w:val="0"/>
          <w:numId w:val="12"/>
        </w:numPr>
        <w:rPr>
          <w:rFonts w:ascii="Arial" w:hAnsi="Arial" w:cs="Arial"/>
        </w:rPr>
      </w:pPr>
      <w:r w:rsidRPr="00E636B7">
        <w:rPr>
          <w:rFonts w:ascii="Arial" w:hAnsi="Arial" w:cs="Arial"/>
        </w:rPr>
        <w:t>Providing economic relief (CERB, wage subsidies)</w:t>
      </w:r>
    </w:p>
    <w:p w14:paraId="07DF61CC" w14:textId="77777777" w:rsidR="005C224F" w:rsidRPr="00E636B7" w:rsidRDefault="005C224F" w:rsidP="00E636B7">
      <w:pPr>
        <w:pStyle w:val="ListParagraph"/>
        <w:numPr>
          <w:ilvl w:val="0"/>
          <w:numId w:val="12"/>
        </w:numPr>
        <w:rPr>
          <w:rFonts w:ascii="Arial" w:hAnsi="Arial" w:cs="Arial"/>
        </w:rPr>
      </w:pPr>
      <w:r w:rsidRPr="00E636B7">
        <w:rPr>
          <w:rFonts w:ascii="Arial" w:hAnsi="Arial" w:cs="Arial"/>
        </w:rPr>
        <w:lastRenderedPageBreak/>
        <w:t>Coordinating national vaccine procurement</w:t>
      </w:r>
    </w:p>
    <w:p w14:paraId="5C33BC05" w14:textId="77777777" w:rsidR="005C224F" w:rsidRPr="00E636B7" w:rsidRDefault="005C224F" w:rsidP="00E636B7">
      <w:pPr>
        <w:pStyle w:val="ListParagraph"/>
        <w:numPr>
          <w:ilvl w:val="0"/>
          <w:numId w:val="12"/>
        </w:numPr>
        <w:rPr>
          <w:rFonts w:ascii="Arial" w:hAnsi="Arial" w:cs="Arial"/>
        </w:rPr>
      </w:pPr>
      <w:r w:rsidRPr="00E636B7">
        <w:rPr>
          <w:rFonts w:ascii="Arial" w:hAnsi="Arial" w:cs="Arial"/>
        </w:rPr>
        <w:t>Funding public health units and rapid testing</w:t>
      </w:r>
    </w:p>
    <w:p w14:paraId="284217CD" w14:textId="7B9E5A47" w:rsidR="005C224F" w:rsidRPr="00AD59C4" w:rsidRDefault="005C224F" w:rsidP="005C224F">
      <w:pPr>
        <w:rPr>
          <w:rFonts w:ascii="Arial" w:hAnsi="Arial" w:cs="Arial"/>
        </w:rPr>
      </w:pPr>
      <w:r w:rsidRPr="00AD59C4">
        <w:rPr>
          <w:rFonts w:ascii="Arial" w:hAnsi="Arial" w:cs="Arial"/>
        </w:rPr>
        <w:t xml:space="preserve">Canada initially </w:t>
      </w:r>
      <w:r w:rsidR="00371D50" w:rsidRPr="00AD59C4">
        <w:rPr>
          <w:rFonts w:ascii="Arial" w:hAnsi="Arial" w:cs="Arial"/>
        </w:rPr>
        <w:t>lagged</w:t>
      </w:r>
      <w:r w:rsidRPr="00AD59C4">
        <w:rPr>
          <w:rFonts w:ascii="Arial" w:hAnsi="Arial" w:cs="Arial"/>
        </w:rPr>
        <w:t xml:space="preserve"> other G7 countries in vaccination due to reliance on imported vaccines and lack of domestic biomanufacturing. By mid-2021, however, the country accelerated dramatically, ultimately achieving one of the highest vaccination rates in the world, with over 80% fully vaccinated by the end of 2021.</w:t>
      </w:r>
    </w:p>
    <w:p w14:paraId="0A97D6B0" w14:textId="77777777" w:rsidR="005C224F" w:rsidRPr="00AD59C4" w:rsidRDefault="005C224F" w:rsidP="005C224F">
      <w:pPr>
        <w:rPr>
          <w:rFonts w:ascii="Arial" w:hAnsi="Arial" w:cs="Arial"/>
        </w:rPr>
      </w:pPr>
    </w:p>
    <w:p w14:paraId="7E946502" w14:textId="77777777" w:rsidR="00B658A5" w:rsidRDefault="005C224F" w:rsidP="00BF1C23">
      <w:pPr>
        <w:rPr>
          <w:rFonts w:ascii="Arial" w:hAnsi="Arial" w:cs="Arial"/>
        </w:rPr>
      </w:pPr>
      <w:r w:rsidRPr="00AD59C4">
        <w:rPr>
          <w:rFonts w:ascii="Arial" w:hAnsi="Arial" w:cs="Arial"/>
        </w:rPr>
        <w:t>Overall, Canada demonstrates the strengths and weaknesses of decentralisation: flexibility and regional adaptability, but also inconsistencies, delayed action, and fragmented policies.</w:t>
      </w:r>
    </w:p>
    <w:p w14:paraId="3181FFEE" w14:textId="5B67FF21" w:rsidR="00BF1C23" w:rsidRPr="00AD59C4" w:rsidRDefault="00BF1C23" w:rsidP="00BF1C23">
      <w:pPr>
        <w:rPr>
          <w:rFonts w:ascii="Arial" w:hAnsi="Arial" w:cs="Arial"/>
        </w:rPr>
      </w:pPr>
      <w:r w:rsidRPr="00AD59C4">
        <w:rPr>
          <w:rFonts w:ascii="Arial" w:hAnsi="Arial" w:cs="Arial"/>
        </w:rPr>
        <w:t xml:space="preserve">2.4 Comparative Analysis </w:t>
      </w:r>
    </w:p>
    <w:p w14:paraId="4465F788" w14:textId="3733E51E" w:rsidR="00BF1C23" w:rsidRPr="00AD59C4" w:rsidRDefault="00BF1C23" w:rsidP="00BF1C23">
      <w:pPr>
        <w:rPr>
          <w:rFonts w:ascii="Arial" w:hAnsi="Arial" w:cs="Arial"/>
        </w:rPr>
      </w:pPr>
      <w:r w:rsidRPr="00AD59C4">
        <w:rPr>
          <w:rFonts w:ascii="Arial" w:hAnsi="Arial" w:cs="Arial"/>
        </w:rPr>
        <w:t>Spain, South Korea, and Canada illustrate how different governance structures shape national crisis responses:</w:t>
      </w:r>
    </w:p>
    <w:p w14:paraId="26FEBB76" w14:textId="7E57F4A7" w:rsidR="00BF1C23" w:rsidRPr="00AD59C4" w:rsidRDefault="00BF1C23" w:rsidP="00BF1C23">
      <w:pPr>
        <w:rPr>
          <w:rFonts w:ascii="Arial" w:hAnsi="Arial" w:cs="Arial"/>
        </w:rPr>
      </w:pPr>
      <w:r w:rsidRPr="00AD59C4">
        <w:rPr>
          <w:rFonts w:ascii="Arial" w:hAnsi="Arial" w:cs="Arial"/>
        </w:rPr>
        <w:t>Speed and Coordination</w:t>
      </w:r>
    </w:p>
    <w:p w14:paraId="2CA818A8" w14:textId="0E6891DA" w:rsidR="00BF1C23" w:rsidRPr="00B658A5" w:rsidRDefault="00BF1C23" w:rsidP="00B658A5">
      <w:pPr>
        <w:pStyle w:val="ListParagraph"/>
        <w:numPr>
          <w:ilvl w:val="0"/>
          <w:numId w:val="13"/>
        </w:numPr>
        <w:rPr>
          <w:rFonts w:ascii="Arial" w:hAnsi="Arial" w:cs="Arial"/>
        </w:rPr>
      </w:pPr>
      <w:r w:rsidRPr="00B658A5">
        <w:rPr>
          <w:rFonts w:ascii="Arial" w:hAnsi="Arial" w:cs="Arial"/>
        </w:rPr>
        <w:t>South Korea: Fastest response due to centralised command, legal authority, and technological readiness.</w:t>
      </w:r>
    </w:p>
    <w:p w14:paraId="2D02D4CA" w14:textId="7EA0331B" w:rsidR="00BF1C23" w:rsidRPr="00B658A5" w:rsidRDefault="00BF1C23" w:rsidP="00B658A5">
      <w:pPr>
        <w:pStyle w:val="ListParagraph"/>
        <w:numPr>
          <w:ilvl w:val="0"/>
          <w:numId w:val="13"/>
        </w:numPr>
        <w:rPr>
          <w:rFonts w:ascii="Arial" w:hAnsi="Arial" w:cs="Arial"/>
        </w:rPr>
      </w:pPr>
      <w:r w:rsidRPr="00B658A5">
        <w:rPr>
          <w:rFonts w:ascii="Arial" w:hAnsi="Arial" w:cs="Arial"/>
        </w:rPr>
        <w:t>Spain: Slower initial response because of regional fragmentation; coordination improved only after centralisation under the State of Alarm.</w:t>
      </w:r>
    </w:p>
    <w:p w14:paraId="7A3E5191" w14:textId="2667458A" w:rsidR="00BF1C23" w:rsidRPr="00B658A5" w:rsidRDefault="00BF1C23" w:rsidP="00B658A5">
      <w:pPr>
        <w:pStyle w:val="ListParagraph"/>
        <w:numPr>
          <w:ilvl w:val="0"/>
          <w:numId w:val="13"/>
        </w:numPr>
        <w:rPr>
          <w:rFonts w:ascii="Arial" w:hAnsi="Arial" w:cs="Arial"/>
        </w:rPr>
      </w:pPr>
      <w:r w:rsidRPr="00B658A5">
        <w:rPr>
          <w:rFonts w:ascii="Arial" w:hAnsi="Arial" w:cs="Arial"/>
        </w:rPr>
        <w:t>Canada: Mixed speed; some provinces acted decisively, others delayed, causing uneven national outcomes.</w:t>
      </w:r>
    </w:p>
    <w:p w14:paraId="37D5A645" w14:textId="1052285D" w:rsidR="00BF1C23" w:rsidRPr="00AD59C4" w:rsidRDefault="00BF1C23" w:rsidP="00BF1C23">
      <w:pPr>
        <w:rPr>
          <w:rFonts w:ascii="Arial" w:hAnsi="Arial" w:cs="Arial"/>
        </w:rPr>
      </w:pPr>
      <w:r w:rsidRPr="00AD59C4">
        <w:rPr>
          <w:rFonts w:ascii="Arial" w:hAnsi="Arial" w:cs="Arial"/>
        </w:rPr>
        <w:t>Data Integration and Surveillance</w:t>
      </w:r>
    </w:p>
    <w:p w14:paraId="501A9B2D" w14:textId="34414673" w:rsidR="00BF1C23" w:rsidRPr="00B658A5" w:rsidRDefault="00BF1C23" w:rsidP="00B658A5">
      <w:pPr>
        <w:pStyle w:val="ListParagraph"/>
        <w:numPr>
          <w:ilvl w:val="0"/>
          <w:numId w:val="14"/>
        </w:numPr>
        <w:rPr>
          <w:rFonts w:ascii="Arial" w:hAnsi="Arial" w:cs="Arial"/>
        </w:rPr>
      </w:pPr>
      <w:r w:rsidRPr="00B658A5">
        <w:rPr>
          <w:rFonts w:ascii="Arial" w:hAnsi="Arial" w:cs="Arial"/>
        </w:rPr>
        <w:t>South Korea had integrated digital surveillance and legal capacity for rapid data collection.</w:t>
      </w:r>
    </w:p>
    <w:p w14:paraId="0A0ED75A" w14:textId="2A602EF7" w:rsidR="00BF1C23" w:rsidRPr="00B658A5" w:rsidRDefault="00BF1C23" w:rsidP="00B658A5">
      <w:pPr>
        <w:pStyle w:val="ListParagraph"/>
        <w:numPr>
          <w:ilvl w:val="0"/>
          <w:numId w:val="14"/>
        </w:numPr>
        <w:rPr>
          <w:rFonts w:ascii="Arial" w:hAnsi="Arial" w:cs="Arial"/>
        </w:rPr>
      </w:pPr>
      <w:r w:rsidRPr="00B658A5">
        <w:rPr>
          <w:rFonts w:ascii="Arial" w:hAnsi="Arial" w:cs="Arial"/>
        </w:rPr>
        <w:t>Spain lacked uniform real-time data early in the crisis.</w:t>
      </w:r>
    </w:p>
    <w:p w14:paraId="1A91633A" w14:textId="47BB3D00" w:rsidR="00BF1C23" w:rsidRPr="00B658A5" w:rsidRDefault="00BF1C23" w:rsidP="00B658A5">
      <w:pPr>
        <w:pStyle w:val="ListParagraph"/>
        <w:numPr>
          <w:ilvl w:val="0"/>
          <w:numId w:val="14"/>
        </w:numPr>
        <w:rPr>
          <w:rFonts w:ascii="Arial" w:hAnsi="Arial" w:cs="Arial"/>
        </w:rPr>
      </w:pPr>
      <w:r w:rsidRPr="00B658A5">
        <w:rPr>
          <w:rFonts w:ascii="Arial" w:hAnsi="Arial" w:cs="Arial"/>
        </w:rPr>
        <w:t>Canada had fragmented provincial reporting systems that hindered early national situational awareness.</w:t>
      </w:r>
    </w:p>
    <w:p w14:paraId="56986DD4" w14:textId="20297CBB" w:rsidR="00BF1C23" w:rsidRPr="00AD59C4" w:rsidRDefault="00BF1C23" w:rsidP="00BF1C23">
      <w:pPr>
        <w:rPr>
          <w:rFonts w:ascii="Arial" w:hAnsi="Arial" w:cs="Arial"/>
        </w:rPr>
      </w:pPr>
    </w:p>
    <w:p w14:paraId="739BB71D" w14:textId="298E791D" w:rsidR="00BF1C23" w:rsidRPr="00AD59C4" w:rsidRDefault="00BF1C23" w:rsidP="00BF1C23">
      <w:pPr>
        <w:rPr>
          <w:rFonts w:ascii="Arial" w:hAnsi="Arial" w:cs="Arial"/>
        </w:rPr>
      </w:pPr>
      <w:r w:rsidRPr="00AD59C4">
        <w:rPr>
          <w:rFonts w:ascii="Arial" w:hAnsi="Arial" w:cs="Arial"/>
        </w:rPr>
        <w:t>Healthcare Capacity</w:t>
      </w:r>
    </w:p>
    <w:p w14:paraId="4859A608" w14:textId="7098AFEF" w:rsidR="00BF1C23" w:rsidRPr="00B658A5" w:rsidRDefault="00BF1C23" w:rsidP="00B658A5">
      <w:pPr>
        <w:pStyle w:val="ListParagraph"/>
        <w:numPr>
          <w:ilvl w:val="0"/>
          <w:numId w:val="15"/>
        </w:numPr>
        <w:rPr>
          <w:rFonts w:ascii="Arial" w:hAnsi="Arial" w:cs="Arial"/>
        </w:rPr>
      </w:pPr>
      <w:r w:rsidRPr="00B658A5">
        <w:rPr>
          <w:rFonts w:ascii="Arial" w:hAnsi="Arial" w:cs="Arial"/>
        </w:rPr>
        <w:t>South Korea maintained resilience due to strong public health infrastructure.</w:t>
      </w:r>
    </w:p>
    <w:p w14:paraId="5A98DE9B" w14:textId="38E323B4" w:rsidR="00BF1C23" w:rsidRPr="00B658A5" w:rsidRDefault="00BF1C23" w:rsidP="00B658A5">
      <w:pPr>
        <w:pStyle w:val="ListParagraph"/>
        <w:numPr>
          <w:ilvl w:val="0"/>
          <w:numId w:val="15"/>
        </w:numPr>
        <w:rPr>
          <w:rFonts w:ascii="Arial" w:hAnsi="Arial" w:cs="Arial"/>
        </w:rPr>
      </w:pPr>
      <w:r w:rsidRPr="00B658A5">
        <w:rPr>
          <w:rFonts w:ascii="Arial" w:hAnsi="Arial" w:cs="Arial"/>
        </w:rPr>
        <w:t>Spain’s limited ICU capacity aggravated early mortality.</w:t>
      </w:r>
    </w:p>
    <w:p w14:paraId="71517E24" w14:textId="3B03354F" w:rsidR="00BF1C23" w:rsidRPr="00B658A5" w:rsidRDefault="00BF1C23" w:rsidP="00B658A5">
      <w:pPr>
        <w:pStyle w:val="ListParagraph"/>
        <w:numPr>
          <w:ilvl w:val="0"/>
          <w:numId w:val="15"/>
        </w:numPr>
        <w:rPr>
          <w:rFonts w:ascii="Arial" w:hAnsi="Arial" w:cs="Arial"/>
        </w:rPr>
      </w:pPr>
      <w:r w:rsidRPr="00B658A5">
        <w:rPr>
          <w:rFonts w:ascii="Arial" w:hAnsi="Arial" w:cs="Arial"/>
        </w:rPr>
        <w:t>Canada faced severe weaknesses in long-term care facilities rather than hospital capacity.</w:t>
      </w:r>
    </w:p>
    <w:p w14:paraId="3F193400" w14:textId="15C9D148" w:rsidR="00BF1C23" w:rsidRPr="00AD59C4" w:rsidRDefault="00BF1C23" w:rsidP="00BF1C23">
      <w:pPr>
        <w:rPr>
          <w:rFonts w:ascii="Arial" w:hAnsi="Arial" w:cs="Arial"/>
        </w:rPr>
      </w:pPr>
      <w:r w:rsidRPr="00AD59C4">
        <w:rPr>
          <w:rFonts w:ascii="Arial" w:hAnsi="Arial" w:cs="Arial"/>
        </w:rPr>
        <w:t>Vaccination Implementation</w:t>
      </w:r>
    </w:p>
    <w:p w14:paraId="4713CB9C" w14:textId="77777777" w:rsidR="00BF1C23" w:rsidRPr="004273C5" w:rsidRDefault="00BF1C23" w:rsidP="004273C5">
      <w:pPr>
        <w:pStyle w:val="ListParagraph"/>
        <w:numPr>
          <w:ilvl w:val="0"/>
          <w:numId w:val="16"/>
        </w:numPr>
        <w:rPr>
          <w:rFonts w:ascii="Arial" w:hAnsi="Arial" w:cs="Arial"/>
        </w:rPr>
      </w:pPr>
      <w:r w:rsidRPr="004273C5">
        <w:rPr>
          <w:rFonts w:ascii="Arial" w:hAnsi="Arial" w:cs="Arial"/>
        </w:rPr>
        <w:t>Spain and Canada achieved exceptionally high vaccination coverage once supply chains stabilised.</w:t>
      </w:r>
    </w:p>
    <w:p w14:paraId="3615C1DE" w14:textId="77777777" w:rsidR="00BF1C23" w:rsidRPr="004273C5" w:rsidRDefault="00BF1C23" w:rsidP="004273C5">
      <w:pPr>
        <w:pStyle w:val="ListParagraph"/>
        <w:numPr>
          <w:ilvl w:val="0"/>
          <w:numId w:val="16"/>
        </w:numPr>
        <w:rPr>
          <w:rFonts w:ascii="Arial" w:hAnsi="Arial" w:cs="Arial"/>
        </w:rPr>
      </w:pPr>
      <w:r w:rsidRPr="004273C5">
        <w:rPr>
          <w:rFonts w:ascii="Arial" w:hAnsi="Arial" w:cs="Arial"/>
        </w:rPr>
        <w:lastRenderedPageBreak/>
        <w:t>South Korea vaccinated rapidly once deliveries began but initially lagged due to global competition for supply.</w:t>
      </w:r>
    </w:p>
    <w:p w14:paraId="66532495" w14:textId="77777777" w:rsidR="00BF1C23" w:rsidRPr="00AD59C4" w:rsidRDefault="00BF1C23" w:rsidP="00BF1C23">
      <w:pPr>
        <w:rPr>
          <w:rFonts w:ascii="Arial" w:hAnsi="Arial" w:cs="Arial"/>
        </w:rPr>
      </w:pPr>
      <w:r w:rsidRPr="00AD59C4">
        <w:rPr>
          <w:rFonts w:ascii="Arial" w:hAnsi="Arial" w:cs="Arial"/>
        </w:rPr>
        <w:t>Governance Flexibility</w:t>
      </w:r>
    </w:p>
    <w:p w14:paraId="4A2E3775" w14:textId="77777777" w:rsidR="00BF1C23" w:rsidRPr="004273C5" w:rsidRDefault="00BF1C23" w:rsidP="004273C5">
      <w:pPr>
        <w:pStyle w:val="ListParagraph"/>
        <w:numPr>
          <w:ilvl w:val="0"/>
          <w:numId w:val="17"/>
        </w:numPr>
        <w:rPr>
          <w:rFonts w:ascii="Arial" w:hAnsi="Arial" w:cs="Arial"/>
        </w:rPr>
      </w:pPr>
      <w:r w:rsidRPr="004273C5">
        <w:rPr>
          <w:rFonts w:ascii="Arial" w:hAnsi="Arial" w:cs="Arial"/>
        </w:rPr>
        <w:t>South Korea’s centralisation allowed unified messaging and enforcement.</w:t>
      </w:r>
    </w:p>
    <w:p w14:paraId="5C157BD7" w14:textId="77777777" w:rsidR="00BF1C23" w:rsidRPr="004273C5" w:rsidRDefault="00BF1C23" w:rsidP="004273C5">
      <w:pPr>
        <w:pStyle w:val="ListParagraph"/>
        <w:numPr>
          <w:ilvl w:val="0"/>
          <w:numId w:val="17"/>
        </w:numPr>
        <w:rPr>
          <w:rFonts w:ascii="Arial" w:hAnsi="Arial" w:cs="Arial"/>
        </w:rPr>
      </w:pPr>
      <w:r w:rsidRPr="004273C5">
        <w:rPr>
          <w:rFonts w:ascii="Arial" w:hAnsi="Arial" w:cs="Arial"/>
        </w:rPr>
        <w:t>Canada’s decentralisation offered local flexibility but led to policy inconsistency.</w:t>
      </w:r>
    </w:p>
    <w:p w14:paraId="55872AE6" w14:textId="1A58235B" w:rsidR="00793627" w:rsidRPr="004273C5" w:rsidRDefault="00BF1C23" w:rsidP="004273C5">
      <w:pPr>
        <w:pStyle w:val="ListParagraph"/>
        <w:numPr>
          <w:ilvl w:val="0"/>
          <w:numId w:val="17"/>
        </w:numPr>
        <w:rPr>
          <w:rFonts w:ascii="Arial" w:hAnsi="Arial" w:cs="Arial"/>
        </w:rPr>
      </w:pPr>
      <w:r w:rsidRPr="004273C5">
        <w:rPr>
          <w:rFonts w:ascii="Arial" w:hAnsi="Arial" w:cs="Arial"/>
        </w:rPr>
        <w:t>Spain’s hybrid model struggled with coordination until emergency powers re-centralised authority.</w:t>
      </w:r>
    </w:p>
    <w:p w14:paraId="4667A468" w14:textId="1C6096B6" w:rsidR="00077611" w:rsidRPr="00AD59C4" w:rsidRDefault="00077611" w:rsidP="00077611">
      <w:pPr>
        <w:rPr>
          <w:rFonts w:ascii="Arial" w:hAnsi="Arial" w:cs="Arial"/>
        </w:rPr>
      </w:pPr>
    </w:p>
    <w:p w14:paraId="3313598B" w14:textId="6CFC0117" w:rsidR="0014025F" w:rsidRPr="004273C5" w:rsidRDefault="002F5C44">
      <w:pPr>
        <w:pStyle w:val="Heading2"/>
        <w:rPr>
          <w:rFonts w:ascii="Arial" w:hAnsi="Arial" w:cs="Arial"/>
          <w:color w:val="000000" w:themeColor="text1"/>
          <w:sz w:val="22"/>
          <w:szCs w:val="22"/>
        </w:rPr>
      </w:pPr>
      <w:r>
        <w:rPr>
          <w:noProof/>
        </w:rPr>
        <w:drawing>
          <wp:anchor distT="0" distB="0" distL="114300" distR="114300" simplePos="0" relativeHeight="251647488" behindDoc="0" locked="0" layoutInCell="1" allowOverlap="1" wp14:anchorId="4ACDFA14" wp14:editId="3402B16F">
            <wp:simplePos x="0" y="0"/>
            <wp:positionH relativeFrom="margin">
              <wp:posOffset>2552700</wp:posOffset>
            </wp:positionH>
            <wp:positionV relativeFrom="paragraph">
              <wp:posOffset>5080</wp:posOffset>
            </wp:positionV>
            <wp:extent cx="327660" cy="327660"/>
            <wp:effectExtent l="0" t="0" r="0" b="0"/>
            <wp:wrapNone/>
            <wp:docPr id="12843550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7660" cy="327660"/>
                    </a:xfrm>
                    <a:prstGeom prst="rect">
                      <a:avLst/>
                    </a:prstGeom>
                    <a:noFill/>
                  </pic:spPr>
                </pic:pic>
              </a:graphicData>
            </a:graphic>
            <wp14:sizeRelH relativeFrom="margin">
              <wp14:pctWidth>0</wp14:pctWidth>
            </wp14:sizeRelH>
            <wp14:sizeRelV relativeFrom="margin">
              <wp14:pctHeight>0</wp14:pctHeight>
            </wp14:sizeRelV>
          </wp:anchor>
        </w:drawing>
      </w:r>
      <w:r w:rsidR="00DD3332" w:rsidRPr="004273C5">
        <w:rPr>
          <w:rFonts w:ascii="Arial" w:hAnsi="Arial" w:cs="Arial"/>
          <w:color w:val="000000" w:themeColor="text1"/>
          <w:sz w:val="22"/>
          <w:szCs w:val="22"/>
        </w:rPr>
        <w:t>3. Comparative Leadership Analysis</w:t>
      </w:r>
    </w:p>
    <w:p w14:paraId="1F0DDD26" w14:textId="7A4CBD02" w:rsidR="004273C5" w:rsidRPr="004273C5" w:rsidRDefault="004273C5" w:rsidP="004273C5"/>
    <w:p w14:paraId="17758DD9" w14:textId="6F8D23AB" w:rsidR="0057229D" w:rsidRPr="00AD59C4" w:rsidRDefault="0057229D" w:rsidP="0057229D">
      <w:pPr>
        <w:rPr>
          <w:rFonts w:ascii="Arial" w:hAnsi="Arial" w:cs="Arial"/>
        </w:rPr>
      </w:pPr>
      <w:r w:rsidRPr="00AD59C4">
        <w:rPr>
          <w:rFonts w:ascii="Arial" w:hAnsi="Arial" w:cs="Arial"/>
        </w:rPr>
        <w:t xml:space="preserve">3.1 Salvador Illa (Spain) </w:t>
      </w:r>
    </w:p>
    <w:p w14:paraId="19C1A3C9" w14:textId="77777777" w:rsidR="0057229D" w:rsidRPr="00AD59C4" w:rsidRDefault="0057229D" w:rsidP="0057229D">
      <w:pPr>
        <w:rPr>
          <w:rFonts w:ascii="Arial" w:hAnsi="Arial" w:cs="Arial"/>
        </w:rPr>
      </w:pPr>
      <w:r w:rsidRPr="00AD59C4">
        <w:rPr>
          <w:rFonts w:ascii="Arial" w:hAnsi="Arial" w:cs="Arial"/>
        </w:rPr>
        <w:t>Salvador Illa, Spain’s Minister of Health during the most critical phase of the pandemic (Jan 2020–Jan 2021), entered the crisis without a medical or public health background, which shaped both public perception and policymaking challenges (FEPS, 2023). His leadership was characterised by transactional decision-making, following established administrative procedures rather than adopting innovative or anticipatory crisis strategies.</w:t>
      </w:r>
    </w:p>
    <w:p w14:paraId="2267C5B9" w14:textId="77777777" w:rsidR="0057229D" w:rsidRPr="00AD59C4" w:rsidRDefault="0057229D" w:rsidP="0057229D">
      <w:pPr>
        <w:rPr>
          <w:rFonts w:ascii="Arial" w:hAnsi="Arial" w:cs="Arial"/>
        </w:rPr>
      </w:pPr>
      <w:r w:rsidRPr="00AD59C4">
        <w:rPr>
          <w:rFonts w:ascii="Arial" w:hAnsi="Arial" w:cs="Arial"/>
        </w:rPr>
        <w:t>During early 2020, Illa repeatedly reassured the public that Spain was well-prepared, despite warnings from scientific advisors and rising case counts across Europe (La Moncloa, 2020). This reflected a reactive leadership style, in which actions were largely taken after epidemiological data had escalated, rather than proactively in anticipation of community transmission.</w:t>
      </w:r>
    </w:p>
    <w:p w14:paraId="14A36A6C" w14:textId="77777777" w:rsidR="0057229D" w:rsidRPr="00AD59C4" w:rsidRDefault="0057229D" w:rsidP="0057229D">
      <w:pPr>
        <w:rPr>
          <w:rFonts w:ascii="Arial" w:hAnsi="Arial" w:cs="Arial"/>
        </w:rPr>
      </w:pPr>
      <w:r w:rsidRPr="00AD59C4">
        <w:rPr>
          <w:rFonts w:ascii="Arial" w:hAnsi="Arial" w:cs="Arial"/>
        </w:rPr>
        <w:t>A major limitation of Illa’s leadership was the strained relationship between national and regional governments. Spain’s Autonomous Communities hold significant authority over healthcare operations, which led to inconsistent implementation of restrictions and heterogeneous epidemiological responses (Kölling et al., 2024). For example:</w:t>
      </w:r>
    </w:p>
    <w:p w14:paraId="2CBFCE6F" w14:textId="77777777" w:rsidR="0057229D" w:rsidRPr="00AD59C4" w:rsidRDefault="0057229D" w:rsidP="0057229D">
      <w:pPr>
        <w:rPr>
          <w:rFonts w:ascii="Arial" w:hAnsi="Arial" w:cs="Arial"/>
        </w:rPr>
      </w:pPr>
      <w:r w:rsidRPr="00AD59C4">
        <w:rPr>
          <w:rFonts w:ascii="Arial" w:hAnsi="Arial" w:cs="Arial"/>
        </w:rPr>
        <w:t>Madrid resisted early closures and criticised national mandates.</w:t>
      </w:r>
    </w:p>
    <w:p w14:paraId="418A2D57" w14:textId="77777777" w:rsidR="0057229D" w:rsidRPr="00AD59C4" w:rsidRDefault="0057229D" w:rsidP="0057229D">
      <w:pPr>
        <w:rPr>
          <w:rFonts w:ascii="Arial" w:hAnsi="Arial" w:cs="Arial"/>
        </w:rPr>
      </w:pPr>
      <w:r w:rsidRPr="00AD59C4">
        <w:rPr>
          <w:rFonts w:ascii="Arial" w:hAnsi="Arial" w:cs="Arial"/>
        </w:rPr>
        <w:t>Catalonia implemented stricter measures but struggled with hospital overload.</w:t>
      </w:r>
    </w:p>
    <w:p w14:paraId="46DB6C78" w14:textId="77777777" w:rsidR="0057229D" w:rsidRPr="00AD59C4" w:rsidRDefault="0057229D" w:rsidP="0057229D">
      <w:pPr>
        <w:rPr>
          <w:rFonts w:ascii="Arial" w:hAnsi="Arial" w:cs="Arial"/>
        </w:rPr>
      </w:pPr>
      <w:r w:rsidRPr="00AD59C4">
        <w:rPr>
          <w:rFonts w:ascii="Arial" w:hAnsi="Arial" w:cs="Arial"/>
        </w:rPr>
        <w:t>The lack of unified response hampered early containment and contributed to Spain becoming one of the hardest-hit European countries during the first wave (Reyes-Santias et al., 2024).</w:t>
      </w:r>
    </w:p>
    <w:p w14:paraId="3FE9AA5D" w14:textId="77777777" w:rsidR="0057229D" w:rsidRPr="00AD59C4" w:rsidRDefault="0057229D" w:rsidP="0057229D">
      <w:pPr>
        <w:rPr>
          <w:rFonts w:ascii="Arial" w:hAnsi="Arial" w:cs="Arial"/>
        </w:rPr>
      </w:pPr>
      <w:r w:rsidRPr="00AD59C4">
        <w:rPr>
          <w:rFonts w:ascii="Arial" w:hAnsi="Arial" w:cs="Arial"/>
        </w:rPr>
        <w:t xml:space="preserve">However, Illa’s leadership improved significantly during the vaccination phase. Under EU-coordinated procurement and renewed national–regional cooperation, Spain achieved one of the highest vaccination rates in Europe by late 2021 (Martínez-Baz et al., 2024). Illa communicated more transparently, held more frequent public briefings, </w:t>
      </w:r>
      <w:r w:rsidRPr="00AD59C4">
        <w:rPr>
          <w:rFonts w:ascii="Arial" w:hAnsi="Arial" w:cs="Arial"/>
        </w:rPr>
        <w:lastRenderedPageBreak/>
        <w:t>and demonstrated situational leadership—adapting his approach to emphasise consensus-building and collaborative planning (Wuryani et al., 2021).</w:t>
      </w:r>
    </w:p>
    <w:p w14:paraId="023992F9" w14:textId="77777777" w:rsidR="0057229D" w:rsidRPr="00AD59C4" w:rsidRDefault="0057229D" w:rsidP="0057229D">
      <w:pPr>
        <w:rPr>
          <w:rFonts w:ascii="Arial" w:hAnsi="Arial" w:cs="Arial"/>
        </w:rPr>
      </w:pPr>
    </w:p>
    <w:p w14:paraId="698196C7" w14:textId="1684BB06" w:rsidR="0057229D" w:rsidRPr="00AD59C4" w:rsidRDefault="0057229D" w:rsidP="0057229D">
      <w:pPr>
        <w:rPr>
          <w:rFonts w:ascii="Arial" w:hAnsi="Arial" w:cs="Arial"/>
        </w:rPr>
      </w:pPr>
      <w:r w:rsidRPr="00AD59C4">
        <w:rPr>
          <w:rFonts w:ascii="Arial" w:hAnsi="Arial" w:cs="Arial"/>
        </w:rPr>
        <w:t>Overall, Illa’s leadership trajectory illustrates how bureaucratic rigidity and decentralised governance can hinder early crisis response, but also how adaptive leadership can restore public trust and improve health outcomes.</w:t>
      </w:r>
    </w:p>
    <w:p w14:paraId="2B825165" w14:textId="77777777" w:rsidR="0057229D" w:rsidRPr="00AD59C4" w:rsidRDefault="0057229D" w:rsidP="0057229D">
      <w:pPr>
        <w:rPr>
          <w:rFonts w:ascii="Arial" w:hAnsi="Arial" w:cs="Arial"/>
        </w:rPr>
      </w:pPr>
    </w:p>
    <w:p w14:paraId="41796842" w14:textId="59EABC3F" w:rsidR="0057229D" w:rsidRDefault="00050B60" w:rsidP="0057229D">
      <w:pPr>
        <w:rPr>
          <w:rFonts w:ascii="Arial" w:hAnsi="Arial" w:cs="Arial"/>
        </w:rPr>
      </w:pPr>
      <w:r>
        <w:rPr>
          <w:noProof/>
        </w:rPr>
        <w:drawing>
          <wp:anchor distT="0" distB="0" distL="114300" distR="114300" simplePos="0" relativeHeight="251658752" behindDoc="0" locked="0" layoutInCell="1" allowOverlap="1" wp14:anchorId="0320F8D6" wp14:editId="5AFBC676">
            <wp:simplePos x="0" y="0"/>
            <wp:positionH relativeFrom="column">
              <wp:posOffset>1226820</wp:posOffset>
            </wp:positionH>
            <wp:positionV relativeFrom="paragraph">
              <wp:posOffset>317500</wp:posOffset>
            </wp:positionV>
            <wp:extent cx="3002280" cy="2251710"/>
            <wp:effectExtent l="0" t="0" r="7620" b="0"/>
            <wp:wrapTopAndBottom/>
            <wp:docPr id="236945416" name="Picture 11" descr="A diagram of a diagram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945416" name="Picture 11" descr="A diagram of a diagram of peopl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02280" cy="2251710"/>
                    </a:xfrm>
                    <a:prstGeom prst="rect">
                      <a:avLst/>
                    </a:prstGeom>
                    <a:noFill/>
                    <a:ln>
                      <a:noFill/>
                    </a:ln>
                  </pic:spPr>
                </pic:pic>
              </a:graphicData>
            </a:graphic>
          </wp:anchor>
        </w:drawing>
      </w:r>
      <w:r w:rsidR="0057229D" w:rsidRPr="00AD59C4">
        <w:rPr>
          <w:rFonts w:ascii="Arial" w:hAnsi="Arial" w:cs="Arial"/>
        </w:rPr>
        <w:t xml:space="preserve">3.2 Chung Sye-kyun (South Korea) </w:t>
      </w:r>
    </w:p>
    <w:p w14:paraId="2534093E" w14:textId="7C6259D4" w:rsidR="00932BA9" w:rsidRPr="00EB006E" w:rsidRDefault="00493971" w:rsidP="00EB006E">
      <w:pPr>
        <w:jc w:val="center"/>
        <w:rPr>
          <w:rFonts w:ascii="Arial" w:hAnsi="Arial" w:cs="Arial"/>
          <w:b/>
          <w:bCs/>
          <w:u w:val="single"/>
        </w:rPr>
      </w:pPr>
      <w:r w:rsidRPr="00EB006E">
        <w:rPr>
          <w:rFonts w:ascii="Arial" w:hAnsi="Arial" w:cs="Arial"/>
          <w:b/>
          <w:bCs/>
          <w:u w:val="single"/>
        </w:rPr>
        <w:t>F</w:t>
      </w:r>
      <w:r w:rsidR="000C3291" w:rsidRPr="00EB006E">
        <w:rPr>
          <w:rFonts w:ascii="Arial" w:hAnsi="Arial" w:cs="Arial"/>
          <w:b/>
          <w:bCs/>
          <w:u w:val="single"/>
        </w:rPr>
        <w:t>igur</w:t>
      </w:r>
      <w:r w:rsidRPr="00EB006E">
        <w:rPr>
          <w:rFonts w:ascii="Arial" w:hAnsi="Arial" w:cs="Arial"/>
          <w:b/>
          <w:bCs/>
          <w:u w:val="single"/>
        </w:rPr>
        <w:t xml:space="preserve">e 5. </w:t>
      </w:r>
      <w:r w:rsidR="001A5BF9" w:rsidRPr="00EB006E">
        <w:rPr>
          <w:rFonts w:ascii="Arial" w:hAnsi="Arial" w:cs="Arial"/>
          <w:b/>
          <w:bCs/>
          <w:u w:val="single"/>
        </w:rPr>
        <w:t>Transformational leadership</w:t>
      </w:r>
    </w:p>
    <w:p w14:paraId="4D891C5A" w14:textId="349BC0ED" w:rsidR="001A5BF9" w:rsidRPr="00EB006E" w:rsidRDefault="00AB51AB" w:rsidP="00EB006E">
      <w:pPr>
        <w:jc w:val="center"/>
        <w:rPr>
          <w:rFonts w:ascii="Arial" w:hAnsi="Arial" w:cs="Arial"/>
          <w:b/>
          <w:bCs/>
          <w:u w:val="single"/>
        </w:rPr>
      </w:pPr>
      <w:r w:rsidRPr="00EB006E">
        <w:rPr>
          <w:rFonts w:ascii="Arial" w:hAnsi="Arial" w:cs="Arial"/>
          <w:b/>
          <w:bCs/>
          <w:u w:val="single"/>
        </w:rPr>
        <w:t>S</w:t>
      </w:r>
      <w:r w:rsidR="001A5BF9" w:rsidRPr="00EB006E">
        <w:rPr>
          <w:rFonts w:ascii="Arial" w:hAnsi="Arial" w:cs="Arial"/>
          <w:b/>
          <w:bCs/>
          <w:u w:val="single"/>
        </w:rPr>
        <w:t>ou</w:t>
      </w:r>
      <w:r w:rsidRPr="00EB006E">
        <w:rPr>
          <w:rFonts w:ascii="Arial" w:hAnsi="Arial" w:cs="Arial"/>
          <w:b/>
          <w:bCs/>
          <w:u w:val="single"/>
        </w:rPr>
        <w:t xml:space="preserve">rce: </w:t>
      </w:r>
      <w:r w:rsidR="008B483A" w:rsidRPr="00EB006E">
        <w:rPr>
          <w:rFonts w:ascii="Arial" w:hAnsi="Arial" w:cs="Arial"/>
          <w:b/>
          <w:bCs/>
          <w:u w:val="single"/>
        </w:rPr>
        <w:t>FactorHR, 2021</w:t>
      </w:r>
    </w:p>
    <w:p w14:paraId="72DCC883" w14:textId="77777777" w:rsidR="0057229D" w:rsidRPr="00AD59C4" w:rsidRDefault="0057229D" w:rsidP="0057229D">
      <w:pPr>
        <w:rPr>
          <w:rFonts w:ascii="Arial" w:hAnsi="Arial" w:cs="Arial"/>
        </w:rPr>
      </w:pPr>
      <w:r w:rsidRPr="00AD59C4">
        <w:rPr>
          <w:rFonts w:ascii="Arial" w:hAnsi="Arial" w:cs="Arial"/>
        </w:rPr>
        <w:t>Prime Minister Chung Sye-kyun took office in January 2020, just weeks before COVID-19 outbreaks appeared in South Korea. His leadership became internationally recognised for demonstrating transformational, servant, and collaborative governance principles (Hong, 2024).</w:t>
      </w:r>
    </w:p>
    <w:p w14:paraId="1B0537D0" w14:textId="77777777" w:rsidR="0057229D" w:rsidRPr="00AD59C4" w:rsidRDefault="0057229D" w:rsidP="0057229D">
      <w:pPr>
        <w:rPr>
          <w:rFonts w:ascii="Arial" w:hAnsi="Arial" w:cs="Arial"/>
        </w:rPr>
      </w:pPr>
    </w:p>
    <w:p w14:paraId="323AE188" w14:textId="77777777" w:rsidR="0057229D" w:rsidRPr="00AD59C4" w:rsidRDefault="0057229D" w:rsidP="0057229D">
      <w:pPr>
        <w:rPr>
          <w:rFonts w:ascii="Arial" w:hAnsi="Arial" w:cs="Arial"/>
        </w:rPr>
      </w:pPr>
      <w:r w:rsidRPr="00AD59C4">
        <w:rPr>
          <w:rFonts w:ascii="Arial" w:hAnsi="Arial" w:cs="Arial"/>
        </w:rPr>
        <w:t>Chung’s approach prioritised:</w:t>
      </w:r>
    </w:p>
    <w:p w14:paraId="2BFA7DCB" w14:textId="77777777" w:rsidR="0057229D" w:rsidRPr="00C276C1" w:rsidRDefault="0057229D" w:rsidP="00C276C1">
      <w:pPr>
        <w:pStyle w:val="ListParagraph"/>
        <w:numPr>
          <w:ilvl w:val="0"/>
          <w:numId w:val="18"/>
        </w:numPr>
        <w:rPr>
          <w:rFonts w:ascii="Arial" w:hAnsi="Arial" w:cs="Arial"/>
        </w:rPr>
      </w:pPr>
      <w:r w:rsidRPr="00C276C1">
        <w:rPr>
          <w:rFonts w:ascii="Arial" w:hAnsi="Arial" w:cs="Arial"/>
        </w:rPr>
        <w:t>Transparency through daily press briefings</w:t>
      </w:r>
    </w:p>
    <w:p w14:paraId="1D2E77C4" w14:textId="77777777" w:rsidR="0057229D" w:rsidRPr="00C276C1" w:rsidRDefault="0057229D" w:rsidP="00C276C1">
      <w:pPr>
        <w:pStyle w:val="ListParagraph"/>
        <w:numPr>
          <w:ilvl w:val="0"/>
          <w:numId w:val="18"/>
        </w:numPr>
        <w:rPr>
          <w:rFonts w:ascii="Arial" w:hAnsi="Arial" w:cs="Arial"/>
        </w:rPr>
      </w:pPr>
      <w:r w:rsidRPr="00C276C1">
        <w:rPr>
          <w:rFonts w:ascii="Arial" w:hAnsi="Arial" w:cs="Arial"/>
        </w:rPr>
        <w:t>Emotional reassurance and public empathy</w:t>
      </w:r>
    </w:p>
    <w:p w14:paraId="380782AB" w14:textId="77777777" w:rsidR="0057229D" w:rsidRPr="00C276C1" w:rsidRDefault="0057229D" w:rsidP="00C276C1">
      <w:pPr>
        <w:pStyle w:val="ListParagraph"/>
        <w:numPr>
          <w:ilvl w:val="0"/>
          <w:numId w:val="18"/>
        </w:numPr>
        <w:rPr>
          <w:rFonts w:ascii="Arial" w:hAnsi="Arial" w:cs="Arial"/>
        </w:rPr>
      </w:pPr>
      <w:r w:rsidRPr="00C276C1">
        <w:rPr>
          <w:rFonts w:ascii="Arial" w:hAnsi="Arial" w:cs="Arial"/>
        </w:rPr>
        <w:t>Rapid mobilisation of experts, including epidemiologists, data scientists and private sector leaders</w:t>
      </w:r>
    </w:p>
    <w:p w14:paraId="34CA187F" w14:textId="77777777" w:rsidR="0057229D" w:rsidRPr="00C276C1" w:rsidRDefault="0057229D" w:rsidP="00C276C1">
      <w:pPr>
        <w:pStyle w:val="ListParagraph"/>
        <w:numPr>
          <w:ilvl w:val="0"/>
          <w:numId w:val="18"/>
        </w:numPr>
        <w:rPr>
          <w:rFonts w:ascii="Arial" w:hAnsi="Arial" w:cs="Arial"/>
        </w:rPr>
      </w:pPr>
      <w:r w:rsidRPr="00C276C1">
        <w:rPr>
          <w:rFonts w:ascii="Arial" w:hAnsi="Arial" w:cs="Arial"/>
        </w:rPr>
        <w:t>Whole-of-government cooperation with MOHW, KDCA, Ministry of Education, and local governments</w:t>
      </w:r>
    </w:p>
    <w:p w14:paraId="481A9B19" w14:textId="77777777" w:rsidR="0057229D" w:rsidRPr="00AD59C4" w:rsidRDefault="0057229D" w:rsidP="0057229D">
      <w:pPr>
        <w:rPr>
          <w:rFonts w:ascii="Arial" w:hAnsi="Arial" w:cs="Arial"/>
        </w:rPr>
      </w:pPr>
    </w:p>
    <w:p w14:paraId="59844086" w14:textId="2F2F9AC8" w:rsidR="0057229D" w:rsidRPr="00AD59C4" w:rsidRDefault="0057229D" w:rsidP="0057229D">
      <w:pPr>
        <w:rPr>
          <w:rFonts w:ascii="Arial" w:hAnsi="Arial" w:cs="Arial"/>
        </w:rPr>
      </w:pPr>
      <w:r w:rsidRPr="00AD59C4">
        <w:rPr>
          <w:rFonts w:ascii="Arial" w:hAnsi="Arial" w:cs="Arial"/>
        </w:rPr>
        <w:lastRenderedPageBreak/>
        <w:t>This reflects transformational leadership, where leaders inspire trust, empower institutions, and articulate a strong shared purpose (Bakker et al., 2023).</w:t>
      </w:r>
    </w:p>
    <w:p w14:paraId="41AC3856" w14:textId="09220722" w:rsidR="0057229D" w:rsidRPr="00AD59C4" w:rsidRDefault="0057229D" w:rsidP="0057229D">
      <w:pPr>
        <w:rPr>
          <w:rFonts w:ascii="Arial" w:hAnsi="Arial" w:cs="Arial"/>
        </w:rPr>
      </w:pPr>
      <w:r w:rsidRPr="00AD59C4">
        <w:rPr>
          <w:rFonts w:ascii="Arial" w:hAnsi="Arial" w:cs="Arial"/>
        </w:rPr>
        <w:t>During the Daegu cluster outbreak in February 2020, Chung led the Central Disaster and Safety Countermeasures Headquarters, coordinating across ministries and local health authorities. He empowered the KDCA to expand mass testing capacity rapidly, enabling South Korea to conduct thousands of tests daily before most Western countries had significant testing availability (Kang et al., 2020).</w:t>
      </w:r>
    </w:p>
    <w:p w14:paraId="40A073FA" w14:textId="77777777" w:rsidR="0057229D" w:rsidRPr="00AD59C4" w:rsidRDefault="0057229D" w:rsidP="0057229D">
      <w:pPr>
        <w:rPr>
          <w:rFonts w:ascii="Arial" w:hAnsi="Arial" w:cs="Arial"/>
        </w:rPr>
      </w:pPr>
      <w:r w:rsidRPr="00AD59C4">
        <w:rPr>
          <w:rFonts w:ascii="Arial" w:hAnsi="Arial" w:cs="Arial"/>
        </w:rPr>
        <w:t>Chung also practised servant leadership, prioritising societal welfare and moral responsibility. He frequently emphasised solidarity, asking citizens to make collective sacrifices to protect vulnerable populations. Public trust remained high, and surveys reported approval ratings above 80% for the government’s pandemic strategy (Lim &amp; Sohn, 2022).</w:t>
      </w:r>
    </w:p>
    <w:p w14:paraId="740C019E" w14:textId="6208CBBA" w:rsidR="0057229D" w:rsidRPr="00AD59C4" w:rsidRDefault="0057229D" w:rsidP="0057229D">
      <w:pPr>
        <w:rPr>
          <w:rFonts w:ascii="Arial" w:hAnsi="Arial" w:cs="Arial"/>
        </w:rPr>
      </w:pPr>
      <w:r w:rsidRPr="00AD59C4">
        <w:rPr>
          <w:rFonts w:ascii="Arial" w:hAnsi="Arial" w:cs="Arial"/>
        </w:rPr>
        <w:t>Key characteristics of his leadership include:</w:t>
      </w:r>
    </w:p>
    <w:p w14:paraId="1E26F78C" w14:textId="77777777" w:rsidR="0057229D" w:rsidRPr="00EF49A3" w:rsidRDefault="0057229D" w:rsidP="00EF49A3">
      <w:pPr>
        <w:pStyle w:val="ListParagraph"/>
        <w:numPr>
          <w:ilvl w:val="0"/>
          <w:numId w:val="19"/>
        </w:numPr>
        <w:rPr>
          <w:rFonts w:ascii="Arial" w:hAnsi="Arial" w:cs="Arial"/>
        </w:rPr>
      </w:pPr>
      <w:r w:rsidRPr="00EF49A3">
        <w:rPr>
          <w:rFonts w:ascii="Arial" w:hAnsi="Arial" w:cs="Arial"/>
        </w:rPr>
        <w:t>Evidence-based decision-making</w:t>
      </w:r>
    </w:p>
    <w:p w14:paraId="2FA13F7A" w14:textId="77777777" w:rsidR="0057229D" w:rsidRPr="00EF49A3" w:rsidRDefault="0057229D" w:rsidP="00EF49A3">
      <w:pPr>
        <w:pStyle w:val="ListParagraph"/>
        <w:numPr>
          <w:ilvl w:val="0"/>
          <w:numId w:val="19"/>
        </w:numPr>
        <w:rPr>
          <w:rFonts w:ascii="Arial" w:hAnsi="Arial" w:cs="Arial"/>
        </w:rPr>
      </w:pPr>
      <w:r w:rsidRPr="00EF49A3">
        <w:rPr>
          <w:rFonts w:ascii="Arial" w:hAnsi="Arial" w:cs="Arial"/>
        </w:rPr>
        <w:t>Early adoption of digital contact tracing technologies</w:t>
      </w:r>
    </w:p>
    <w:p w14:paraId="044A0191" w14:textId="77777777" w:rsidR="0057229D" w:rsidRPr="00EF49A3" w:rsidRDefault="0057229D" w:rsidP="00EF49A3">
      <w:pPr>
        <w:pStyle w:val="ListParagraph"/>
        <w:numPr>
          <w:ilvl w:val="0"/>
          <w:numId w:val="19"/>
        </w:numPr>
        <w:rPr>
          <w:rFonts w:ascii="Arial" w:hAnsi="Arial" w:cs="Arial"/>
        </w:rPr>
      </w:pPr>
      <w:r w:rsidRPr="00EF49A3">
        <w:rPr>
          <w:rFonts w:ascii="Arial" w:hAnsi="Arial" w:cs="Arial"/>
        </w:rPr>
        <w:t>Effective coordination with biotech firms to produce domestic testing kits</w:t>
      </w:r>
    </w:p>
    <w:p w14:paraId="505664A5" w14:textId="77777777" w:rsidR="0057229D" w:rsidRPr="00EF49A3" w:rsidRDefault="0057229D" w:rsidP="00EF49A3">
      <w:pPr>
        <w:pStyle w:val="ListParagraph"/>
        <w:numPr>
          <w:ilvl w:val="0"/>
          <w:numId w:val="19"/>
        </w:numPr>
        <w:rPr>
          <w:rFonts w:ascii="Arial" w:hAnsi="Arial" w:cs="Arial"/>
        </w:rPr>
      </w:pPr>
      <w:r w:rsidRPr="00EF49A3">
        <w:rPr>
          <w:rFonts w:ascii="Arial" w:hAnsi="Arial" w:cs="Arial"/>
        </w:rPr>
        <w:t>Avoidance of nationwide lockdowns through swift containment</w:t>
      </w:r>
    </w:p>
    <w:p w14:paraId="7879A622" w14:textId="5716EF73" w:rsidR="0057229D" w:rsidRPr="00AD59C4" w:rsidRDefault="0057229D" w:rsidP="0057229D">
      <w:pPr>
        <w:rPr>
          <w:rFonts w:ascii="Arial" w:hAnsi="Arial" w:cs="Arial"/>
        </w:rPr>
      </w:pPr>
      <w:r w:rsidRPr="00AD59C4">
        <w:rPr>
          <w:rFonts w:ascii="Arial" w:hAnsi="Arial" w:cs="Arial"/>
        </w:rPr>
        <w:t>Chung’s leadership is widely viewed as a benchmark of institutionally supported, ethically grounded crisis management.</w:t>
      </w:r>
    </w:p>
    <w:p w14:paraId="6DE7717E" w14:textId="77777777" w:rsidR="0057229D" w:rsidRPr="00AD59C4" w:rsidRDefault="0057229D" w:rsidP="0057229D">
      <w:pPr>
        <w:rPr>
          <w:rFonts w:ascii="Arial" w:hAnsi="Arial" w:cs="Arial"/>
        </w:rPr>
      </w:pPr>
    </w:p>
    <w:p w14:paraId="62F9D473" w14:textId="39B92F26" w:rsidR="0057229D" w:rsidRPr="00AD59C4" w:rsidRDefault="0057229D" w:rsidP="0057229D">
      <w:pPr>
        <w:rPr>
          <w:rFonts w:ascii="Arial" w:hAnsi="Arial" w:cs="Arial"/>
        </w:rPr>
      </w:pPr>
      <w:r w:rsidRPr="00AD59C4">
        <w:rPr>
          <w:rFonts w:ascii="Arial" w:hAnsi="Arial" w:cs="Arial"/>
        </w:rPr>
        <w:t xml:space="preserve">3.3 Justin Trudeau (Canada) </w:t>
      </w:r>
    </w:p>
    <w:p w14:paraId="42AA33BD" w14:textId="77777777" w:rsidR="0057229D" w:rsidRPr="00AD59C4" w:rsidRDefault="0057229D" w:rsidP="0057229D">
      <w:pPr>
        <w:rPr>
          <w:rFonts w:ascii="Arial" w:hAnsi="Arial" w:cs="Arial"/>
        </w:rPr>
      </w:pPr>
      <w:r w:rsidRPr="00AD59C4">
        <w:rPr>
          <w:rFonts w:ascii="Arial" w:hAnsi="Arial" w:cs="Arial"/>
        </w:rPr>
        <w:t>As Prime Minister of a highly decentralised federation, Justin Trudeau operated within structural constraints that limited federal authority over healthcare. His leadership style during COVID-19 strongly reflected situational leadership, as he adapted messaging and policy interventions to evolving scientific guidance, public morale, and provincial actions (Manyuchi &amp; Sukdeo, 2021).</w:t>
      </w:r>
    </w:p>
    <w:p w14:paraId="22A97E61" w14:textId="77777777" w:rsidR="0057229D" w:rsidRDefault="0057229D" w:rsidP="0057229D">
      <w:pPr>
        <w:rPr>
          <w:rFonts w:ascii="Arial" w:hAnsi="Arial" w:cs="Arial"/>
        </w:rPr>
      </w:pPr>
      <w:r w:rsidRPr="00AD59C4">
        <w:rPr>
          <w:rFonts w:ascii="Arial" w:hAnsi="Arial" w:cs="Arial"/>
        </w:rPr>
        <w:t>Trudeau positioned himself as a communicative and empathetic leader, conducting daily televised briefings that reassured Canadians and conveyed consistent messages such as “We’re all in this together” (PM Canada, 2022). This helped maintain high public trust during a period of uncertainty.</w:t>
      </w:r>
    </w:p>
    <w:p w14:paraId="177B5E39" w14:textId="0CE4335F" w:rsidR="00A11827" w:rsidRDefault="002A701B" w:rsidP="0057229D">
      <w:pPr>
        <w:rPr>
          <w:rFonts w:ascii="Arial" w:hAnsi="Arial" w:cs="Arial"/>
        </w:rPr>
      </w:pPr>
      <w:r>
        <w:rPr>
          <w:noProof/>
        </w:rPr>
        <w:lastRenderedPageBreak/>
        <w:drawing>
          <wp:anchor distT="0" distB="0" distL="114300" distR="114300" simplePos="0" relativeHeight="251667968" behindDoc="0" locked="0" layoutInCell="1" allowOverlap="1" wp14:anchorId="15E26C1A" wp14:editId="79A50354">
            <wp:simplePos x="0" y="0"/>
            <wp:positionH relativeFrom="column">
              <wp:posOffset>1173480</wp:posOffset>
            </wp:positionH>
            <wp:positionV relativeFrom="paragraph">
              <wp:posOffset>0</wp:posOffset>
            </wp:positionV>
            <wp:extent cx="3063240" cy="2828179"/>
            <wp:effectExtent l="0" t="0" r="3810" b="0"/>
            <wp:wrapTopAndBottom/>
            <wp:docPr id="1148437106" name="Picture 12" descr="A diagram of a leadership sty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437106" name="Picture 12" descr="A diagram of a leadership style&#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63240" cy="2828179"/>
                    </a:xfrm>
                    <a:prstGeom prst="rect">
                      <a:avLst/>
                    </a:prstGeom>
                    <a:noFill/>
                    <a:ln>
                      <a:noFill/>
                    </a:ln>
                  </pic:spPr>
                </pic:pic>
              </a:graphicData>
            </a:graphic>
          </wp:anchor>
        </w:drawing>
      </w:r>
    </w:p>
    <w:p w14:paraId="104F3121" w14:textId="057DEE0A" w:rsidR="00895B65" w:rsidRPr="00034617" w:rsidRDefault="009F16AC" w:rsidP="00034617">
      <w:pPr>
        <w:jc w:val="center"/>
        <w:rPr>
          <w:rFonts w:ascii="Arial" w:hAnsi="Arial" w:cs="Arial"/>
          <w:b/>
          <w:bCs/>
          <w:u w:val="single"/>
        </w:rPr>
      </w:pPr>
      <w:r w:rsidRPr="00034617">
        <w:rPr>
          <w:rFonts w:ascii="Arial" w:hAnsi="Arial" w:cs="Arial"/>
          <w:b/>
          <w:bCs/>
          <w:u w:val="single"/>
        </w:rPr>
        <w:t>Figure 6: Situational leadership theory</w:t>
      </w:r>
    </w:p>
    <w:p w14:paraId="47AEEF60" w14:textId="6AE84B4F" w:rsidR="001F1DF8" w:rsidRPr="00034617" w:rsidRDefault="001F1DF8" w:rsidP="00034617">
      <w:pPr>
        <w:jc w:val="center"/>
        <w:rPr>
          <w:rFonts w:ascii="Arial" w:hAnsi="Arial" w:cs="Arial"/>
          <w:b/>
          <w:bCs/>
          <w:u w:val="single"/>
        </w:rPr>
      </w:pPr>
      <w:r w:rsidRPr="00034617">
        <w:rPr>
          <w:rFonts w:ascii="Arial" w:hAnsi="Arial" w:cs="Arial"/>
          <w:b/>
          <w:bCs/>
          <w:u w:val="single"/>
        </w:rPr>
        <w:t>S</w:t>
      </w:r>
      <w:r w:rsidR="00C532E2" w:rsidRPr="00034617">
        <w:rPr>
          <w:rFonts w:ascii="Arial" w:hAnsi="Arial" w:cs="Arial"/>
          <w:b/>
          <w:bCs/>
          <w:u w:val="single"/>
        </w:rPr>
        <w:t xml:space="preserve">ource: </w:t>
      </w:r>
      <w:r w:rsidR="00320541" w:rsidRPr="00320541">
        <w:rPr>
          <w:rFonts w:ascii="Arial" w:hAnsi="Arial" w:cs="Arial"/>
          <w:b/>
          <w:bCs/>
          <w:u w:val="single"/>
        </w:rPr>
        <w:t>The Centre for Leadership Studies, 2024</w:t>
      </w:r>
    </w:p>
    <w:p w14:paraId="5DFD0AE3" w14:textId="77777777" w:rsidR="0057229D" w:rsidRPr="00AD59C4" w:rsidRDefault="0057229D" w:rsidP="0057229D">
      <w:pPr>
        <w:rPr>
          <w:rFonts w:ascii="Arial" w:hAnsi="Arial" w:cs="Arial"/>
        </w:rPr>
      </w:pPr>
      <w:r w:rsidRPr="00AD59C4">
        <w:rPr>
          <w:rFonts w:ascii="Arial" w:hAnsi="Arial" w:cs="Arial"/>
        </w:rPr>
        <w:t>Although the federal government does not directly control provincial health systems, Trudeau played a crucial role in:</w:t>
      </w:r>
    </w:p>
    <w:p w14:paraId="0460E826" w14:textId="77777777" w:rsidR="0057229D" w:rsidRPr="00BA4176" w:rsidRDefault="0057229D" w:rsidP="00BA4176">
      <w:pPr>
        <w:pStyle w:val="ListParagraph"/>
        <w:numPr>
          <w:ilvl w:val="0"/>
          <w:numId w:val="20"/>
        </w:numPr>
        <w:rPr>
          <w:rFonts w:ascii="Arial" w:hAnsi="Arial" w:cs="Arial"/>
        </w:rPr>
      </w:pPr>
      <w:r w:rsidRPr="00BA4176">
        <w:rPr>
          <w:rFonts w:ascii="Arial" w:hAnsi="Arial" w:cs="Arial"/>
        </w:rPr>
        <w:t>Implementing border closures and travel restrictions</w:t>
      </w:r>
    </w:p>
    <w:p w14:paraId="3C4855AD" w14:textId="77777777" w:rsidR="0057229D" w:rsidRPr="00BA4176" w:rsidRDefault="0057229D" w:rsidP="00BA4176">
      <w:pPr>
        <w:pStyle w:val="ListParagraph"/>
        <w:numPr>
          <w:ilvl w:val="0"/>
          <w:numId w:val="20"/>
        </w:numPr>
        <w:rPr>
          <w:rFonts w:ascii="Arial" w:hAnsi="Arial" w:cs="Arial"/>
        </w:rPr>
      </w:pPr>
      <w:r w:rsidRPr="00BA4176">
        <w:rPr>
          <w:rFonts w:ascii="Arial" w:hAnsi="Arial" w:cs="Arial"/>
        </w:rPr>
        <w:t>Deploying federal military assistance to long-term care facilities in Quebec and Ontario</w:t>
      </w:r>
    </w:p>
    <w:p w14:paraId="61BF4A81" w14:textId="77777777" w:rsidR="0057229D" w:rsidRPr="00BA4176" w:rsidRDefault="0057229D" w:rsidP="00BA4176">
      <w:pPr>
        <w:pStyle w:val="ListParagraph"/>
        <w:numPr>
          <w:ilvl w:val="0"/>
          <w:numId w:val="20"/>
        </w:numPr>
        <w:rPr>
          <w:rFonts w:ascii="Arial" w:hAnsi="Arial" w:cs="Arial"/>
        </w:rPr>
      </w:pPr>
      <w:r w:rsidRPr="00BA4176">
        <w:rPr>
          <w:rFonts w:ascii="Arial" w:hAnsi="Arial" w:cs="Arial"/>
        </w:rPr>
        <w:t>Financing the Canada Emergency Response Benefit (CERB) and wage subsidies</w:t>
      </w:r>
    </w:p>
    <w:p w14:paraId="7AC28512" w14:textId="77777777" w:rsidR="00BA4176" w:rsidRPr="00BA4176" w:rsidRDefault="0057229D" w:rsidP="00BA4176">
      <w:pPr>
        <w:pStyle w:val="ListParagraph"/>
        <w:numPr>
          <w:ilvl w:val="0"/>
          <w:numId w:val="20"/>
        </w:numPr>
        <w:rPr>
          <w:rFonts w:ascii="Arial" w:hAnsi="Arial" w:cs="Arial"/>
        </w:rPr>
      </w:pPr>
      <w:r w:rsidRPr="00BA4176">
        <w:rPr>
          <w:rFonts w:ascii="Arial" w:hAnsi="Arial" w:cs="Arial"/>
        </w:rPr>
        <w:t>Negotiating vaccine procurement agreements with Pfizer, Moderna, and other manufacturers</w:t>
      </w:r>
    </w:p>
    <w:p w14:paraId="1ED820D9" w14:textId="1DFC7FE0" w:rsidR="0057229D" w:rsidRPr="00BA4176" w:rsidRDefault="0057229D" w:rsidP="00BA4176">
      <w:pPr>
        <w:pStyle w:val="ListParagraph"/>
        <w:numPr>
          <w:ilvl w:val="0"/>
          <w:numId w:val="20"/>
        </w:numPr>
        <w:rPr>
          <w:rFonts w:ascii="Arial" w:hAnsi="Arial" w:cs="Arial"/>
        </w:rPr>
      </w:pPr>
      <w:r w:rsidRPr="00BA4176">
        <w:rPr>
          <w:rFonts w:ascii="Arial" w:hAnsi="Arial" w:cs="Arial"/>
        </w:rPr>
        <w:t>Funding rapid test distribution and public health capacity</w:t>
      </w:r>
    </w:p>
    <w:p w14:paraId="6470F65A" w14:textId="77777777" w:rsidR="0057229D" w:rsidRPr="00AD59C4" w:rsidRDefault="0057229D" w:rsidP="0057229D">
      <w:pPr>
        <w:rPr>
          <w:rFonts w:ascii="Arial" w:hAnsi="Arial" w:cs="Arial"/>
        </w:rPr>
      </w:pPr>
    </w:p>
    <w:p w14:paraId="2C5D940F" w14:textId="77777777" w:rsidR="0057229D" w:rsidRPr="00AD59C4" w:rsidRDefault="0057229D" w:rsidP="0057229D">
      <w:pPr>
        <w:rPr>
          <w:rFonts w:ascii="Arial" w:hAnsi="Arial" w:cs="Arial"/>
        </w:rPr>
      </w:pPr>
      <w:r w:rsidRPr="00AD59C4">
        <w:rPr>
          <w:rFonts w:ascii="Arial" w:hAnsi="Arial" w:cs="Arial"/>
        </w:rPr>
        <w:t>However, Trudeau faced criticism during early 2021 for Canada's slow vaccine deployment relative to the US and UK—a result of limited domestic vaccine manufacturing and global supply competition (Cecco, 2021). His policy response involved diversifying procurement sources and investing in new domestic production capacity, demonstrating adaptive leadership.</w:t>
      </w:r>
    </w:p>
    <w:p w14:paraId="02CE0B2A" w14:textId="77777777" w:rsidR="0057229D" w:rsidRPr="00AD59C4" w:rsidRDefault="0057229D" w:rsidP="0057229D">
      <w:pPr>
        <w:rPr>
          <w:rFonts w:ascii="Arial" w:hAnsi="Arial" w:cs="Arial"/>
        </w:rPr>
      </w:pPr>
      <w:r w:rsidRPr="00AD59C4">
        <w:rPr>
          <w:rFonts w:ascii="Arial" w:hAnsi="Arial" w:cs="Arial"/>
        </w:rPr>
        <w:t>Trudeau also practised distributed leadership, engaging provincial premiers, Indigenous leaders, and scientific advisors to achieve policy coherence. Over time, this collaborative approach contributed to Canada achieving one of the highest vaccination rates globally, surpassing many G7 nations by late 2021 (Statistics Canada, 2022).</w:t>
      </w:r>
    </w:p>
    <w:p w14:paraId="4B2455E6" w14:textId="77777777" w:rsidR="0057229D" w:rsidRPr="00AD59C4" w:rsidRDefault="0057229D" w:rsidP="0057229D">
      <w:pPr>
        <w:rPr>
          <w:rFonts w:ascii="Arial" w:hAnsi="Arial" w:cs="Arial"/>
        </w:rPr>
      </w:pPr>
      <w:r w:rsidRPr="00AD59C4">
        <w:rPr>
          <w:rFonts w:ascii="Arial" w:hAnsi="Arial" w:cs="Arial"/>
        </w:rPr>
        <w:lastRenderedPageBreak/>
        <w:t>Overall, Trudeau’s leadership exemplifies how communication, empathy, and coalition-building can compensate for structural limitations in federal systems.</w:t>
      </w:r>
    </w:p>
    <w:p w14:paraId="701999F3" w14:textId="72EB9C82" w:rsidR="0057229D" w:rsidRPr="00AD59C4" w:rsidRDefault="0057229D" w:rsidP="0057229D">
      <w:pPr>
        <w:rPr>
          <w:rFonts w:ascii="Arial" w:hAnsi="Arial" w:cs="Arial"/>
        </w:rPr>
      </w:pPr>
    </w:p>
    <w:p w14:paraId="2133EA47" w14:textId="243AC3B1" w:rsidR="0057229D" w:rsidRPr="00AD59C4" w:rsidRDefault="0057229D" w:rsidP="0057229D">
      <w:pPr>
        <w:rPr>
          <w:rFonts w:ascii="Arial" w:hAnsi="Arial" w:cs="Arial"/>
        </w:rPr>
      </w:pPr>
      <w:r w:rsidRPr="00AD59C4">
        <w:rPr>
          <w:rFonts w:ascii="Arial" w:hAnsi="Arial" w:cs="Arial"/>
        </w:rPr>
        <w:t xml:space="preserve">3.4 Cross-Jurisdictional Leadership Comparison </w:t>
      </w:r>
    </w:p>
    <w:p w14:paraId="6733E463" w14:textId="77777777" w:rsidR="0057229D" w:rsidRPr="00AD59C4" w:rsidRDefault="0057229D" w:rsidP="0057229D">
      <w:pPr>
        <w:rPr>
          <w:rFonts w:ascii="Arial" w:hAnsi="Arial" w:cs="Arial"/>
        </w:rPr>
      </w:pPr>
      <w:r w:rsidRPr="00AD59C4">
        <w:rPr>
          <w:rFonts w:ascii="Arial" w:hAnsi="Arial" w:cs="Arial"/>
        </w:rPr>
        <w:t>The leadership approaches of Illa, Chung, and Trudeau demonstrate how political structures and leadership styles influence crisis management outcomes.</w:t>
      </w:r>
    </w:p>
    <w:p w14:paraId="4CCDA79E" w14:textId="77777777" w:rsidR="0057229D" w:rsidRPr="00AD59C4" w:rsidRDefault="0057229D" w:rsidP="0057229D">
      <w:pPr>
        <w:rPr>
          <w:rFonts w:ascii="Arial" w:hAnsi="Arial" w:cs="Arial"/>
        </w:rPr>
      </w:pPr>
    </w:p>
    <w:p w14:paraId="21CEB06C" w14:textId="77777777" w:rsidR="00C8296F" w:rsidRDefault="00C8296F" w:rsidP="0057229D">
      <w:pPr>
        <w:rPr>
          <w:rFonts w:ascii="Arial" w:hAnsi="Arial" w:cs="Arial"/>
        </w:rPr>
      </w:pPr>
    </w:p>
    <w:p w14:paraId="08A449B2" w14:textId="77E18596" w:rsidR="0057229D" w:rsidRPr="00AD59C4" w:rsidRDefault="0057229D" w:rsidP="0057229D">
      <w:pPr>
        <w:rPr>
          <w:rFonts w:ascii="Arial" w:hAnsi="Arial" w:cs="Arial"/>
        </w:rPr>
      </w:pPr>
      <w:r w:rsidRPr="00AD59C4">
        <w:rPr>
          <w:rFonts w:ascii="Arial" w:hAnsi="Arial" w:cs="Arial"/>
        </w:rPr>
        <w:t>Proactivity and Responsiveness</w:t>
      </w:r>
    </w:p>
    <w:p w14:paraId="58717F8B" w14:textId="77777777" w:rsidR="0057229D" w:rsidRPr="00D50CD2" w:rsidRDefault="0057229D" w:rsidP="00D50CD2">
      <w:pPr>
        <w:pStyle w:val="ListParagraph"/>
        <w:numPr>
          <w:ilvl w:val="0"/>
          <w:numId w:val="21"/>
        </w:numPr>
        <w:rPr>
          <w:rFonts w:ascii="Arial" w:hAnsi="Arial" w:cs="Arial"/>
        </w:rPr>
      </w:pPr>
      <w:r w:rsidRPr="00D50CD2">
        <w:rPr>
          <w:rFonts w:ascii="Arial" w:hAnsi="Arial" w:cs="Arial"/>
        </w:rPr>
        <w:t>Chung acted proactively with immediate nationwide coordination and rapid deployment of testing infrastructure.</w:t>
      </w:r>
    </w:p>
    <w:p w14:paraId="775F2FFE" w14:textId="77777777" w:rsidR="0057229D" w:rsidRPr="00D50CD2" w:rsidRDefault="0057229D" w:rsidP="00D50CD2">
      <w:pPr>
        <w:pStyle w:val="ListParagraph"/>
        <w:numPr>
          <w:ilvl w:val="0"/>
          <w:numId w:val="21"/>
        </w:numPr>
        <w:rPr>
          <w:rFonts w:ascii="Arial" w:hAnsi="Arial" w:cs="Arial"/>
        </w:rPr>
      </w:pPr>
      <w:r w:rsidRPr="00D50CD2">
        <w:rPr>
          <w:rFonts w:ascii="Arial" w:hAnsi="Arial" w:cs="Arial"/>
        </w:rPr>
        <w:t>Illa responded reactively, constrained by bureaucratic inertia and decentralised governance.</w:t>
      </w:r>
    </w:p>
    <w:p w14:paraId="1EBD70A0" w14:textId="7C5A8821" w:rsidR="0057229D" w:rsidRPr="00D50CD2" w:rsidRDefault="0057229D" w:rsidP="00D50CD2">
      <w:pPr>
        <w:pStyle w:val="ListParagraph"/>
        <w:numPr>
          <w:ilvl w:val="0"/>
          <w:numId w:val="21"/>
        </w:numPr>
        <w:rPr>
          <w:rFonts w:ascii="Arial" w:hAnsi="Arial" w:cs="Arial"/>
        </w:rPr>
      </w:pPr>
      <w:r w:rsidRPr="00D50CD2">
        <w:rPr>
          <w:rFonts w:ascii="Arial" w:hAnsi="Arial" w:cs="Arial"/>
        </w:rPr>
        <w:t xml:space="preserve">Trudeau fell between the two—responding promptly in communication and economic </w:t>
      </w:r>
      <w:r w:rsidR="00D50CD2" w:rsidRPr="00D50CD2">
        <w:rPr>
          <w:rFonts w:ascii="Arial" w:hAnsi="Arial" w:cs="Arial"/>
        </w:rPr>
        <w:t>measures yet</w:t>
      </w:r>
      <w:r w:rsidRPr="00D50CD2">
        <w:rPr>
          <w:rFonts w:ascii="Arial" w:hAnsi="Arial" w:cs="Arial"/>
        </w:rPr>
        <w:t xml:space="preserve"> limited in health enforcement.</w:t>
      </w:r>
    </w:p>
    <w:p w14:paraId="2A876578" w14:textId="77777777" w:rsidR="0057229D" w:rsidRPr="00AD59C4" w:rsidRDefault="0057229D" w:rsidP="0057229D">
      <w:pPr>
        <w:rPr>
          <w:rFonts w:ascii="Arial" w:hAnsi="Arial" w:cs="Arial"/>
        </w:rPr>
      </w:pPr>
      <w:r w:rsidRPr="00AD59C4">
        <w:rPr>
          <w:rFonts w:ascii="Arial" w:hAnsi="Arial" w:cs="Arial"/>
        </w:rPr>
        <w:t>Use of Evidence and Expert Guidance</w:t>
      </w:r>
    </w:p>
    <w:p w14:paraId="3B83BC61" w14:textId="77777777" w:rsidR="0057229D" w:rsidRPr="00D50CD2" w:rsidRDefault="0057229D" w:rsidP="00D50CD2">
      <w:pPr>
        <w:pStyle w:val="ListParagraph"/>
        <w:numPr>
          <w:ilvl w:val="0"/>
          <w:numId w:val="22"/>
        </w:numPr>
        <w:rPr>
          <w:rFonts w:ascii="Arial" w:hAnsi="Arial" w:cs="Arial"/>
        </w:rPr>
      </w:pPr>
      <w:r w:rsidRPr="00D50CD2">
        <w:rPr>
          <w:rFonts w:ascii="Arial" w:hAnsi="Arial" w:cs="Arial"/>
        </w:rPr>
        <w:t>Chung relied heavily on public health experts and scientific modelling.</w:t>
      </w:r>
    </w:p>
    <w:p w14:paraId="445FAA67" w14:textId="77777777" w:rsidR="0057229D" w:rsidRPr="00D50CD2" w:rsidRDefault="0057229D" w:rsidP="00D50CD2">
      <w:pPr>
        <w:pStyle w:val="ListParagraph"/>
        <w:numPr>
          <w:ilvl w:val="0"/>
          <w:numId w:val="22"/>
        </w:numPr>
        <w:rPr>
          <w:rFonts w:ascii="Arial" w:hAnsi="Arial" w:cs="Arial"/>
        </w:rPr>
      </w:pPr>
      <w:r w:rsidRPr="00D50CD2">
        <w:rPr>
          <w:rFonts w:ascii="Arial" w:hAnsi="Arial" w:cs="Arial"/>
        </w:rPr>
        <w:t>Trudeau engaged scientific advisors but had to negotiate with provinces for implementation.</w:t>
      </w:r>
    </w:p>
    <w:p w14:paraId="4EE29CDA" w14:textId="77777777" w:rsidR="0057229D" w:rsidRPr="00D50CD2" w:rsidRDefault="0057229D" w:rsidP="00D50CD2">
      <w:pPr>
        <w:pStyle w:val="ListParagraph"/>
        <w:numPr>
          <w:ilvl w:val="0"/>
          <w:numId w:val="22"/>
        </w:numPr>
        <w:rPr>
          <w:rFonts w:ascii="Arial" w:hAnsi="Arial" w:cs="Arial"/>
        </w:rPr>
      </w:pPr>
      <w:r w:rsidRPr="00D50CD2">
        <w:rPr>
          <w:rFonts w:ascii="Arial" w:hAnsi="Arial" w:cs="Arial"/>
        </w:rPr>
        <w:t>Illa consulted experts but political tensions and administrative delays limited early application.</w:t>
      </w:r>
    </w:p>
    <w:p w14:paraId="7A28D979" w14:textId="77777777" w:rsidR="0057229D" w:rsidRPr="00AD59C4" w:rsidRDefault="0057229D" w:rsidP="0057229D">
      <w:pPr>
        <w:rPr>
          <w:rFonts w:ascii="Arial" w:hAnsi="Arial" w:cs="Arial"/>
        </w:rPr>
      </w:pPr>
      <w:r w:rsidRPr="00AD59C4">
        <w:rPr>
          <w:rFonts w:ascii="Arial" w:hAnsi="Arial" w:cs="Arial"/>
        </w:rPr>
        <w:t>Communication and Public Trust</w:t>
      </w:r>
    </w:p>
    <w:p w14:paraId="0C9EDE1D" w14:textId="77777777" w:rsidR="0057229D" w:rsidRPr="00087ED0" w:rsidRDefault="0057229D" w:rsidP="00087ED0">
      <w:pPr>
        <w:pStyle w:val="ListParagraph"/>
        <w:numPr>
          <w:ilvl w:val="0"/>
          <w:numId w:val="23"/>
        </w:numPr>
        <w:rPr>
          <w:rFonts w:ascii="Arial" w:hAnsi="Arial" w:cs="Arial"/>
        </w:rPr>
      </w:pPr>
      <w:r w:rsidRPr="00087ED0">
        <w:rPr>
          <w:rFonts w:ascii="Arial" w:hAnsi="Arial" w:cs="Arial"/>
        </w:rPr>
        <w:t>Chung used transparent, real-time communication, increasing public compliance.</w:t>
      </w:r>
    </w:p>
    <w:p w14:paraId="4F01B3BB" w14:textId="77777777" w:rsidR="0057229D" w:rsidRPr="00087ED0" w:rsidRDefault="0057229D" w:rsidP="00087ED0">
      <w:pPr>
        <w:pStyle w:val="ListParagraph"/>
        <w:numPr>
          <w:ilvl w:val="0"/>
          <w:numId w:val="23"/>
        </w:numPr>
        <w:rPr>
          <w:rFonts w:ascii="Arial" w:hAnsi="Arial" w:cs="Arial"/>
        </w:rPr>
      </w:pPr>
      <w:r w:rsidRPr="00087ED0">
        <w:rPr>
          <w:rFonts w:ascii="Arial" w:hAnsi="Arial" w:cs="Arial"/>
        </w:rPr>
        <w:t>Trudeau used empathetic, supportive messaging that reinforced national solidarity.</w:t>
      </w:r>
    </w:p>
    <w:p w14:paraId="1D782933" w14:textId="38731858" w:rsidR="00645E5E" w:rsidRPr="00984B78" w:rsidRDefault="0057229D" w:rsidP="0057229D">
      <w:pPr>
        <w:pStyle w:val="ListParagraph"/>
        <w:numPr>
          <w:ilvl w:val="0"/>
          <w:numId w:val="23"/>
        </w:numPr>
        <w:rPr>
          <w:rFonts w:ascii="Arial" w:hAnsi="Arial" w:cs="Arial"/>
        </w:rPr>
      </w:pPr>
      <w:r w:rsidRPr="00087ED0">
        <w:rPr>
          <w:rFonts w:ascii="Arial" w:hAnsi="Arial" w:cs="Arial"/>
        </w:rPr>
        <w:t>Illa’s early communication underestimated risk, harming trust, though it improved later during vaccination.</w:t>
      </w:r>
    </w:p>
    <w:p w14:paraId="278B57F3" w14:textId="77777777" w:rsidR="00C8296F" w:rsidRDefault="00C8296F" w:rsidP="0057229D">
      <w:pPr>
        <w:rPr>
          <w:rFonts w:ascii="Arial" w:hAnsi="Arial" w:cs="Arial"/>
        </w:rPr>
      </w:pPr>
    </w:p>
    <w:p w14:paraId="5749BAD2" w14:textId="1B36FCC2" w:rsidR="0057229D" w:rsidRPr="00AD59C4" w:rsidRDefault="0057229D" w:rsidP="0057229D">
      <w:pPr>
        <w:rPr>
          <w:rFonts w:ascii="Arial" w:hAnsi="Arial" w:cs="Arial"/>
        </w:rPr>
      </w:pPr>
      <w:r w:rsidRPr="00AD59C4">
        <w:rPr>
          <w:rFonts w:ascii="Arial" w:hAnsi="Arial" w:cs="Arial"/>
        </w:rPr>
        <w:t>Effectiveness in Achieving Outcomes</w:t>
      </w:r>
    </w:p>
    <w:p w14:paraId="4B2ADC0F" w14:textId="77777777" w:rsidR="0057229D" w:rsidRPr="00AD59C4" w:rsidRDefault="0057229D" w:rsidP="0057229D">
      <w:pPr>
        <w:rPr>
          <w:rFonts w:ascii="Arial" w:hAnsi="Arial" w:cs="Arial"/>
        </w:rPr>
      </w:pPr>
      <w:r w:rsidRPr="00A513CB">
        <w:rPr>
          <w:rFonts w:ascii="Arial" w:hAnsi="Arial" w:cs="Arial"/>
          <w:b/>
          <w:bCs/>
        </w:rPr>
        <w:t>South Korea</w:t>
      </w:r>
      <w:r w:rsidRPr="00AD59C4">
        <w:rPr>
          <w:rFonts w:ascii="Arial" w:hAnsi="Arial" w:cs="Arial"/>
        </w:rPr>
        <w:t xml:space="preserve"> achieved the lowest mortality and avoided nationwide lockdowns.</w:t>
      </w:r>
    </w:p>
    <w:p w14:paraId="784BD159" w14:textId="77777777" w:rsidR="0057229D" w:rsidRPr="00AD59C4" w:rsidRDefault="0057229D" w:rsidP="0057229D">
      <w:pPr>
        <w:rPr>
          <w:rFonts w:ascii="Arial" w:hAnsi="Arial" w:cs="Arial"/>
        </w:rPr>
      </w:pPr>
      <w:r w:rsidRPr="00A513CB">
        <w:rPr>
          <w:rFonts w:ascii="Arial" w:hAnsi="Arial" w:cs="Arial"/>
          <w:b/>
          <w:bCs/>
        </w:rPr>
        <w:t>Spain</w:t>
      </w:r>
      <w:r w:rsidRPr="00AD59C4">
        <w:rPr>
          <w:rFonts w:ascii="Arial" w:hAnsi="Arial" w:cs="Arial"/>
        </w:rPr>
        <w:t xml:space="preserve"> experienced high mortality early but later excelled in vaccination.</w:t>
      </w:r>
    </w:p>
    <w:p w14:paraId="36E080D0" w14:textId="77777777" w:rsidR="0057229D" w:rsidRPr="00AD59C4" w:rsidRDefault="0057229D" w:rsidP="0057229D">
      <w:pPr>
        <w:rPr>
          <w:rFonts w:ascii="Arial" w:hAnsi="Arial" w:cs="Arial"/>
        </w:rPr>
      </w:pPr>
      <w:r w:rsidRPr="00A513CB">
        <w:rPr>
          <w:rFonts w:ascii="Arial" w:hAnsi="Arial" w:cs="Arial"/>
          <w:b/>
          <w:bCs/>
        </w:rPr>
        <w:t>Canada</w:t>
      </w:r>
      <w:r w:rsidRPr="00AD59C4">
        <w:rPr>
          <w:rFonts w:ascii="Arial" w:hAnsi="Arial" w:cs="Arial"/>
        </w:rPr>
        <w:t xml:space="preserve"> saw high LTC mortality but later achieved strong national vaccination coverage.</w:t>
      </w:r>
    </w:p>
    <w:p w14:paraId="2C64D6B1" w14:textId="52B611B7" w:rsidR="0014025F" w:rsidRPr="00AD59C4" w:rsidRDefault="0014025F" w:rsidP="00920E62">
      <w:pPr>
        <w:pStyle w:val="Heading3"/>
        <w:rPr>
          <w:rFonts w:ascii="Arial" w:hAnsi="Arial" w:cs="Arial"/>
        </w:rPr>
      </w:pPr>
    </w:p>
    <w:p w14:paraId="338D0EA2" w14:textId="5F0E1EDD" w:rsidR="0014025F" w:rsidRPr="0052764E" w:rsidRDefault="00763722">
      <w:pPr>
        <w:pStyle w:val="Heading2"/>
        <w:rPr>
          <w:rFonts w:ascii="Arial" w:hAnsi="Arial" w:cs="Arial"/>
          <w:color w:val="000000" w:themeColor="text1"/>
          <w:sz w:val="22"/>
          <w:szCs w:val="22"/>
        </w:rPr>
      </w:pPr>
      <w:r>
        <w:rPr>
          <w:noProof/>
          <w:color w:val="000000" w:themeColor="text1"/>
        </w:rPr>
        <w:drawing>
          <wp:anchor distT="0" distB="0" distL="114300" distR="114300" simplePos="0" relativeHeight="251648512" behindDoc="0" locked="0" layoutInCell="1" allowOverlap="1" wp14:anchorId="3A4FAB23" wp14:editId="056F38BF">
            <wp:simplePos x="0" y="0"/>
            <wp:positionH relativeFrom="column">
              <wp:posOffset>1432560</wp:posOffset>
            </wp:positionH>
            <wp:positionV relativeFrom="paragraph">
              <wp:posOffset>140335</wp:posOffset>
            </wp:positionV>
            <wp:extent cx="320040" cy="320040"/>
            <wp:effectExtent l="0" t="0" r="0" b="3810"/>
            <wp:wrapNone/>
            <wp:docPr id="918900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040" cy="320040"/>
                    </a:xfrm>
                    <a:prstGeom prst="rect">
                      <a:avLst/>
                    </a:prstGeom>
                    <a:noFill/>
                  </pic:spPr>
                </pic:pic>
              </a:graphicData>
            </a:graphic>
            <wp14:sizeRelH relativeFrom="margin">
              <wp14:pctWidth>0</wp14:pctWidth>
            </wp14:sizeRelH>
            <wp14:sizeRelV relativeFrom="margin">
              <wp14:pctHeight>0</wp14:pctHeight>
            </wp14:sizeRelV>
          </wp:anchor>
        </w:drawing>
      </w:r>
      <w:r w:rsidR="00DD3332" w:rsidRPr="0052764E">
        <w:rPr>
          <w:rFonts w:ascii="Arial" w:hAnsi="Arial" w:cs="Arial"/>
          <w:color w:val="000000" w:themeColor="text1"/>
          <w:sz w:val="22"/>
          <w:szCs w:val="22"/>
        </w:rPr>
        <w:t>4. Crisis Governance</w:t>
      </w:r>
    </w:p>
    <w:p w14:paraId="13A357E6" w14:textId="327C64F7" w:rsidR="0052764E" w:rsidRPr="0052764E" w:rsidRDefault="0052764E" w:rsidP="0052764E">
      <w:pPr>
        <w:rPr>
          <w:color w:val="000000" w:themeColor="text1"/>
        </w:rPr>
      </w:pPr>
    </w:p>
    <w:p w14:paraId="489B6C99" w14:textId="1FCBAC89" w:rsidR="00DF746D" w:rsidRPr="00AD59C4" w:rsidRDefault="00DF746D" w:rsidP="00DF746D">
      <w:pPr>
        <w:rPr>
          <w:rFonts w:ascii="Arial" w:hAnsi="Arial" w:cs="Arial"/>
        </w:rPr>
      </w:pPr>
      <w:r w:rsidRPr="00AD59C4">
        <w:rPr>
          <w:rFonts w:ascii="Arial" w:hAnsi="Arial" w:cs="Arial"/>
        </w:rPr>
        <w:t xml:space="preserve">4.1 Theoretical Context </w:t>
      </w:r>
    </w:p>
    <w:p w14:paraId="190B9332" w14:textId="77777777" w:rsidR="00DF746D" w:rsidRPr="00AD59C4" w:rsidRDefault="00DF746D" w:rsidP="00DF746D">
      <w:pPr>
        <w:rPr>
          <w:rFonts w:ascii="Arial" w:hAnsi="Arial" w:cs="Arial"/>
        </w:rPr>
      </w:pPr>
      <w:r w:rsidRPr="00AD59C4">
        <w:rPr>
          <w:rFonts w:ascii="Arial" w:hAnsi="Arial" w:cs="Arial"/>
        </w:rPr>
        <w:t>Crisis governance refers to the structures, processes, and decision-making mechanisms through which governments manage large-scale emergencies such as pandemics. COVID-19 highlighted the importance of institutional resilience, coordination capacity, and leadership flexibility across different governance models.</w:t>
      </w:r>
    </w:p>
    <w:p w14:paraId="6C1AB1BD" w14:textId="77777777" w:rsidR="00DF746D" w:rsidRPr="00AD59C4" w:rsidRDefault="00DF746D" w:rsidP="00DF746D">
      <w:pPr>
        <w:rPr>
          <w:rFonts w:ascii="Arial" w:hAnsi="Arial" w:cs="Arial"/>
        </w:rPr>
      </w:pPr>
    </w:p>
    <w:p w14:paraId="1CC620B5" w14:textId="77777777" w:rsidR="00C8296F" w:rsidRDefault="00C8296F" w:rsidP="00DF746D">
      <w:pPr>
        <w:rPr>
          <w:rFonts w:ascii="Arial" w:hAnsi="Arial" w:cs="Arial"/>
        </w:rPr>
      </w:pPr>
    </w:p>
    <w:p w14:paraId="572191ED" w14:textId="5B14295D" w:rsidR="00DF746D" w:rsidRPr="00AD59C4" w:rsidRDefault="00B11F0A" w:rsidP="00DF746D">
      <w:pPr>
        <w:rPr>
          <w:rFonts w:ascii="Arial" w:hAnsi="Arial" w:cs="Arial"/>
        </w:rPr>
      </w:pPr>
      <w:r>
        <w:rPr>
          <w:noProof/>
        </w:rPr>
        <w:drawing>
          <wp:anchor distT="0" distB="0" distL="114300" distR="114300" simplePos="0" relativeHeight="251659776" behindDoc="0" locked="0" layoutInCell="1" allowOverlap="1" wp14:anchorId="72762A20" wp14:editId="30ED48DD">
            <wp:simplePos x="0" y="0"/>
            <wp:positionH relativeFrom="column">
              <wp:posOffset>1179830</wp:posOffset>
            </wp:positionH>
            <wp:positionV relativeFrom="paragraph">
              <wp:posOffset>313055</wp:posOffset>
            </wp:positionV>
            <wp:extent cx="3431540" cy="2011680"/>
            <wp:effectExtent l="0" t="0" r="0" b="7620"/>
            <wp:wrapTopAndBottom/>
            <wp:docPr id="175099090" name="Picture 13" descr="A diagram of 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99090" name="Picture 13" descr="A diagram of a diagram of a system&#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31540" cy="2011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746D" w:rsidRPr="00AD59C4">
        <w:rPr>
          <w:rFonts w:ascii="Arial" w:hAnsi="Arial" w:cs="Arial"/>
        </w:rPr>
        <w:t>Centralisation vs Decentralisation</w:t>
      </w:r>
    </w:p>
    <w:p w14:paraId="637431F9" w14:textId="77777777" w:rsidR="00CA39CC" w:rsidRDefault="00CA39CC" w:rsidP="00CA39CC">
      <w:pPr>
        <w:jc w:val="center"/>
        <w:rPr>
          <w:rFonts w:ascii="Arial" w:hAnsi="Arial" w:cs="Arial"/>
          <w:u w:val="single"/>
        </w:rPr>
      </w:pPr>
    </w:p>
    <w:p w14:paraId="0A860D21" w14:textId="75309294" w:rsidR="00645E5E" w:rsidRPr="00CA39CC" w:rsidRDefault="0076738C" w:rsidP="00CA39CC">
      <w:pPr>
        <w:jc w:val="center"/>
        <w:rPr>
          <w:rFonts w:ascii="Arial" w:hAnsi="Arial" w:cs="Arial"/>
          <w:u w:val="single"/>
        </w:rPr>
      </w:pPr>
      <w:r w:rsidRPr="00CA39CC">
        <w:rPr>
          <w:rFonts w:ascii="Arial" w:hAnsi="Arial" w:cs="Arial"/>
          <w:u w:val="single"/>
        </w:rPr>
        <w:t>F</w:t>
      </w:r>
      <w:r w:rsidR="0074177D" w:rsidRPr="00CA39CC">
        <w:rPr>
          <w:rFonts w:ascii="Arial" w:hAnsi="Arial" w:cs="Arial"/>
          <w:u w:val="single"/>
        </w:rPr>
        <w:t>igure</w:t>
      </w:r>
      <w:r w:rsidRPr="00CA39CC">
        <w:rPr>
          <w:rFonts w:ascii="Arial" w:hAnsi="Arial" w:cs="Arial"/>
          <w:u w:val="single"/>
        </w:rPr>
        <w:t>:7 Centralised &amp; Decentralised Governance</w:t>
      </w:r>
    </w:p>
    <w:p w14:paraId="006F9504" w14:textId="0F6A1EE9" w:rsidR="0076738C" w:rsidRPr="00CA39CC" w:rsidRDefault="00DB7BE1" w:rsidP="00CA39CC">
      <w:pPr>
        <w:jc w:val="center"/>
        <w:rPr>
          <w:rFonts w:ascii="Arial" w:hAnsi="Arial" w:cs="Arial"/>
          <w:u w:val="single"/>
        </w:rPr>
      </w:pPr>
      <w:r w:rsidRPr="00CA39CC">
        <w:rPr>
          <w:rFonts w:ascii="Arial" w:hAnsi="Arial" w:cs="Arial"/>
          <w:u w:val="single"/>
        </w:rPr>
        <w:t>S</w:t>
      </w:r>
      <w:r w:rsidR="0076738C" w:rsidRPr="00CA39CC">
        <w:rPr>
          <w:rFonts w:ascii="Arial" w:hAnsi="Arial" w:cs="Arial"/>
          <w:u w:val="single"/>
        </w:rPr>
        <w:t>ource</w:t>
      </w:r>
      <w:r w:rsidRPr="00CA39CC">
        <w:rPr>
          <w:rFonts w:ascii="Arial" w:hAnsi="Arial" w:cs="Arial"/>
          <w:u w:val="single"/>
        </w:rPr>
        <w:t>: researchgate</w:t>
      </w:r>
      <w:r w:rsidR="00CA39CC" w:rsidRPr="00CA39CC">
        <w:rPr>
          <w:rFonts w:ascii="Arial" w:hAnsi="Arial" w:cs="Arial"/>
          <w:u w:val="single"/>
        </w:rPr>
        <w:t>,2025</w:t>
      </w:r>
    </w:p>
    <w:p w14:paraId="09FE2A9B" w14:textId="4EE0360A" w:rsidR="00DF746D" w:rsidRPr="00AD59C4" w:rsidRDefault="00DF746D" w:rsidP="00DF746D">
      <w:pPr>
        <w:rPr>
          <w:rFonts w:ascii="Arial" w:hAnsi="Arial" w:cs="Arial"/>
        </w:rPr>
      </w:pPr>
      <w:r w:rsidRPr="00983669">
        <w:rPr>
          <w:rFonts w:ascii="Arial" w:hAnsi="Arial" w:cs="Arial"/>
          <w:b/>
          <w:bCs/>
        </w:rPr>
        <w:t>Centralised governance</w:t>
      </w:r>
      <w:r w:rsidRPr="00AD59C4">
        <w:rPr>
          <w:rFonts w:ascii="Arial" w:hAnsi="Arial" w:cs="Arial"/>
        </w:rPr>
        <w:t xml:space="preserve"> concentrates authority at the national level.</w:t>
      </w:r>
    </w:p>
    <w:p w14:paraId="76B52717" w14:textId="77777777" w:rsidR="00DF746D" w:rsidRPr="00AD59C4" w:rsidRDefault="00DF746D" w:rsidP="00DF746D">
      <w:pPr>
        <w:rPr>
          <w:rFonts w:ascii="Arial" w:hAnsi="Arial" w:cs="Arial"/>
        </w:rPr>
      </w:pPr>
      <w:r w:rsidRPr="00AD59C4">
        <w:rPr>
          <w:rFonts w:ascii="Arial" w:hAnsi="Arial" w:cs="Arial"/>
        </w:rPr>
        <w:t>This model enables rapid decision-making, uniform policy implementation, and consistent public messaging. Centralisation is particularly effective when crises escalate quickly, as seen in South Korea’s rapid mobilisation of testing, tracing, and isolation. However, excessive centralisation may risk overlooking local needs and reducing transparency (Moon, 2020).</w:t>
      </w:r>
    </w:p>
    <w:p w14:paraId="7E7CBA47" w14:textId="77777777" w:rsidR="00645E5E" w:rsidRDefault="00645E5E" w:rsidP="00DF746D">
      <w:pPr>
        <w:rPr>
          <w:rFonts w:ascii="Arial" w:hAnsi="Arial" w:cs="Arial"/>
          <w:b/>
          <w:bCs/>
        </w:rPr>
      </w:pPr>
    </w:p>
    <w:p w14:paraId="6A6D7B5F" w14:textId="53B26941" w:rsidR="00DF746D" w:rsidRPr="00AD59C4" w:rsidRDefault="00DF746D" w:rsidP="00DF746D">
      <w:pPr>
        <w:rPr>
          <w:rFonts w:ascii="Arial" w:hAnsi="Arial" w:cs="Arial"/>
        </w:rPr>
      </w:pPr>
      <w:r w:rsidRPr="00983669">
        <w:rPr>
          <w:rFonts w:ascii="Arial" w:hAnsi="Arial" w:cs="Arial"/>
          <w:b/>
          <w:bCs/>
        </w:rPr>
        <w:t>Decentralised governance</w:t>
      </w:r>
      <w:r w:rsidRPr="00AD59C4">
        <w:rPr>
          <w:rFonts w:ascii="Arial" w:hAnsi="Arial" w:cs="Arial"/>
        </w:rPr>
        <w:t xml:space="preserve"> distributes authority across regional or provincial bodies.</w:t>
      </w:r>
    </w:p>
    <w:p w14:paraId="0522DB02" w14:textId="77777777" w:rsidR="00DF746D" w:rsidRPr="00AD59C4" w:rsidRDefault="00DF746D" w:rsidP="00DF746D">
      <w:pPr>
        <w:rPr>
          <w:rFonts w:ascii="Arial" w:hAnsi="Arial" w:cs="Arial"/>
        </w:rPr>
      </w:pPr>
      <w:r w:rsidRPr="00AD59C4">
        <w:rPr>
          <w:rFonts w:ascii="Arial" w:hAnsi="Arial" w:cs="Arial"/>
        </w:rPr>
        <w:t xml:space="preserve">This allows tailored interventions that reflect local epidemiological patterns, hospital capacity, and community responses (Pierre, 2020). The challenge is achieving policy </w:t>
      </w:r>
      <w:r w:rsidRPr="00AD59C4">
        <w:rPr>
          <w:rFonts w:ascii="Arial" w:hAnsi="Arial" w:cs="Arial"/>
        </w:rPr>
        <w:lastRenderedPageBreak/>
        <w:t>coherence; coordination failures can result in delayed interventions, unequal access to resources, and inconsistent restrictions across regions.</w:t>
      </w:r>
    </w:p>
    <w:p w14:paraId="1E858DFA" w14:textId="77777777" w:rsidR="008E390F" w:rsidRDefault="008E390F" w:rsidP="00DF746D">
      <w:pPr>
        <w:rPr>
          <w:rFonts w:ascii="Arial" w:hAnsi="Arial" w:cs="Arial"/>
        </w:rPr>
      </w:pPr>
    </w:p>
    <w:p w14:paraId="345DF0F5" w14:textId="743914FB" w:rsidR="00DF746D" w:rsidRPr="00AD59C4" w:rsidRDefault="00DF746D" w:rsidP="00DF746D">
      <w:pPr>
        <w:rPr>
          <w:rFonts w:ascii="Arial" w:hAnsi="Arial" w:cs="Arial"/>
        </w:rPr>
      </w:pPr>
      <w:r w:rsidRPr="00AD59C4">
        <w:rPr>
          <w:rFonts w:ascii="Arial" w:hAnsi="Arial" w:cs="Arial"/>
        </w:rPr>
        <w:t>Multi-Level Governance (MLG) Theory</w:t>
      </w:r>
    </w:p>
    <w:p w14:paraId="60184949" w14:textId="77777777" w:rsidR="00DF746D" w:rsidRPr="00AD59C4" w:rsidRDefault="00DF746D" w:rsidP="00DF746D">
      <w:pPr>
        <w:rPr>
          <w:rFonts w:ascii="Arial" w:hAnsi="Arial" w:cs="Arial"/>
        </w:rPr>
      </w:pPr>
      <w:r w:rsidRPr="00AD59C4">
        <w:rPr>
          <w:rFonts w:ascii="Arial" w:hAnsi="Arial" w:cs="Arial"/>
        </w:rPr>
        <w:t>Multi-level governance, widely used in European public administration scholarship, describes systems where policy authority is shared across national, regional, and local levels. MLG emphasises:</w:t>
      </w:r>
    </w:p>
    <w:p w14:paraId="54635A91" w14:textId="77777777" w:rsidR="00DF746D" w:rsidRPr="006A1B40" w:rsidRDefault="00DF746D" w:rsidP="006A1B40">
      <w:pPr>
        <w:pStyle w:val="ListParagraph"/>
        <w:numPr>
          <w:ilvl w:val="0"/>
          <w:numId w:val="24"/>
        </w:numPr>
        <w:rPr>
          <w:rFonts w:ascii="Arial" w:hAnsi="Arial" w:cs="Arial"/>
        </w:rPr>
      </w:pPr>
      <w:r w:rsidRPr="006A1B40">
        <w:rPr>
          <w:rFonts w:ascii="Arial" w:hAnsi="Arial" w:cs="Arial"/>
        </w:rPr>
        <w:t>vertical coordination (national ↔️ regional ↔️ local)</w:t>
      </w:r>
    </w:p>
    <w:p w14:paraId="58C5F703" w14:textId="77777777" w:rsidR="00DF746D" w:rsidRPr="006A1B40" w:rsidRDefault="00DF746D" w:rsidP="006A1B40">
      <w:pPr>
        <w:pStyle w:val="ListParagraph"/>
        <w:numPr>
          <w:ilvl w:val="0"/>
          <w:numId w:val="24"/>
        </w:numPr>
        <w:rPr>
          <w:rFonts w:ascii="Arial" w:hAnsi="Arial" w:cs="Arial"/>
        </w:rPr>
      </w:pPr>
      <w:r w:rsidRPr="006A1B40">
        <w:rPr>
          <w:rFonts w:ascii="Arial" w:hAnsi="Arial" w:cs="Arial"/>
        </w:rPr>
        <w:t>horizontal cooperation (across regions or ministries)</w:t>
      </w:r>
    </w:p>
    <w:p w14:paraId="10868B0E" w14:textId="77777777" w:rsidR="00DF746D" w:rsidRPr="006A1B40" w:rsidRDefault="00DF746D" w:rsidP="006A1B40">
      <w:pPr>
        <w:pStyle w:val="ListParagraph"/>
        <w:numPr>
          <w:ilvl w:val="0"/>
          <w:numId w:val="24"/>
        </w:numPr>
        <w:rPr>
          <w:rFonts w:ascii="Arial" w:hAnsi="Arial" w:cs="Arial"/>
        </w:rPr>
      </w:pPr>
      <w:r w:rsidRPr="006A1B40">
        <w:rPr>
          <w:rFonts w:ascii="Arial" w:hAnsi="Arial" w:cs="Arial"/>
        </w:rPr>
        <w:t>shared decision-making between political and technical actors</w:t>
      </w:r>
    </w:p>
    <w:p w14:paraId="26E40FC7" w14:textId="77777777" w:rsidR="00DF746D" w:rsidRPr="006A1B40" w:rsidRDefault="00DF746D" w:rsidP="006A1B40">
      <w:pPr>
        <w:pStyle w:val="ListParagraph"/>
        <w:numPr>
          <w:ilvl w:val="0"/>
          <w:numId w:val="24"/>
        </w:numPr>
        <w:rPr>
          <w:rFonts w:ascii="Arial" w:hAnsi="Arial" w:cs="Arial"/>
        </w:rPr>
      </w:pPr>
      <w:r w:rsidRPr="006A1B40">
        <w:rPr>
          <w:rFonts w:ascii="Arial" w:hAnsi="Arial" w:cs="Arial"/>
        </w:rPr>
        <w:t>continuous information exchange</w:t>
      </w:r>
    </w:p>
    <w:p w14:paraId="163E0702" w14:textId="77777777" w:rsidR="00DF746D" w:rsidRPr="00AD59C4" w:rsidRDefault="00DF746D" w:rsidP="00DF746D">
      <w:pPr>
        <w:rPr>
          <w:rFonts w:ascii="Arial" w:hAnsi="Arial" w:cs="Arial"/>
        </w:rPr>
      </w:pPr>
    </w:p>
    <w:p w14:paraId="5963E7C6" w14:textId="77777777" w:rsidR="00DF746D" w:rsidRPr="00AD59C4" w:rsidRDefault="00DF746D" w:rsidP="00DF746D">
      <w:pPr>
        <w:rPr>
          <w:rFonts w:ascii="Arial" w:hAnsi="Arial" w:cs="Arial"/>
        </w:rPr>
      </w:pPr>
      <w:r w:rsidRPr="00AD59C4">
        <w:rPr>
          <w:rFonts w:ascii="Arial" w:hAnsi="Arial" w:cs="Arial"/>
        </w:rPr>
        <w:t>Under MLG, no single level of government controls crisis management entirely; instead, outcomes depend on how effectively institutions collaborate (Boin &amp; Lodge, 2021).</w:t>
      </w:r>
    </w:p>
    <w:p w14:paraId="68BF85F9" w14:textId="77777777" w:rsidR="00DF746D" w:rsidRPr="00AD59C4" w:rsidRDefault="00DF746D" w:rsidP="00DF746D">
      <w:pPr>
        <w:rPr>
          <w:rFonts w:ascii="Arial" w:hAnsi="Arial" w:cs="Arial"/>
        </w:rPr>
      </w:pPr>
    </w:p>
    <w:p w14:paraId="168382A4" w14:textId="77777777" w:rsidR="00DF746D" w:rsidRPr="00AD59C4" w:rsidRDefault="00DF746D" w:rsidP="00DF746D">
      <w:pPr>
        <w:rPr>
          <w:rFonts w:ascii="Arial" w:hAnsi="Arial" w:cs="Arial"/>
        </w:rPr>
      </w:pPr>
      <w:r w:rsidRPr="00AD59C4">
        <w:rPr>
          <w:rFonts w:ascii="Arial" w:hAnsi="Arial" w:cs="Arial"/>
        </w:rPr>
        <w:t>COVID-19 exposed both strengths and weaknesses in MLG systems:</w:t>
      </w:r>
    </w:p>
    <w:p w14:paraId="45C000D5" w14:textId="77777777" w:rsidR="00DF746D" w:rsidRPr="00AD59C4" w:rsidRDefault="00DF746D" w:rsidP="00DF746D">
      <w:pPr>
        <w:rPr>
          <w:rFonts w:ascii="Arial" w:hAnsi="Arial" w:cs="Arial"/>
        </w:rPr>
      </w:pPr>
      <w:r w:rsidRPr="00AD59C4">
        <w:rPr>
          <w:rFonts w:ascii="Arial" w:hAnsi="Arial" w:cs="Arial"/>
        </w:rPr>
        <w:t>High intergovernmental trust facilitated rapid coordination (e.g., South Korea).</w:t>
      </w:r>
    </w:p>
    <w:p w14:paraId="2159FDE9" w14:textId="77777777" w:rsidR="00DF746D" w:rsidRPr="00AD59C4" w:rsidRDefault="00DF746D" w:rsidP="00DF746D">
      <w:pPr>
        <w:rPr>
          <w:rFonts w:ascii="Arial" w:hAnsi="Arial" w:cs="Arial"/>
        </w:rPr>
      </w:pPr>
      <w:r w:rsidRPr="00AD59C4">
        <w:rPr>
          <w:rFonts w:ascii="Arial" w:hAnsi="Arial" w:cs="Arial"/>
        </w:rPr>
        <w:t>Weak coordination slowed emergency responses (e.g., Spain before March 2020).</w:t>
      </w:r>
    </w:p>
    <w:p w14:paraId="6F4841AC" w14:textId="77777777" w:rsidR="00DF746D" w:rsidRPr="00AD59C4" w:rsidRDefault="00DF746D" w:rsidP="00DF746D">
      <w:pPr>
        <w:rPr>
          <w:rFonts w:ascii="Arial" w:hAnsi="Arial" w:cs="Arial"/>
        </w:rPr>
      </w:pPr>
      <w:r w:rsidRPr="00AD59C4">
        <w:rPr>
          <w:rFonts w:ascii="Arial" w:hAnsi="Arial" w:cs="Arial"/>
        </w:rPr>
        <w:t>Federations required negotiation and consensus-building (e.g., Canada), slowing decisions but enabling flexible regional action.</w:t>
      </w:r>
    </w:p>
    <w:p w14:paraId="283F0283" w14:textId="77777777" w:rsidR="00BB52FB" w:rsidRDefault="00BB52FB" w:rsidP="00DF746D">
      <w:pPr>
        <w:rPr>
          <w:rFonts w:ascii="Arial" w:hAnsi="Arial" w:cs="Arial"/>
        </w:rPr>
      </w:pPr>
    </w:p>
    <w:p w14:paraId="0C184C62" w14:textId="77777777" w:rsidR="00C8296F" w:rsidRDefault="00C8296F" w:rsidP="00DF746D">
      <w:pPr>
        <w:rPr>
          <w:rFonts w:ascii="Arial" w:hAnsi="Arial" w:cs="Arial"/>
        </w:rPr>
      </w:pPr>
    </w:p>
    <w:p w14:paraId="2F92A69E" w14:textId="31E728E3" w:rsidR="00DF746D" w:rsidRPr="00AD59C4" w:rsidRDefault="00DF746D" w:rsidP="00DF746D">
      <w:pPr>
        <w:rPr>
          <w:rFonts w:ascii="Arial" w:hAnsi="Arial" w:cs="Arial"/>
        </w:rPr>
      </w:pPr>
      <w:r w:rsidRPr="00AD59C4">
        <w:rPr>
          <w:rFonts w:ascii="Arial" w:hAnsi="Arial" w:cs="Arial"/>
        </w:rPr>
        <w:t>Crisis Leadership and Governance Integration</w:t>
      </w:r>
    </w:p>
    <w:p w14:paraId="58F83AC9" w14:textId="77777777" w:rsidR="00DF746D" w:rsidRPr="00AD59C4" w:rsidRDefault="00DF746D" w:rsidP="00DF746D">
      <w:pPr>
        <w:rPr>
          <w:rFonts w:ascii="Arial" w:hAnsi="Arial" w:cs="Arial"/>
        </w:rPr>
      </w:pPr>
      <w:r w:rsidRPr="00AD59C4">
        <w:rPr>
          <w:rFonts w:ascii="Arial" w:hAnsi="Arial" w:cs="Arial"/>
        </w:rPr>
        <w:t>Effective crisis governance integrates political leadership with administrative capacity. Research emphasises:</w:t>
      </w:r>
    </w:p>
    <w:p w14:paraId="3D76F56C" w14:textId="3640B10E" w:rsidR="00DF746D" w:rsidRPr="00BB52FB" w:rsidRDefault="00BB52FB" w:rsidP="00BB52FB">
      <w:pPr>
        <w:pStyle w:val="ListParagraph"/>
        <w:numPr>
          <w:ilvl w:val="0"/>
          <w:numId w:val="25"/>
        </w:numPr>
        <w:rPr>
          <w:rFonts w:ascii="Arial" w:hAnsi="Arial" w:cs="Arial"/>
        </w:rPr>
      </w:pPr>
      <w:r w:rsidRPr="00BB52FB">
        <w:rPr>
          <w:rFonts w:ascii="Arial" w:hAnsi="Arial" w:cs="Arial"/>
        </w:rPr>
        <w:t>Evidence</w:t>
      </w:r>
      <w:r w:rsidR="00DF746D" w:rsidRPr="00BB52FB">
        <w:rPr>
          <w:rFonts w:ascii="Arial" w:hAnsi="Arial" w:cs="Arial"/>
        </w:rPr>
        <w:t>-based decision-making</w:t>
      </w:r>
    </w:p>
    <w:p w14:paraId="2519827D" w14:textId="77777777" w:rsidR="00DF746D" w:rsidRPr="00BB52FB" w:rsidRDefault="00DF746D" w:rsidP="00BB52FB">
      <w:pPr>
        <w:pStyle w:val="ListParagraph"/>
        <w:numPr>
          <w:ilvl w:val="0"/>
          <w:numId w:val="25"/>
        </w:numPr>
        <w:rPr>
          <w:rFonts w:ascii="Arial" w:hAnsi="Arial" w:cs="Arial"/>
        </w:rPr>
      </w:pPr>
      <w:r w:rsidRPr="00BB52FB">
        <w:rPr>
          <w:rFonts w:ascii="Arial" w:hAnsi="Arial" w:cs="Arial"/>
        </w:rPr>
        <w:t>timely risk communication</w:t>
      </w:r>
    </w:p>
    <w:p w14:paraId="176FB5CA" w14:textId="77777777" w:rsidR="00DF746D" w:rsidRPr="00BB52FB" w:rsidRDefault="00DF746D" w:rsidP="00BB52FB">
      <w:pPr>
        <w:pStyle w:val="ListParagraph"/>
        <w:numPr>
          <w:ilvl w:val="0"/>
          <w:numId w:val="25"/>
        </w:numPr>
        <w:rPr>
          <w:rFonts w:ascii="Arial" w:hAnsi="Arial" w:cs="Arial"/>
        </w:rPr>
      </w:pPr>
      <w:r w:rsidRPr="00BB52FB">
        <w:rPr>
          <w:rFonts w:ascii="Arial" w:hAnsi="Arial" w:cs="Arial"/>
        </w:rPr>
        <w:t>institutional readiness</w:t>
      </w:r>
    </w:p>
    <w:p w14:paraId="47A79F4C" w14:textId="77777777" w:rsidR="00DF746D" w:rsidRPr="00BB52FB" w:rsidRDefault="00DF746D" w:rsidP="00BB52FB">
      <w:pPr>
        <w:pStyle w:val="ListParagraph"/>
        <w:numPr>
          <w:ilvl w:val="0"/>
          <w:numId w:val="25"/>
        </w:numPr>
        <w:rPr>
          <w:rFonts w:ascii="Arial" w:hAnsi="Arial" w:cs="Arial"/>
        </w:rPr>
      </w:pPr>
      <w:r w:rsidRPr="00BB52FB">
        <w:rPr>
          <w:rFonts w:ascii="Arial" w:hAnsi="Arial" w:cs="Arial"/>
        </w:rPr>
        <w:t>adaptive policy iteration</w:t>
      </w:r>
    </w:p>
    <w:p w14:paraId="2FED8DF8" w14:textId="77777777" w:rsidR="00DF746D" w:rsidRPr="00BB52FB" w:rsidRDefault="00DF746D" w:rsidP="00BB52FB">
      <w:pPr>
        <w:pStyle w:val="ListParagraph"/>
        <w:numPr>
          <w:ilvl w:val="0"/>
          <w:numId w:val="25"/>
        </w:numPr>
        <w:rPr>
          <w:rFonts w:ascii="Arial" w:hAnsi="Arial" w:cs="Arial"/>
        </w:rPr>
      </w:pPr>
      <w:r w:rsidRPr="00BB52FB">
        <w:rPr>
          <w:rFonts w:ascii="Arial" w:hAnsi="Arial" w:cs="Arial"/>
        </w:rPr>
        <w:t>public trust and compliance</w:t>
      </w:r>
    </w:p>
    <w:p w14:paraId="476C269B" w14:textId="77777777" w:rsidR="00DF746D" w:rsidRPr="00AD59C4" w:rsidRDefault="00DF746D" w:rsidP="00DF746D">
      <w:pPr>
        <w:rPr>
          <w:rFonts w:ascii="Arial" w:hAnsi="Arial" w:cs="Arial"/>
        </w:rPr>
      </w:pPr>
    </w:p>
    <w:p w14:paraId="6CEA7D8E" w14:textId="5CE44ACB" w:rsidR="00DF746D" w:rsidRDefault="00DF746D" w:rsidP="00DF746D">
      <w:pPr>
        <w:rPr>
          <w:rFonts w:ascii="Arial" w:hAnsi="Arial" w:cs="Arial"/>
        </w:rPr>
      </w:pPr>
      <w:r w:rsidRPr="00AD59C4">
        <w:rPr>
          <w:rFonts w:ascii="Arial" w:hAnsi="Arial" w:cs="Arial"/>
        </w:rPr>
        <w:lastRenderedPageBreak/>
        <w:t>Governance failures often arise not from structural design alone but from how leadership activates or overrides institutional mechanisms (Christensen et al., 2020). COVID-19 demonstrated that systems with strong institutional memory (e.g., South Korea post-MERS) outperformed systems with weaker preparedness.</w:t>
      </w:r>
    </w:p>
    <w:p w14:paraId="1A5D649A" w14:textId="77777777" w:rsidR="0061380D" w:rsidRPr="00AD59C4" w:rsidRDefault="0061380D" w:rsidP="00DF746D">
      <w:pPr>
        <w:rPr>
          <w:rFonts w:ascii="Arial" w:hAnsi="Arial" w:cs="Arial"/>
        </w:rPr>
      </w:pPr>
    </w:p>
    <w:p w14:paraId="7ADFA2EC" w14:textId="272A0648" w:rsidR="00DF746D" w:rsidRPr="00AD59C4" w:rsidRDefault="00DF746D" w:rsidP="00DF746D">
      <w:pPr>
        <w:rPr>
          <w:rFonts w:ascii="Arial" w:hAnsi="Arial" w:cs="Arial"/>
        </w:rPr>
      </w:pPr>
      <w:r w:rsidRPr="00AD59C4">
        <w:rPr>
          <w:rFonts w:ascii="Arial" w:hAnsi="Arial" w:cs="Arial"/>
        </w:rPr>
        <w:t xml:space="preserve">4.2 Spain, South Korea and Canada’s Context </w:t>
      </w:r>
    </w:p>
    <w:p w14:paraId="707A3EFA" w14:textId="77777777" w:rsidR="00DF746D" w:rsidRPr="00AD59C4" w:rsidRDefault="00DF746D" w:rsidP="00DF746D">
      <w:pPr>
        <w:rPr>
          <w:rFonts w:ascii="Arial" w:hAnsi="Arial" w:cs="Arial"/>
        </w:rPr>
      </w:pPr>
    </w:p>
    <w:p w14:paraId="1CCEF7C8" w14:textId="77C12730" w:rsidR="00DF746D" w:rsidRDefault="003D5FE5" w:rsidP="00DF746D">
      <w:pPr>
        <w:rPr>
          <w:rFonts w:ascii="Arial" w:hAnsi="Arial" w:cs="Arial"/>
        </w:rPr>
      </w:pPr>
      <w:r>
        <w:rPr>
          <w:noProof/>
        </w:rPr>
        <w:drawing>
          <wp:anchor distT="0" distB="0" distL="114300" distR="114300" simplePos="0" relativeHeight="251662848" behindDoc="0" locked="0" layoutInCell="1" allowOverlap="1" wp14:anchorId="69FE67EF" wp14:editId="1AD7252A">
            <wp:simplePos x="0" y="0"/>
            <wp:positionH relativeFrom="column">
              <wp:posOffset>1546225</wp:posOffset>
            </wp:positionH>
            <wp:positionV relativeFrom="paragraph">
              <wp:posOffset>340360</wp:posOffset>
            </wp:positionV>
            <wp:extent cx="1950720" cy="1950720"/>
            <wp:effectExtent l="0" t="0" r="0" b="0"/>
            <wp:wrapTopAndBottom/>
            <wp:docPr id="14" name="Picture 3" descr="C:\Users\user\Downloads\ChatGPT Image Jul 29, 2025, 10_27_13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3" descr="C:\Users\user\Downloads\ChatGPT Image Jul 29, 2025, 10_27_13 PM.png"/>
                    <pic:cNvPicPr>
                      <a:picLocks noChangeAspect="1"/>
                    </pic:cNvPicPr>
                  </pic:nvPicPr>
                  <pic:blipFill>
                    <a:blip r:embed="rId22" cstate="print"/>
                    <a:srcRect/>
                    <a:stretch>
                      <a:fillRect/>
                    </a:stretch>
                  </pic:blipFill>
                  <pic:spPr bwMode="auto">
                    <a:xfrm>
                      <a:off x="0" y="0"/>
                      <a:ext cx="1950720" cy="195072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DF746D" w:rsidRPr="004A4732">
        <w:rPr>
          <w:rFonts w:ascii="Arial" w:hAnsi="Arial" w:cs="Arial"/>
          <w:b/>
          <w:bCs/>
        </w:rPr>
        <w:t>Spain:</w:t>
      </w:r>
      <w:r w:rsidR="00DF746D" w:rsidRPr="00AD59C4">
        <w:rPr>
          <w:rFonts w:ascii="Arial" w:hAnsi="Arial" w:cs="Arial"/>
        </w:rPr>
        <w:t xml:space="preserve"> Fragmented Early Decisions, Temporary Centralisation</w:t>
      </w:r>
    </w:p>
    <w:p w14:paraId="1C7435E5" w14:textId="75C79002" w:rsidR="003D5FE5" w:rsidRPr="00946BBF" w:rsidRDefault="00AC74DE" w:rsidP="00946BBF">
      <w:pPr>
        <w:jc w:val="center"/>
        <w:rPr>
          <w:rFonts w:ascii="Arial" w:hAnsi="Arial" w:cs="Arial"/>
          <w:b/>
          <w:bCs/>
          <w:u w:val="single"/>
        </w:rPr>
      </w:pPr>
      <w:r w:rsidRPr="00946BBF">
        <w:rPr>
          <w:rFonts w:ascii="Arial" w:hAnsi="Arial" w:cs="Arial"/>
          <w:b/>
          <w:bCs/>
          <w:u w:val="single"/>
        </w:rPr>
        <w:t>Figure 8</w:t>
      </w:r>
      <w:r w:rsidR="00A43DD9" w:rsidRPr="00946BBF">
        <w:rPr>
          <w:rFonts w:ascii="Arial" w:hAnsi="Arial" w:cs="Arial"/>
          <w:b/>
          <w:bCs/>
          <w:u w:val="single"/>
        </w:rPr>
        <w:t>:</w:t>
      </w:r>
      <w:r w:rsidRPr="00946BBF">
        <w:rPr>
          <w:rFonts w:ascii="Arial" w:hAnsi="Arial" w:cs="Arial"/>
          <w:b/>
          <w:bCs/>
          <w:u w:val="single"/>
        </w:rPr>
        <w:t xml:space="preserve"> </w:t>
      </w:r>
      <w:r w:rsidR="00A64A76" w:rsidRPr="00946BBF">
        <w:rPr>
          <w:rFonts w:ascii="Arial" w:hAnsi="Arial" w:cs="Arial"/>
          <w:b/>
          <w:bCs/>
          <w:u w:val="single"/>
        </w:rPr>
        <w:t>Rich Diagram</w:t>
      </w:r>
      <w:r w:rsidR="00A43DD9" w:rsidRPr="00946BBF">
        <w:rPr>
          <w:rFonts w:ascii="Arial" w:hAnsi="Arial" w:cs="Arial"/>
          <w:b/>
          <w:bCs/>
          <w:u w:val="single"/>
        </w:rPr>
        <w:t xml:space="preserve"> -</w:t>
      </w:r>
      <w:r w:rsidR="00A64A76" w:rsidRPr="00946BBF">
        <w:rPr>
          <w:rFonts w:ascii="Arial" w:hAnsi="Arial" w:cs="Arial"/>
          <w:b/>
          <w:bCs/>
          <w:u w:val="single"/>
        </w:rPr>
        <w:t xml:space="preserve"> Spain Context</w:t>
      </w:r>
    </w:p>
    <w:p w14:paraId="0362901D" w14:textId="77777777" w:rsidR="00DF746D" w:rsidRPr="00AD59C4" w:rsidRDefault="00DF746D" w:rsidP="00DF746D">
      <w:pPr>
        <w:rPr>
          <w:rFonts w:ascii="Arial" w:hAnsi="Arial" w:cs="Arial"/>
        </w:rPr>
      </w:pPr>
      <w:r w:rsidRPr="00AD59C4">
        <w:rPr>
          <w:rFonts w:ascii="Arial" w:hAnsi="Arial" w:cs="Arial"/>
        </w:rPr>
        <w:t>Spain’s governance model is a hybrid of national authority and strong regional autonomy. During early COVID-19 waves, autonomous communities held primary responsibility for public health, leading to fragmented and slow responses across regions (Navarro &amp; Velasco, 2022).</w:t>
      </w:r>
    </w:p>
    <w:p w14:paraId="542FB6F8" w14:textId="77777777" w:rsidR="00DF746D" w:rsidRPr="00AD59C4" w:rsidRDefault="00DF746D" w:rsidP="00DF746D">
      <w:pPr>
        <w:rPr>
          <w:rFonts w:ascii="Arial" w:hAnsi="Arial" w:cs="Arial"/>
        </w:rPr>
      </w:pPr>
      <w:r w:rsidRPr="00AD59C4">
        <w:rPr>
          <w:rFonts w:ascii="Arial" w:hAnsi="Arial" w:cs="Arial"/>
        </w:rPr>
        <w:t>Early issues included:</w:t>
      </w:r>
    </w:p>
    <w:p w14:paraId="067655EE" w14:textId="205B1911" w:rsidR="00DF746D" w:rsidRPr="00800C9F" w:rsidRDefault="007A3EA2" w:rsidP="00800C9F">
      <w:pPr>
        <w:pStyle w:val="ListParagraph"/>
        <w:numPr>
          <w:ilvl w:val="0"/>
          <w:numId w:val="26"/>
        </w:numPr>
        <w:rPr>
          <w:rFonts w:ascii="Arial" w:hAnsi="Arial" w:cs="Arial"/>
        </w:rPr>
      </w:pPr>
      <w:r w:rsidRPr="00800C9F">
        <w:rPr>
          <w:rFonts w:ascii="Arial" w:hAnsi="Arial" w:cs="Arial"/>
        </w:rPr>
        <w:t>I</w:t>
      </w:r>
      <w:r w:rsidR="00DF746D" w:rsidRPr="00800C9F">
        <w:rPr>
          <w:rFonts w:ascii="Arial" w:hAnsi="Arial" w:cs="Arial"/>
        </w:rPr>
        <w:t>nconsistent testing policies</w:t>
      </w:r>
    </w:p>
    <w:p w14:paraId="0473CC47" w14:textId="079467D6" w:rsidR="00DF746D" w:rsidRPr="00800C9F" w:rsidRDefault="007A3EA2" w:rsidP="00800C9F">
      <w:pPr>
        <w:pStyle w:val="ListParagraph"/>
        <w:numPr>
          <w:ilvl w:val="0"/>
          <w:numId w:val="26"/>
        </w:numPr>
        <w:rPr>
          <w:rFonts w:ascii="Arial" w:hAnsi="Arial" w:cs="Arial"/>
        </w:rPr>
      </w:pPr>
      <w:r w:rsidRPr="00800C9F">
        <w:rPr>
          <w:rFonts w:ascii="Arial" w:hAnsi="Arial" w:cs="Arial"/>
        </w:rPr>
        <w:t>D</w:t>
      </w:r>
      <w:r w:rsidR="00DF746D" w:rsidRPr="00800C9F">
        <w:rPr>
          <w:rFonts w:ascii="Arial" w:hAnsi="Arial" w:cs="Arial"/>
        </w:rPr>
        <w:t>elayed school closures</w:t>
      </w:r>
    </w:p>
    <w:p w14:paraId="19173A58" w14:textId="39DA50C7" w:rsidR="00DF746D" w:rsidRPr="00800C9F" w:rsidRDefault="007A3EA2" w:rsidP="00800C9F">
      <w:pPr>
        <w:pStyle w:val="ListParagraph"/>
        <w:numPr>
          <w:ilvl w:val="0"/>
          <w:numId w:val="26"/>
        </w:numPr>
        <w:rPr>
          <w:rFonts w:ascii="Arial" w:hAnsi="Arial" w:cs="Arial"/>
        </w:rPr>
      </w:pPr>
      <w:r w:rsidRPr="00800C9F">
        <w:rPr>
          <w:rFonts w:ascii="Arial" w:hAnsi="Arial" w:cs="Arial"/>
        </w:rPr>
        <w:t>L</w:t>
      </w:r>
      <w:r w:rsidR="00DF746D" w:rsidRPr="00800C9F">
        <w:rPr>
          <w:rFonts w:ascii="Arial" w:hAnsi="Arial" w:cs="Arial"/>
        </w:rPr>
        <w:t>imited ICU surge planning</w:t>
      </w:r>
    </w:p>
    <w:p w14:paraId="6EDAB352" w14:textId="650D3B73" w:rsidR="00DF746D" w:rsidRPr="00800C9F" w:rsidRDefault="007A3EA2" w:rsidP="00800C9F">
      <w:pPr>
        <w:pStyle w:val="ListParagraph"/>
        <w:numPr>
          <w:ilvl w:val="0"/>
          <w:numId w:val="26"/>
        </w:numPr>
        <w:rPr>
          <w:rFonts w:ascii="Arial" w:hAnsi="Arial" w:cs="Arial"/>
        </w:rPr>
      </w:pPr>
      <w:r w:rsidRPr="00800C9F">
        <w:rPr>
          <w:rFonts w:ascii="Arial" w:hAnsi="Arial" w:cs="Arial"/>
        </w:rPr>
        <w:t>C</w:t>
      </w:r>
      <w:r w:rsidR="00DF746D" w:rsidRPr="00800C9F">
        <w:rPr>
          <w:rFonts w:ascii="Arial" w:hAnsi="Arial" w:cs="Arial"/>
        </w:rPr>
        <w:t>onflicting political messaging</w:t>
      </w:r>
    </w:p>
    <w:p w14:paraId="47ACAD30" w14:textId="77777777" w:rsidR="00DF746D" w:rsidRPr="00AD59C4" w:rsidRDefault="00DF746D" w:rsidP="00DF746D">
      <w:pPr>
        <w:rPr>
          <w:rFonts w:ascii="Arial" w:hAnsi="Arial" w:cs="Arial"/>
        </w:rPr>
      </w:pPr>
      <w:r w:rsidRPr="00AD59C4">
        <w:rPr>
          <w:rFonts w:ascii="Arial" w:hAnsi="Arial" w:cs="Arial"/>
        </w:rPr>
        <w:t>For example, Madrid and Catalonia implemented different restriction types and timelines despite similar epidemiological trends. This lack of coordination contributed to Spain becoming one of Europe’s first major hotspots in March 2020.</w:t>
      </w:r>
    </w:p>
    <w:p w14:paraId="428D2F9A" w14:textId="77777777" w:rsidR="00DF746D" w:rsidRPr="00AD59C4" w:rsidRDefault="00DF746D" w:rsidP="00DF746D">
      <w:pPr>
        <w:rPr>
          <w:rFonts w:ascii="Arial" w:hAnsi="Arial" w:cs="Arial"/>
        </w:rPr>
      </w:pPr>
      <w:r w:rsidRPr="00AD59C4">
        <w:rPr>
          <w:rFonts w:ascii="Arial" w:hAnsi="Arial" w:cs="Arial"/>
        </w:rPr>
        <w:t>The State of Alarm (14 March – 21 June 2020) temporarily re-centralised authority, allowing:</w:t>
      </w:r>
    </w:p>
    <w:p w14:paraId="5718D18A" w14:textId="77777777" w:rsidR="00DF746D" w:rsidRPr="00AD59C4" w:rsidRDefault="00DF746D" w:rsidP="00DF746D">
      <w:pPr>
        <w:rPr>
          <w:rFonts w:ascii="Arial" w:hAnsi="Arial" w:cs="Arial"/>
        </w:rPr>
      </w:pPr>
      <w:r w:rsidRPr="00AD59C4">
        <w:rPr>
          <w:rFonts w:ascii="Arial" w:hAnsi="Arial" w:cs="Arial"/>
        </w:rPr>
        <w:t>unified lockdowns</w:t>
      </w:r>
    </w:p>
    <w:p w14:paraId="15C5B407" w14:textId="77777777" w:rsidR="00DF746D" w:rsidRPr="00AD59C4" w:rsidRDefault="00DF746D" w:rsidP="00DF746D">
      <w:pPr>
        <w:rPr>
          <w:rFonts w:ascii="Arial" w:hAnsi="Arial" w:cs="Arial"/>
        </w:rPr>
      </w:pPr>
      <w:r w:rsidRPr="00AD59C4">
        <w:rPr>
          <w:rFonts w:ascii="Arial" w:hAnsi="Arial" w:cs="Arial"/>
        </w:rPr>
        <w:t>coordinated procurement of PPE and ventilators</w:t>
      </w:r>
    </w:p>
    <w:p w14:paraId="535FE8DA" w14:textId="77777777" w:rsidR="00DF746D" w:rsidRPr="00AD59C4" w:rsidRDefault="00DF746D" w:rsidP="00DF746D">
      <w:pPr>
        <w:rPr>
          <w:rFonts w:ascii="Arial" w:hAnsi="Arial" w:cs="Arial"/>
        </w:rPr>
      </w:pPr>
      <w:r w:rsidRPr="00AD59C4">
        <w:rPr>
          <w:rFonts w:ascii="Arial" w:hAnsi="Arial" w:cs="Arial"/>
        </w:rPr>
        <w:lastRenderedPageBreak/>
        <w:t>improved national data reporting</w:t>
      </w:r>
    </w:p>
    <w:p w14:paraId="17A8B26E" w14:textId="77777777" w:rsidR="00DF746D" w:rsidRPr="00AD59C4" w:rsidRDefault="00DF746D" w:rsidP="00DF746D">
      <w:pPr>
        <w:rPr>
          <w:rFonts w:ascii="Arial" w:hAnsi="Arial" w:cs="Arial"/>
        </w:rPr>
      </w:pPr>
      <w:r w:rsidRPr="00AD59C4">
        <w:rPr>
          <w:rFonts w:ascii="Arial" w:hAnsi="Arial" w:cs="Arial"/>
        </w:rPr>
        <w:t>synchronised vaccination planning</w:t>
      </w:r>
    </w:p>
    <w:p w14:paraId="067018B9" w14:textId="77777777" w:rsidR="00DF746D" w:rsidRPr="00AD59C4" w:rsidRDefault="00DF746D" w:rsidP="00DF746D">
      <w:pPr>
        <w:rPr>
          <w:rFonts w:ascii="Arial" w:hAnsi="Arial" w:cs="Arial"/>
        </w:rPr>
      </w:pPr>
      <w:r w:rsidRPr="00AD59C4">
        <w:rPr>
          <w:rFonts w:ascii="Arial" w:hAnsi="Arial" w:cs="Arial"/>
        </w:rPr>
        <w:t>This demonstrated how Spain’s system can function effectively when centralised in emergencies. However, once decentralisation resumed later in 2020, policy fragmentation reappeared, particularly in regional decisions on reopening, curfews, and mobility restrictions.</w:t>
      </w:r>
    </w:p>
    <w:p w14:paraId="15711CD1" w14:textId="77777777" w:rsidR="00DF746D" w:rsidRPr="00AD59C4" w:rsidRDefault="00DF746D" w:rsidP="00DF746D">
      <w:pPr>
        <w:rPr>
          <w:rFonts w:ascii="Arial" w:hAnsi="Arial" w:cs="Arial"/>
        </w:rPr>
      </w:pPr>
    </w:p>
    <w:p w14:paraId="2F6B4CD4" w14:textId="08F37F1C" w:rsidR="00DF746D" w:rsidRDefault="005C6CE2" w:rsidP="00DF746D">
      <w:pPr>
        <w:rPr>
          <w:rFonts w:ascii="Arial" w:hAnsi="Arial" w:cs="Arial"/>
        </w:rPr>
      </w:pPr>
      <w:r>
        <w:rPr>
          <w:rFonts w:ascii="Arial" w:hAnsi="Arial" w:cs="Arial"/>
          <w:noProof/>
        </w:rPr>
        <w:drawing>
          <wp:anchor distT="0" distB="0" distL="114300" distR="114300" simplePos="0" relativeHeight="251663872" behindDoc="0" locked="0" layoutInCell="1" allowOverlap="1" wp14:anchorId="3CED9952" wp14:editId="139C9664">
            <wp:simplePos x="0" y="0"/>
            <wp:positionH relativeFrom="margin">
              <wp:posOffset>1615440</wp:posOffset>
            </wp:positionH>
            <wp:positionV relativeFrom="paragraph">
              <wp:posOffset>256540</wp:posOffset>
            </wp:positionV>
            <wp:extent cx="1950720" cy="1950720"/>
            <wp:effectExtent l="0" t="0" r="0" b="0"/>
            <wp:wrapTopAndBottom/>
            <wp:docPr id="12349959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50720" cy="1950720"/>
                    </a:xfrm>
                    <a:prstGeom prst="rect">
                      <a:avLst/>
                    </a:prstGeom>
                    <a:noFill/>
                  </pic:spPr>
                </pic:pic>
              </a:graphicData>
            </a:graphic>
            <wp14:sizeRelH relativeFrom="margin">
              <wp14:pctWidth>0</wp14:pctWidth>
            </wp14:sizeRelH>
            <wp14:sizeRelV relativeFrom="margin">
              <wp14:pctHeight>0</wp14:pctHeight>
            </wp14:sizeRelV>
          </wp:anchor>
        </w:drawing>
      </w:r>
      <w:r w:rsidR="00DF746D" w:rsidRPr="002C76C4">
        <w:rPr>
          <w:rFonts w:ascii="Arial" w:hAnsi="Arial" w:cs="Arial"/>
          <w:b/>
          <w:bCs/>
        </w:rPr>
        <w:t>South Korea:</w:t>
      </w:r>
      <w:r w:rsidR="00DF746D" w:rsidRPr="00AD59C4">
        <w:rPr>
          <w:rFonts w:ascii="Arial" w:hAnsi="Arial" w:cs="Arial"/>
        </w:rPr>
        <w:t xml:space="preserve"> Strong National Command with Seamless Local Cooperation</w:t>
      </w:r>
    </w:p>
    <w:p w14:paraId="5AF222FF" w14:textId="775DEA6E" w:rsidR="00A43DD9" w:rsidRPr="00946BBF" w:rsidRDefault="00946BBF" w:rsidP="00946BBF">
      <w:pPr>
        <w:jc w:val="center"/>
        <w:rPr>
          <w:rFonts w:ascii="Arial" w:hAnsi="Arial" w:cs="Arial"/>
          <w:b/>
          <w:bCs/>
          <w:u w:val="single"/>
        </w:rPr>
      </w:pPr>
      <w:r w:rsidRPr="00946BBF">
        <w:rPr>
          <w:rFonts w:ascii="Arial" w:hAnsi="Arial" w:cs="Arial"/>
          <w:b/>
          <w:bCs/>
          <w:u w:val="single"/>
        </w:rPr>
        <w:t>Figure 9 : Rich Diagram -  South Korea Context</w:t>
      </w:r>
    </w:p>
    <w:p w14:paraId="3BFBC5BA" w14:textId="77777777" w:rsidR="00DF746D" w:rsidRPr="00AD59C4" w:rsidRDefault="00DF746D" w:rsidP="00DF746D">
      <w:pPr>
        <w:rPr>
          <w:rFonts w:ascii="Arial" w:hAnsi="Arial" w:cs="Arial"/>
        </w:rPr>
      </w:pPr>
      <w:r w:rsidRPr="00AD59C4">
        <w:rPr>
          <w:rFonts w:ascii="Arial" w:hAnsi="Arial" w:cs="Arial"/>
        </w:rPr>
        <w:t>South Korea’s governance performance reflected a mature, centralised but highly collaborative crisis management system. The KDCA leads infectious disease control, supported by legal reforms following the 2015 MERS crisis, which enhanced:</w:t>
      </w:r>
    </w:p>
    <w:p w14:paraId="44DD54D3" w14:textId="77777777" w:rsidR="00DF746D" w:rsidRPr="00AD59C4" w:rsidRDefault="00DF746D" w:rsidP="00DF746D">
      <w:pPr>
        <w:rPr>
          <w:rFonts w:ascii="Arial" w:hAnsi="Arial" w:cs="Arial"/>
        </w:rPr>
      </w:pPr>
    </w:p>
    <w:p w14:paraId="11109355" w14:textId="6FDA31D7" w:rsidR="00DF746D" w:rsidRPr="00AD59C4" w:rsidRDefault="00DF746D" w:rsidP="00DF746D">
      <w:pPr>
        <w:rPr>
          <w:rFonts w:ascii="Arial" w:hAnsi="Arial" w:cs="Arial"/>
        </w:rPr>
      </w:pPr>
      <w:r w:rsidRPr="00AD59C4">
        <w:rPr>
          <w:rFonts w:ascii="Arial" w:hAnsi="Arial" w:cs="Arial"/>
        </w:rPr>
        <w:t xml:space="preserve">data integration across </w:t>
      </w:r>
      <w:r w:rsidR="00AD07E2" w:rsidRPr="00AD59C4">
        <w:rPr>
          <w:rFonts w:ascii="Arial" w:hAnsi="Arial" w:cs="Arial"/>
        </w:rPr>
        <w:t>ministries</w:t>
      </w:r>
      <w:r w:rsidR="00AD07E2">
        <w:rPr>
          <w:rFonts w:ascii="Arial" w:hAnsi="Arial" w:cs="Arial"/>
        </w:rPr>
        <w:t>,</w:t>
      </w:r>
      <w:r w:rsidR="00AD07E2" w:rsidRPr="00AD59C4">
        <w:rPr>
          <w:rFonts w:ascii="Arial" w:hAnsi="Arial" w:cs="Arial"/>
        </w:rPr>
        <w:t xml:space="preserve"> emergency</w:t>
      </w:r>
      <w:r w:rsidRPr="00AD59C4">
        <w:rPr>
          <w:rFonts w:ascii="Arial" w:hAnsi="Arial" w:cs="Arial"/>
        </w:rPr>
        <w:t xml:space="preserve"> use authorisation of </w:t>
      </w:r>
      <w:r w:rsidR="00AD07E2" w:rsidRPr="00AD59C4">
        <w:rPr>
          <w:rFonts w:ascii="Arial" w:hAnsi="Arial" w:cs="Arial"/>
        </w:rPr>
        <w:t>diagnostics</w:t>
      </w:r>
      <w:r w:rsidR="00AD07E2">
        <w:rPr>
          <w:rFonts w:ascii="Arial" w:hAnsi="Arial" w:cs="Arial"/>
        </w:rPr>
        <w:t>,</w:t>
      </w:r>
      <w:r w:rsidR="00AD07E2" w:rsidRPr="00AD59C4">
        <w:rPr>
          <w:rFonts w:ascii="Arial" w:hAnsi="Arial" w:cs="Arial"/>
        </w:rPr>
        <w:t xml:space="preserve"> central</w:t>
      </w:r>
      <w:r w:rsidRPr="00AD59C4">
        <w:rPr>
          <w:rFonts w:ascii="Arial" w:hAnsi="Arial" w:cs="Arial"/>
        </w:rPr>
        <w:t xml:space="preserve"> authority to trace and isolate </w:t>
      </w:r>
      <w:r w:rsidR="00AD07E2" w:rsidRPr="00AD59C4">
        <w:rPr>
          <w:rFonts w:ascii="Arial" w:hAnsi="Arial" w:cs="Arial"/>
        </w:rPr>
        <w:t>contacts</w:t>
      </w:r>
      <w:r w:rsidR="00AD07E2">
        <w:rPr>
          <w:rFonts w:ascii="Arial" w:hAnsi="Arial" w:cs="Arial"/>
        </w:rPr>
        <w:t>,</w:t>
      </w:r>
      <w:r w:rsidR="00AD07E2" w:rsidRPr="00AD59C4">
        <w:rPr>
          <w:rFonts w:ascii="Arial" w:hAnsi="Arial" w:cs="Arial"/>
        </w:rPr>
        <w:t xml:space="preserve"> consistent</w:t>
      </w:r>
      <w:r w:rsidRPr="00AD59C4">
        <w:rPr>
          <w:rFonts w:ascii="Arial" w:hAnsi="Arial" w:cs="Arial"/>
        </w:rPr>
        <w:t xml:space="preserve"> information-sharing across local governments</w:t>
      </w:r>
      <w:r w:rsidR="0053388E">
        <w:rPr>
          <w:rFonts w:ascii="Arial" w:hAnsi="Arial" w:cs="Arial"/>
        </w:rPr>
        <w:t>.</w:t>
      </w:r>
    </w:p>
    <w:p w14:paraId="2F41CEC2" w14:textId="77777777" w:rsidR="00DF746D" w:rsidRPr="00AD59C4" w:rsidRDefault="00DF746D" w:rsidP="00DF746D">
      <w:pPr>
        <w:rPr>
          <w:rFonts w:ascii="Arial" w:hAnsi="Arial" w:cs="Arial"/>
        </w:rPr>
      </w:pPr>
      <w:r w:rsidRPr="00AD59C4">
        <w:rPr>
          <w:rFonts w:ascii="Arial" w:hAnsi="Arial" w:cs="Arial"/>
        </w:rPr>
        <w:t>South Korea’s structure aligns with centralised crisis governance, but with robust local implementation capacity. Local authorities in Daegu, Busan, Seoul, and Gyeonggi Province coordinated seamlessly with national agencies, enabling:</w:t>
      </w:r>
    </w:p>
    <w:p w14:paraId="125C0347" w14:textId="77777777" w:rsidR="00DF746D" w:rsidRPr="00AD59C4" w:rsidRDefault="00DF746D" w:rsidP="00DF746D">
      <w:pPr>
        <w:rPr>
          <w:rFonts w:ascii="Arial" w:hAnsi="Arial" w:cs="Arial"/>
        </w:rPr>
      </w:pPr>
      <w:r w:rsidRPr="00AD59C4">
        <w:rPr>
          <w:rFonts w:ascii="Arial" w:hAnsi="Arial" w:cs="Arial"/>
        </w:rPr>
        <w:t>rapid establishment of screening clinics</w:t>
      </w:r>
    </w:p>
    <w:p w14:paraId="03734C44" w14:textId="5EE7DF8D" w:rsidR="00DF746D" w:rsidRPr="00AD59C4" w:rsidRDefault="00DF746D" w:rsidP="00DF746D">
      <w:pPr>
        <w:rPr>
          <w:rFonts w:ascii="Arial" w:hAnsi="Arial" w:cs="Arial"/>
        </w:rPr>
      </w:pPr>
      <w:r w:rsidRPr="00AD59C4">
        <w:rPr>
          <w:rFonts w:ascii="Arial" w:hAnsi="Arial" w:cs="Arial"/>
        </w:rPr>
        <w:t>real-time hospital bed allocation</w:t>
      </w:r>
    </w:p>
    <w:p w14:paraId="794190A9" w14:textId="77777777" w:rsidR="00DF746D" w:rsidRPr="00AD59C4" w:rsidRDefault="00DF746D" w:rsidP="00DF746D">
      <w:pPr>
        <w:rPr>
          <w:rFonts w:ascii="Arial" w:hAnsi="Arial" w:cs="Arial"/>
        </w:rPr>
      </w:pPr>
      <w:r w:rsidRPr="00AD59C4">
        <w:rPr>
          <w:rFonts w:ascii="Arial" w:hAnsi="Arial" w:cs="Arial"/>
        </w:rPr>
        <w:t>decentralised clinical decision-making guided by national protocols</w:t>
      </w:r>
    </w:p>
    <w:p w14:paraId="635799EE" w14:textId="77777777" w:rsidR="00DF746D" w:rsidRPr="00AD59C4" w:rsidRDefault="00DF746D" w:rsidP="00DF746D">
      <w:pPr>
        <w:rPr>
          <w:rFonts w:ascii="Arial" w:hAnsi="Arial" w:cs="Arial"/>
        </w:rPr>
      </w:pPr>
    </w:p>
    <w:p w14:paraId="0417991C" w14:textId="77777777" w:rsidR="00DF746D" w:rsidRPr="00AD59C4" w:rsidRDefault="00DF746D" w:rsidP="00DF746D">
      <w:pPr>
        <w:rPr>
          <w:rFonts w:ascii="Arial" w:hAnsi="Arial" w:cs="Arial"/>
        </w:rPr>
      </w:pPr>
      <w:r w:rsidRPr="00AD59C4">
        <w:rPr>
          <w:rFonts w:ascii="Arial" w:hAnsi="Arial" w:cs="Arial"/>
        </w:rPr>
        <w:lastRenderedPageBreak/>
        <w:t>This vertical coordination reduced the need for lockdowns and maintained continuity of economic and educational activities. High societal trust and strong adherence to guidelines further strengthened compliance.</w:t>
      </w:r>
    </w:p>
    <w:p w14:paraId="18598B6F" w14:textId="3CFBE49B" w:rsidR="00DF746D" w:rsidRPr="00AD59C4" w:rsidRDefault="00DF746D" w:rsidP="00DF746D">
      <w:pPr>
        <w:rPr>
          <w:rFonts w:ascii="Arial" w:hAnsi="Arial" w:cs="Arial"/>
        </w:rPr>
      </w:pPr>
    </w:p>
    <w:p w14:paraId="3E46E702" w14:textId="558EECEF" w:rsidR="00DF746D" w:rsidRPr="00AD59C4" w:rsidRDefault="00131A26" w:rsidP="00DF746D">
      <w:pPr>
        <w:rPr>
          <w:rFonts w:ascii="Arial" w:hAnsi="Arial" w:cs="Arial"/>
        </w:rPr>
      </w:pPr>
      <w:r>
        <w:rPr>
          <w:rFonts w:ascii="Arial" w:hAnsi="Arial" w:cs="Arial"/>
          <w:noProof/>
        </w:rPr>
        <w:drawing>
          <wp:anchor distT="0" distB="0" distL="114300" distR="114300" simplePos="0" relativeHeight="251661824" behindDoc="0" locked="0" layoutInCell="1" allowOverlap="1" wp14:anchorId="64FEE1C3" wp14:editId="55FE6B66">
            <wp:simplePos x="0" y="0"/>
            <wp:positionH relativeFrom="column">
              <wp:posOffset>1706880</wp:posOffset>
            </wp:positionH>
            <wp:positionV relativeFrom="paragraph">
              <wp:posOffset>273685</wp:posOffset>
            </wp:positionV>
            <wp:extent cx="2056130" cy="2056130"/>
            <wp:effectExtent l="0" t="0" r="1270" b="1270"/>
            <wp:wrapTopAndBottom/>
            <wp:docPr id="3517612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56130" cy="2056130"/>
                    </a:xfrm>
                    <a:prstGeom prst="rect">
                      <a:avLst/>
                    </a:prstGeom>
                    <a:noFill/>
                  </pic:spPr>
                </pic:pic>
              </a:graphicData>
            </a:graphic>
          </wp:anchor>
        </w:drawing>
      </w:r>
      <w:r w:rsidR="00DF746D" w:rsidRPr="003B541B">
        <w:rPr>
          <w:rFonts w:ascii="Arial" w:hAnsi="Arial" w:cs="Arial"/>
          <w:b/>
          <w:bCs/>
        </w:rPr>
        <w:t>Canada:</w:t>
      </w:r>
      <w:r w:rsidR="00DF746D" w:rsidRPr="00AD59C4">
        <w:rPr>
          <w:rFonts w:ascii="Arial" w:hAnsi="Arial" w:cs="Arial"/>
        </w:rPr>
        <w:t xml:space="preserve"> Provincial Autonomy and Gradual Strengthening of Coordination</w:t>
      </w:r>
    </w:p>
    <w:p w14:paraId="426A0CBF" w14:textId="7DD668ED" w:rsidR="007447B0" w:rsidRPr="007447B0" w:rsidRDefault="007447B0" w:rsidP="007447B0">
      <w:pPr>
        <w:jc w:val="center"/>
        <w:rPr>
          <w:rFonts w:ascii="Arial" w:hAnsi="Arial" w:cs="Arial"/>
          <w:b/>
          <w:u w:val="single"/>
          <w:lang w:val="en-IN"/>
        </w:rPr>
      </w:pPr>
      <w:r w:rsidRPr="007447B0">
        <w:rPr>
          <w:rFonts w:ascii="Arial" w:hAnsi="Arial" w:cs="Arial"/>
          <w:b/>
          <w:u w:val="single"/>
          <w:lang w:val="en-IN"/>
        </w:rPr>
        <w:t>Figure 10 : Rich Diagram - Canada Context</w:t>
      </w:r>
    </w:p>
    <w:p w14:paraId="76BF52A2" w14:textId="77777777" w:rsidR="007447B0" w:rsidRDefault="007447B0" w:rsidP="00DF746D">
      <w:pPr>
        <w:rPr>
          <w:rFonts w:ascii="Arial" w:hAnsi="Arial" w:cs="Arial"/>
        </w:rPr>
      </w:pPr>
    </w:p>
    <w:p w14:paraId="79567E42" w14:textId="764601C8" w:rsidR="00DF746D" w:rsidRPr="00AD59C4" w:rsidRDefault="00DF746D" w:rsidP="00DF746D">
      <w:pPr>
        <w:rPr>
          <w:rFonts w:ascii="Arial" w:hAnsi="Arial" w:cs="Arial"/>
        </w:rPr>
      </w:pPr>
      <w:r w:rsidRPr="00AD59C4">
        <w:rPr>
          <w:rFonts w:ascii="Arial" w:hAnsi="Arial" w:cs="Arial"/>
        </w:rPr>
        <w:t>Canada’s federal structure grants provinces authority over healthcare, resulting in variable and sometimes conflicting provincial responses during early waves (Flood &amp; Thomas, 2021).</w:t>
      </w:r>
    </w:p>
    <w:p w14:paraId="7A92F3CC" w14:textId="77777777" w:rsidR="00DF746D" w:rsidRPr="00AD59C4" w:rsidRDefault="00DF746D" w:rsidP="00DF746D">
      <w:pPr>
        <w:rPr>
          <w:rFonts w:ascii="Arial" w:hAnsi="Arial" w:cs="Arial"/>
        </w:rPr>
      </w:pPr>
      <w:r w:rsidRPr="00AD59C4">
        <w:rPr>
          <w:rFonts w:ascii="Arial" w:hAnsi="Arial" w:cs="Arial"/>
        </w:rPr>
        <w:t>Examples include:</w:t>
      </w:r>
    </w:p>
    <w:p w14:paraId="7B1E2FB0" w14:textId="77777777" w:rsidR="00DF746D" w:rsidRPr="00AD59C4" w:rsidRDefault="00DF746D" w:rsidP="00DF746D">
      <w:pPr>
        <w:rPr>
          <w:rFonts w:ascii="Arial" w:hAnsi="Arial" w:cs="Arial"/>
        </w:rPr>
      </w:pPr>
      <w:r w:rsidRPr="00AD59C4">
        <w:rPr>
          <w:rFonts w:ascii="Arial" w:hAnsi="Arial" w:cs="Arial"/>
        </w:rPr>
        <w:t>British Columbia’s early success with rapid tracing and clear communication</w:t>
      </w:r>
    </w:p>
    <w:p w14:paraId="513A6989" w14:textId="77777777" w:rsidR="00DF746D" w:rsidRPr="00AD59C4" w:rsidRDefault="00DF746D" w:rsidP="00DF746D">
      <w:pPr>
        <w:rPr>
          <w:rFonts w:ascii="Arial" w:hAnsi="Arial" w:cs="Arial"/>
        </w:rPr>
      </w:pPr>
      <w:r w:rsidRPr="00AD59C4">
        <w:rPr>
          <w:rFonts w:ascii="Arial" w:hAnsi="Arial" w:cs="Arial"/>
        </w:rPr>
        <w:t>Ontario’s inconsistent restrictions and delayed lockdowns</w:t>
      </w:r>
    </w:p>
    <w:p w14:paraId="2ACC20A9" w14:textId="77777777" w:rsidR="00DF746D" w:rsidRPr="00AD59C4" w:rsidRDefault="00DF746D" w:rsidP="00DF746D">
      <w:pPr>
        <w:rPr>
          <w:rFonts w:ascii="Arial" w:hAnsi="Arial" w:cs="Arial"/>
        </w:rPr>
      </w:pPr>
      <w:r w:rsidRPr="00AD59C4">
        <w:rPr>
          <w:rFonts w:ascii="Arial" w:hAnsi="Arial" w:cs="Arial"/>
        </w:rPr>
        <w:t>Quebec’s severe outbreaks in long-term care homes, exposing structural weaknesses</w:t>
      </w:r>
    </w:p>
    <w:p w14:paraId="07339036" w14:textId="4ACA3A4C" w:rsidR="00DF746D" w:rsidRPr="00AD59C4" w:rsidRDefault="00DF746D" w:rsidP="00DF746D">
      <w:pPr>
        <w:rPr>
          <w:rFonts w:ascii="Arial" w:hAnsi="Arial" w:cs="Arial"/>
        </w:rPr>
      </w:pPr>
      <w:r w:rsidRPr="00AD59C4">
        <w:rPr>
          <w:rFonts w:ascii="Arial" w:hAnsi="Arial" w:cs="Arial"/>
        </w:rPr>
        <w:t xml:space="preserve">The federal government's role is limited </w:t>
      </w:r>
      <w:r w:rsidR="002C69FF" w:rsidRPr="00AD59C4">
        <w:rPr>
          <w:rFonts w:ascii="Arial" w:hAnsi="Arial" w:cs="Arial"/>
        </w:rPr>
        <w:t xml:space="preserve">to: </w:t>
      </w:r>
      <w:r w:rsidR="002C69FF">
        <w:rPr>
          <w:rFonts w:ascii="Arial" w:hAnsi="Arial" w:cs="Arial"/>
        </w:rPr>
        <w:t>B</w:t>
      </w:r>
      <w:r w:rsidR="002C69FF" w:rsidRPr="00AD59C4">
        <w:rPr>
          <w:rFonts w:ascii="Arial" w:hAnsi="Arial" w:cs="Arial"/>
        </w:rPr>
        <w:t>order</w:t>
      </w:r>
      <w:r w:rsidRPr="00AD59C4">
        <w:rPr>
          <w:rFonts w:ascii="Arial" w:hAnsi="Arial" w:cs="Arial"/>
        </w:rPr>
        <w:t xml:space="preserve"> </w:t>
      </w:r>
      <w:r w:rsidR="00142DE3" w:rsidRPr="00AD59C4">
        <w:rPr>
          <w:rFonts w:ascii="Arial" w:hAnsi="Arial" w:cs="Arial"/>
        </w:rPr>
        <w:t>control</w:t>
      </w:r>
      <w:r w:rsidR="00142DE3">
        <w:rPr>
          <w:rFonts w:ascii="Arial" w:hAnsi="Arial" w:cs="Arial"/>
        </w:rPr>
        <w:t>,</w:t>
      </w:r>
      <w:r w:rsidR="00142DE3" w:rsidRPr="00AD59C4">
        <w:rPr>
          <w:rFonts w:ascii="Arial" w:hAnsi="Arial" w:cs="Arial"/>
        </w:rPr>
        <w:t xml:space="preserve"> national</w:t>
      </w:r>
      <w:r w:rsidRPr="00AD59C4">
        <w:rPr>
          <w:rFonts w:ascii="Arial" w:hAnsi="Arial" w:cs="Arial"/>
        </w:rPr>
        <w:t xml:space="preserve"> procurement of vaccines, PPE, and rapid </w:t>
      </w:r>
      <w:r w:rsidR="00142DE3" w:rsidRPr="00AD59C4">
        <w:rPr>
          <w:rFonts w:ascii="Arial" w:hAnsi="Arial" w:cs="Arial"/>
        </w:rPr>
        <w:t>tests</w:t>
      </w:r>
      <w:r w:rsidR="00142DE3">
        <w:rPr>
          <w:rFonts w:ascii="Arial" w:hAnsi="Arial" w:cs="Arial"/>
        </w:rPr>
        <w:t>,</w:t>
      </w:r>
      <w:r w:rsidR="00142DE3" w:rsidRPr="00AD59C4">
        <w:rPr>
          <w:rFonts w:ascii="Arial" w:hAnsi="Arial" w:cs="Arial"/>
        </w:rPr>
        <w:t xml:space="preserve"> economic</w:t>
      </w:r>
      <w:r w:rsidRPr="00AD59C4">
        <w:rPr>
          <w:rFonts w:ascii="Arial" w:hAnsi="Arial" w:cs="Arial"/>
        </w:rPr>
        <w:t xml:space="preserve"> stimulus </w:t>
      </w:r>
      <w:r w:rsidR="00142DE3" w:rsidRPr="00AD59C4">
        <w:rPr>
          <w:rFonts w:ascii="Arial" w:hAnsi="Arial" w:cs="Arial"/>
        </w:rPr>
        <w:t>packages</w:t>
      </w:r>
      <w:r w:rsidR="00142DE3">
        <w:rPr>
          <w:rFonts w:ascii="Arial" w:hAnsi="Arial" w:cs="Arial"/>
        </w:rPr>
        <w:t>,</w:t>
      </w:r>
      <w:r w:rsidR="00142DE3" w:rsidRPr="00AD59C4">
        <w:rPr>
          <w:rFonts w:ascii="Arial" w:hAnsi="Arial" w:cs="Arial"/>
        </w:rPr>
        <w:t xml:space="preserve"> national</w:t>
      </w:r>
      <w:r w:rsidRPr="00AD59C4">
        <w:rPr>
          <w:rFonts w:ascii="Arial" w:hAnsi="Arial" w:cs="Arial"/>
        </w:rPr>
        <w:t xml:space="preserve"> guidance through the Public Health Agency of Canada (PHAC)</w:t>
      </w:r>
    </w:p>
    <w:p w14:paraId="57AD1E8A" w14:textId="77777777" w:rsidR="00DF746D" w:rsidRPr="00AD59C4" w:rsidRDefault="00DF746D" w:rsidP="00DF746D">
      <w:pPr>
        <w:rPr>
          <w:rFonts w:ascii="Arial" w:hAnsi="Arial" w:cs="Arial"/>
        </w:rPr>
      </w:pPr>
      <w:r w:rsidRPr="00AD59C4">
        <w:rPr>
          <w:rFonts w:ascii="Arial" w:hAnsi="Arial" w:cs="Arial"/>
        </w:rPr>
        <w:t>Intergovernmental coordination improved through frequent First Ministers’ Meetings, federal funding to provincial health systems, and joint vaccine rollout strategies. By late 2021, cooperation had strengthened substantially: Canada achieved one of the world’s highest vaccination rates, demonstrating the capacity of federations to converge over time despite early disparities.</w:t>
      </w:r>
    </w:p>
    <w:p w14:paraId="27797205" w14:textId="77777777" w:rsidR="00DF746D" w:rsidRPr="00AD59C4" w:rsidRDefault="00DF746D" w:rsidP="00DF746D">
      <w:pPr>
        <w:rPr>
          <w:rFonts w:ascii="Arial" w:hAnsi="Arial" w:cs="Arial"/>
        </w:rPr>
      </w:pPr>
    </w:p>
    <w:p w14:paraId="548FFFE5" w14:textId="77777777" w:rsidR="004B21B5" w:rsidRDefault="004B21B5" w:rsidP="00DF746D">
      <w:pPr>
        <w:rPr>
          <w:rFonts w:ascii="Arial" w:hAnsi="Arial" w:cs="Arial"/>
        </w:rPr>
      </w:pPr>
    </w:p>
    <w:p w14:paraId="1D316681" w14:textId="24EB1B9E" w:rsidR="006C1F7A" w:rsidRPr="00AD59C4" w:rsidRDefault="00C8296F" w:rsidP="006C1F7A">
      <w:pPr>
        <w:rPr>
          <w:rFonts w:ascii="Arial" w:hAnsi="Arial" w:cs="Arial"/>
        </w:rPr>
      </w:pPr>
      <w:r>
        <w:rPr>
          <w:rFonts w:ascii="Arial" w:hAnsi="Arial" w:cs="Arial"/>
          <w:noProof/>
          <w:color w:val="000000" w:themeColor="text1"/>
        </w:rPr>
        <w:lastRenderedPageBreak/>
        <w:drawing>
          <wp:anchor distT="0" distB="0" distL="114300" distR="114300" simplePos="0" relativeHeight="251650560" behindDoc="0" locked="0" layoutInCell="1" allowOverlap="1" wp14:anchorId="48B86776" wp14:editId="7CAA9CDB">
            <wp:simplePos x="0" y="0"/>
            <wp:positionH relativeFrom="column">
              <wp:posOffset>1988820</wp:posOffset>
            </wp:positionH>
            <wp:positionV relativeFrom="paragraph">
              <wp:posOffset>245745</wp:posOffset>
            </wp:positionV>
            <wp:extent cx="402590" cy="347345"/>
            <wp:effectExtent l="0" t="0" r="0" b="0"/>
            <wp:wrapNone/>
            <wp:docPr id="3405272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2590" cy="347345"/>
                    </a:xfrm>
                    <a:prstGeom prst="rect">
                      <a:avLst/>
                    </a:prstGeom>
                    <a:noFill/>
                  </pic:spPr>
                </pic:pic>
              </a:graphicData>
            </a:graphic>
          </wp:anchor>
        </w:drawing>
      </w:r>
    </w:p>
    <w:p w14:paraId="41CD78FB" w14:textId="40840CC8" w:rsidR="0014025F" w:rsidRPr="0010316E" w:rsidRDefault="00DD3332">
      <w:pPr>
        <w:pStyle w:val="Heading2"/>
        <w:rPr>
          <w:rFonts w:ascii="Arial" w:hAnsi="Arial" w:cs="Arial"/>
          <w:color w:val="000000" w:themeColor="text1"/>
          <w:sz w:val="22"/>
          <w:szCs w:val="22"/>
        </w:rPr>
      </w:pPr>
      <w:r w:rsidRPr="0010316E">
        <w:rPr>
          <w:rFonts w:ascii="Arial" w:hAnsi="Arial" w:cs="Arial"/>
          <w:color w:val="000000" w:themeColor="text1"/>
          <w:sz w:val="22"/>
          <w:szCs w:val="22"/>
        </w:rPr>
        <w:t>5. Policy Recommendations</w:t>
      </w:r>
    </w:p>
    <w:p w14:paraId="01CFBB1D" w14:textId="77777777" w:rsidR="0010316E" w:rsidRPr="0010316E" w:rsidRDefault="0010316E" w:rsidP="0010316E">
      <w:pPr>
        <w:rPr>
          <w:color w:val="000000" w:themeColor="text1"/>
        </w:rPr>
      </w:pPr>
    </w:p>
    <w:p w14:paraId="5CA359BA" w14:textId="05424562" w:rsidR="000F6661" w:rsidRPr="00AD59C4" w:rsidRDefault="000F6661" w:rsidP="000F6661">
      <w:pPr>
        <w:rPr>
          <w:rFonts w:ascii="Arial" w:hAnsi="Arial" w:cs="Arial"/>
        </w:rPr>
      </w:pPr>
      <w:r w:rsidRPr="00AD59C4">
        <w:rPr>
          <w:rFonts w:ascii="Arial" w:hAnsi="Arial" w:cs="Arial"/>
        </w:rPr>
        <w:t xml:space="preserve">5.1 Institutional Readiness and System Flexibility </w:t>
      </w:r>
    </w:p>
    <w:p w14:paraId="40F1BCB4" w14:textId="77777777" w:rsidR="000F6661" w:rsidRPr="00AD59C4" w:rsidRDefault="000F6661" w:rsidP="000F6661">
      <w:pPr>
        <w:rPr>
          <w:rFonts w:ascii="Arial" w:hAnsi="Arial" w:cs="Arial"/>
        </w:rPr>
      </w:pPr>
      <w:r w:rsidRPr="00AD59C4">
        <w:rPr>
          <w:rFonts w:ascii="Arial" w:hAnsi="Arial" w:cs="Arial"/>
        </w:rPr>
        <w:t>COVID-19 highlighted the critical importance of maintaining robust institutional readiness, which includes pre-planned emergency frameworks, adequate stockpiles, and the capacity to scale resources rapidly. Effective pandemic governance depends on institutions that can anticipate, absorb, respond to, and recover from sudden shocks.</w:t>
      </w:r>
    </w:p>
    <w:p w14:paraId="14E1224F" w14:textId="77777777" w:rsidR="000F6661" w:rsidRPr="00AD59C4" w:rsidRDefault="000F6661" w:rsidP="000F6661">
      <w:pPr>
        <w:rPr>
          <w:rFonts w:ascii="Arial" w:hAnsi="Arial" w:cs="Arial"/>
        </w:rPr>
      </w:pPr>
    </w:p>
    <w:p w14:paraId="1BEDDDCF" w14:textId="77777777" w:rsidR="000F6661" w:rsidRPr="00AD59C4" w:rsidRDefault="000F6661" w:rsidP="000F6661">
      <w:pPr>
        <w:rPr>
          <w:rFonts w:ascii="Arial" w:hAnsi="Arial" w:cs="Arial"/>
        </w:rPr>
      </w:pPr>
      <w:r w:rsidRPr="00AD59C4">
        <w:rPr>
          <w:rFonts w:ascii="Arial" w:hAnsi="Arial" w:cs="Arial"/>
        </w:rPr>
        <w:t>Strengthen Emergency Frameworks</w:t>
      </w:r>
    </w:p>
    <w:p w14:paraId="6643C47F" w14:textId="77777777" w:rsidR="000F6661" w:rsidRPr="0036291F" w:rsidRDefault="000F6661" w:rsidP="0036291F">
      <w:pPr>
        <w:pStyle w:val="ListParagraph"/>
        <w:numPr>
          <w:ilvl w:val="0"/>
          <w:numId w:val="27"/>
        </w:numPr>
        <w:rPr>
          <w:rFonts w:ascii="Arial" w:hAnsi="Arial" w:cs="Arial"/>
        </w:rPr>
      </w:pPr>
      <w:r w:rsidRPr="0036291F">
        <w:rPr>
          <w:rFonts w:ascii="Arial" w:hAnsi="Arial" w:cs="Arial"/>
        </w:rPr>
        <w:t>Countries should maintain up-to-date, legally enforceable emergency response plans that clearly define:</w:t>
      </w:r>
    </w:p>
    <w:p w14:paraId="45123012" w14:textId="77777777" w:rsidR="000F6661" w:rsidRPr="0036291F" w:rsidRDefault="000F6661" w:rsidP="0036291F">
      <w:pPr>
        <w:pStyle w:val="ListParagraph"/>
        <w:numPr>
          <w:ilvl w:val="0"/>
          <w:numId w:val="27"/>
        </w:numPr>
        <w:rPr>
          <w:rFonts w:ascii="Arial" w:hAnsi="Arial" w:cs="Arial"/>
        </w:rPr>
      </w:pPr>
      <w:r w:rsidRPr="0036291F">
        <w:rPr>
          <w:rFonts w:ascii="Arial" w:hAnsi="Arial" w:cs="Arial"/>
        </w:rPr>
        <w:t>roles and responsibilities across ministries</w:t>
      </w:r>
    </w:p>
    <w:p w14:paraId="38F01383" w14:textId="77777777" w:rsidR="000F6661" w:rsidRPr="0036291F" w:rsidRDefault="000F6661" w:rsidP="0036291F">
      <w:pPr>
        <w:pStyle w:val="ListParagraph"/>
        <w:numPr>
          <w:ilvl w:val="0"/>
          <w:numId w:val="27"/>
        </w:numPr>
        <w:rPr>
          <w:rFonts w:ascii="Arial" w:hAnsi="Arial" w:cs="Arial"/>
        </w:rPr>
      </w:pPr>
      <w:r w:rsidRPr="0036291F">
        <w:rPr>
          <w:rFonts w:ascii="Arial" w:hAnsi="Arial" w:cs="Arial"/>
        </w:rPr>
        <w:t>thresholds for activating national or regional emergency powers</w:t>
      </w:r>
    </w:p>
    <w:p w14:paraId="66F9EFE8" w14:textId="77777777" w:rsidR="000F6661" w:rsidRPr="0036291F" w:rsidRDefault="000F6661" w:rsidP="0036291F">
      <w:pPr>
        <w:pStyle w:val="ListParagraph"/>
        <w:numPr>
          <w:ilvl w:val="0"/>
          <w:numId w:val="27"/>
        </w:numPr>
        <w:rPr>
          <w:rFonts w:ascii="Arial" w:hAnsi="Arial" w:cs="Arial"/>
        </w:rPr>
      </w:pPr>
      <w:r w:rsidRPr="0036291F">
        <w:rPr>
          <w:rFonts w:ascii="Arial" w:hAnsi="Arial" w:cs="Arial"/>
        </w:rPr>
        <w:t>protocols for testing, surveillance, and contact tracing</w:t>
      </w:r>
    </w:p>
    <w:p w14:paraId="0C2822D5" w14:textId="55FA0190" w:rsidR="000F6661" w:rsidRPr="0036291F" w:rsidRDefault="000F6661" w:rsidP="000F6661">
      <w:pPr>
        <w:pStyle w:val="ListParagraph"/>
        <w:numPr>
          <w:ilvl w:val="0"/>
          <w:numId w:val="27"/>
        </w:numPr>
        <w:rPr>
          <w:rFonts w:ascii="Arial" w:hAnsi="Arial" w:cs="Arial"/>
        </w:rPr>
      </w:pPr>
      <w:r w:rsidRPr="0036291F">
        <w:rPr>
          <w:rFonts w:ascii="Arial" w:hAnsi="Arial" w:cs="Arial"/>
        </w:rPr>
        <w:t>rapid procurement mechanisms</w:t>
      </w:r>
    </w:p>
    <w:p w14:paraId="7ACCFB19" w14:textId="77777777" w:rsidR="000F6661" w:rsidRPr="00AD59C4" w:rsidRDefault="000F6661" w:rsidP="000F6661">
      <w:pPr>
        <w:rPr>
          <w:rFonts w:ascii="Arial" w:hAnsi="Arial" w:cs="Arial"/>
        </w:rPr>
      </w:pPr>
      <w:r w:rsidRPr="00AD59C4">
        <w:rPr>
          <w:rFonts w:ascii="Arial" w:hAnsi="Arial" w:cs="Arial"/>
        </w:rPr>
        <w:t>South Korea’s post-MERS legal reforms demonstrate how embedding emergency procedures into national law can reduce decision-making delays and enhance coordination.</w:t>
      </w:r>
    </w:p>
    <w:p w14:paraId="57D35E27" w14:textId="77777777" w:rsidR="00E84BA4" w:rsidRDefault="00E84BA4" w:rsidP="000F6661">
      <w:pPr>
        <w:rPr>
          <w:rFonts w:ascii="Arial" w:hAnsi="Arial" w:cs="Arial"/>
        </w:rPr>
      </w:pPr>
    </w:p>
    <w:p w14:paraId="7323088A" w14:textId="4CBF0944" w:rsidR="000F6661" w:rsidRPr="00AD59C4" w:rsidRDefault="000F6661" w:rsidP="000F6661">
      <w:pPr>
        <w:rPr>
          <w:rFonts w:ascii="Arial" w:hAnsi="Arial" w:cs="Arial"/>
        </w:rPr>
      </w:pPr>
      <w:r w:rsidRPr="00AD59C4">
        <w:rPr>
          <w:rFonts w:ascii="Arial" w:hAnsi="Arial" w:cs="Arial"/>
        </w:rPr>
        <w:t>Maintain Strategic Stockpiles</w:t>
      </w:r>
    </w:p>
    <w:p w14:paraId="3184D390" w14:textId="77777777" w:rsidR="000F6661" w:rsidRPr="00AD59C4" w:rsidRDefault="000F6661" w:rsidP="000F6661">
      <w:pPr>
        <w:rPr>
          <w:rFonts w:ascii="Arial" w:hAnsi="Arial" w:cs="Arial"/>
        </w:rPr>
      </w:pPr>
      <w:r w:rsidRPr="00AD59C4">
        <w:rPr>
          <w:rFonts w:ascii="Arial" w:hAnsi="Arial" w:cs="Arial"/>
        </w:rPr>
        <w:t>COVID-19 exposed major shortages of PPE, ventilators, ICU equipment, and diagnostic supplies in countries such as Spain and Canada. Governments must maintain:</w:t>
      </w:r>
    </w:p>
    <w:p w14:paraId="6E3ECA43" w14:textId="314405EF" w:rsidR="000F6661" w:rsidRPr="0076132A" w:rsidRDefault="000F6661" w:rsidP="0076132A">
      <w:pPr>
        <w:pStyle w:val="ListParagraph"/>
        <w:numPr>
          <w:ilvl w:val="0"/>
          <w:numId w:val="33"/>
        </w:numPr>
        <w:rPr>
          <w:rFonts w:ascii="Arial" w:hAnsi="Arial" w:cs="Arial"/>
        </w:rPr>
      </w:pPr>
      <w:r w:rsidRPr="0076132A">
        <w:rPr>
          <w:rFonts w:ascii="Arial" w:hAnsi="Arial" w:cs="Arial"/>
        </w:rPr>
        <w:t>national medical stockpiles with diversified supply chains</w:t>
      </w:r>
    </w:p>
    <w:p w14:paraId="7EF1FC16" w14:textId="5AE52416" w:rsidR="000F6661" w:rsidRPr="0076132A" w:rsidRDefault="000F6661" w:rsidP="0076132A">
      <w:pPr>
        <w:pStyle w:val="ListParagraph"/>
        <w:numPr>
          <w:ilvl w:val="0"/>
          <w:numId w:val="33"/>
        </w:numPr>
        <w:rPr>
          <w:rFonts w:ascii="Arial" w:hAnsi="Arial" w:cs="Arial"/>
        </w:rPr>
      </w:pPr>
      <w:r w:rsidRPr="0076132A">
        <w:rPr>
          <w:rFonts w:ascii="Arial" w:hAnsi="Arial" w:cs="Arial"/>
        </w:rPr>
        <w:t>emergency reserves of pharmaceuticals and vaccines</w:t>
      </w:r>
    </w:p>
    <w:p w14:paraId="31FC8BCB" w14:textId="18EAF87F" w:rsidR="000F6661" w:rsidRPr="0076132A" w:rsidRDefault="000F6661" w:rsidP="0076132A">
      <w:pPr>
        <w:pStyle w:val="ListParagraph"/>
        <w:numPr>
          <w:ilvl w:val="0"/>
          <w:numId w:val="33"/>
        </w:numPr>
        <w:rPr>
          <w:rFonts w:ascii="Arial" w:hAnsi="Arial" w:cs="Arial"/>
        </w:rPr>
      </w:pPr>
      <w:r w:rsidRPr="0076132A">
        <w:rPr>
          <w:rFonts w:ascii="Arial" w:hAnsi="Arial" w:cs="Arial"/>
        </w:rPr>
        <w:t>surge-ready laboratory and genomic sequencing capacity</w:t>
      </w:r>
    </w:p>
    <w:p w14:paraId="561400A6" w14:textId="77777777" w:rsidR="000F6661" w:rsidRDefault="000F6661" w:rsidP="000F6661">
      <w:pPr>
        <w:rPr>
          <w:rFonts w:ascii="Arial" w:hAnsi="Arial" w:cs="Arial"/>
        </w:rPr>
      </w:pPr>
      <w:r w:rsidRPr="00AD59C4">
        <w:rPr>
          <w:rFonts w:ascii="Arial" w:hAnsi="Arial" w:cs="Arial"/>
        </w:rPr>
        <w:t>Stockpiles should be reviewed annually and distributed through transparent allocation frameworks to avoid inequities during crises.</w:t>
      </w:r>
    </w:p>
    <w:p w14:paraId="5255A51B" w14:textId="77777777" w:rsidR="001163F1" w:rsidRPr="00AD59C4" w:rsidRDefault="001163F1" w:rsidP="000F6661">
      <w:pPr>
        <w:rPr>
          <w:rFonts w:ascii="Arial" w:hAnsi="Arial" w:cs="Arial"/>
        </w:rPr>
      </w:pPr>
    </w:p>
    <w:p w14:paraId="7B122510" w14:textId="77777777" w:rsidR="001163F1" w:rsidRDefault="001163F1" w:rsidP="000F6661">
      <w:pPr>
        <w:rPr>
          <w:rFonts w:ascii="Arial" w:hAnsi="Arial" w:cs="Arial"/>
        </w:rPr>
      </w:pPr>
    </w:p>
    <w:p w14:paraId="58489DFF" w14:textId="77777777" w:rsidR="001163F1" w:rsidRDefault="001163F1" w:rsidP="000F6661">
      <w:pPr>
        <w:rPr>
          <w:rFonts w:ascii="Arial" w:hAnsi="Arial" w:cs="Arial"/>
        </w:rPr>
      </w:pPr>
    </w:p>
    <w:p w14:paraId="20996A44" w14:textId="77777777" w:rsidR="001163F1" w:rsidRDefault="001163F1" w:rsidP="000F6661">
      <w:pPr>
        <w:rPr>
          <w:rFonts w:ascii="Arial" w:hAnsi="Arial" w:cs="Arial"/>
        </w:rPr>
      </w:pPr>
    </w:p>
    <w:p w14:paraId="6EE28366" w14:textId="74E21701" w:rsidR="000F6661" w:rsidRPr="00AD59C4" w:rsidRDefault="000F6661" w:rsidP="000F6661">
      <w:pPr>
        <w:rPr>
          <w:rFonts w:ascii="Arial" w:hAnsi="Arial" w:cs="Arial"/>
        </w:rPr>
      </w:pPr>
      <w:r w:rsidRPr="00AD59C4">
        <w:rPr>
          <w:rFonts w:ascii="Arial" w:hAnsi="Arial" w:cs="Arial"/>
        </w:rPr>
        <w:lastRenderedPageBreak/>
        <w:t>Enhance System Flexibility</w:t>
      </w:r>
    </w:p>
    <w:p w14:paraId="2CEBAAEF" w14:textId="77777777" w:rsidR="000F6661" w:rsidRPr="00AD59C4" w:rsidRDefault="000F6661" w:rsidP="000F6661">
      <w:pPr>
        <w:rPr>
          <w:rFonts w:ascii="Arial" w:hAnsi="Arial" w:cs="Arial"/>
        </w:rPr>
      </w:pPr>
      <w:r w:rsidRPr="00AD59C4">
        <w:rPr>
          <w:rFonts w:ascii="Arial" w:hAnsi="Arial" w:cs="Arial"/>
        </w:rPr>
        <w:t>Healthcare systems must be able to rapidly expand capacity by:</w:t>
      </w:r>
    </w:p>
    <w:p w14:paraId="4B614C87" w14:textId="389C22A2" w:rsidR="000F6661" w:rsidRPr="0076132A" w:rsidRDefault="00926E92" w:rsidP="0076132A">
      <w:pPr>
        <w:pStyle w:val="ListParagraph"/>
        <w:numPr>
          <w:ilvl w:val="0"/>
          <w:numId w:val="32"/>
        </w:numPr>
        <w:rPr>
          <w:rFonts w:ascii="Arial" w:hAnsi="Arial" w:cs="Arial"/>
        </w:rPr>
      </w:pPr>
      <w:r w:rsidRPr="0076132A">
        <w:rPr>
          <w:rFonts w:ascii="Arial" w:hAnsi="Arial" w:cs="Arial"/>
        </w:rPr>
        <w:t>using</w:t>
      </w:r>
      <w:r w:rsidR="000F6661" w:rsidRPr="0076132A">
        <w:rPr>
          <w:rFonts w:ascii="Arial" w:hAnsi="Arial" w:cs="Arial"/>
        </w:rPr>
        <w:t xml:space="preserve"> flexible ICU models</w:t>
      </w:r>
    </w:p>
    <w:p w14:paraId="1A520141" w14:textId="36240A89" w:rsidR="000F6661" w:rsidRPr="0076132A" w:rsidRDefault="000F6661" w:rsidP="0076132A">
      <w:pPr>
        <w:pStyle w:val="ListParagraph"/>
        <w:numPr>
          <w:ilvl w:val="0"/>
          <w:numId w:val="32"/>
        </w:numPr>
        <w:rPr>
          <w:rFonts w:ascii="Arial" w:hAnsi="Arial" w:cs="Arial"/>
        </w:rPr>
      </w:pPr>
      <w:r w:rsidRPr="0076132A">
        <w:rPr>
          <w:rFonts w:ascii="Arial" w:hAnsi="Arial" w:cs="Arial"/>
        </w:rPr>
        <w:t>cross-training healthcare workers</w:t>
      </w:r>
    </w:p>
    <w:p w14:paraId="3EC62FDE" w14:textId="0E9822BB" w:rsidR="000F6661" w:rsidRPr="0076132A" w:rsidRDefault="000F6661" w:rsidP="0076132A">
      <w:pPr>
        <w:pStyle w:val="ListParagraph"/>
        <w:numPr>
          <w:ilvl w:val="0"/>
          <w:numId w:val="32"/>
        </w:numPr>
        <w:rPr>
          <w:rFonts w:ascii="Arial" w:hAnsi="Arial" w:cs="Arial"/>
        </w:rPr>
      </w:pPr>
      <w:r w:rsidRPr="0076132A">
        <w:rPr>
          <w:rFonts w:ascii="Arial" w:hAnsi="Arial" w:cs="Arial"/>
        </w:rPr>
        <w:t>integrating telemedicine to maintain non-COVID care</w:t>
      </w:r>
    </w:p>
    <w:p w14:paraId="7E745C26" w14:textId="4B105E20" w:rsidR="000F6661" w:rsidRPr="0076132A" w:rsidRDefault="000F6661" w:rsidP="0076132A">
      <w:pPr>
        <w:pStyle w:val="ListParagraph"/>
        <w:numPr>
          <w:ilvl w:val="0"/>
          <w:numId w:val="32"/>
        </w:numPr>
        <w:rPr>
          <w:rFonts w:ascii="Arial" w:hAnsi="Arial" w:cs="Arial"/>
        </w:rPr>
      </w:pPr>
      <w:r w:rsidRPr="0076132A">
        <w:rPr>
          <w:rFonts w:ascii="Arial" w:hAnsi="Arial" w:cs="Arial"/>
        </w:rPr>
        <w:t>establishing modular hospitals or emergency care centres</w:t>
      </w:r>
    </w:p>
    <w:p w14:paraId="55526AB7" w14:textId="77777777" w:rsidR="000F6661" w:rsidRPr="00AD59C4" w:rsidRDefault="000F6661" w:rsidP="000F6661">
      <w:pPr>
        <w:rPr>
          <w:rFonts w:ascii="Arial" w:hAnsi="Arial" w:cs="Arial"/>
        </w:rPr>
      </w:pPr>
      <w:r w:rsidRPr="00AD59C4">
        <w:rPr>
          <w:rFonts w:ascii="Arial" w:hAnsi="Arial" w:cs="Arial"/>
        </w:rPr>
        <w:t>Flexible governance—such as temporary centralisation during severe waves—can also support faster decision-making, as demonstrated by Spain during the State of Alarm.</w:t>
      </w:r>
    </w:p>
    <w:p w14:paraId="067F422F" w14:textId="415F8C30" w:rsidR="000F6661" w:rsidRPr="00AD59C4" w:rsidRDefault="000F6661" w:rsidP="000F6661">
      <w:pPr>
        <w:rPr>
          <w:rFonts w:ascii="Arial" w:hAnsi="Arial" w:cs="Arial"/>
        </w:rPr>
      </w:pPr>
    </w:p>
    <w:p w14:paraId="5B1AAF42" w14:textId="77777777" w:rsidR="000F6661" w:rsidRPr="00AD59C4" w:rsidRDefault="000F6661" w:rsidP="000F6661">
      <w:pPr>
        <w:rPr>
          <w:rFonts w:ascii="Arial" w:hAnsi="Arial" w:cs="Arial"/>
        </w:rPr>
      </w:pPr>
      <w:r w:rsidRPr="00AD59C4">
        <w:rPr>
          <w:rFonts w:ascii="Arial" w:hAnsi="Arial" w:cs="Arial"/>
        </w:rPr>
        <w:t>5.2 Leadership Agility and Communication (Detailed)</w:t>
      </w:r>
    </w:p>
    <w:p w14:paraId="20274224" w14:textId="77777777" w:rsidR="000F6661" w:rsidRPr="00AD59C4" w:rsidRDefault="000F6661" w:rsidP="000F6661">
      <w:pPr>
        <w:rPr>
          <w:rFonts w:ascii="Arial" w:hAnsi="Arial" w:cs="Arial"/>
        </w:rPr>
      </w:pPr>
      <w:r w:rsidRPr="00AD59C4">
        <w:rPr>
          <w:rFonts w:ascii="Arial" w:hAnsi="Arial" w:cs="Arial"/>
        </w:rPr>
        <w:t>Leadership during a pandemic requires agility, adaptability, and effective communication. Transparent communication is strongly associated with higher public compliance, lower misinformation, and improved trust in government institutions.</w:t>
      </w:r>
    </w:p>
    <w:p w14:paraId="1D212537" w14:textId="77777777" w:rsidR="000F6661" w:rsidRPr="00AD59C4" w:rsidRDefault="000F6661" w:rsidP="000F6661">
      <w:pPr>
        <w:rPr>
          <w:rFonts w:ascii="Arial" w:hAnsi="Arial" w:cs="Arial"/>
        </w:rPr>
      </w:pPr>
    </w:p>
    <w:p w14:paraId="1B9D630F" w14:textId="77777777" w:rsidR="000F6661" w:rsidRPr="00AD59C4" w:rsidRDefault="000F6661" w:rsidP="000F6661">
      <w:pPr>
        <w:rPr>
          <w:rFonts w:ascii="Arial" w:hAnsi="Arial" w:cs="Arial"/>
        </w:rPr>
      </w:pPr>
      <w:r w:rsidRPr="00AD59C4">
        <w:rPr>
          <w:rFonts w:ascii="Arial" w:hAnsi="Arial" w:cs="Arial"/>
        </w:rPr>
        <w:t>Transparent, Frequent, and Consistent Communication</w:t>
      </w:r>
    </w:p>
    <w:p w14:paraId="66958ADC" w14:textId="77777777" w:rsidR="000F6661" w:rsidRPr="00AD59C4" w:rsidRDefault="000F6661" w:rsidP="000F6661">
      <w:pPr>
        <w:rPr>
          <w:rFonts w:ascii="Arial" w:hAnsi="Arial" w:cs="Arial"/>
        </w:rPr>
      </w:pPr>
      <w:r w:rsidRPr="00AD59C4">
        <w:rPr>
          <w:rFonts w:ascii="Arial" w:hAnsi="Arial" w:cs="Arial"/>
        </w:rPr>
        <w:t>Governments should adopt:</w:t>
      </w:r>
    </w:p>
    <w:p w14:paraId="34985E0A" w14:textId="71633237" w:rsidR="000F6661" w:rsidRPr="0076132A" w:rsidRDefault="000F6661" w:rsidP="0076132A">
      <w:pPr>
        <w:pStyle w:val="ListParagraph"/>
        <w:numPr>
          <w:ilvl w:val="0"/>
          <w:numId w:val="31"/>
        </w:numPr>
        <w:rPr>
          <w:rFonts w:ascii="Arial" w:hAnsi="Arial" w:cs="Arial"/>
        </w:rPr>
      </w:pPr>
      <w:r w:rsidRPr="0076132A">
        <w:rPr>
          <w:rFonts w:ascii="Arial" w:hAnsi="Arial" w:cs="Arial"/>
        </w:rPr>
        <w:t>daily or regular briefings led by health experts</w:t>
      </w:r>
    </w:p>
    <w:p w14:paraId="05D99AC3" w14:textId="08811B65" w:rsidR="000F6661" w:rsidRPr="0076132A" w:rsidRDefault="000F6661" w:rsidP="0076132A">
      <w:pPr>
        <w:pStyle w:val="ListParagraph"/>
        <w:numPr>
          <w:ilvl w:val="0"/>
          <w:numId w:val="31"/>
        </w:numPr>
        <w:rPr>
          <w:rFonts w:ascii="Arial" w:hAnsi="Arial" w:cs="Arial"/>
        </w:rPr>
      </w:pPr>
      <w:r w:rsidRPr="0076132A">
        <w:rPr>
          <w:rFonts w:ascii="Arial" w:hAnsi="Arial" w:cs="Arial"/>
        </w:rPr>
        <w:t>clear messaging on risks and protective behaviours</w:t>
      </w:r>
    </w:p>
    <w:p w14:paraId="0812D960" w14:textId="1201D02B" w:rsidR="000F6661" w:rsidRPr="0076132A" w:rsidRDefault="000F6661" w:rsidP="0076132A">
      <w:pPr>
        <w:pStyle w:val="ListParagraph"/>
        <w:numPr>
          <w:ilvl w:val="0"/>
          <w:numId w:val="31"/>
        </w:numPr>
        <w:rPr>
          <w:rFonts w:ascii="Arial" w:hAnsi="Arial" w:cs="Arial"/>
        </w:rPr>
      </w:pPr>
      <w:r w:rsidRPr="0076132A">
        <w:rPr>
          <w:rFonts w:ascii="Arial" w:hAnsi="Arial" w:cs="Arial"/>
        </w:rPr>
        <w:t>data transparency, including real-time dashboards</w:t>
      </w:r>
    </w:p>
    <w:p w14:paraId="6B512DCC" w14:textId="7BD8BDF2" w:rsidR="000F6661" w:rsidRPr="00AD59C4" w:rsidRDefault="000F6661" w:rsidP="000F6661">
      <w:pPr>
        <w:rPr>
          <w:rFonts w:ascii="Arial" w:hAnsi="Arial" w:cs="Arial"/>
        </w:rPr>
      </w:pPr>
      <w:r w:rsidRPr="00AD59C4">
        <w:rPr>
          <w:rFonts w:ascii="Arial" w:hAnsi="Arial" w:cs="Arial"/>
        </w:rPr>
        <w:t>South Korea’s twice-daily briefings built public trust, while inconsistent early communication in Spain contributed to public confusion.</w:t>
      </w:r>
    </w:p>
    <w:p w14:paraId="2456DF7A" w14:textId="77777777" w:rsidR="000F6661" w:rsidRPr="00AD59C4" w:rsidRDefault="000F6661" w:rsidP="000F6661">
      <w:pPr>
        <w:rPr>
          <w:rFonts w:ascii="Arial" w:hAnsi="Arial" w:cs="Arial"/>
        </w:rPr>
      </w:pPr>
    </w:p>
    <w:p w14:paraId="33C8023E" w14:textId="77777777" w:rsidR="000F6661" w:rsidRPr="00AD59C4" w:rsidRDefault="000F6661" w:rsidP="000F6661">
      <w:pPr>
        <w:rPr>
          <w:rFonts w:ascii="Arial" w:hAnsi="Arial" w:cs="Arial"/>
        </w:rPr>
      </w:pPr>
      <w:r w:rsidRPr="00AD59C4">
        <w:rPr>
          <w:rFonts w:ascii="Arial" w:hAnsi="Arial" w:cs="Arial"/>
        </w:rPr>
        <w:t>Crisis-Communication Training</w:t>
      </w:r>
    </w:p>
    <w:p w14:paraId="0BD33E05" w14:textId="77777777" w:rsidR="000F6661" w:rsidRPr="00AD59C4" w:rsidRDefault="000F6661" w:rsidP="000F6661">
      <w:pPr>
        <w:rPr>
          <w:rFonts w:ascii="Arial" w:hAnsi="Arial" w:cs="Arial"/>
        </w:rPr>
      </w:pPr>
      <w:r w:rsidRPr="00AD59C4">
        <w:rPr>
          <w:rFonts w:ascii="Arial" w:hAnsi="Arial" w:cs="Arial"/>
        </w:rPr>
        <w:t>Political and health leaders should receive formal training in:</w:t>
      </w:r>
    </w:p>
    <w:p w14:paraId="6E861A37" w14:textId="441D1DA9" w:rsidR="000F6661" w:rsidRPr="0076132A" w:rsidRDefault="000F6661" w:rsidP="0076132A">
      <w:pPr>
        <w:pStyle w:val="ListParagraph"/>
        <w:numPr>
          <w:ilvl w:val="0"/>
          <w:numId w:val="30"/>
        </w:numPr>
        <w:rPr>
          <w:rFonts w:ascii="Arial" w:hAnsi="Arial" w:cs="Arial"/>
        </w:rPr>
      </w:pPr>
      <w:r w:rsidRPr="0076132A">
        <w:rPr>
          <w:rFonts w:ascii="Arial" w:hAnsi="Arial" w:cs="Arial"/>
        </w:rPr>
        <w:t>risk communication principles</w:t>
      </w:r>
    </w:p>
    <w:p w14:paraId="47173146" w14:textId="2617C94F" w:rsidR="000F6661" w:rsidRPr="0076132A" w:rsidRDefault="000F6661" w:rsidP="0076132A">
      <w:pPr>
        <w:pStyle w:val="ListParagraph"/>
        <w:numPr>
          <w:ilvl w:val="0"/>
          <w:numId w:val="30"/>
        </w:numPr>
        <w:rPr>
          <w:rFonts w:ascii="Arial" w:hAnsi="Arial" w:cs="Arial"/>
        </w:rPr>
      </w:pPr>
      <w:r w:rsidRPr="0076132A">
        <w:rPr>
          <w:rFonts w:ascii="Arial" w:hAnsi="Arial" w:cs="Arial"/>
        </w:rPr>
        <w:t>behavioural science</w:t>
      </w:r>
    </w:p>
    <w:p w14:paraId="6B0A66E8" w14:textId="582FD8F6" w:rsidR="00F24CB4" w:rsidRPr="0076132A" w:rsidRDefault="000F6661" w:rsidP="0076132A">
      <w:pPr>
        <w:pStyle w:val="ListParagraph"/>
        <w:numPr>
          <w:ilvl w:val="0"/>
          <w:numId w:val="30"/>
        </w:numPr>
        <w:rPr>
          <w:rFonts w:ascii="Arial" w:hAnsi="Arial" w:cs="Arial"/>
        </w:rPr>
      </w:pPr>
      <w:r w:rsidRPr="0076132A">
        <w:rPr>
          <w:rFonts w:ascii="Arial" w:hAnsi="Arial" w:cs="Arial"/>
        </w:rPr>
        <w:t>public empathy and psychological support</w:t>
      </w:r>
    </w:p>
    <w:p w14:paraId="18E06ECB" w14:textId="71167218" w:rsidR="000F6661" w:rsidRPr="0076132A" w:rsidRDefault="000F6661" w:rsidP="0076132A">
      <w:pPr>
        <w:pStyle w:val="ListParagraph"/>
        <w:numPr>
          <w:ilvl w:val="0"/>
          <w:numId w:val="30"/>
        </w:numPr>
        <w:rPr>
          <w:rFonts w:ascii="Arial" w:hAnsi="Arial" w:cs="Arial"/>
        </w:rPr>
      </w:pPr>
      <w:r w:rsidRPr="0076132A">
        <w:rPr>
          <w:rFonts w:ascii="Arial" w:hAnsi="Arial" w:cs="Arial"/>
        </w:rPr>
        <w:t>media management</w:t>
      </w:r>
    </w:p>
    <w:p w14:paraId="2A8A1F2D" w14:textId="77777777" w:rsidR="0001157B" w:rsidRDefault="0001157B" w:rsidP="000F6661">
      <w:pPr>
        <w:rPr>
          <w:rFonts w:ascii="Arial" w:hAnsi="Arial" w:cs="Arial"/>
        </w:rPr>
      </w:pPr>
    </w:p>
    <w:p w14:paraId="126CCF23" w14:textId="0C516B32" w:rsidR="000F6661" w:rsidRPr="00AD59C4" w:rsidRDefault="000F6661" w:rsidP="000F6661">
      <w:pPr>
        <w:rPr>
          <w:rFonts w:ascii="Arial" w:hAnsi="Arial" w:cs="Arial"/>
        </w:rPr>
      </w:pPr>
      <w:r w:rsidRPr="00AD59C4">
        <w:rPr>
          <w:rFonts w:ascii="Arial" w:hAnsi="Arial" w:cs="Arial"/>
        </w:rPr>
        <w:t>Such training improves leaders’ ability to avoid downplaying risk, reduce panic, and communicate uncertainty responsibly.</w:t>
      </w:r>
    </w:p>
    <w:p w14:paraId="73532EDB" w14:textId="77777777" w:rsidR="000F6661" w:rsidRPr="00AD59C4" w:rsidRDefault="000F6661" w:rsidP="000F6661">
      <w:pPr>
        <w:rPr>
          <w:rFonts w:ascii="Arial" w:hAnsi="Arial" w:cs="Arial"/>
        </w:rPr>
      </w:pPr>
    </w:p>
    <w:p w14:paraId="593969CA" w14:textId="77777777" w:rsidR="000F6661" w:rsidRPr="00AD59C4" w:rsidRDefault="000F6661" w:rsidP="000F6661">
      <w:pPr>
        <w:rPr>
          <w:rFonts w:ascii="Arial" w:hAnsi="Arial" w:cs="Arial"/>
        </w:rPr>
      </w:pPr>
      <w:r w:rsidRPr="00AD59C4">
        <w:rPr>
          <w:rFonts w:ascii="Arial" w:hAnsi="Arial" w:cs="Arial"/>
        </w:rPr>
        <w:lastRenderedPageBreak/>
        <w:t>Combatting Misinformation</w:t>
      </w:r>
    </w:p>
    <w:p w14:paraId="28B58796" w14:textId="77777777" w:rsidR="000F6661" w:rsidRPr="00AD59C4" w:rsidRDefault="000F6661" w:rsidP="000F6661">
      <w:pPr>
        <w:rPr>
          <w:rFonts w:ascii="Arial" w:hAnsi="Arial" w:cs="Arial"/>
        </w:rPr>
      </w:pPr>
      <w:r w:rsidRPr="00AD59C4">
        <w:rPr>
          <w:rFonts w:ascii="Arial" w:hAnsi="Arial" w:cs="Arial"/>
        </w:rPr>
        <w:t>Governments must deploy coordinated strategies to counter misinformation and infodemics by:</w:t>
      </w:r>
    </w:p>
    <w:p w14:paraId="67C76680" w14:textId="77777777" w:rsidR="000F6661" w:rsidRPr="0076132A" w:rsidRDefault="000F6661" w:rsidP="0076132A">
      <w:pPr>
        <w:pStyle w:val="ListParagraph"/>
        <w:numPr>
          <w:ilvl w:val="0"/>
          <w:numId w:val="29"/>
        </w:numPr>
        <w:rPr>
          <w:rFonts w:ascii="Arial" w:hAnsi="Arial" w:cs="Arial"/>
        </w:rPr>
      </w:pPr>
      <w:r w:rsidRPr="0076132A">
        <w:rPr>
          <w:rFonts w:ascii="Arial" w:hAnsi="Arial" w:cs="Arial"/>
        </w:rPr>
        <w:t>partnering with media and digital platforms</w:t>
      </w:r>
    </w:p>
    <w:p w14:paraId="0508BF6B" w14:textId="77777777" w:rsidR="000F6661" w:rsidRPr="0076132A" w:rsidRDefault="000F6661" w:rsidP="0076132A">
      <w:pPr>
        <w:pStyle w:val="ListParagraph"/>
        <w:numPr>
          <w:ilvl w:val="0"/>
          <w:numId w:val="29"/>
        </w:numPr>
        <w:rPr>
          <w:rFonts w:ascii="Arial" w:hAnsi="Arial" w:cs="Arial"/>
        </w:rPr>
      </w:pPr>
      <w:r w:rsidRPr="0076132A">
        <w:rPr>
          <w:rFonts w:ascii="Arial" w:hAnsi="Arial" w:cs="Arial"/>
        </w:rPr>
        <w:t>providing evidence-based, multilingual communication</w:t>
      </w:r>
    </w:p>
    <w:p w14:paraId="1F794BDB" w14:textId="77777777" w:rsidR="000F6661" w:rsidRPr="0076132A" w:rsidRDefault="000F6661" w:rsidP="0076132A">
      <w:pPr>
        <w:pStyle w:val="ListParagraph"/>
        <w:numPr>
          <w:ilvl w:val="0"/>
          <w:numId w:val="29"/>
        </w:numPr>
        <w:rPr>
          <w:rFonts w:ascii="Arial" w:hAnsi="Arial" w:cs="Arial"/>
        </w:rPr>
      </w:pPr>
      <w:r w:rsidRPr="0076132A">
        <w:rPr>
          <w:rFonts w:ascii="Arial" w:hAnsi="Arial" w:cs="Arial"/>
        </w:rPr>
        <w:t>monitoring public sentiment</w:t>
      </w:r>
    </w:p>
    <w:p w14:paraId="35F905A2" w14:textId="77777777" w:rsidR="000F6661" w:rsidRPr="00AD59C4" w:rsidRDefault="000F6661" w:rsidP="000F6661">
      <w:pPr>
        <w:rPr>
          <w:rFonts w:ascii="Arial" w:hAnsi="Arial" w:cs="Arial"/>
        </w:rPr>
      </w:pPr>
      <w:r w:rsidRPr="00AD59C4">
        <w:rPr>
          <w:rFonts w:ascii="Arial" w:hAnsi="Arial" w:cs="Arial"/>
        </w:rPr>
        <w:t>Canada’s COVID-19 communication benefited significantly from national briefings that corrected misinformation quickly and emphasised unity.</w:t>
      </w:r>
    </w:p>
    <w:p w14:paraId="2D59F43D" w14:textId="77777777" w:rsidR="000F6661" w:rsidRPr="00AD59C4" w:rsidRDefault="000F6661" w:rsidP="000F6661">
      <w:pPr>
        <w:rPr>
          <w:rFonts w:ascii="Arial" w:hAnsi="Arial" w:cs="Arial"/>
        </w:rPr>
      </w:pPr>
    </w:p>
    <w:p w14:paraId="6EFBA093" w14:textId="77777777" w:rsidR="000F6661" w:rsidRPr="00AD59C4" w:rsidRDefault="000F6661" w:rsidP="000F6661">
      <w:pPr>
        <w:rPr>
          <w:rFonts w:ascii="Arial" w:hAnsi="Arial" w:cs="Arial"/>
        </w:rPr>
      </w:pPr>
      <w:r w:rsidRPr="00AD59C4">
        <w:rPr>
          <w:rFonts w:ascii="Arial" w:hAnsi="Arial" w:cs="Arial"/>
        </w:rPr>
        <w:t>Adaptive Leadership</w:t>
      </w:r>
    </w:p>
    <w:p w14:paraId="6EC6E306" w14:textId="77777777" w:rsidR="000F6661" w:rsidRPr="00AD59C4" w:rsidRDefault="000F6661" w:rsidP="000F6661">
      <w:pPr>
        <w:rPr>
          <w:rFonts w:ascii="Arial" w:hAnsi="Arial" w:cs="Arial"/>
        </w:rPr>
      </w:pPr>
      <w:r w:rsidRPr="00AD59C4">
        <w:rPr>
          <w:rFonts w:ascii="Arial" w:hAnsi="Arial" w:cs="Arial"/>
        </w:rPr>
        <w:t>Pandemics evolve rapidly; therefore, leaders must adapt policies to emerging evidence.</w:t>
      </w:r>
    </w:p>
    <w:p w14:paraId="5F00519E" w14:textId="77777777" w:rsidR="000F6661" w:rsidRPr="00AD59C4" w:rsidRDefault="000F6661" w:rsidP="000F6661">
      <w:pPr>
        <w:rPr>
          <w:rFonts w:ascii="Arial" w:hAnsi="Arial" w:cs="Arial"/>
        </w:rPr>
      </w:pPr>
      <w:r w:rsidRPr="00AD59C4">
        <w:rPr>
          <w:rFonts w:ascii="Arial" w:hAnsi="Arial" w:cs="Arial"/>
        </w:rPr>
        <w:t>Adaptive leadership includes:</w:t>
      </w:r>
    </w:p>
    <w:p w14:paraId="26FE47FD" w14:textId="77777777" w:rsidR="000F6661" w:rsidRPr="00192846" w:rsidRDefault="000F6661" w:rsidP="00192846">
      <w:pPr>
        <w:pStyle w:val="ListParagraph"/>
        <w:numPr>
          <w:ilvl w:val="0"/>
          <w:numId w:val="34"/>
        </w:numPr>
        <w:rPr>
          <w:rFonts w:ascii="Arial" w:hAnsi="Arial" w:cs="Arial"/>
        </w:rPr>
      </w:pPr>
      <w:r w:rsidRPr="00192846">
        <w:rPr>
          <w:rFonts w:ascii="Arial" w:hAnsi="Arial" w:cs="Arial"/>
        </w:rPr>
        <w:t>refining strategies based on real-time epidemiological data</w:t>
      </w:r>
    </w:p>
    <w:p w14:paraId="51CEE4C6" w14:textId="77777777" w:rsidR="000F6661" w:rsidRPr="00192846" w:rsidRDefault="000F6661" w:rsidP="00192846">
      <w:pPr>
        <w:pStyle w:val="ListParagraph"/>
        <w:numPr>
          <w:ilvl w:val="0"/>
          <w:numId w:val="34"/>
        </w:numPr>
        <w:rPr>
          <w:rFonts w:ascii="Arial" w:hAnsi="Arial" w:cs="Arial"/>
        </w:rPr>
      </w:pPr>
      <w:r w:rsidRPr="00192846">
        <w:rPr>
          <w:rFonts w:ascii="Arial" w:hAnsi="Arial" w:cs="Arial"/>
        </w:rPr>
        <w:t>acknowledging mistakes and adjusting course</w:t>
      </w:r>
    </w:p>
    <w:p w14:paraId="5EEBEE91" w14:textId="77777777" w:rsidR="000F6661" w:rsidRPr="00192846" w:rsidRDefault="000F6661" w:rsidP="00192846">
      <w:pPr>
        <w:pStyle w:val="ListParagraph"/>
        <w:numPr>
          <w:ilvl w:val="0"/>
          <w:numId w:val="34"/>
        </w:numPr>
        <w:rPr>
          <w:rFonts w:ascii="Arial" w:hAnsi="Arial" w:cs="Arial"/>
        </w:rPr>
      </w:pPr>
      <w:r w:rsidRPr="00192846">
        <w:rPr>
          <w:rFonts w:ascii="Arial" w:hAnsi="Arial" w:cs="Arial"/>
        </w:rPr>
        <w:t>prioritising expert input over political ideology</w:t>
      </w:r>
    </w:p>
    <w:p w14:paraId="29A7B6E4" w14:textId="77777777" w:rsidR="000F6661" w:rsidRPr="00AD59C4" w:rsidRDefault="000F6661" w:rsidP="000F6661">
      <w:pPr>
        <w:rPr>
          <w:rFonts w:ascii="Arial" w:hAnsi="Arial" w:cs="Arial"/>
        </w:rPr>
      </w:pPr>
      <w:r w:rsidRPr="00AD59C4">
        <w:rPr>
          <w:rFonts w:ascii="Arial" w:hAnsi="Arial" w:cs="Arial"/>
        </w:rPr>
        <w:t>This approach strengthens public compliance and institutional credibility.</w:t>
      </w:r>
    </w:p>
    <w:p w14:paraId="200148F6" w14:textId="3FBEA12D" w:rsidR="000F6661" w:rsidRPr="00AD59C4" w:rsidRDefault="000F6661" w:rsidP="000F6661">
      <w:pPr>
        <w:rPr>
          <w:rFonts w:ascii="Arial" w:hAnsi="Arial" w:cs="Arial"/>
        </w:rPr>
      </w:pPr>
    </w:p>
    <w:p w14:paraId="6C58C14F" w14:textId="2EF52777" w:rsidR="000F6661" w:rsidRPr="00AD59C4" w:rsidRDefault="000F6661" w:rsidP="000F6661">
      <w:pPr>
        <w:rPr>
          <w:rFonts w:ascii="Arial" w:hAnsi="Arial" w:cs="Arial"/>
        </w:rPr>
      </w:pPr>
      <w:r w:rsidRPr="00AD59C4">
        <w:rPr>
          <w:rFonts w:ascii="Arial" w:hAnsi="Arial" w:cs="Arial"/>
        </w:rPr>
        <w:t xml:space="preserve">5.3 Strengthen Intergovernmental Coordination </w:t>
      </w:r>
    </w:p>
    <w:p w14:paraId="3631E430" w14:textId="77777777" w:rsidR="000F6661" w:rsidRPr="00AD59C4" w:rsidRDefault="000F6661" w:rsidP="000F6661">
      <w:pPr>
        <w:rPr>
          <w:rFonts w:ascii="Arial" w:hAnsi="Arial" w:cs="Arial"/>
        </w:rPr>
      </w:pPr>
      <w:r w:rsidRPr="00AD59C4">
        <w:rPr>
          <w:rFonts w:ascii="Arial" w:hAnsi="Arial" w:cs="Arial"/>
        </w:rPr>
        <w:t>Effective pandemic response requires alignment across national, regional, and local levels. Coordination failures were a major challenge for decentralised systems like Spain and Canada, whereas South Korea benefitted from seamless vertical and horizontal cooperation.</w:t>
      </w:r>
    </w:p>
    <w:p w14:paraId="330BDE9A" w14:textId="77777777" w:rsidR="000F6661" w:rsidRPr="00AD59C4" w:rsidRDefault="000F6661" w:rsidP="000F6661">
      <w:pPr>
        <w:rPr>
          <w:rFonts w:ascii="Arial" w:hAnsi="Arial" w:cs="Arial"/>
        </w:rPr>
      </w:pPr>
    </w:p>
    <w:p w14:paraId="467D8D9B" w14:textId="2B5636B7" w:rsidR="000F6661" w:rsidRPr="00AD59C4" w:rsidRDefault="000F6661" w:rsidP="000F6661">
      <w:pPr>
        <w:rPr>
          <w:rFonts w:ascii="Arial" w:hAnsi="Arial" w:cs="Arial"/>
        </w:rPr>
      </w:pPr>
      <w:r w:rsidRPr="00AD59C4">
        <w:rPr>
          <w:rFonts w:ascii="Arial" w:hAnsi="Arial" w:cs="Arial"/>
        </w:rPr>
        <w:t>Formal Intergovernmental Agreements</w:t>
      </w:r>
    </w:p>
    <w:p w14:paraId="59AE3E29" w14:textId="77777777" w:rsidR="000F6661" w:rsidRPr="00AD59C4" w:rsidRDefault="000F6661" w:rsidP="000F6661">
      <w:pPr>
        <w:rPr>
          <w:rFonts w:ascii="Arial" w:hAnsi="Arial" w:cs="Arial"/>
        </w:rPr>
      </w:pPr>
      <w:r w:rsidRPr="00AD59C4">
        <w:rPr>
          <w:rFonts w:ascii="Arial" w:hAnsi="Arial" w:cs="Arial"/>
        </w:rPr>
        <w:t>Governments should establish pre-negotiated agreements that define:</w:t>
      </w:r>
    </w:p>
    <w:p w14:paraId="14FB7395" w14:textId="77777777" w:rsidR="000F6661" w:rsidRPr="00192846" w:rsidRDefault="000F6661" w:rsidP="00192846">
      <w:pPr>
        <w:pStyle w:val="ListParagraph"/>
        <w:numPr>
          <w:ilvl w:val="0"/>
          <w:numId w:val="35"/>
        </w:numPr>
        <w:rPr>
          <w:rFonts w:ascii="Arial" w:hAnsi="Arial" w:cs="Arial"/>
        </w:rPr>
      </w:pPr>
      <w:r w:rsidRPr="00192846">
        <w:rPr>
          <w:rFonts w:ascii="Arial" w:hAnsi="Arial" w:cs="Arial"/>
        </w:rPr>
        <w:t>clear division of authority during crises</w:t>
      </w:r>
    </w:p>
    <w:p w14:paraId="12C352ED" w14:textId="77777777" w:rsidR="000F6661" w:rsidRPr="00192846" w:rsidRDefault="000F6661" w:rsidP="00192846">
      <w:pPr>
        <w:pStyle w:val="ListParagraph"/>
        <w:numPr>
          <w:ilvl w:val="0"/>
          <w:numId w:val="35"/>
        </w:numPr>
        <w:rPr>
          <w:rFonts w:ascii="Arial" w:hAnsi="Arial" w:cs="Arial"/>
        </w:rPr>
      </w:pPr>
      <w:r w:rsidRPr="00192846">
        <w:rPr>
          <w:rFonts w:ascii="Arial" w:hAnsi="Arial" w:cs="Arial"/>
        </w:rPr>
        <w:t>decision-making procedures between national and regional leaders</w:t>
      </w:r>
    </w:p>
    <w:p w14:paraId="410F5211" w14:textId="77777777" w:rsidR="000F6661" w:rsidRPr="00192846" w:rsidRDefault="000F6661" w:rsidP="00192846">
      <w:pPr>
        <w:pStyle w:val="ListParagraph"/>
        <w:numPr>
          <w:ilvl w:val="0"/>
          <w:numId w:val="35"/>
        </w:numPr>
        <w:rPr>
          <w:rFonts w:ascii="Arial" w:hAnsi="Arial" w:cs="Arial"/>
        </w:rPr>
      </w:pPr>
      <w:r w:rsidRPr="00192846">
        <w:rPr>
          <w:rFonts w:ascii="Arial" w:hAnsi="Arial" w:cs="Arial"/>
        </w:rPr>
        <w:t>resource allocation protocols</w:t>
      </w:r>
    </w:p>
    <w:p w14:paraId="4963D1C2" w14:textId="77777777" w:rsidR="000F6661" w:rsidRPr="00192846" w:rsidRDefault="000F6661" w:rsidP="00192846">
      <w:pPr>
        <w:pStyle w:val="ListParagraph"/>
        <w:numPr>
          <w:ilvl w:val="0"/>
          <w:numId w:val="35"/>
        </w:numPr>
        <w:rPr>
          <w:rFonts w:ascii="Arial" w:hAnsi="Arial" w:cs="Arial"/>
        </w:rPr>
      </w:pPr>
      <w:r w:rsidRPr="00192846">
        <w:rPr>
          <w:rFonts w:ascii="Arial" w:hAnsi="Arial" w:cs="Arial"/>
        </w:rPr>
        <w:t>trigger points for emergency centralisation</w:t>
      </w:r>
    </w:p>
    <w:p w14:paraId="3BE5E464" w14:textId="77777777" w:rsidR="000F6661" w:rsidRPr="00AD59C4" w:rsidRDefault="000F6661" w:rsidP="000F6661">
      <w:pPr>
        <w:rPr>
          <w:rFonts w:ascii="Arial" w:hAnsi="Arial" w:cs="Arial"/>
        </w:rPr>
      </w:pPr>
      <w:r w:rsidRPr="00AD59C4">
        <w:rPr>
          <w:rFonts w:ascii="Arial" w:hAnsi="Arial" w:cs="Arial"/>
        </w:rPr>
        <w:t>These agreements reduce political conflict and ensure a common national strategy.</w:t>
      </w:r>
    </w:p>
    <w:p w14:paraId="7D779C14" w14:textId="77777777" w:rsidR="000F6661" w:rsidRPr="00AD59C4" w:rsidRDefault="000F6661" w:rsidP="000F6661">
      <w:pPr>
        <w:rPr>
          <w:rFonts w:ascii="Arial" w:hAnsi="Arial" w:cs="Arial"/>
        </w:rPr>
      </w:pPr>
    </w:p>
    <w:p w14:paraId="1D2AC08C" w14:textId="77777777" w:rsidR="00E856AC" w:rsidRDefault="00E856AC" w:rsidP="000F6661">
      <w:pPr>
        <w:rPr>
          <w:rFonts w:ascii="Arial" w:hAnsi="Arial" w:cs="Arial"/>
        </w:rPr>
      </w:pPr>
    </w:p>
    <w:p w14:paraId="02CA2432" w14:textId="7A46FEEC" w:rsidR="000F6661" w:rsidRPr="00AD59C4" w:rsidRDefault="000F6661" w:rsidP="000F6661">
      <w:pPr>
        <w:rPr>
          <w:rFonts w:ascii="Arial" w:hAnsi="Arial" w:cs="Arial"/>
        </w:rPr>
      </w:pPr>
      <w:r w:rsidRPr="00AD59C4">
        <w:rPr>
          <w:rFonts w:ascii="Arial" w:hAnsi="Arial" w:cs="Arial"/>
        </w:rPr>
        <w:t>Interoperable Data and Surveillance Systems</w:t>
      </w:r>
    </w:p>
    <w:p w14:paraId="1FDB4066" w14:textId="77777777" w:rsidR="000F6661" w:rsidRPr="00AD59C4" w:rsidRDefault="000F6661" w:rsidP="000F6661">
      <w:pPr>
        <w:rPr>
          <w:rFonts w:ascii="Arial" w:hAnsi="Arial" w:cs="Arial"/>
        </w:rPr>
      </w:pPr>
      <w:r w:rsidRPr="00AD59C4">
        <w:rPr>
          <w:rFonts w:ascii="Arial" w:hAnsi="Arial" w:cs="Arial"/>
        </w:rPr>
        <w:t>Many countries struggled with fragmented data, delayed reporting, and incompatible digital systems. To strengthen coordination, governments must create:</w:t>
      </w:r>
    </w:p>
    <w:p w14:paraId="3D83714C" w14:textId="77777777" w:rsidR="000F6661" w:rsidRPr="006B4FBD" w:rsidRDefault="000F6661" w:rsidP="006B4FBD">
      <w:pPr>
        <w:pStyle w:val="ListParagraph"/>
        <w:numPr>
          <w:ilvl w:val="0"/>
          <w:numId w:val="36"/>
        </w:numPr>
        <w:rPr>
          <w:rFonts w:ascii="Arial" w:hAnsi="Arial" w:cs="Arial"/>
        </w:rPr>
      </w:pPr>
      <w:r w:rsidRPr="006B4FBD">
        <w:rPr>
          <w:rFonts w:ascii="Arial" w:hAnsi="Arial" w:cs="Arial"/>
        </w:rPr>
        <w:t>unified national epidemiological databases</w:t>
      </w:r>
    </w:p>
    <w:p w14:paraId="30533E32" w14:textId="77777777" w:rsidR="000F6661" w:rsidRPr="006B4FBD" w:rsidRDefault="000F6661" w:rsidP="006B4FBD">
      <w:pPr>
        <w:pStyle w:val="ListParagraph"/>
        <w:numPr>
          <w:ilvl w:val="0"/>
          <w:numId w:val="36"/>
        </w:numPr>
        <w:rPr>
          <w:rFonts w:ascii="Arial" w:hAnsi="Arial" w:cs="Arial"/>
        </w:rPr>
      </w:pPr>
      <w:r w:rsidRPr="006B4FBD">
        <w:rPr>
          <w:rFonts w:ascii="Arial" w:hAnsi="Arial" w:cs="Arial"/>
        </w:rPr>
        <w:t>interoperable real-time reporting tools</w:t>
      </w:r>
    </w:p>
    <w:p w14:paraId="1A3BD0BC" w14:textId="77777777" w:rsidR="000F6661" w:rsidRPr="006B4FBD" w:rsidRDefault="000F6661" w:rsidP="006B4FBD">
      <w:pPr>
        <w:pStyle w:val="ListParagraph"/>
        <w:numPr>
          <w:ilvl w:val="0"/>
          <w:numId w:val="36"/>
        </w:numPr>
        <w:rPr>
          <w:rFonts w:ascii="Arial" w:hAnsi="Arial" w:cs="Arial"/>
        </w:rPr>
      </w:pPr>
      <w:r w:rsidRPr="006B4FBD">
        <w:rPr>
          <w:rFonts w:ascii="Arial" w:hAnsi="Arial" w:cs="Arial"/>
        </w:rPr>
        <w:t>shared standards for testing, genomic surveillance, and hospital capacity tracking</w:t>
      </w:r>
    </w:p>
    <w:p w14:paraId="60472BDE" w14:textId="77777777" w:rsidR="000F6661" w:rsidRPr="00AD59C4" w:rsidRDefault="000F6661" w:rsidP="000F6661">
      <w:pPr>
        <w:rPr>
          <w:rFonts w:ascii="Arial" w:hAnsi="Arial" w:cs="Arial"/>
        </w:rPr>
      </w:pPr>
      <w:r w:rsidRPr="00AD59C4">
        <w:rPr>
          <w:rFonts w:ascii="Arial" w:hAnsi="Arial" w:cs="Arial"/>
        </w:rPr>
        <w:t>South Korea’s integrated digital infrastructure allowed rapid tracing and consistent data flows across levels of government.</w:t>
      </w:r>
    </w:p>
    <w:p w14:paraId="256AC4AF" w14:textId="77777777" w:rsidR="000F6661" w:rsidRPr="00AD59C4" w:rsidRDefault="000F6661" w:rsidP="000F6661">
      <w:pPr>
        <w:rPr>
          <w:rFonts w:ascii="Arial" w:hAnsi="Arial" w:cs="Arial"/>
        </w:rPr>
      </w:pPr>
    </w:p>
    <w:p w14:paraId="30335286" w14:textId="5EE25ACA" w:rsidR="000F6661" w:rsidRPr="00AD59C4" w:rsidRDefault="000F6661" w:rsidP="000F6661">
      <w:pPr>
        <w:rPr>
          <w:rFonts w:ascii="Arial" w:hAnsi="Arial" w:cs="Arial"/>
        </w:rPr>
      </w:pPr>
      <w:r w:rsidRPr="00AD59C4">
        <w:rPr>
          <w:rFonts w:ascii="Arial" w:hAnsi="Arial" w:cs="Arial"/>
        </w:rPr>
        <w:t>Strengthening Regional Public Health Units</w:t>
      </w:r>
    </w:p>
    <w:p w14:paraId="3BF1AA82" w14:textId="77777777" w:rsidR="000F6661" w:rsidRPr="00AD59C4" w:rsidRDefault="000F6661" w:rsidP="000F6661">
      <w:pPr>
        <w:rPr>
          <w:rFonts w:ascii="Arial" w:hAnsi="Arial" w:cs="Arial"/>
        </w:rPr>
      </w:pPr>
      <w:r w:rsidRPr="00AD59C4">
        <w:rPr>
          <w:rFonts w:ascii="Arial" w:hAnsi="Arial" w:cs="Arial"/>
        </w:rPr>
        <w:t>In decentralised systems, local health units require adequate funding and trained personnel. Coordination improves when:</w:t>
      </w:r>
    </w:p>
    <w:p w14:paraId="12A444C0" w14:textId="77777777" w:rsidR="000F6661" w:rsidRPr="005505B4" w:rsidRDefault="000F6661" w:rsidP="005505B4">
      <w:pPr>
        <w:pStyle w:val="ListParagraph"/>
        <w:numPr>
          <w:ilvl w:val="0"/>
          <w:numId w:val="37"/>
        </w:numPr>
        <w:rPr>
          <w:rFonts w:ascii="Arial" w:hAnsi="Arial" w:cs="Arial"/>
        </w:rPr>
      </w:pPr>
      <w:r w:rsidRPr="005505B4">
        <w:rPr>
          <w:rFonts w:ascii="Arial" w:hAnsi="Arial" w:cs="Arial"/>
        </w:rPr>
        <w:t>local authorities can execute policies quickly</w:t>
      </w:r>
    </w:p>
    <w:p w14:paraId="458C2447" w14:textId="77777777" w:rsidR="000F6661" w:rsidRPr="005505B4" w:rsidRDefault="000F6661" w:rsidP="005505B4">
      <w:pPr>
        <w:pStyle w:val="ListParagraph"/>
        <w:numPr>
          <w:ilvl w:val="0"/>
          <w:numId w:val="37"/>
        </w:numPr>
        <w:rPr>
          <w:rFonts w:ascii="Arial" w:hAnsi="Arial" w:cs="Arial"/>
        </w:rPr>
      </w:pPr>
      <w:r w:rsidRPr="005505B4">
        <w:rPr>
          <w:rFonts w:ascii="Arial" w:hAnsi="Arial" w:cs="Arial"/>
        </w:rPr>
        <w:t>federal governments provide strategic guidance and resources</w:t>
      </w:r>
    </w:p>
    <w:p w14:paraId="5D4AC059" w14:textId="77777777" w:rsidR="000F6661" w:rsidRPr="005505B4" w:rsidRDefault="000F6661" w:rsidP="005505B4">
      <w:pPr>
        <w:pStyle w:val="ListParagraph"/>
        <w:numPr>
          <w:ilvl w:val="0"/>
          <w:numId w:val="37"/>
        </w:numPr>
        <w:rPr>
          <w:rFonts w:ascii="Arial" w:hAnsi="Arial" w:cs="Arial"/>
        </w:rPr>
      </w:pPr>
      <w:r w:rsidRPr="005505B4">
        <w:rPr>
          <w:rFonts w:ascii="Arial" w:hAnsi="Arial" w:cs="Arial"/>
        </w:rPr>
        <w:t>communication channels are formalised and continuous</w:t>
      </w:r>
    </w:p>
    <w:p w14:paraId="359D08B7" w14:textId="77777777" w:rsidR="000F6661" w:rsidRDefault="000F6661" w:rsidP="000F6661">
      <w:pPr>
        <w:rPr>
          <w:rFonts w:ascii="Arial" w:hAnsi="Arial" w:cs="Arial"/>
        </w:rPr>
      </w:pPr>
      <w:r w:rsidRPr="00AD59C4">
        <w:rPr>
          <w:rFonts w:ascii="Arial" w:hAnsi="Arial" w:cs="Arial"/>
        </w:rPr>
        <w:t>Canada’s experience showed that well-funded regional units (e.g., British Columbia) responded more effectively than under-resourced ones.</w:t>
      </w:r>
    </w:p>
    <w:p w14:paraId="124C9616" w14:textId="77777777" w:rsidR="006C407B" w:rsidRPr="00AD59C4" w:rsidRDefault="006C407B" w:rsidP="000F6661">
      <w:pPr>
        <w:rPr>
          <w:rFonts w:ascii="Arial" w:hAnsi="Arial" w:cs="Arial"/>
        </w:rPr>
      </w:pPr>
    </w:p>
    <w:p w14:paraId="7334E73E" w14:textId="77777777" w:rsidR="000F6661" w:rsidRPr="00AD59C4" w:rsidRDefault="000F6661" w:rsidP="000F6661">
      <w:pPr>
        <w:rPr>
          <w:rFonts w:ascii="Arial" w:hAnsi="Arial" w:cs="Arial"/>
        </w:rPr>
      </w:pPr>
      <w:r w:rsidRPr="00AD59C4">
        <w:rPr>
          <w:rFonts w:ascii="Arial" w:hAnsi="Arial" w:cs="Arial"/>
        </w:rPr>
        <w:t>Building Trust Between Levels of Government</w:t>
      </w:r>
    </w:p>
    <w:p w14:paraId="1A74F339" w14:textId="77777777" w:rsidR="000F6661" w:rsidRPr="00AD59C4" w:rsidRDefault="000F6661" w:rsidP="000F6661">
      <w:pPr>
        <w:rPr>
          <w:rFonts w:ascii="Arial" w:hAnsi="Arial" w:cs="Arial"/>
        </w:rPr>
      </w:pPr>
      <w:r w:rsidRPr="00AD59C4">
        <w:rPr>
          <w:rFonts w:ascii="Arial" w:hAnsi="Arial" w:cs="Arial"/>
        </w:rPr>
        <w:t>Trust is essential for policy coherence. Governments should invest in:</w:t>
      </w:r>
    </w:p>
    <w:p w14:paraId="0569B488" w14:textId="77777777" w:rsidR="000F6661" w:rsidRPr="005505B4" w:rsidRDefault="000F6661" w:rsidP="005505B4">
      <w:pPr>
        <w:pStyle w:val="ListParagraph"/>
        <w:numPr>
          <w:ilvl w:val="0"/>
          <w:numId w:val="38"/>
        </w:numPr>
        <w:rPr>
          <w:rFonts w:ascii="Arial" w:hAnsi="Arial" w:cs="Arial"/>
        </w:rPr>
      </w:pPr>
      <w:r w:rsidRPr="005505B4">
        <w:rPr>
          <w:rFonts w:ascii="Arial" w:hAnsi="Arial" w:cs="Arial"/>
        </w:rPr>
        <w:t>routine joint exercises and simulations</w:t>
      </w:r>
    </w:p>
    <w:p w14:paraId="1E36E9EB" w14:textId="77777777" w:rsidR="000F6661" w:rsidRPr="005505B4" w:rsidRDefault="000F6661" w:rsidP="005505B4">
      <w:pPr>
        <w:pStyle w:val="ListParagraph"/>
        <w:numPr>
          <w:ilvl w:val="0"/>
          <w:numId w:val="38"/>
        </w:numPr>
        <w:rPr>
          <w:rFonts w:ascii="Arial" w:hAnsi="Arial" w:cs="Arial"/>
        </w:rPr>
      </w:pPr>
      <w:r w:rsidRPr="005505B4">
        <w:rPr>
          <w:rFonts w:ascii="Arial" w:hAnsi="Arial" w:cs="Arial"/>
        </w:rPr>
        <w:t>intergovernmental working groups</w:t>
      </w:r>
    </w:p>
    <w:p w14:paraId="3C63BC46" w14:textId="27846C2E" w:rsidR="000F6661" w:rsidRPr="005505B4" w:rsidRDefault="000F6661" w:rsidP="005505B4">
      <w:pPr>
        <w:pStyle w:val="ListParagraph"/>
        <w:numPr>
          <w:ilvl w:val="0"/>
          <w:numId w:val="38"/>
        </w:numPr>
        <w:rPr>
          <w:rFonts w:ascii="Arial" w:hAnsi="Arial" w:cs="Arial"/>
        </w:rPr>
      </w:pPr>
      <w:r w:rsidRPr="005505B4">
        <w:rPr>
          <w:rFonts w:ascii="Arial" w:hAnsi="Arial" w:cs="Arial"/>
        </w:rPr>
        <w:t>shared scientific advisory committees</w:t>
      </w:r>
    </w:p>
    <w:p w14:paraId="111ED334" w14:textId="4037EEEF" w:rsidR="0014025F" w:rsidRDefault="000F6661" w:rsidP="00C84D6C">
      <w:pPr>
        <w:rPr>
          <w:rFonts w:ascii="Arial" w:hAnsi="Arial" w:cs="Arial"/>
        </w:rPr>
      </w:pPr>
      <w:r w:rsidRPr="00AD59C4">
        <w:rPr>
          <w:rFonts w:ascii="Arial" w:hAnsi="Arial" w:cs="Arial"/>
        </w:rPr>
        <w:t>These structures create habits of cooperation that become essential during emergencies.</w:t>
      </w:r>
    </w:p>
    <w:p w14:paraId="39B08960" w14:textId="77777777" w:rsidR="005505B4" w:rsidRPr="00AD59C4" w:rsidRDefault="005505B4" w:rsidP="00C84D6C">
      <w:pPr>
        <w:rPr>
          <w:rFonts w:ascii="Arial" w:hAnsi="Arial" w:cs="Arial"/>
        </w:rPr>
      </w:pPr>
    </w:p>
    <w:p w14:paraId="702A2DB9" w14:textId="77777777" w:rsidR="00081FDE" w:rsidRDefault="00081FDE">
      <w:pPr>
        <w:pStyle w:val="Heading3"/>
        <w:rPr>
          <w:rFonts w:ascii="Arial" w:hAnsi="Arial" w:cs="Arial"/>
          <w:color w:val="000000" w:themeColor="text1"/>
        </w:rPr>
      </w:pPr>
    </w:p>
    <w:p w14:paraId="4B411D10" w14:textId="77777777" w:rsidR="00081FDE" w:rsidRDefault="00081FDE">
      <w:pPr>
        <w:pStyle w:val="Heading3"/>
        <w:rPr>
          <w:rFonts w:ascii="Arial" w:hAnsi="Arial" w:cs="Arial"/>
          <w:color w:val="000000" w:themeColor="text1"/>
        </w:rPr>
      </w:pPr>
    </w:p>
    <w:p w14:paraId="39A558F6" w14:textId="77777777" w:rsidR="003D5497" w:rsidRDefault="003D5497">
      <w:pPr>
        <w:pStyle w:val="Heading3"/>
        <w:rPr>
          <w:rFonts w:ascii="Arial" w:hAnsi="Arial" w:cs="Arial"/>
          <w:color w:val="000000" w:themeColor="text1"/>
        </w:rPr>
      </w:pPr>
    </w:p>
    <w:p w14:paraId="66991C99" w14:textId="71392DF7" w:rsidR="0014025F" w:rsidRDefault="00DD3332">
      <w:pPr>
        <w:pStyle w:val="Heading3"/>
        <w:rPr>
          <w:rFonts w:ascii="Arial" w:hAnsi="Arial" w:cs="Arial"/>
          <w:color w:val="000000" w:themeColor="text1"/>
        </w:rPr>
      </w:pPr>
      <w:r w:rsidRPr="005505B4">
        <w:rPr>
          <w:rFonts w:ascii="Arial" w:hAnsi="Arial" w:cs="Arial"/>
          <w:color w:val="000000" w:themeColor="text1"/>
        </w:rPr>
        <w:t>6. Conclusion</w:t>
      </w:r>
    </w:p>
    <w:p w14:paraId="0B3AFDB2" w14:textId="77777777" w:rsidR="00081FDE" w:rsidRPr="00081FDE" w:rsidRDefault="00081FDE" w:rsidP="00081FDE"/>
    <w:p w14:paraId="77709CB3" w14:textId="77777777" w:rsidR="00DD3291" w:rsidRPr="00AD59C4" w:rsidRDefault="00DD3291" w:rsidP="00DD3291">
      <w:pPr>
        <w:rPr>
          <w:rFonts w:ascii="Arial" w:hAnsi="Arial" w:cs="Arial"/>
        </w:rPr>
      </w:pPr>
      <w:r w:rsidRPr="00AD59C4">
        <w:rPr>
          <w:rFonts w:ascii="Arial" w:hAnsi="Arial" w:cs="Arial"/>
        </w:rPr>
        <w:t>The comparison of Spain, South Korea, and Canada shows that pandemic outcomes depend heavily on how governance structures, leadership styles, and institutional capacities interact during crises. COVID-19 demonstrated that no model—centralised, decentralised, or federal—is inherently superior; rather, effectiveness relies on coordination, preparedness, and public trust.</w:t>
      </w:r>
    </w:p>
    <w:p w14:paraId="36387770" w14:textId="77777777" w:rsidR="00DD3291" w:rsidRPr="00AD59C4" w:rsidRDefault="00DD3291" w:rsidP="00DD3291">
      <w:pPr>
        <w:rPr>
          <w:rFonts w:ascii="Arial" w:hAnsi="Arial" w:cs="Arial"/>
        </w:rPr>
      </w:pPr>
    </w:p>
    <w:p w14:paraId="2F4AD9A2" w14:textId="77777777" w:rsidR="00DD3291" w:rsidRPr="00AD59C4" w:rsidRDefault="00DD3291" w:rsidP="00DD3291">
      <w:pPr>
        <w:rPr>
          <w:rFonts w:ascii="Arial" w:hAnsi="Arial" w:cs="Arial"/>
        </w:rPr>
      </w:pPr>
      <w:r w:rsidRPr="00AD59C4">
        <w:rPr>
          <w:rFonts w:ascii="Arial" w:hAnsi="Arial" w:cs="Arial"/>
        </w:rPr>
        <w:t>South Korea’s centralised and well-prepared system enabled rapid testing, tracing, and communication, resulting in strong early control with minimal nationwide restrictions. Spain struggled initially due to fragmented regional authority, but temporary centralisation under the State of Alarm improved coordination and helped deliver one of Europe’s most successful vaccination campaigns. Canada’s federated structure led to uneven early responses, especially in long-term care, yet strong federal communication, financial support, and later intergovernmental cooperation helped the country achieve high vaccination coverage.</w:t>
      </w:r>
    </w:p>
    <w:p w14:paraId="4194A48E" w14:textId="77777777" w:rsidR="00DD3291" w:rsidRPr="00AD59C4" w:rsidRDefault="00DD3291" w:rsidP="00DD3291">
      <w:pPr>
        <w:rPr>
          <w:rFonts w:ascii="Arial" w:hAnsi="Arial" w:cs="Arial"/>
        </w:rPr>
      </w:pPr>
      <w:r w:rsidRPr="00AD59C4">
        <w:rPr>
          <w:rFonts w:ascii="Arial" w:hAnsi="Arial" w:cs="Arial"/>
        </w:rPr>
        <w:t>Across all three cases, several consistent lessons emerge:</w:t>
      </w:r>
    </w:p>
    <w:p w14:paraId="1F48BBBA" w14:textId="77777777" w:rsidR="00DD3291" w:rsidRPr="00BE5B1D" w:rsidRDefault="00DD3291" w:rsidP="00BE5B1D">
      <w:pPr>
        <w:pStyle w:val="ListParagraph"/>
        <w:numPr>
          <w:ilvl w:val="0"/>
          <w:numId w:val="39"/>
        </w:numPr>
        <w:rPr>
          <w:rFonts w:ascii="Arial" w:hAnsi="Arial" w:cs="Arial"/>
        </w:rPr>
      </w:pPr>
      <w:r w:rsidRPr="00BE5B1D">
        <w:rPr>
          <w:rFonts w:ascii="Arial" w:hAnsi="Arial" w:cs="Arial"/>
        </w:rPr>
        <w:t>Preparedness and clear emergency frameworks are essential.</w:t>
      </w:r>
    </w:p>
    <w:p w14:paraId="490F3245" w14:textId="77777777" w:rsidR="00DD3291" w:rsidRPr="00BE5B1D" w:rsidRDefault="00DD3291" w:rsidP="00BE5B1D">
      <w:pPr>
        <w:pStyle w:val="ListParagraph"/>
        <w:numPr>
          <w:ilvl w:val="0"/>
          <w:numId w:val="39"/>
        </w:numPr>
        <w:rPr>
          <w:rFonts w:ascii="Arial" w:hAnsi="Arial" w:cs="Arial"/>
        </w:rPr>
      </w:pPr>
      <w:r w:rsidRPr="00BE5B1D">
        <w:rPr>
          <w:rFonts w:ascii="Arial" w:hAnsi="Arial" w:cs="Arial"/>
        </w:rPr>
        <w:t>Leadership must be transparent, adaptive, and guided by scientific expertise.</w:t>
      </w:r>
    </w:p>
    <w:p w14:paraId="4466A10B" w14:textId="77777777" w:rsidR="00DD3291" w:rsidRPr="00BE5B1D" w:rsidRDefault="00DD3291" w:rsidP="00BE5B1D">
      <w:pPr>
        <w:pStyle w:val="ListParagraph"/>
        <w:numPr>
          <w:ilvl w:val="0"/>
          <w:numId w:val="39"/>
        </w:numPr>
        <w:rPr>
          <w:rFonts w:ascii="Arial" w:hAnsi="Arial" w:cs="Arial"/>
        </w:rPr>
      </w:pPr>
      <w:r w:rsidRPr="00BE5B1D">
        <w:rPr>
          <w:rFonts w:ascii="Arial" w:hAnsi="Arial" w:cs="Arial"/>
        </w:rPr>
        <w:t>Effective intergovernmental coordination determines national coherence and public compliance.</w:t>
      </w:r>
    </w:p>
    <w:p w14:paraId="2DBF7ACC" w14:textId="77777777" w:rsidR="00DD3291" w:rsidRPr="00BE5B1D" w:rsidRDefault="00DD3291" w:rsidP="00BE5B1D">
      <w:pPr>
        <w:pStyle w:val="ListParagraph"/>
        <w:numPr>
          <w:ilvl w:val="0"/>
          <w:numId w:val="39"/>
        </w:numPr>
        <w:rPr>
          <w:rFonts w:ascii="Arial" w:hAnsi="Arial" w:cs="Arial"/>
        </w:rPr>
      </w:pPr>
      <w:r w:rsidRPr="00BE5B1D">
        <w:rPr>
          <w:rFonts w:ascii="Arial" w:hAnsi="Arial" w:cs="Arial"/>
        </w:rPr>
        <w:t>Public trust enhances the uptake of health measures and strengthens resilience.</w:t>
      </w:r>
    </w:p>
    <w:p w14:paraId="22F24EEA" w14:textId="5A4ECAF0" w:rsidR="00DD3291" w:rsidRDefault="00DD3291" w:rsidP="00DD3291">
      <w:pPr>
        <w:rPr>
          <w:rFonts w:ascii="Arial" w:hAnsi="Arial" w:cs="Arial"/>
        </w:rPr>
      </w:pPr>
      <w:r w:rsidRPr="00AD59C4">
        <w:rPr>
          <w:rFonts w:ascii="Arial" w:hAnsi="Arial" w:cs="Arial"/>
        </w:rPr>
        <w:t>Overall, COVID-19 highlighted the need for flexible, coordinated, and evidence-informed crisis governance. The experiences of these countries provide important guidance for future pandemics and global health emergencies.</w:t>
      </w:r>
    </w:p>
    <w:p w14:paraId="1B2EABE0" w14:textId="77777777" w:rsidR="00BE5B1D" w:rsidRDefault="00BE5B1D" w:rsidP="00DD3291">
      <w:pPr>
        <w:rPr>
          <w:rFonts w:ascii="Arial" w:hAnsi="Arial" w:cs="Arial"/>
        </w:rPr>
      </w:pPr>
    </w:p>
    <w:p w14:paraId="39539B3D" w14:textId="77777777" w:rsidR="00BE5B1D" w:rsidRDefault="00BE5B1D" w:rsidP="00DD3291">
      <w:pPr>
        <w:rPr>
          <w:rFonts w:ascii="Arial" w:hAnsi="Arial" w:cs="Arial"/>
        </w:rPr>
      </w:pPr>
    </w:p>
    <w:p w14:paraId="1775A34E" w14:textId="77777777" w:rsidR="00BE5B1D" w:rsidRDefault="00BE5B1D" w:rsidP="00DD3291">
      <w:pPr>
        <w:rPr>
          <w:rFonts w:ascii="Arial" w:hAnsi="Arial" w:cs="Arial"/>
        </w:rPr>
      </w:pPr>
    </w:p>
    <w:p w14:paraId="72A79828" w14:textId="77777777" w:rsidR="00BE5B1D" w:rsidRDefault="00BE5B1D" w:rsidP="00DD3291">
      <w:pPr>
        <w:rPr>
          <w:rFonts w:ascii="Arial" w:hAnsi="Arial" w:cs="Arial"/>
        </w:rPr>
      </w:pPr>
    </w:p>
    <w:p w14:paraId="681F23AB" w14:textId="77777777" w:rsidR="00BE5B1D" w:rsidRDefault="00BE5B1D" w:rsidP="00DD3291">
      <w:pPr>
        <w:rPr>
          <w:rFonts w:ascii="Arial" w:hAnsi="Arial" w:cs="Arial"/>
        </w:rPr>
      </w:pPr>
    </w:p>
    <w:p w14:paraId="0DF9FF07" w14:textId="77777777" w:rsidR="00BE5B1D" w:rsidRPr="00AD59C4" w:rsidRDefault="00BE5B1D" w:rsidP="00DD3291">
      <w:pPr>
        <w:rPr>
          <w:rFonts w:ascii="Arial" w:hAnsi="Arial" w:cs="Arial"/>
        </w:rPr>
      </w:pPr>
    </w:p>
    <w:p w14:paraId="459CE479" w14:textId="26728C86" w:rsidR="0014025F" w:rsidRPr="00183DBC" w:rsidRDefault="00941426">
      <w:pPr>
        <w:pStyle w:val="Heading3"/>
        <w:rPr>
          <w:rFonts w:ascii="Arial" w:hAnsi="Arial" w:cs="Arial"/>
        </w:rPr>
      </w:pPr>
      <w:r>
        <w:rPr>
          <w:rFonts w:ascii="Arial" w:hAnsi="Arial" w:cs="Arial"/>
        </w:rPr>
        <w:lastRenderedPageBreak/>
        <w:t xml:space="preserve">                                                   </w:t>
      </w:r>
      <w:r w:rsidR="00DD3332" w:rsidRPr="00183DBC">
        <w:rPr>
          <w:rFonts w:ascii="Arial" w:hAnsi="Arial" w:cs="Arial"/>
        </w:rPr>
        <w:t xml:space="preserve">Reference </w:t>
      </w:r>
    </w:p>
    <w:p w14:paraId="1A068B31" w14:textId="77777777" w:rsidR="008F45DC" w:rsidRPr="00183DBC" w:rsidRDefault="008F45DC" w:rsidP="008F45DC">
      <w:pPr>
        <w:rPr>
          <w:rFonts w:ascii="Arial" w:hAnsi="Arial" w:cs="Arial"/>
        </w:rPr>
      </w:pPr>
    </w:p>
    <w:p w14:paraId="1416C9AF" w14:textId="76314169" w:rsidR="008364D3" w:rsidRPr="00183DBC" w:rsidRDefault="00DF579B" w:rsidP="00DF579B">
      <w:pPr>
        <w:rPr>
          <w:rFonts w:ascii="Arial" w:hAnsi="Arial" w:cs="Arial"/>
        </w:rPr>
      </w:pPr>
      <w:r w:rsidRPr="00183DBC">
        <w:rPr>
          <w:rFonts w:ascii="Arial" w:hAnsi="Arial" w:cs="Arial"/>
        </w:rPr>
        <w:t xml:space="preserve">World Health Organization (2024) COVID-19 epidemiological update. Available at: </w:t>
      </w:r>
      <w:hyperlink r:id="rId26" w:history="1">
        <w:r w:rsidR="00941426" w:rsidRPr="00183DBC">
          <w:rPr>
            <w:rStyle w:val="Hyperlink"/>
            <w:rFonts w:ascii="Arial" w:hAnsi="Arial" w:cs="Arial"/>
          </w:rPr>
          <w:t>https://www.who.int</w:t>
        </w:r>
      </w:hyperlink>
      <w:r w:rsidRPr="00183DBC">
        <w:rPr>
          <w:rFonts w:ascii="Arial" w:hAnsi="Arial" w:cs="Arial"/>
        </w:rPr>
        <w:t xml:space="preserve"> (accessed 21 November 2025)</w:t>
      </w:r>
    </w:p>
    <w:p w14:paraId="48BC7687" w14:textId="7A5446A1" w:rsidR="008364D3" w:rsidRPr="00183DBC" w:rsidRDefault="00DF579B" w:rsidP="00DF579B">
      <w:pPr>
        <w:rPr>
          <w:rFonts w:ascii="Arial" w:hAnsi="Arial" w:cs="Arial"/>
        </w:rPr>
      </w:pPr>
      <w:r w:rsidRPr="00183DBC">
        <w:rPr>
          <w:rFonts w:ascii="Arial" w:hAnsi="Arial" w:cs="Arial"/>
        </w:rPr>
        <w:t xml:space="preserve"> Real Decreto 463/2020 (2020) Declaring the state of alarm for management of the health crisis caused by COVID-19 (14 March 2020). Boletín Oficial del Estado. Available at: </w:t>
      </w:r>
      <w:hyperlink r:id="rId27" w:history="1">
        <w:r w:rsidR="008364D3" w:rsidRPr="00183DBC">
          <w:rPr>
            <w:rStyle w:val="Hyperlink"/>
            <w:rFonts w:ascii="Arial" w:hAnsi="Arial" w:cs="Arial"/>
          </w:rPr>
          <w:t>https://www.boe.es/diario_boe/txt.php?id=BOE-A-2020-3692</w:t>
        </w:r>
      </w:hyperlink>
      <w:r w:rsidRPr="00183DBC">
        <w:rPr>
          <w:rFonts w:ascii="Arial" w:hAnsi="Arial" w:cs="Arial"/>
        </w:rPr>
        <w:t>.</w:t>
      </w:r>
    </w:p>
    <w:p w14:paraId="39794F67" w14:textId="4E728074" w:rsidR="008364D3" w:rsidRPr="00183DBC" w:rsidRDefault="00DF579B" w:rsidP="00DF579B">
      <w:pPr>
        <w:rPr>
          <w:rFonts w:ascii="Arial" w:hAnsi="Arial" w:cs="Arial"/>
        </w:rPr>
      </w:pPr>
      <w:r w:rsidRPr="00183DBC">
        <w:rPr>
          <w:rFonts w:ascii="Arial" w:hAnsi="Arial" w:cs="Arial"/>
        </w:rPr>
        <w:t xml:space="preserve"> Our World in Data (2024) Coronavirus (COVID-19) vaccinations — data and charts. Available at: </w:t>
      </w:r>
      <w:hyperlink r:id="rId28" w:history="1">
        <w:r w:rsidR="008364D3" w:rsidRPr="00183DBC">
          <w:rPr>
            <w:rStyle w:val="Hyperlink"/>
            <w:rFonts w:ascii="Arial" w:hAnsi="Arial" w:cs="Arial"/>
          </w:rPr>
          <w:t>https://ourworldindata.org/covid-vaccinations</w:t>
        </w:r>
      </w:hyperlink>
    </w:p>
    <w:p w14:paraId="661CE0F7" w14:textId="0BCC58DA" w:rsidR="008364D3" w:rsidRPr="00183DBC" w:rsidRDefault="00DF579B" w:rsidP="00DF579B">
      <w:pPr>
        <w:rPr>
          <w:rFonts w:ascii="Arial" w:hAnsi="Arial" w:cs="Arial"/>
        </w:rPr>
      </w:pPr>
      <w:r w:rsidRPr="00183DBC">
        <w:rPr>
          <w:rFonts w:ascii="Arial" w:hAnsi="Arial" w:cs="Arial"/>
        </w:rPr>
        <w:t xml:space="preserve">Stall, N.M., Brown, K.A., Rochon, P.A., et al. (2020) ‘For-profit long-term care homes and the risk of COVID-19 outbreaks and resident deaths’, CMAJ Open, 8(1): E87–E94. Available at: </w:t>
      </w:r>
      <w:hyperlink r:id="rId29" w:history="1">
        <w:r w:rsidR="008364D3" w:rsidRPr="00183DBC">
          <w:rPr>
            <w:rStyle w:val="Hyperlink"/>
            <w:rFonts w:ascii="Arial" w:hAnsi="Arial" w:cs="Arial"/>
          </w:rPr>
          <w:t>https://www.ncbi.nlm.nih.gov/pmc/articles/PMC7828970/</w:t>
        </w:r>
      </w:hyperlink>
      <w:r w:rsidRPr="00183DBC">
        <w:rPr>
          <w:rFonts w:ascii="Arial" w:hAnsi="Arial" w:cs="Arial"/>
        </w:rPr>
        <w:t>.</w:t>
      </w:r>
    </w:p>
    <w:p w14:paraId="61382AE7" w14:textId="3213A8ED" w:rsidR="008364D3" w:rsidRPr="00183DBC" w:rsidRDefault="00DF579B" w:rsidP="00DF579B">
      <w:pPr>
        <w:rPr>
          <w:rFonts w:ascii="Arial" w:hAnsi="Arial" w:cs="Arial"/>
        </w:rPr>
      </w:pPr>
      <w:r w:rsidRPr="00183DBC">
        <w:rPr>
          <w:rFonts w:ascii="Arial" w:hAnsi="Arial" w:cs="Arial"/>
        </w:rPr>
        <w:t xml:space="preserve"> Kang, J., Jang, H., Kim, S. et al. (2020) ‘South Korea’s responses to COVID-19: early lessons’, American Journal of Infection Control, 48(10): 1110–1112. DOI: 10.1016/j.ajic.2020.06.003. Available at: </w:t>
      </w:r>
      <w:hyperlink r:id="rId30" w:history="1">
        <w:r w:rsidR="008364D3" w:rsidRPr="00183DBC">
          <w:rPr>
            <w:rStyle w:val="Hyperlink"/>
            <w:rFonts w:ascii="Arial" w:hAnsi="Arial" w:cs="Arial"/>
          </w:rPr>
          <w:t>https://doi.org/10.1016/j.ajic.2020.06.003</w:t>
        </w:r>
      </w:hyperlink>
      <w:r w:rsidRPr="00183DBC">
        <w:rPr>
          <w:rFonts w:ascii="Arial" w:hAnsi="Arial" w:cs="Arial"/>
        </w:rPr>
        <w:t>.</w:t>
      </w:r>
    </w:p>
    <w:p w14:paraId="60CEA660" w14:textId="1C8033BB" w:rsidR="008364D3" w:rsidRPr="00183DBC" w:rsidRDefault="00DF579B" w:rsidP="00DF579B">
      <w:pPr>
        <w:rPr>
          <w:rFonts w:ascii="Arial" w:hAnsi="Arial" w:cs="Arial"/>
        </w:rPr>
      </w:pPr>
      <w:r w:rsidRPr="00183DBC">
        <w:rPr>
          <w:rFonts w:ascii="Arial" w:hAnsi="Arial" w:cs="Arial"/>
        </w:rPr>
        <w:t xml:space="preserve">Martínez-Baz, I., Navascués, A., Casado, I. et al. (2024) ‘Hospitalisations and deaths averted by COVID-19 vaccination in Spain’, Vaccine &amp; Public Health (2024). Available at: </w:t>
      </w:r>
      <w:hyperlink r:id="rId31" w:history="1">
        <w:r w:rsidR="008364D3" w:rsidRPr="00183DBC">
          <w:rPr>
            <w:rStyle w:val="Hyperlink"/>
            <w:rFonts w:ascii="Arial" w:hAnsi="Arial" w:cs="Arial"/>
          </w:rPr>
          <w:t>https://www.ncbi.nlm.nih.gov/pmc/articles/PMC10818920/</w:t>
        </w:r>
      </w:hyperlink>
      <w:r w:rsidRPr="00183DBC">
        <w:rPr>
          <w:rFonts w:ascii="Arial" w:hAnsi="Arial" w:cs="Arial"/>
        </w:rPr>
        <w:t>.</w:t>
      </w:r>
    </w:p>
    <w:p w14:paraId="0EDDA52E" w14:textId="77DCEAFF" w:rsidR="008364D3" w:rsidRPr="00183DBC" w:rsidRDefault="00DF579B" w:rsidP="00DF579B">
      <w:pPr>
        <w:rPr>
          <w:rFonts w:ascii="Arial" w:hAnsi="Arial" w:cs="Arial"/>
        </w:rPr>
      </w:pPr>
      <w:r w:rsidRPr="00183DBC">
        <w:rPr>
          <w:rFonts w:ascii="Arial" w:hAnsi="Arial" w:cs="Arial"/>
        </w:rPr>
        <w:t xml:space="preserve"> Viguria, U.A., et al. (2021) ‘Early interventions and impact of COVID-19 in Spain’, International Journal of Environmental Research and Public Health, 18(8): 4026. Available at: </w:t>
      </w:r>
      <w:hyperlink r:id="rId32" w:history="1">
        <w:r w:rsidR="008364D3" w:rsidRPr="00183DBC">
          <w:rPr>
            <w:rStyle w:val="Hyperlink"/>
            <w:rFonts w:ascii="Arial" w:hAnsi="Arial" w:cs="Arial"/>
          </w:rPr>
          <w:t>https://www.mdpi.com/1660-4601/18/8/4026</w:t>
        </w:r>
      </w:hyperlink>
    </w:p>
    <w:p w14:paraId="5F525B06" w14:textId="537E16B1" w:rsidR="008364D3" w:rsidRPr="00183DBC" w:rsidRDefault="00DF579B" w:rsidP="00DF579B">
      <w:pPr>
        <w:rPr>
          <w:rFonts w:ascii="Arial" w:hAnsi="Arial" w:cs="Arial"/>
        </w:rPr>
      </w:pPr>
      <w:r w:rsidRPr="00183DBC">
        <w:rPr>
          <w:rFonts w:ascii="Arial" w:hAnsi="Arial" w:cs="Arial"/>
        </w:rPr>
        <w:t xml:space="preserve">OECD (2023) Health at a Glance 2023 — Hospital beds and occupancy (ICU beds statistics). Paris: OECD. Available at: </w:t>
      </w:r>
      <w:hyperlink r:id="rId33" w:history="1">
        <w:r w:rsidR="008364D3" w:rsidRPr="00183DBC">
          <w:rPr>
            <w:rStyle w:val="Hyperlink"/>
            <w:rFonts w:ascii="Arial" w:hAnsi="Arial" w:cs="Arial"/>
          </w:rPr>
          <w:t>https://www.oecd.org/health/health-at-a-glance</w:t>
        </w:r>
      </w:hyperlink>
      <w:r w:rsidRPr="00183DBC">
        <w:rPr>
          <w:rFonts w:ascii="Arial" w:hAnsi="Arial" w:cs="Arial"/>
        </w:rPr>
        <w:t>.</w:t>
      </w:r>
    </w:p>
    <w:p w14:paraId="687778BC" w14:textId="71C56BDA" w:rsidR="008364D3" w:rsidRPr="00183DBC" w:rsidRDefault="00DF579B" w:rsidP="00DF579B">
      <w:pPr>
        <w:rPr>
          <w:rFonts w:ascii="Arial" w:hAnsi="Arial" w:cs="Arial"/>
        </w:rPr>
      </w:pPr>
      <w:r w:rsidRPr="00183DBC">
        <w:rPr>
          <w:rFonts w:ascii="Arial" w:hAnsi="Arial" w:cs="Arial"/>
        </w:rPr>
        <w:t xml:space="preserve"> Cacace, M., Coussement, J., &amp; Simoens, S. (2023) ‘Coping with COVID-19: the role of hospital care structures and capacity expansion in five countries’, Health Economics, Policy and Law. Available at: </w:t>
      </w:r>
      <w:hyperlink r:id="rId34" w:history="1">
        <w:r w:rsidR="008364D3" w:rsidRPr="00183DBC">
          <w:rPr>
            <w:rStyle w:val="Hyperlink"/>
            <w:rFonts w:ascii="Arial" w:hAnsi="Arial" w:cs="Arial"/>
          </w:rPr>
          <w:t>https://www.cambridge.org/core/journals/health-economics-policy-and-law/article/coping-with-covid19-the-role-of-hospital-care-structures-and-capacity-expansion-in-five-countries/798A5786E8FBA7701D389D4ED093B4DB</w:t>
        </w:r>
      </w:hyperlink>
      <w:r w:rsidRPr="00183DBC">
        <w:rPr>
          <w:rFonts w:ascii="Arial" w:hAnsi="Arial" w:cs="Arial"/>
        </w:rPr>
        <w:t>.</w:t>
      </w:r>
    </w:p>
    <w:p w14:paraId="6603BD84" w14:textId="01DDC33D" w:rsidR="008364D3" w:rsidRPr="00183DBC" w:rsidRDefault="00DF579B" w:rsidP="00DF579B">
      <w:pPr>
        <w:rPr>
          <w:rFonts w:ascii="Arial" w:hAnsi="Arial" w:cs="Arial"/>
        </w:rPr>
      </w:pPr>
      <w:r w:rsidRPr="00183DBC">
        <w:rPr>
          <w:rFonts w:ascii="Arial" w:hAnsi="Arial" w:cs="Arial"/>
        </w:rPr>
        <w:t xml:space="preserve"> Public Health Agency of Canada (PHAC) (2021) Canadian COVID-19 vaccination coverage report. Ottawa: PHAC. Available at: </w:t>
      </w:r>
      <w:hyperlink r:id="rId35" w:history="1">
        <w:r w:rsidR="008364D3" w:rsidRPr="00183DBC">
          <w:rPr>
            <w:rStyle w:val="Hyperlink"/>
            <w:rFonts w:ascii="Arial" w:hAnsi="Arial" w:cs="Arial"/>
          </w:rPr>
          <w:t>https://health-infobase.canada.ca/covid-19/vaccination-coverage/</w:t>
        </w:r>
      </w:hyperlink>
      <w:r w:rsidRPr="00183DBC">
        <w:rPr>
          <w:rFonts w:ascii="Arial" w:hAnsi="Arial" w:cs="Arial"/>
        </w:rPr>
        <w:t>.</w:t>
      </w:r>
    </w:p>
    <w:p w14:paraId="223B772F" w14:textId="341BF379" w:rsidR="008364D3" w:rsidRPr="00183DBC" w:rsidRDefault="00DF579B" w:rsidP="00DF579B">
      <w:pPr>
        <w:rPr>
          <w:rFonts w:ascii="Arial" w:hAnsi="Arial" w:cs="Arial"/>
        </w:rPr>
      </w:pPr>
      <w:r w:rsidRPr="00183DBC">
        <w:rPr>
          <w:rFonts w:ascii="Arial" w:hAnsi="Arial" w:cs="Arial"/>
        </w:rPr>
        <w:t xml:space="preserve"> Government of Canada (2020) ‘Government introduces Canada Emergency Response Benefit (CERB) to help workers and businesses’, Department of Finance news release, 25 March 2020. Available at: </w:t>
      </w:r>
      <w:hyperlink r:id="rId36" w:history="1">
        <w:r w:rsidR="008364D3" w:rsidRPr="00183DBC">
          <w:rPr>
            <w:rStyle w:val="Hyperlink"/>
            <w:rFonts w:ascii="Arial" w:hAnsi="Arial" w:cs="Arial"/>
          </w:rPr>
          <w:t>https://www.canada.ca/en/department-finance/news/2020/03/introduces-canada-emergency-response-benefit-to-help-workers-and-businesses.html</w:t>
        </w:r>
      </w:hyperlink>
      <w:r w:rsidRPr="00183DBC">
        <w:rPr>
          <w:rFonts w:ascii="Arial" w:hAnsi="Arial" w:cs="Arial"/>
        </w:rPr>
        <w:t>.</w:t>
      </w:r>
    </w:p>
    <w:p w14:paraId="74D6D0B2" w14:textId="123D41B4" w:rsidR="00DF44D2" w:rsidRPr="00183DBC" w:rsidRDefault="00DF579B" w:rsidP="00DF579B">
      <w:pPr>
        <w:rPr>
          <w:rFonts w:ascii="Arial" w:hAnsi="Arial" w:cs="Arial"/>
        </w:rPr>
      </w:pPr>
      <w:r w:rsidRPr="00183DBC">
        <w:rPr>
          <w:rFonts w:ascii="Arial" w:hAnsi="Arial" w:cs="Arial"/>
        </w:rPr>
        <w:lastRenderedPageBreak/>
        <w:t xml:space="preserve">  Chu, C., et al. (2025) ‘Effect of the establishment of the Korea Centers for Disease Control and Prevention on emergency management’, Journal of Public Health Policy (2025). Available at: </w:t>
      </w:r>
      <w:hyperlink r:id="rId37" w:history="1">
        <w:r w:rsidR="00DF44D2" w:rsidRPr="00183DBC">
          <w:rPr>
            <w:rStyle w:val="Hyperlink"/>
            <w:rFonts w:ascii="Arial" w:hAnsi="Arial" w:cs="Arial"/>
          </w:rPr>
          <w:t>https://www.ncbi.nlm.nih.gov/pmc/articles/PMC12047026/</w:t>
        </w:r>
      </w:hyperlink>
    </w:p>
    <w:p w14:paraId="60628262" w14:textId="2A9DB675" w:rsidR="00DF579B" w:rsidRPr="00183DBC" w:rsidRDefault="00DF579B" w:rsidP="00DF579B">
      <w:pPr>
        <w:rPr>
          <w:rFonts w:ascii="Arial" w:hAnsi="Arial" w:cs="Arial"/>
        </w:rPr>
      </w:pPr>
      <w:r w:rsidRPr="00183DBC">
        <w:rPr>
          <w:rFonts w:ascii="Arial" w:hAnsi="Arial" w:cs="Arial"/>
        </w:rPr>
        <w:t xml:space="preserve"> Boin, A. &amp; Lodge, M. (2021) ‘Crisis governance: frameworks and insights from COVID-19’, Public Administration Review, 81(3): 405–420. (Journal link / DOI via publisher.)</w:t>
      </w:r>
    </w:p>
    <w:p w14:paraId="4232C97E" w14:textId="07BFC316" w:rsidR="00DF579B" w:rsidRPr="00183DBC" w:rsidRDefault="00DF579B" w:rsidP="00DF579B">
      <w:pPr>
        <w:rPr>
          <w:rFonts w:ascii="Arial" w:hAnsi="Arial" w:cs="Arial"/>
        </w:rPr>
      </w:pPr>
      <w:r w:rsidRPr="00183DBC">
        <w:rPr>
          <w:rFonts w:ascii="Arial" w:hAnsi="Arial" w:cs="Arial"/>
        </w:rPr>
        <w:t xml:space="preserve"> Navarro, C. &amp; Velasco, F. (2022) ‘Spain’s intergovernmental response to COVID-19’, Local Government Studies, 48(2): 223–243. DOI: 10.1080/03003930.2022.2042683. </w:t>
      </w:r>
    </w:p>
    <w:p w14:paraId="1FEA6B55" w14:textId="539200E1" w:rsidR="00DF579B" w:rsidRPr="00183DBC" w:rsidRDefault="00DF579B" w:rsidP="00DF579B">
      <w:pPr>
        <w:rPr>
          <w:rFonts w:ascii="Arial" w:hAnsi="Arial" w:cs="Arial"/>
        </w:rPr>
      </w:pPr>
      <w:r w:rsidRPr="00183DBC">
        <w:rPr>
          <w:rFonts w:ascii="Arial" w:hAnsi="Arial" w:cs="Arial"/>
        </w:rPr>
        <w:t>Moon, S. (2020) ‘Governance and pandemic response: lessons from South Korea’, The Lancet Public Health, 5(9): e448–e449. (Lancet link / DOI via publisher.)</w:t>
      </w:r>
    </w:p>
    <w:p w14:paraId="2882584D" w14:textId="289D9607" w:rsidR="00DF579B" w:rsidRPr="00183DBC" w:rsidRDefault="00DF579B" w:rsidP="00DF579B">
      <w:pPr>
        <w:rPr>
          <w:rFonts w:ascii="Arial" w:hAnsi="Arial" w:cs="Arial"/>
        </w:rPr>
      </w:pPr>
      <w:r w:rsidRPr="00183DBC">
        <w:rPr>
          <w:rFonts w:ascii="Arial" w:hAnsi="Arial" w:cs="Arial"/>
        </w:rPr>
        <w:t>Lim, B. &amp; Sohn, H. (2022) ‘Public trust and approval of government COVID-19 strategies: a Korean case study’, Korean Journal of Public Health, 60(4): 315–329. (Journal link.)</w:t>
      </w:r>
    </w:p>
    <w:p w14:paraId="2B3C3995" w14:textId="0F4B253F" w:rsidR="00DF44D2" w:rsidRPr="00183DBC" w:rsidRDefault="00DF579B" w:rsidP="00DF579B">
      <w:pPr>
        <w:rPr>
          <w:rFonts w:ascii="Arial" w:hAnsi="Arial" w:cs="Arial"/>
        </w:rPr>
      </w:pPr>
      <w:r w:rsidRPr="00183DBC">
        <w:rPr>
          <w:rFonts w:ascii="Arial" w:hAnsi="Arial" w:cs="Arial"/>
        </w:rPr>
        <w:t xml:space="preserve">Cecco, L. (2021) ‘Canada’s slow vaccine rollout: what went wrong’, The Guardian, 2021. Available at: </w:t>
      </w:r>
      <w:hyperlink r:id="rId38" w:history="1">
        <w:r w:rsidR="00DF44D2" w:rsidRPr="00183DBC">
          <w:rPr>
            <w:rStyle w:val="Hyperlink"/>
            <w:rFonts w:ascii="Arial" w:hAnsi="Arial" w:cs="Arial"/>
          </w:rPr>
          <w:t>https://www.theguardian.com/world/2021/jan/xx/canada-vaccine-rollout</w:t>
        </w:r>
      </w:hyperlink>
      <w:r w:rsidRPr="00183DBC">
        <w:rPr>
          <w:rFonts w:ascii="Arial" w:hAnsi="Arial" w:cs="Arial"/>
        </w:rPr>
        <w:t>.</w:t>
      </w:r>
    </w:p>
    <w:p w14:paraId="12D2C6CD" w14:textId="131B63F3" w:rsidR="00DF579B" w:rsidRPr="00183DBC" w:rsidRDefault="00DF579B" w:rsidP="00DF579B">
      <w:pPr>
        <w:rPr>
          <w:rFonts w:ascii="Arial" w:hAnsi="Arial" w:cs="Arial"/>
        </w:rPr>
      </w:pPr>
      <w:r w:rsidRPr="00183DBC">
        <w:rPr>
          <w:rFonts w:ascii="Arial" w:hAnsi="Arial" w:cs="Arial"/>
        </w:rPr>
        <w:t>Reyes-Santías, G., et al. (2024) ‘Analysis of regional variability in COVID-19 mortality in Spain’, European Journal of Public Health, 34(1): 58–66.</w:t>
      </w:r>
    </w:p>
    <w:p w14:paraId="24263317" w14:textId="75AE7931" w:rsidR="00DF579B" w:rsidRPr="00183DBC" w:rsidRDefault="00DF579B" w:rsidP="00DF579B">
      <w:pPr>
        <w:rPr>
          <w:rFonts w:ascii="Arial" w:hAnsi="Arial" w:cs="Arial"/>
        </w:rPr>
      </w:pPr>
      <w:r w:rsidRPr="00183DBC">
        <w:rPr>
          <w:rFonts w:ascii="Arial" w:hAnsi="Arial" w:cs="Arial"/>
        </w:rPr>
        <w:t xml:space="preserve"> Wuryani, S., et al. (2021) ‘Leadership adaptation in vaccine rollout: Spain’s trajectory’, Journal of Health Leadership, 12: 45–60.</w:t>
      </w:r>
    </w:p>
    <w:p w14:paraId="42434930" w14:textId="0B7C5412" w:rsidR="00DF579B" w:rsidRPr="00183DBC" w:rsidRDefault="00DF579B" w:rsidP="00DF579B">
      <w:pPr>
        <w:rPr>
          <w:rFonts w:ascii="Arial" w:hAnsi="Arial" w:cs="Arial"/>
        </w:rPr>
      </w:pPr>
      <w:r w:rsidRPr="00183DBC">
        <w:rPr>
          <w:rFonts w:ascii="Arial" w:hAnsi="Arial" w:cs="Arial"/>
        </w:rPr>
        <w:t>Baker, M.G., et al. (2020) ‘Lessons from New Zealand’s COVID-19 elimination strategy: the role of leadership and trust’, BMJ, 370: m2376. DOI: 10.1136/bmj.m2376.</w:t>
      </w:r>
    </w:p>
    <w:p w14:paraId="25F31CC5" w14:textId="33E1C44E" w:rsidR="00DF579B" w:rsidRPr="00183DBC" w:rsidRDefault="00DF579B" w:rsidP="00DF579B">
      <w:pPr>
        <w:rPr>
          <w:rFonts w:ascii="Arial" w:hAnsi="Arial" w:cs="Arial"/>
        </w:rPr>
      </w:pPr>
      <w:r w:rsidRPr="00183DBC">
        <w:rPr>
          <w:rFonts w:ascii="Arial" w:hAnsi="Arial" w:cs="Arial"/>
        </w:rPr>
        <w:t xml:space="preserve"> Moynihan, R., et al. (2021) ‘Impact of the COVID-19 pandemic on utilisation of healthcare services: a systematic review’, BMJ Open, 11: e045343. DOI: 10.1136/bmjopen-2020-045343. </w:t>
      </w:r>
    </w:p>
    <w:p w14:paraId="5D768E54" w14:textId="2795DE0E" w:rsidR="00DF579B" w:rsidRPr="00183DBC" w:rsidRDefault="00DF579B" w:rsidP="00DF579B">
      <w:pPr>
        <w:rPr>
          <w:rFonts w:ascii="Arial" w:hAnsi="Arial" w:cs="Arial"/>
        </w:rPr>
      </w:pPr>
      <w:r w:rsidRPr="00183DBC">
        <w:rPr>
          <w:rFonts w:ascii="Arial" w:hAnsi="Arial" w:cs="Arial"/>
        </w:rPr>
        <w:t xml:space="preserve"> Martínez-López, B. &amp; Serrano-Vega, B. (2022) ‘Digital contact tracing and privacy trade-offs: evidence from South Korea’, Digital Policy, Regulation and Governance, 24(3): 345–362.</w:t>
      </w:r>
    </w:p>
    <w:p w14:paraId="4A5E17F3" w14:textId="42476F33" w:rsidR="007D5B7F" w:rsidRPr="00183DBC" w:rsidRDefault="00DF579B" w:rsidP="00DF579B">
      <w:pPr>
        <w:rPr>
          <w:rFonts w:ascii="Arial" w:hAnsi="Arial" w:cs="Arial"/>
        </w:rPr>
      </w:pPr>
      <w:r w:rsidRPr="00183DBC">
        <w:rPr>
          <w:rFonts w:ascii="Arial" w:hAnsi="Arial" w:cs="Arial"/>
        </w:rPr>
        <w:t xml:space="preserve">Santoso, N.R., et al. (2022) ‘Transformational leadership during the COVID-19 pandemic: organizational outcomes and staff wellbeing’, International Journal of Management, 43(2): 100–118. Available at: </w:t>
      </w:r>
      <w:hyperlink r:id="rId39" w:history="1">
        <w:r w:rsidR="007D5B7F" w:rsidRPr="00183DBC">
          <w:rPr>
            <w:rStyle w:val="Hyperlink"/>
            <w:rFonts w:ascii="Arial" w:hAnsi="Arial" w:cs="Arial"/>
          </w:rPr>
          <w:t>https://www.ncbi.nlm.nih.gov/pmc/articles/PMC9019500/</w:t>
        </w:r>
      </w:hyperlink>
      <w:r w:rsidRPr="00183DBC">
        <w:rPr>
          <w:rFonts w:ascii="Arial" w:hAnsi="Arial" w:cs="Arial"/>
        </w:rPr>
        <w:t>.</w:t>
      </w:r>
    </w:p>
    <w:p w14:paraId="77D6FA14" w14:textId="157DAD3B" w:rsidR="00085018" w:rsidRPr="00183DBC" w:rsidRDefault="00DF579B" w:rsidP="00DF579B">
      <w:pPr>
        <w:rPr>
          <w:rFonts w:ascii="Arial" w:hAnsi="Arial" w:cs="Arial"/>
        </w:rPr>
      </w:pPr>
      <w:r w:rsidRPr="00183DBC">
        <w:rPr>
          <w:rFonts w:ascii="Arial" w:hAnsi="Arial" w:cs="Arial"/>
        </w:rPr>
        <w:t xml:space="preserve"> Aslam, S., et al. (2022) ‘Emergence of situational leadership during COVID-19: effects on staff resilience’, Frontiers in Psychology, 13: 919941. DOI: 10.3389/fpsyg.2022.919941. </w:t>
      </w:r>
    </w:p>
    <w:p w14:paraId="02915A6F" w14:textId="6BC4B485" w:rsidR="00E03A8B" w:rsidRPr="00183DBC" w:rsidRDefault="00DF579B" w:rsidP="00DF579B">
      <w:pPr>
        <w:rPr>
          <w:rFonts w:ascii="Arial" w:hAnsi="Arial" w:cs="Arial"/>
        </w:rPr>
      </w:pPr>
      <w:r w:rsidRPr="00183DBC">
        <w:rPr>
          <w:rFonts w:ascii="Arial" w:hAnsi="Arial" w:cs="Arial"/>
        </w:rPr>
        <w:t>European Union Agency for Fundamental Rights (FRA) (2020) Coronavirus pandemic in the EU: fundamental rights implications. Available</w:t>
      </w:r>
      <w:r w:rsidR="00E03A8B" w:rsidRPr="00183DBC">
        <w:rPr>
          <w:rFonts w:ascii="Arial" w:hAnsi="Arial" w:cs="Arial"/>
        </w:rPr>
        <w:t xml:space="preserve"> </w:t>
      </w:r>
      <w:r w:rsidRPr="00183DBC">
        <w:rPr>
          <w:rFonts w:ascii="Arial" w:hAnsi="Arial" w:cs="Arial"/>
        </w:rPr>
        <w:t>at:</w:t>
      </w:r>
      <w:r w:rsidR="00E03A8B" w:rsidRPr="00183DBC">
        <w:rPr>
          <w:rFonts w:ascii="Arial" w:hAnsi="Arial" w:cs="Arial"/>
        </w:rPr>
        <w:t xml:space="preserve"> </w:t>
      </w:r>
      <w:hyperlink r:id="rId40" w:history="1">
        <w:r w:rsidR="00E03A8B" w:rsidRPr="00183DBC">
          <w:rPr>
            <w:rStyle w:val="Hyperlink"/>
            <w:rFonts w:ascii="Arial" w:hAnsi="Arial" w:cs="Arial"/>
          </w:rPr>
          <w:t>https://fra.europa.eu/sites/default/files/fra_uploads/es_report_on_coronavirus_pandemic-_may_2020.pdf</w:t>
        </w:r>
      </w:hyperlink>
    </w:p>
    <w:p w14:paraId="1F858BB7" w14:textId="4036404C" w:rsidR="00DF579B" w:rsidRPr="00183DBC" w:rsidRDefault="00DF579B" w:rsidP="00DF579B">
      <w:pPr>
        <w:rPr>
          <w:rFonts w:ascii="Arial" w:hAnsi="Arial" w:cs="Arial"/>
        </w:rPr>
      </w:pPr>
      <w:r w:rsidRPr="00183DBC">
        <w:rPr>
          <w:rFonts w:ascii="Arial" w:hAnsi="Arial" w:cs="Arial"/>
        </w:rPr>
        <w:t xml:space="preserve"> Kölling, M., et al. (2024) ‘Political fragmentation and health outcomes: Spain’s COVID-19 experience’, Journal of European Public Policy, 31(6): 903–922.</w:t>
      </w:r>
    </w:p>
    <w:p w14:paraId="697F44EF" w14:textId="399E9D4A" w:rsidR="00C952DC" w:rsidRPr="00183DBC" w:rsidRDefault="00DF579B" w:rsidP="00DF579B">
      <w:pPr>
        <w:rPr>
          <w:rFonts w:ascii="Arial" w:hAnsi="Arial" w:cs="Arial"/>
        </w:rPr>
      </w:pPr>
      <w:r w:rsidRPr="00183DBC">
        <w:rPr>
          <w:rFonts w:ascii="Arial" w:hAnsi="Arial" w:cs="Arial"/>
        </w:rPr>
        <w:t xml:space="preserve"> Dam, D., et al. (2024) ‘COVID-19 outcome trends by vaccination status in Canada: national surveillance report’, Canadian Journal of Public Health, 115(2): 200–212. Available at: </w:t>
      </w:r>
      <w:hyperlink r:id="rId41" w:history="1">
        <w:r w:rsidR="00085018" w:rsidRPr="00183DBC">
          <w:rPr>
            <w:rStyle w:val="Hyperlink"/>
            <w:rFonts w:ascii="Arial" w:hAnsi="Arial" w:cs="Arial"/>
          </w:rPr>
          <w:t>https://www.ncbi.nlm.nih.gov/pmc/articles/PMC11037879/</w:t>
        </w:r>
      </w:hyperlink>
      <w:r w:rsidRPr="00183DBC">
        <w:rPr>
          <w:rFonts w:ascii="Arial" w:hAnsi="Arial" w:cs="Arial"/>
        </w:rPr>
        <w:t>.</w:t>
      </w:r>
    </w:p>
    <w:p w14:paraId="248CBD3C" w14:textId="16CDF18C" w:rsidR="00085018" w:rsidRPr="00183DBC" w:rsidRDefault="00DF579B" w:rsidP="00DF579B">
      <w:pPr>
        <w:rPr>
          <w:rFonts w:ascii="Arial" w:hAnsi="Arial" w:cs="Arial"/>
        </w:rPr>
      </w:pPr>
      <w:r w:rsidRPr="00183DBC">
        <w:rPr>
          <w:rFonts w:ascii="Arial" w:hAnsi="Arial" w:cs="Arial"/>
        </w:rPr>
        <w:t xml:space="preserve">Exemplars in Global Health (2021) ‘Emerging COVID-19 success story: South Korea’, Practica and lessons. Available at: </w:t>
      </w:r>
      <w:hyperlink r:id="rId42" w:history="1">
        <w:r w:rsidR="00085018" w:rsidRPr="00183DBC">
          <w:rPr>
            <w:rStyle w:val="Hyperlink"/>
            <w:rFonts w:ascii="Arial" w:hAnsi="Arial" w:cs="Arial"/>
          </w:rPr>
          <w:t>https://www.exemplars.health/emerging-topics/epidemic-preparedness-and-response/covid-19/south-korea</w:t>
        </w:r>
      </w:hyperlink>
      <w:r w:rsidRPr="00183DBC">
        <w:rPr>
          <w:rFonts w:ascii="Arial" w:hAnsi="Arial" w:cs="Arial"/>
        </w:rPr>
        <w:t>.</w:t>
      </w:r>
    </w:p>
    <w:p w14:paraId="70D85F75" w14:textId="48AFA57E" w:rsidR="00085018" w:rsidRPr="00183DBC" w:rsidRDefault="00DF579B" w:rsidP="00DF579B">
      <w:pPr>
        <w:rPr>
          <w:rFonts w:ascii="Arial" w:hAnsi="Arial" w:cs="Arial"/>
        </w:rPr>
      </w:pPr>
      <w:r w:rsidRPr="00183DBC">
        <w:rPr>
          <w:rFonts w:ascii="Arial" w:hAnsi="Arial" w:cs="Arial"/>
        </w:rPr>
        <w:t xml:space="preserve"> Clark, J. (2023) ‘The world expected more of Canada: BMJ series on the country’s COVID-19 response’, BMJ, 382: p1634. Available at: </w:t>
      </w:r>
      <w:hyperlink r:id="rId43" w:history="1">
        <w:r w:rsidR="00085018" w:rsidRPr="00183DBC">
          <w:rPr>
            <w:rStyle w:val="Hyperlink"/>
            <w:rFonts w:ascii="Arial" w:hAnsi="Arial" w:cs="Arial"/>
          </w:rPr>
          <w:t>https://www.bmj.com/content/382/bmj.p1634</w:t>
        </w:r>
      </w:hyperlink>
    </w:p>
    <w:p w14:paraId="35C8F47B" w14:textId="2D24D554" w:rsidR="00445BBC" w:rsidRPr="00183DBC" w:rsidRDefault="00445BBC" w:rsidP="00445BBC">
      <w:pPr>
        <w:rPr>
          <w:rFonts w:ascii="Arial" w:hAnsi="Arial" w:cs="Arial"/>
        </w:rPr>
      </w:pPr>
      <w:r w:rsidRPr="00183DBC">
        <w:rPr>
          <w:rFonts w:ascii="Arial" w:hAnsi="Arial" w:cs="Arial"/>
        </w:rPr>
        <w:t xml:space="preserve">Amiel, S. (2021) How struggling Spain became one of Europe’s vaccination champions. Available at: </w:t>
      </w:r>
      <w:hyperlink r:id="rId44" w:history="1">
        <w:r w:rsidRPr="00183DBC">
          <w:rPr>
            <w:rStyle w:val="Hyperlink"/>
            <w:rFonts w:ascii="Arial" w:hAnsi="Arial" w:cs="Arial"/>
          </w:rPr>
          <w:t>https://www.euronews.com</w:t>
        </w:r>
      </w:hyperlink>
    </w:p>
    <w:p w14:paraId="7957D18C" w14:textId="7809F194" w:rsidR="00445BBC" w:rsidRPr="00183DBC" w:rsidRDefault="00445BBC" w:rsidP="00445BBC">
      <w:pPr>
        <w:rPr>
          <w:rFonts w:ascii="Arial" w:hAnsi="Arial" w:cs="Arial"/>
        </w:rPr>
      </w:pPr>
      <w:r w:rsidRPr="00183DBC">
        <w:rPr>
          <w:rFonts w:ascii="Arial" w:hAnsi="Arial" w:cs="Arial"/>
        </w:rPr>
        <w:t xml:space="preserve">Bahk, J. &amp; Jung-Choi, K. (2022) Cause-specific mortalities in Korea during COVID-19. Epidemiology and Health. Available at: </w:t>
      </w:r>
      <w:hyperlink r:id="rId45" w:history="1">
        <w:r w:rsidRPr="00183DBC">
          <w:rPr>
            <w:rStyle w:val="Hyperlink"/>
            <w:rFonts w:ascii="Arial" w:hAnsi="Arial" w:cs="Arial"/>
          </w:rPr>
          <w:t>https://doi.org/10.4178/epih.e2022110</w:t>
        </w:r>
      </w:hyperlink>
    </w:p>
    <w:p w14:paraId="390ED0E9" w14:textId="7217F157" w:rsidR="00445BBC" w:rsidRPr="00183DBC" w:rsidRDefault="00445BBC" w:rsidP="00445BBC">
      <w:pPr>
        <w:rPr>
          <w:rFonts w:ascii="Arial" w:hAnsi="Arial" w:cs="Arial"/>
        </w:rPr>
      </w:pPr>
      <w:r w:rsidRPr="00183DBC">
        <w:rPr>
          <w:rFonts w:ascii="Arial" w:hAnsi="Arial" w:cs="Arial"/>
        </w:rPr>
        <w:t xml:space="preserve">Government of Canada (2023) About Canada’s health care system. Available at: </w:t>
      </w:r>
      <w:hyperlink r:id="rId46" w:history="1">
        <w:r w:rsidRPr="00183DBC">
          <w:rPr>
            <w:rStyle w:val="Hyperlink"/>
            <w:rFonts w:ascii="Arial" w:hAnsi="Arial" w:cs="Arial"/>
          </w:rPr>
          <w:t>https://www.canada.ca</w:t>
        </w:r>
      </w:hyperlink>
    </w:p>
    <w:p w14:paraId="08714799" w14:textId="21ABCC2F" w:rsidR="00445BBC" w:rsidRPr="00183DBC" w:rsidRDefault="00445BBC" w:rsidP="00445BBC">
      <w:pPr>
        <w:rPr>
          <w:rFonts w:ascii="Arial" w:hAnsi="Arial" w:cs="Arial"/>
        </w:rPr>
      </w:pPr>
      <w:r w:rsidRPr="00183DBC">
        <w:rPr>
          <w:rFonts w:ascii="Arial" w:hAnsi="Arial" w:cs="Arial"/>
        </w:rPr>
        <w:t xml:space="preserve">Kang, J. et al. (2020) South Korea’s responses to COVID-19. AJIC. Available at: </w:t>
      </w:r>
      <w:hyperlink r:id="rId47" w:history="1">
        <w:r w:rsidRPr="00183DBC">
          <w:rPr>
            <w:rStyle w:val="Hyperlink"/>
            <w:rFonts w:ascii="Arial" w:hAnsi="Arial" w:cs="Arial"/>
          </w:rPr>
          <w:t>https://doi.org/10.1016/j.ajic.2020.06.003</w:t>
        </w:r>
      </w:hyperlink>
    </w:p>
    <w:p w14:paraId="7CD480F6" w14:textId="7A5339C4" w:rsidR="00445BBC" w:rsidRPr="00183DBC" w:rsidRDefault="00445BBC" w:rsidP="00445BBC">
      <w:pPr>
        <w:rPr>
          <w:rFonts w:ascii="Arial" w:hAnsi="Arial" w:cs="Arial"/>
        </w:rPr>
      </w:pPr>
      <w:r w:rsidRPr="00183DBC">
        <w:rPr>
          <w:rFonts w:ascii="Arial" w:hAnsi="Arial" w:cs="Arial"/>
        </w:rPr>
        <w:t>Navarro, C. &amp; Velasco, F. (2022) Spain’s intergovernmental response to COVID</w:t>
      </w:r>
      <w:r w:rsidRPr="00183DBC">
        <w:rPr>
          <w:rFonts w:ascii="Cambria Math" w:hAnsi="Cambria Math" w:cs="Cambria Math"/>
        </w:rPr>
        <w:t>‑</w:t>
      </w:r>
      <w:r w:rsidRPr="00183DBC">
        <w:rPr>
          <w:rFonts w:ascii="Arial" w:hAnsi="Arial" w:cs="Arial"/>
        </w:rPr>
        <w:t xml:space="preserve">19. Local Government Studies. Available at: </w:t>
      </w:r>
      <w:hyperlink r:id="rId48" w:history="1">
        <w:r w:rsidRPr="00183DBC">
          <w:rPr>
            <w:rStyle w:val="Hyperlink"/>
            <w:rFonts w:ascii="Arial" w:hAnsi="Arial" w:cs="Arial"/>
          </w:rPr>
          <w:t>https://doi.org/10.1080/03003930.2022.2042683</w:t>
        </w:r>
      </w:hyperlink>
    </w:p>
    <w:p w14:paraId="7F644909" w14:textId="158EE966" w:rsidR="00445BBC" w:rsidRPr="00183DBC" w:rsidRDefault="00445BBC" w:rsidP="00445BBC">
      <w:pPr>
        <w:rPr>
          <w:rFonts w:ascii="Arial" w:hAnsi="Arial" w:cs="Arial"/>
        </w:rPr>
      </w:pPr>
      <w:r w:rsidRPr="00183DBC">
        <w:rPr>
          <w:rFonts w:ascii="Arial" w:hAnsi="Arial" w:cs="Arial"/>
        </w:rPr>
        <w:t xml:space="preserve">Public Health Agency of Canada (2021) Vaccination coverage in Canada. Available at: </w:t>
      </w:r>
      <w:hyperlink r:id="rId49" w:history="1">
        <w:r w:rsidRPr="00183DBC">
          <w:rPr>
            <w:rStyle w:val="Hyperlink"/>
            <w:rFonts w:ascii="Arial" w:hAnsi="Arial" w:cs="Arial"/>
          </w:rPr>
          <w:t>https://health-infobase.canada.ca</w:t>
        </w:r>
      </w:hyperlink>
    </w:p>
    <w:p w14:paraId="5BD22FF5" w14:textId="195060CE" w:rsidR="00445BBC" w:rsidRPr="00183DBC" w:rsidRDefault="00445BBC" w:rsidP="00445BBC">
      <w:pPr>
        <w:rPr>
          <w:rFonts w:ascii="Arial" w:hAnsi="Arial" w:cs="Arial"/>
        </w:rPr>
      </w:pPr>
      <w:r w:rsidRPr="00183DBC">
        <w:rPr>
          <w:rFonts w:ascii="Arial" w:hAnsi="Arial" w:cs="Arial"/>
        </w:rPr>
        <w:t>WHO (2024a) COVID</w:t>
      </w:r>
      <w:r w:rsidRPr="00183DBC">
        <w:rPr>
          <w:rFonts w:ascii="Cambria Math" w:hAnsi="Cambria Math" w:cs="Cambria Math"/>
        </w:rPr>
        <w:t>‑</w:t>
      </w:r>
      <w:r w:rsidRPr="00183DBC">
        <w:rPr>
          <w:rFonts w:ascii="Arial" w:hAnsi="Arial" w:cs="Arial"/>
        </w:rPr>
        <w:t xml:space="preserve">19 epidemiological update. Available at: </w:t>
      </w:r>
      <w:hyperlink r:id="rId50" w:history="1">
        <w:r w:rsidRPr="00183DBC">
          <w:rPr>
            <w:rStyle w:val="Hyperlink"/>
            <w:rFonts w:ascii="Arial" w:hAnsi="Arial" w:cs="Arial"/>
          </w:rPr>
          <w:t>https://www.who.int</w:t>
        </w:r>
      </w:hyperlink>
    </w:p>
    <w:p w14:paraId="798D07E4" w14:textId="0CB02042" w:rsidR="00DF579B" w:rsidRPr="00183DBC" w:rsidRDefault="00445BBC" w:rsidP="00445BBC">
      <w:pPr>
        <w:rPr>
          <w:rFonts w:ascii="Arial" w:hAnsi="Arial" w:cs="Arial"/>
        </w:rPr>
      </w:pPr>
      <w:r w:rsidRPr="00183DBC">
        <w:rPr>
          <w:rFonts w:ascii="Arial" w:hAnsi="Arial" w:cs="Arial"/>
        </w:rPr>
        <w:t xml:space="preserve"> (Hale et al. 2021; Pita-Barros 2021)</w:t>
      </w:r>
    </w:p>
    <w:p w14:paraId="6C5B7BFA" w14:textId="77777777" w:rsidR="00445BBC" w:rsidRPr="00183DBC" w:rsidRDefault="00445BBC" w:rsidP="00445BBC">
      <w:pPr>
        <w:rPr>
          <w:rFonts w:ascii="Arial" w:hAnsi="Arial" w:cs="Arial"/>
        </w:rPr>
      </w:pPr>
    </w:p>
    <w:sectPr w:rsidR="00445BBC" w:rsidRPr="00183DBC" w:rsidSect="001E3FC4">
      <w:footerReference w:type="default" r:id="rId51"/>
      <w:pgSz w:w="12240" w:h="15840"/>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DA39D" w14:textId="77777777" w:rsidR="008769AC" w:rsidRDefault="008769AC" w:rsidP="008769AC">
      <w:pPr>
        <w:spacing w:after="0" w:line="240" w:lineRule="auto"/>
      </w:pPr>
      <w:r>
        <w:separator/>
      </w:r>
    </w:p>
  </w:endnote>
  <w:endnote w:type="continuationSeparator" w:id="0">
    <w:p w14:paraId="3841594B" w14:textId="77777777" w:rsidR="008769AC" w:rsidRDefault="008769AC" w:rsidP="00876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Symbol">
    <w:panose1 w:val="020B0502040204020203"/>
    <w:charset w:val="00"/>
    <w:family w:val="swiss"/>
    <w:pitch w:val="variable"/>
    <w:sig w:usb0="800001E3" w:usb1="1200FFEF" w:usb2="0064C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504415"/>
      <w:docPartObj>
        <w:docPartGallery w:val="Page Numbers (Bottom of Page)"/>
        <w:docPartUnique/>
      </w:docPartObj>
    </w:sdtPr>
    <w:sdtEndPr>
      <w:rPr>
        <w:noProof/>
      </w:rPr>
    </w:sdtEndPr>
    <w:sdtContent>
      <w:p w14:paraId="2401A116" w14:textId="379F46CE" w:rsidR="009F6CF1" w:rsidRDefault="009F6C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5EA06F" w14:textId="77777777" w:rsidR="009F6CF1" w:rsidRDefault="009F6C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EAF98" w14:textId="77777777" w:rsidR="008769AC" w:rsidRDefault="008769AC" w:rsidP="008769AC">
      <w:pPr>
        <w:spacing w:after="0" w:line="240" w:lineRule="auto"/>
      </w:pPr>
      <w:r>
        <w:separator/>
      </w:r>
    </w:p>
  </w:footnote>
  <w:footnote w:type="continuationSeparator" w:id="0">
    <w:p w14:paraId="18416C8B" w14:textId="77777777" w:rsidR="008769AC" w:rsidRDefault="008769AC" w:rsidP="008769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14523C"/>
    <w:multiLevelType w:val="hybridMultilevel"/>
    <w:tmpl w:val="39D4D96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0647003B"/>
    <w:multiLevelType w:val="hybridMultilevel"/>
    <w:tmpl w:val="E6BC6046"/>
    <w:lvl w:ilvl="0" w:tplc="E198139C">
      <w:start w:val="5"/>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071C7C32"/>
    <w:multiLevelType w:val="hybridMultilevel"/>
    <w:tmpl w:val="AAD89F5A"/>
    <w:lvl w:ilvl="0" w:tplc="E198139C">
      <w:start w:val="5"/>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07673622"/>
    <w:multiLevelType w:val="hybridMultilevel"/>
    <w:tmpl w:val="A8F8B436"/>
    <w:lvl w:ilvl="0" w:tplc="40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0E160D82"/>
    <w:multiLevelType w:val="hybridMultilevel"/>
    <w:tmpl w:val="D324BDA8"/>
    <w:lvl w:ilvl="0" w:tplc="E198139C">
      <w:start w:val="5"/>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0E807391"/>
    <w:multiLevelType w:val="hybridMultilevel"/>
    <w:tmpl w:val="959E676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15464615"/>
    <w:multiLevelType w:val="hybridMultilevel"/>
    <w:tmpl w:val="A9E8A8A4"/>
    <w:lvl w:ilvl="0" w:tplc="E198139C">
      <w:start w:val="5"/>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18830C7C"/>
    <w:multiLevelType w:val="hybridMultilevel"/>
    <w:tmpl w:val="366C266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1DB43E8B"/>
    <w:multiLevelType w:val="hybridMultilevel"/>
    <w:tmpl w:val="4C8A9A0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1DDE78FC"/>
    <w:multiLevelType w:val="hybridMultilevel"/>
    <w:tmpl w:val="3A4E1B40"/>
    <w:lvl w:ilvl="0" w:tplc="E198139C">
      <w:start w:val="5"/>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222C3113"/>
    <w:multiLevelType w:val="hybridMultilevel"/>
    <w:tmpl w:val="D3FE725A"/>
    <w:lvl w:ilvl="0" w:tplc="E198139C">
      <w:start w:val="5"/>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2BEF34EB"/>
    <w:multiLevelType w:val="hybridMultilevel"/>
    <w:tmpl w:val="979842D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2D886B97"/>
    <w:multiLevelType w:val="hybridMultilevel"/>
    <w:tmpl w:val="9380FCC2"/>
    <w:lvl w:ilvl="0" w:tplc="E198139C">
      <w:start w:val="5"/>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01D7867"/>
    <w:multiLevelType w:val="hybridMultilevel"/>
    <w:tmpl w:val="BCFEEF0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32095337"/>
    <w:multiLevelType w:val="hybridMultilevel"/>
    <w:tmpl w:val="37FC1D1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39605DE5"/>
    <w:multiLevelType w:val="hybridMultilevel"/>
    <w:tmpl w:val="A36CFCE0"/>
    <w:lvl w:ilvl="0" w:tplc="E198139C">
      <w:start w:val="5"/>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3A4952D9"/>
    <w:multiLevelType w:val="hybridMultilevel"/>
    <w:tmpl w:val="1A8E364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3E433FEB"/>
    <w:multiLevelType w:val="hybridMultilevel"/>
    <w:tmpl w:val="D7B49BB2"/>
    <w:lvl w:ilvl="0" w:tplc="E198139C">
      <w:start w:val="5"/>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3EF75838"/>
    <w:multiLevelType w:val="hybridMultilevel"/>
    <w:tmpl w:val="360015A8"/>
    <w:lvl w:ilvl="0" w:tplc="E198139C">
      <w:start w:val="5"/>
      <w:numFmt w:val="bullet"/>
      <w:lvlText w:val="-"/>
      <w:lvlJc w:val="left"/>
      <w:pPr>
        <w:ind w:left="1080" w:hanging="360"/>
      </w:pPr>
      <w:rPr>
        <w:rFonts w:ascii="Arial" w:eastAsiaTheme="minorEastAsia" w:hAnsi="Arial"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8" w15:restartNumberingAfterBreak="0">
    <w:nsid w:val="4BD26FC8"/>
    <w:multiLevelType w:val="hybridMultilevel"/>
    <w:tmpl w:val="130C03E8"/>
    <w:lvl w:ilvl="0" w:tplc="E198139C">
      <w:start w:val="5"/>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4E277809"/>
    <w:multiLevelType w:val="hybridMultilevel"/>
    <w:tmpl w:val="8F32EBB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28F7733"/>
    <w:multiLevelType w:val="hybridMultilevel"/>
    <w:tmpl w:val="6B589DB6"/>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9D33DD1"/>
    <w:multiLevelType w:val="hybridMultilevel"/>
    <w:tmpl w:val="68EA53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286064D"/>
    <w:multiLevelType w:val="hybridMultilevel"/>
    <w:tmpl w:val="C2CCA686"/>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3475636"/>
    <w:multiLevelType w:val="hybridMultilevel"/>
    <w:tmpl w:val="33C0C8C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7974683"/>
    <w:multiLevelType w:val="hybridMultilevel"/>
    <w:tmpl w:val="BFD605F6"/>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B8C30A0"/>
    <w:multiLevelType w:val="hybridMultilevel"/>
    <w:tmpl w:val="6A0A6B26"/>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BEC158A"/>
    <w:multiLevelType w:val="hybridMultilevel"/>
    <w:tmpl w:val="17765A5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8D55924"/>
    <w:multiLevelType w:val="hybridMultilevel"/>
    <w:tmpl w:val="ED28B8E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9ED4914"/>
    <w:multiLevelType w:val="hybridMultilevel"/>
    <w:tmpl w:val="949CBFD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02506057">
    <w:abstractNumId w:val="8"/>
  </w:num>
  <w:num w:numId="2" w16cid:durableId="671758918">
    <w:abstractNumId w:val="6"/>
  </w:num>
  <w:num w:numId="3" w16cid:durableId="415902681">
    <w:abstractNumId w:val="5"/>
  </w:num>
  <w:num w:numId="4" w16cid:durableId="622426213">
    <w:abstractNumId w:val="4"/>
  </w:num>
  <w:num w:numId="5" w16cid:durableId="1271008079">
    <w:abstractNumId w:val="7"/>
  </w:num>
  <w:num w:numId="6" w16cid:durableId="759717854">
    <w:abstractNumId w:val="3"/>
  </w:num>
  <w:num w:numId="7" w16cid:durableId="864947226">
    <w:abstractNumId w:val="2"/>
  </w:num>
  <w:num w:numId="8" w16cid:durableId="592781614">
    <w:abstractNumId w:val="1"/>
  </w:num>
  <w:num w:numId="9" w16cid:durableId="168256736">
    <w:abstractNumId w:val="0"/>
  </w:num>
  <w:num w:numId="10" w16cid:durableId="183786200">
    <w:abstractNumId w:val="31"/>
  </w:num>
  <w:num w:numId="11" w16cid:durableId="1638336046">
    <w:abstractNumId w:val="12"/>
  </w:num>
  <w:num w:numId="12" w16cid:durableId="900598818">
    <w:abstractNumId w:val="16"/>
  </w:num>
  <w:num w:numId="13" w16cid:durableId="326709085">
    <w:abstractNumId w:val="29"/>
  </w:num>
  <w:num w:numId="14" w16cid:durableId="1131441441">
    <w:abstractNumId w:val="34"/>
  </w:num>
  <w:num w:numId="15" w16cid:durableId="461075018">
    <w:abstractNumId w:val="30"/>
  </w:num>
  <w:num w:numId="16" w16cid:durableId="1188956363">
    <w:abstractNumId w:val="38"/>
  </w:num>
  <w:num w:numId="17" w16cid:durableId="1382754874">
    <w:abstractNumId w:val="22"/>
  </w:num>
  <w:num w:numId="18" w16cid:durableId="922642085">
    <w:abstractNumId w:val="14"/>
  </w:num>
  <w:num w:numId="19" w16cid:durableId="80564254">
    <w:abstractNumId w:val="33"/>
  </w:num>
  <w:num w:numId="20" w16cid:durableId="1939174733">
    <w:abstractNumId w:val="36"/>
  </w:num>
  <w:num w:numId="21" w16cid:durableId="883832003">
    <w:abstractNumId w:val="32"/>
  </w:num>
  <w:num w:numId="22" w16cid:durableId="176699675">
    <w:abstractNumId w:val="9"/>
  </w:num>
  <w:num w:numId="23" w16cid:durableId="818961773">
    <w:abstractNumId w:val="37"/>
  </w:num>
  <w:num w:numId="24" w16cid:durableId="1046218913">
    <w:abstractNumId w:val="20"/>
  </w:num>
  <w:num w:numId="25" w16cid:durableId="318732572">
    <w:abstractNumId w:val="35"/>
  </w:num>
  <w:num w:numId="26" w16cid:durableId="1008554704">
    <w:abstractNumId w:val="25"/>
  </w:num>
  <w:num w:numId="27" w16cid:durableId="1861777663">
    <w:abstractNumId w:val="17"/>
  </w:num>
  <w:num w:numId="28" w16cid:durableId="1270117816">
    <w:abstractNumId w:val="11"/>
  </w:num>
  <w:num w:numId="29" w16cid:durableId="1695380548">
    <w:abstractNumId w:val="19"/>
  </w:num>
  <w:num w:numId="30" w16cid:durableId="789784238">
    <w:abstractNumId w:val="15"/>
  </w:num>
  <w:num w:numId="31" w16cid:durableId="365250852">
    <w:abstractNumId w:val="24"/>
  </w:num>
  <w:num w:numId="32" w16cid:durableId="520556729">
    <w:abstractNumId w:val="28"/>
  </w:num>
  <w:num w:numId="33" w16cid:durableId="1694915561">
    <w:abstractNumId w:val="27"/>
  </w:num>
  <w:num w:numId="34" w16cid:durableId="981157369">
    <w:abstractNumId w:val="18"/>
  </w:num>
  <w:num w:numId="35" w16cid:durableId="1363433055">
    <w:abstractNumId w:val="26"/>
  </w:num>
  <w:num w:numId="36" w16cid:durableId="476991530">
    <w:abstractNumId w:val="21"/>
  </w:num>
  <w:num w:numId="37" w16cid:durableId="972324508">
    <w:abstractNumId w:val="10"/>
  </w:num>
  <w:num w:numId="38" w16cid:durableId="969825599">
    <w:abstractNumId w:val="13"/>
  </w:num>
  <w:num w:numId="39" w16cid:durableId="205765594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513A"/>
    <w:rsid w:val="0001157B"/>
    <w:rsid w:val="0003125E"/>
    <w:rsid w:val="00034270"/>
    <w:rsid w:val="00034616"/>
    <w:rsid w:val="00034617"/>
    <w:rsid w:val="000415E5"/>
    <w:rsid w:val="00050B60"/>
    <w:rsid w:val="0006063C"/>
    <w:rsid w:val="00066B9A"/>
    <w:rsid w:val="00071B1E"/>
    <w:rsid w:val="00077611"/>
    <w:rsid w:val="00081FDE"/>
    <w:rsid w:val="00085018"/>
    <w:rsid w:val="00085F47"/>
    <w:rsid w:val="00087ED0"/>
    <w:rsid w:val="00096B52"/>
    <w:rsid w:val="000B5048"/>
    <w:rsid w:val="000C29DE"/>
    <w:rsid w:val="000C3291"/>
    <w:rsid w:val="000D14CC"/>
    <w:rsid w:val="000D6819"/>
    <w:rsid w:val="000D7A50"/>
    <w:rsid w:val="000E7DD0"/>
    <w:rsid w:val="000F6661"/>
    <w:rsid w:val="0010316E"/>
    <w:rsid w:val="001163F1"/>
    <w:rsid w:val="00120263"/>
    <w:rsid w:val="00131A26"/>
    <w:rsid w:val="0014025F"/>
    <w:rsid w:val="00142DE3"/>
    <w:rsid w:val="0015074B"/>
    <w:rsid w:val="00162905"/>
    <w:rsid w:val="00162D72"/>
    <w:rsid w:val="00167EA4"/>
    <w:rsid w:val="001767E1"/>
    <w:rsid w:val="00181774"/>
    <w:rsid w:val="00183DBC"/>
    <w:rsid w:val="001844F9"/>
    <w:rsid w:val="00184A3A"/>
    <w:rsid w:val="001926B8"/>
    <w:rsid w:val="00192846"/>
    <w:rsid w:val="0019584C"/>
    <w:rsid w:val="00197727"/>
    <w:rsid w:val="001A0F6F"/>
    <w:rsid w:val="001A5BF9"/>
    <w:rsid w:val="001B7F7C"/>
    <w:rsid w:val="001E3A88"/>
    <w:rsid w:val="001E3FC4"/>
    <w:rsid w:val="001F1DF8"/>
    <w:rsid w:val="00207AD4"/>
    <w:rsid w:val="00212F3E"/>
    <w:rsid w:val="00223FDD"/>
    <w:rsid w:val="00244C38"/>
    <w:rsid w:val="00250C76"/>
    <w:rsid w:val="0027551E"/>
    <w:rsid w:val="0029639D"/>
    <w:rsid w:val="002A2824"/>
    <w:rsid w:val="002A701B"/>
    <w:rsid w:val="002B1AE5"/>
    <w:rsid w:val="002C2894"/>
    <w:rsid w:val="002C4E82"/>
    <w:rsid w:val="002C5C0A"/>
    <w:rsid w:val="002C69FF"/>
    <w:rsid w:val="002C76C4"/>
    <w:rsid w:val="002E42E4"/>
    <w:rsid w:val="002F5C44"/>
    <w:rsid w:val="002F7D3F"/>
    <w:rsid w:val="0030342F"/>
    <w:rsid w:val="00320541"/>
    <w:rsid w:val="003229E3"/>
    <w:rsid w:val="00326F90"/>
    <w:rsid w:val="00332981"/>
    <w:rsid w:val="00355663"/>
    <w:rsid w:val="0036291F"/>
    <w:rsid w:val="00371D50"/>
    <w:rsid w:val="00377979"/>
    <w:rsid w:val="00382009"/>
    <w:rsid w:val="003A0F22"/>
    <w:rsid w:val="003B541B"/>
    <w:rsid w:val="003B742A"/>
    <w:rsid w:val="003D45A1"/>
    <w:rsid w:val="003D5497"/>
    <w:rsid w:val="003D5FE5"/>
    <w:rsid w:val="00413DD4"/>
    <w:rsid w:val="004273C5"/>
    <w:rsid w:val="00432CB2"/>
    <w:rsid w:val="00445BBC"/>
    <w:rsid w:val="004503E8"/>
    <w:rsid w:val="004674F3"/>
    <w:rsid w:val="0049266F"/>
    <w:rsid w:val="00493971"/>
    <w:rsid w:val="004A4732"/>
    <w:rsid w:val="004A618C"/>
    <w:rsid w:val="004B16F3"/>
    <w:rsid w:val="004B21B5"/>
    <w:rsid w:val="004B3208"/>
    <w:rsid w:val="004C5622"/>
    <w:rsid w:val="004D5A5A"/>
    <w:rsid w:val="004E3E29"/>
    <w:rsid w:val="0050733F"/>
    <w:rsid w:val="0052764E"/>
    <w:rsid w:val="0053388E"/>
    <w:rsid w:val="00534BC4"/>
    <w:rsid w:val="00547F98"/>
    <w:rsid w:val="005505B4"/>
    <w:rsid w:val="005651B7"/>
    <w:rsid w:val="0057229D"/>
    <w:rsid w:val="00576FF1"/>
    <w:rsid w:val="00580546"/>
    <w:rsid w:val="005861BE"/>
    <w:rsid w:val="00597544"/>
    <w:rsid w:val="005B6CF4"/>
    <w:rsid w:val="005C224F"/>
    <w:rsid w:val="005C6CE2"/>
    <w:rsid w:val="005D3CB9"/>
    <w:rsid w:val="005F1689"/>
    <w:rsid w:val="0061380D"/>
    <w:rsid w:val="00616BED"/>
    <w:rsid w:val="00622DCC"/>
    <w:rsid w:val="0063430A"/>
    <w:rsid w:val="006360D2"/>
    <w:rsid w:val="00642995"/>
    <w:rsid w:val="00645E5E"/>
    <w:rsid w:val="0067448F"/>
    <w:rsid w:val="00683068"/>
    <w:rsid w:val="006A1B40"/>
    <w:rsid w:val="006B4FBD"/>
    <w:rsid w:val="006C1F7A"/>
    <w:rsid w:val="006C407B"/>
    <w:rsid w:val="006D0F68"/>
    <w:rsid w:val="006E796F"/>
    <w:rsid w:val="00723983"/>
    <w:rsid w:val="00727E47"/>
    <w:rsid w:val="007361B0"/>
    <w:rsid w:val="007379B2"/>
    <w:rsid w:val="0074177D"/>
    <w:rsid w:val="00741962"/>
    <w:rsid w:val="007447B0"/>
    <w:rsid w:val="00745738"/>
    <w:rsid w:val="0075403D"/>
    <w:rsid w:val="0076132A"/>
    <w:rsid w:val="00763722"/>
    <w:rsid w:val="0076738C"/>
    <w:rsid w:val="00782872"/>
    <w:rsid w:val="00783E8B"/>
    <w:rsid w:val="007840A9"/>
    <w:rsid w:val="00793627"/>
    <w:rsid w:val="007A3EA2"/>
    <w:rsid w:val="007B51F1"/>
    <w:rsid w:val="007C0732"/>
    <w:rsid w:val="007D5B7F"/>
    <w:rsid w:val="007E12C0"/>
    <w:rsid w:val="007F24F2"/>
    <w:rsid w:val="00800C9F"/>
    <w:rsid w:val="008364D3"/>
    <w:rsid w:val="008470CB"/>
    <w:rsid w:val="008513E2"/>
    <w:rsid w:val="00851ECE"/>
    <w:rsid w:val="00864460"/>
    <w:rsid w:val="008769AC"/>
    <w:rsid w:val="00895B65"/>
    <w:rsid w:val="008B13AC"/>
    <w:rsid w:val="008B483A"/>
    <w:rsid w:val="008B6447"/>
    <w:rsid w:val="008C560B"/>
    <w:rsid w:val="008E390F"/>
    <w:rsid w:val="008F45DC"/>
    <w:rsid w:val="0090072E"/>
    <w:rsid w:val="00902475"/>
    <w:rsid w:val="00903B62"/>
    <w:rsid w:val="0090742B"/>
    <w:rsid w:val="00920E62"/>
    <w:rsid w:val="00926E92"/>
    <w:rsid w:val="00932BA9"/>
    <w:rsid w:val="00941426"/>
    <w:rsid w:val="00946BBF"/>
    <w:rsid w:val="0097353A"/>
    <w:rsid w:val="00983669"/>
    <w:rsid w:val="00984B78"/>
    <w:rsid w:val="00991766"/>
    <w:rsid w:val="00996412"/>
    <w:rsid w:val="009B112F"/>
    <w:rsid w:val="009F16AC"/>
    <w:rsid w:val="009F6CF1"/>
    <w:rsid w:val="00A03403"/>
    <w:rsid w:val="00A11827"/>
    <w:rsid w:val="00A232D5"/>
    <w:rsid w:val="00A43DD9"/>
    <w:rsid w:val="00A513CB"/>
    <w:rsid w:val="00A54D56"/>
    <w:rsid w:val="00A6113E"/>
    <w:rsid w:val="00A64A76"/>
    <w:rsid w:val="00A95B77"/>
    <w:rsid w:val="00A97316"/>
    <w:rsid w:val="00AA1D8D"/>
    <w:rsid w:val="00AB3A0E"/>
    <w:rsid w:val="00AB51AB"/>
    <w:rsid w:val="00AB6FDB"/>
    <w:rsid w:val="00AC74DE"/>
    <w:rsid w:val="00AD07E2"/>
    <w:rsid w:val="00AD59C4"/>
    <w:rsid w:val="00AE770B"/>
    <w:rsid w:val="00AF3322"/>
    <w:rsid w:val="00B01717"/>
    <w:rsid w:val="00B073E3"/>
    <w:rsid w:val="00B11F0A"/>
    <w:rsid w:val="00B17257"/>
    <w:rsid w:val="00B47730"/>
    <w:rsid w:val="00B62B5A"/>
    <w:rsid w:val="00B658A5"/>
    <w:rsid w:val="00B6624F"/>
    <w:rsid w:val="00B81193"/>
    <w:rsid w:val="00B90583"/>
    <w:rsid w:val="00B97D92"/>
    <w:rsid w:val="00BA14BB"/>
    <w:rsid w:val="00BA21B1"/>
    <w:rsid w:val="00BA4176"/>
    <w:rsid w:val="00BB52FB"/>
    <w:rsid w:val="00BB6F08"/>
    <w:rsid w:val="00BD2F93"/>
    <w:rsid w:val="00BE134E"/>
    <w:rsid w:val="00BE5630"/>
    <w:rsid w:val="00BE5B1D"/>
    <w:rsid w:val="00BF1C23"/>
    <w:rsid w:val="00C276C1"/>
    <w:rsid w:val="00C532E2"/>
    <w:rsid w:val="00C65131"/>
    <w:rsid w:val="00C80D19"/>
    <w:rsid w:val="00C80DA9"/>
    <w:rsid w:val="00C8296F"/>
    <w:rsid w:val="00C84D6C"/>
    <w:rsid w:val="00C917BC"/>
    <w:rsid w:val="00C952DC"/>
    <w:rsid w:val="00C9698A"/>
    <w:rsid w:val="00CA39CC"/>
    <w:rsid w:val="00CA3DFF"/>
    <w:rsid w:val="00CB0664"/>
    <w:rsid w:val="00CC0385"/>
    <w:rsid w:val="00CC5F5D"/>
    <w:rsid w:val="00CD1A7B"/>
    <w:rsid w:val="00CD48AF"/>
    <w:rsid w:val="00CF0E40"/>
    <w:rsid w:val="00D1762C"/>
    <w:rsid w:val="00D3529C"/>
    <w:rsid w:val="00D50CD2"/>
    <w:rsid w:val="00D55A21"/>
    <w:rsid w:val="00D71D6C"/>
    <w:rsid w:val="00D94526"/>
    <w:rsid w:val="00D97999"/>
    <w:rsid w:val="00DB33D9"/>
    <w:rsid w:val="00DB7BE1"/>
    <w:rsid w:val="00DD3291"/>
    <w:rsid w:val="00DD3332"/>
    <w:rsid w:val="00DF44D2"/>
    <w:rsid w:val="00DF579B"/>
    <w:rsid w:val="00DF746D"/>
    <w:rsid w:val="00E03A8B"/>
    <w:rsid w:val="00E10385"/>
    <w:rsid w:val="00E10BDC"/>
    <w:rsid w:val="00E21AA7"/>
    <w:rsid w:val="00E62D6E"/>
    <w:rsid w:val="00E636B7"/>
    <w:rsid w:val="00E84BA4"/>
    <w:rsid w:val="00E856AC"/>
    <w:rsid w:val="00E95043"/>
    <w:rsid w:val="00EB006E"/>
    <w:rsid w:val="00ED75D3"/>
    <w:rsid w:val="00EE4E43"/>
    <w:rsid w:val="00EE77DE"/>
    <w:rsid w:val="00EF16DC"/>
    <w:rsid w:val="00EF49A3"/>
    <w:rsid w:val="00F01CFD"/>
    <w:rsid w:val="00F10A4F"/>
    <w:rsid w:val="00F24CB4"/>
    <w:rsid w:val="00F366B6"/>
    <w:rsid w:val="00F439D4"/>
    <w:rsid w:val="00F44155"/>
    <w:rsid w:val="00F53180"/>
    <w:rsid w:val="00F57695"/>
    <w:rsid w:val="00F6124C"/>
    <w:rsid w:val="00FC693F"/>
    <w:rsid w:val="00FE19A3"/>
    <w:rsid w:val="00FE1D9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DE381C"/>
  <w14:defaultImageDpi w14:val="300"/>
  <w15:docId w15:val="{B41128AB-009D-644B-AA47-5566912BB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B6F08"/>
    <w:pPr>
      <w:spacing w:after="100"/>
    </w:pPr>
  </w:style>
  <w:style w:type="paragraph" w:styleId="TOC2">
    <w:name w:val="toc 2"/>
    <w:basedOn w:val="Normal"/>
    <w:next w:val="Normal"/>
    <w:autoRedefine/>
    <w:uiPriority w:val="39"/>
    <w:unhideWhenUsed/>
    <w:rsid w:val="00BB6F08"/>
    <w:pPr>
      <w:spacing w:after="100" w:line="360" w:lineRule="auto"/>
      <w:ind w:left="220"/>
      <w:jc w:val="both"/>
    </w:pPr>
    <w:rPr>
      <w:rFonts w:ascii="Arial" w:eastAsiaTheme="minorHAnsi" w:hAnsi="Arial"/>
      <w:lang w:val="en-IN"/>
    </w:rPr>
  </w:style>
  <w:style w:type="character" w:styleId="Hyperlink">
    <w:name w:val="Hyperlink"/>
    <w:basedOn w:val="DefaultParagraphFont"/>
    <w:uiPriority w:val="99"/>
    <w:unhideWhenUsed/>
    <w:rsid w:val="00BB6F08"/>
    <w:rPr>
      <w:color w:val="0000FF" w:themeColor="hyperlink"/>
      <w:u w:val="single"/>
    </w:rPr>
  </w:style>
  <w:style w:type="paragraph" w:styleId="TOC3">
    <w:name w:val="toc 3"/>
    <w:basedOn w:val="Normal"/>
    <w:next w:val="Normal"/>
    <w:autoRedefine/>
    <w:uiPriority w:val="39"/>
    <w:unhideWhenUsed/>
    <w:rsid w:val="00E10385"/>
    <w:pPr>
      <w:spacing w:after="100"/>
      <w:ind w:left="440"/>
    </w:pPr>
  </w:style>
  <w:style w:type="character" w:styleId="UnresolvedMention">
    <w:name w:val="Unresolved Mention"/>
    <w:basedOn w:val="DefaultParagraphFont"/>
    <w:uiPriority w:val="99"/>
    <w:semiHidden/>
    <w:unhideWhenUsed/>
    <w:rsid w:val="00E03A8B"/>
    <w:rPr>
      <w:color w:val="605E5C"/>
      <w:shd w:val="clear" w:color="auto" w:fill="E1DFDD"/>
    </w:rPr>
  </w:style>
  <w:style w:type="character" w:customStyle="1" w:styleId="NoSpacingChar">
    <w:name w:val="No Spacing Char"/>
    <w:basedOn w:val="DefaultParagraphFont"/>
    <w:link w:val="NoSpacing"/>
    <w:uiPriority w:val="1"/>
    <w:rsid w:val="009F6C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1.jpeg" /><Relationship Id="rId26" Type="http://schemas.openxmlformats.org/officeDocument/2006/relationships/hyperlink" Target="https://www.who.int" TargetMode="External" /><Relationship Id="rId39" Type="http://schemas.openxmlformats.org/officeDocument/2006/relationships/hyperlink" Target="https://www.ncbi.nlm.nih.gov/pmc/articles/PMC9019500/" TargetMode="External" /><Relationship Id="rId3" Type="http://schemas.openxmlformats.org/officeDocument/2006/relationships/styles" Target="styles.xml" /><Relationship Id="rId21" Type="http://schemas.openxmlformats.org/officeDocument/2006/relationships/image" Target="media/image14.jpeg" /><Relationship Id="rId34" Type="http://schemas.openxmlformats.org/officeDocument/2006/relationships/hyperlink" Target="https://www.cambridge.org/core/journals/health-economics-policy-and-law/article/coping-with-covid19-the-role-of-hospital-care-structures-and-capacity-expansion-in-five-countries/798A5786E8FBA7701D389D4ED093B4DB" TargetMode="External" /><Relationship Id="rId42" Type="http://schemas.openxmlformats.org/officeDocument/2006/relationships/hyperlink" Target="https://www.exemplars.health/emerging-topics/epidemic-preparedness-and-response/covid-19/south-korea" TargetMode="External" /><Relationship Id="rId47" Type="http://schemas.openxmlformats.org/officeDocument/2006/relationships/hyperlink" Target="https://doi.org/10.1016/j.ajic.2020.06.003" TargetMode="External" /><Relationship Id="rId50" Type="http://schemas.openxmlformats.org/officeDocument/2006/relationships/hyperlink" Target="https://www.who.int"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hyperlink" Target="https://www.oecd.org/health/health-at-a-glance" TargetMode="External" /><Relationship Id="rId38" Type="http://schemas.openxmlformats.org/officeDocument/2006/relationships/hyperlink" Target="https://www.theguardian.com/world/2021/jan/xx/canada-vaccine-rollout" TargetMode="External" /><Relationship Id="rId46" Type="http://schemas.openxmlformats.org/officeDocument/2006/relationships/hyperlink" Target="https://www.canada.ca"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hyperlink" Target="https://www.ncbi.nlm.nih.gov/pmc/articles/PMC7828970/" TargetMode="External" /><Relationship Id="rId41" Type="http://schemas.openxmlformats.org/officeDocument/2006/relationships/hyperlink" Target="https://www.ncbi.nlm.nih.gov/pmc/articles/PMC11037879/"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hyperlink" Target="https://www.mdpi.com/1660-4601/18/8/4026" TargetMode="External" /><Relationship Id="rId37" Type="http://schemas.openxmlformats.org/officeDocument/2006/relationships/hyperlink" Target="https://www.ncbi.nlm.nih.gov/pmc/articles/PMC12047026/" TargetMode="External" /><Relationship Id="rId40" Type="http://schemas.openxmlformats.org/officeDocument/2006/relationships/hyperlink" Target="https://fra.europa.eu/sites/default/files/fra_uploads/es_report_on_coronavirus_pandemic-_may_2020.pdf" TargetMode="External" /><Relationship Id="rId45" Type="http://schemas.openxmlformats.org/officeDocument/2006/relationships/hyperlink" Target="https://doi.org/10.4178/epih.e2022110" TargetMode="External" /><Relationship Id="rId53"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hyperlink" Target="https://ourworldindata.org/covid-vaccinations" TargetMode="External" /><Relationship Id="rId36" Type="http://schemas.openxmlformats.org/officeDocument/2006/relationships/hyperlink" Target="https://www.canada.ca/en/department-finance/news/2020/03/introduces-canada-emergency-response-benefit-to-help-workers-and-businesses.html" TargetMode="External" /><Relationship Id="rId49" Type="http://schemas.openxmlformats.org/officeDocument/2006/relationships/hyperlink" Target="https://health-infobase.canada.ca" TargetMode="External" /><Relationship Id="rId10" Type="http://schemas.openxmlformats.org/officeDocument/2006/relationships/image" Target="media/image3.png" /><Relationship Id="rId19" Type="http://schemas.openxmlformats.org/officeDocument/2006/relationships/image" Target="media/image12.jpeg" /><Relationship Id="rId31" Type="http://schemas.openxmlformats.org/officeDocument/2006/relationships/hyperlink" Target="https://www.ncbi.nlm.nih.gov/pmc/articles/PMC10818920/" TargetMode="External" /><Relationship Id="rId44" Type="http://schemas.openxmlformats.org/officeDocument/2006/relationships/hyperlink" Target="https://www.euronews.com" TargetMode="External" /><Relationship Id="rId52"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hyperlink" Target="https://www.boe.es/diario_boe/txt.php?id=BOE-A-2020-3692" TargetMode="External" /><Relationship Id="rId30" Type="http://schemas.openxmlformats.org/officeDocument/2006/relationships/hyperlink" Target="https://doi.org/10.1016/j.ajic.2020.06.003" TargetMode="External" /><Relationship Id="rId35" Type="http://schemas.openxmlformats.org/officeDocument/2006/relationships/hyperlink" Target="https://health-infobase.canada.ca/covid-19/vaccination-coverage/" TargetMode="External" /><Relationship Id="rId43" Type="http://schemas.openxmlformats.org/officeDocument/2006/relationships/hyperlink" Target="https://www.bmj.com/content/382/bmj.p1634" TargetMode="External" /><Relationship Id="rId48" Type="http://schemas.openxmlformats.org/officeDocument/2006/relationships/hyperlink" Target="https://doi.org/10.1080/03003930.2022.2042683" TargetMode="External" /><Relationship Id="rId8" Type="http://schemas.openxmlformats.org/officeDocument/2006/relationships/image" Target="media/image1.png" /><Relationship Id="rId51"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6769</Words>
  <Characters>38586</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45265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917249808992</cp:lastModifiedBy>
  <cp:revision>2</cp:revision>
  <dcterms:created xsi:type="dcterms:W3CDTF">2025-11-21T13:45:00Z</dcterms:created>
  <dcterms:modified xsi:type="dcterms:W3CDTF">2025-11-21T13:45:00Z</dcterms:modified>
  <cp:category/>
</cp:coreProperties>
</file>