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4E091" w14:textId="78CBE107" w:rsidR="00862D5C" w:rsidRDefault="00862D5C">
      <w:pPr>
        <w:rPr>
          <w:lang w:val="en-US"/>
        </w:rPr>
      </w:pPr>
      <w:r>
        <w:rPr>
          <w:lang w:val="en-US"/>
        </w:rPr>
        <w:t>Object Analysis – Cypriot Zoomorphic Vessel (Aksos)</w:t>
      </w:r>
    </w:p>
    <w:p w14:paraId="3C39C3D2" w14:textId="0AE2BE40" w:rsidR="0017484A" w:rsidRPr="0077715B" w:rsidRDefault="00CF5B5F" w:rsidP="00445B1D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</w:pPr>
      <w:r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T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his is a functional Zoomorphic vessel involved in pouring libations (oil or alcohol). It is generously decorated with geometric patterns and incorporates exaggerated features (antlers and tail) of the</w:t>
      </w:r>
      <w:r w:rsidR="00D22E44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deer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as a part of its function. I feel that it would have been displayed, and I base this off the stance that the deer has, it clearly shows that it was meant to stand upright. </w:t>
      </w:r>
      <w:r w:rsidR="00271357" w:rsidRPr="00482293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>Also visible on the pottery are various motifs, such as lattice</w:t>
      </w:r>
      <w:r w:rsidR="0097517C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>s a</w:t>
      </w:r>
      <w:r w:rsidR="00271357" w:rsidRPr="00482293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 xml:space="preserve">nd chequerboard patterning. I would argue that there’s planning in its decoration, as it seen in how regimented the patterns are. It is certainly geometric over pictographic. 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The social value of this piece to me is extended when looking at the degree of preservation, it is in extremely good condition (without seeing it firsthand) so I would perhaps elevate the status of this object</w:t>
      </w:r>
      <w:r w:rsidR="00844470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.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</w:t>
      </w:r>
      <w:r w:rsidR="00844470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I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t was evidently treasured, so was </w:t>
      </w:r>
      <w:r w:rsidR="00CC571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exclusively for ceremonies/’festivals’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? </w:t>
      </w:r>
      <w:r w:rsidR="00CD0DC0" w:rsidRPr="00482293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 xml:space="preserve">There is no handle on this aksos but there appears to be a </w:t>
      </w:r>
      <w:r w:rsidR="00CD0DC0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 xml:space="preserve">pin-hole </w:t>
      </w:r>
      <w:r w:rsidR="00CD0DC0" w:rsidRPr="00482293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>on the top which may have aided transportation</w:t>
      </w:r>
      <w:r w:rsidR="00F6367B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17484A" w:rsidRPr="0077715B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I feel that it could have potentially been an item, used to unify people, through a communal, shared activity.</w:t>
      </w:r>
    </w:p>
    <w:p w14:paraId="543B54C0" w14:textId="1F001600" w:rsidR="00AE008E" w:rsidRPr="00D11700" w:rsidRDefault="00AE008E" w:rsidP="00AE008E">
      <w:pPr>
        <w:pStyle w:val="NormalWeb"/>
        <w:rPr>
          <w:rFonts w:asciiTheme="minorHAnsi" w:hAnsiTheme="minorHAnsi" w:cstheme="minorHAnsi"/>
          <w:sz w:val="22"/>
          <w:szCs w:val="22"/>
          <w:lang w:val="en-US"/>
        </w:rPr>
      </w:pP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At this time Cyprus </w:t>
      </w:r>
      <w:r w:rsidR="007A1959">
        <w:rPr>
          <w:rStyle w:val="fontstyle01"/>
          <w:rFonts w:asciiTheme="minorHAnsi" w:hAnsiTheme="minorHAnsi" w:cstheme="minorHAnsi"/>
          <w:sz w:val="22"/>
          <w:szCs w:val="22"/>
        </w:rPr>
        <w:t xml:space="preserve">underwent 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enormous changes through migration and cultural diffusion. Gagne notes the effects.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“Particularly Anatolia, for invaders or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migrants (Dikaios,1962:22; Catling,1966:25; Karageorghis 1973) who brought the secondary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products revolution to Cyprus, as well as other aspects of their material culture such as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architecture and pottery.”[1]. </w:t>
      </w:r>
      <w:r w:rsidR="007702C3">
        <w:rPr>
          <w:rStyle w:val="fontstyle01"/>
          <w:rFonts w:asciiTheme="minorHAnsi" w:hAnsiTheme="minorHAnsi" w:cstheme="minorHAnsi"/>
          <w:sz w:val="22"/>
          <w:szCs w:val="22"/>
        </w:rPr>
        <w:t>K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>napp suggest</w:t>
      </w:r>
      <w:r w:rsidR="001736D9">
        <w:rPr>
          <w:rStyle w:val="fontstyle01"/>
          <w:rFonts w:asciiTheme="minorHAnsi" w:hAnsiTheme="minorHAnsi" w:cstheme="minorHAnsi"/>
          <w:sz w:val="22"/>
          <w:szCs w:val="22"/>
        </w:rPr>
        <w:t>s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 that </w:t>
      </w:r>
      <w:r w:rsidR="001736D9">
        <w:rPr>
          <w:rStyle w:val="fontstyle01"/>
          <w:rFonts w:asciiTheme="minorHAnsi" w:hAnsiTheme="minorHAnsi" w:cstheme="minorHAnsi"/>
          <w:sz w:val="22"/>
          <w:szCs w:val="22"/>
        </w:rPr>
        <w:t xml:space="preserve">there was amalgamation </w:t>
      </w:r>
      <w:r w:rsidR="001736D9">
        <w:rPr>
          <w:rFonts w:asciiTheme="minorHAnsi" w:hAnsiTheme="minorHAnsi" w:cstheme="minorHAnsi"/>
          <w:color w:val="000000"/>
          <w:sz w:val="22"/>
          <w:szCs w:val="22"/>
        </w:rPr>
        <w:t xml:space="preserve">amongst the 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>popula</w:t>
      </w:r>
      <w:r w:rsidR="00D60BF8">
        <w:rPr>
          <w:rStyle w:val="fontstyle01"/>
          <w:rFonts w:asciiTheme="minorHAnsi" w:hAnsiTheme="minorHAnsi" w:cstheme="minorHAnsi"/>
          <w:sz w:val="22"/>
          <w:szCs w:val="22"/>
        </w:rPr>
        <w:t>ce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D60BF8">
        <w:rPr>
          <w:rStyle w:val="fontstyle01"/>
          <w:rFonts w:asciiTheme="minorHAnsi" w:hAnsiTheme="minorHAnsi" w:cstheme="minorHAnsi"/>
          <w:sz w:val="22"/>
          <w:szCs w:val="22"/>
        </w:rPr>
        <w:t>creating a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“third cultural group whose material culture is neither Anatolian nor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Cypriot.”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 [</w:t>
      </w:r>
      <w:r w:rsidR="007D728A">
        <w:rPr>
          <w:rStyle w:val="fontstyle01"/>
          <w:rFonts w:asciiTheme="minorHAnsi" w:hAnsiTheme="minorHAnsi" w:cstheme="minorHAnsi"/>
          <w:sz w:val="22"/>
          <w:szCs w:val="22"/>
        </w:rPr>
        <w:t>2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]. </w:t>
      </w:r>
      <w:r w:rsidR="00241ADA">
        <w:rPr>
          <w:rStyle w:val="fontstyle01"/>
          <w:rFonts w:asciiTheme="minorHAnsi" w:hAnsiTheme="minorHAnsi" w:cstheme="minorHAnsi"/>
          <w:sz w:val="22"/>
          <w:szCs w:val="22"/>
        </w:rPr>
        <w:t xml:space="preserve">It was a 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>major leap in social and cultural development.</w:t>
      </w:r>
      <w:r w:rsidR="00690EC0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“The round stone houses of the Chalcolithic period were replaced by rectilinear, multi-roomed,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mud-brick structures”.[</w:t>
      </w:r>
      <w:r w:rsidR="00D17084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3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].</w:t>
      </w:r>
      <w:r w:rsidRPr="00D11700">
        <w:rPr>
          <w:rFonts w:asciiTheme="minorHAnsi" w:hAnsiTheme="minorHAnsi" w:cstheme="minorHAnsi"/>
          <w:sz w:val="22"/>
          <w:szCs w:val="22"/>
          <w:lang w:val="en-US"/>
        </w:rPr>
        <w:t xml:space="preserve"> Gagne also signifies change for Cyprus on a wider scale: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“The next major change</w:t>
      </w:r>
      <w:r w:rsidR="00096162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….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occurred at the beginning of the Late Bronze Age when people from some of the towns on Cyprus began exporting copper on a large scale,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and receiving foreign exotica in exchange.”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 [</w:t>
      </w:r>
      <w:r w:rsidR="00D17084">
        <w:rPr>
          <w:rStyle w:val="fontstyle01"/>
          <w:rFonts w:asciiTheme="minorHAnsi" w:hAnsiTheme="minorHAnsi" w:cstheme="minorHAnsi"/>
          <w:sz w:val="22"/>
          <w:szCs w:val="22"/>
        </w:rPr>
        <w:t>4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>]. Steel notes th</w:t>
      </w:r>
      <w:r w:rsidR="00247430">
        <w:rPr>
          <w:rStyle w:val="fontstyle01"/>
          <w:rFonts w:asciiTheme="minorHAnsi" w:hAnsiTheme="minorHAnsi" w:cstheme="minorHAnsi"/>
          <w:sz w:val="22"/>
          <w:szCs w:val="22"/>
        </w:rPr>
        <w:t xml:space="preserve">e introduction of 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new forms of pottery.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“There were also changes in the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ceramic repertory with new types (Base Ring, White Slip) gradually replacing the main wares of</w:t>
      </w:r>
      <w:r w:rsidRPr="00D11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the Middle Bronze Age.”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[</w:t>
      </w:r>
      <w:r w:rsidR="00D17084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5</w:t>
      </w:r>
      <w:r w:rsidRPr="00D11700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]. 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>I think it is important to connect our item and this branch of pottery to a</w:t>
      </w:r>
      <w:r w:rsidR="00D803D5">
        <w:rPr>
          <w:rStyle w:val="fontstyle01"/>
          <w:rFonts w:asciiTheme="minorHAnsi" w:hAnsiTheme="minorHAnsi" w:cstheme="minorHAnsi"/>
          <w:sz w:val="22"/>
          <w:szCs w:val="22"/>
        </w:rPr>
        <w:t xml:space="preserve">n </w:t>
      </w:r>
      <w:r w:rsidRPr="00D11700">
        <w:rPr>
          <w:rStyle w:val="fontstyle01"/>
          <w:rFonts w:asciiTheme="minorHAnsi" w:hAnsiTheme="minorHAnsi" w:cstheme="minorHAnsi"/>
          <w:sz w:val="22"/>
          <w:szCs w:val="22"/>
        </w:rPr>
        <w:t>advancement brought about by a change in circumstances and the introduction of a new social grou</w:t>
      </w:r>
      <w:r w:rsidR="00FD1FEA">
        <w:rPr>
          <w:rStyle w:val="fontstyle01"/>
          <w:rFonts w:asciiTheme="minorHAnsi" w:hAnsiTheme="minorHAnsi" w:cstheme="minorHAnsi"/>
          <w:sz w:val="22"/>
          <w:szCs w:val="22"/>
        </w:rPr>
        <w:t xml:space="preserve">p. </w:t>
      </w:r>
      <w:r w:rsidRPr="009634CA">
        <w:rPr>
          <w:rFonts w:asciiTheme="minorHAnsi" w:hAnsiTheme="minorHAnsi" w:cstheme="minorHAnsi"/>
          <w:sz w:val="22"/>
          <w:szCs w:val="22"/>
          <w:lang w:val="en-US"/>
        </w:rPr>
        <w:t xml:space="preserve">It </w:t>
      </w:r>
      <w:r w:rsidRPr="00D11700">
        <w:rPr>
          <w:rFonts w:asciiTheme="minorHAnsi" w:hAnsiTheme="minorHAnsi" w:cstheme="minorHAnsi"/>
          <w:sz w:val="22"/>
          <w:szCs w:val="22"/>
          <w:lang w:val="en-US"/>
        </w:rPr>
        <w:t xml:space="preserve">is hard to ignore just what a significant period this was. </w:t>
      </w:r>
    </w:p>
    <w:p w14:paraId="6D0E9D85" w14:textId="101B1DC2" w:rsidR="00A65A9C" w:rsidRPr="00D11700" w:rsidRDefault="00A65A9C" w:rsidP="00A65A9C">
      <w:pPr>
        <w:pStyle w:val="NormalWeb"/>
        <w:jc w:val="center"/>
        <w:rPr>
          <w:rFonts w:asciiTheme="minorHAnsi" w:hAnsiTheme="minorHAnsi" w:cstheme="minorHAnsi"/>
          <w:sz w:val="22"/>
          <w:szCs w:val="22"/>
          <w:lang w:val="en-US"/>
        </w:rPr>
      </w:pPr>
      <w:r w:rsidRPr="00D11700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2864C69" wp14:editId="6CD2FA23">
            <wp:extent cx="1790360" cy="1384300"/>
            <wp:effectExtent l="0" t="0" r="63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37792" cy="142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870F0" w14:textId="37C34985" w:rsidR="00934EAE" w:rsidRDefault="00A65A9C" w:rsidP="00934EAE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11700">
        <w:rPr>
          <w:rFonts w:asciiTheme="minorHAnsi" w:hAnsiTheme="minorHAnsi" w:cstheme="minorHAnsi"/>
          <w:sz w:val="22"/>
          <w:szCs w:val="22"/>
        </w:rPr>
        <w:t xml:space="preserve">White Painted ware III-V. I felt that the varied patterns and lugs bore the closest </w:t>
      </w:r>
      <w:r w:rsidR="00C373B6">
        <w:rPr>
          <w:rFonts w:asciiTheme="minorHAnsi" w:hAnsiTheme="minorHAnsi" w:cstheme="minorHAnsi"/>
          <w:sz w:val="22"/>
          <w:szCs w:val="22"/>
        </w:rPr>
        <w:t>link</w:t>
      </w:r>
      <w:r w:rsidRPr="00D11700">
        <w:rPr>
          <w:rFonts w:asciiTheme="minorHAnsi" w:hAnsiTheme="minorHAnsi" w:cstheme="minorHAnsi"/>
          <w:sz w:val="22"/>
          <w:szCs w:val="22"/>
        </w:rPr>
        <w:t xml:space="preserve"> to our example. </w:t>
      </w:r>
      <w:r w:rsidR="00AB5792">
        <w:rPr>
          <w:rFonts w:asciiTheme="minorHAnsi" w:hAnsiTheme="minorHAnsi" w:cstheme="minorHAnsi"/>
          <w:sz w:val="22"/>
          <w:szCs w:val="22"/>
        </w:rPr>
        <w:t>Johnson explains the difference</w:t>
      </w:r>
      <w:r w:rsidR="003E566F">
        <w:rPr>
          <w:rFonts w:asciiTheme="minorHAnsi" w:hAnsiTheme="minorHAnsi" w:cstheme="minorHAnsi"/>
          <w:sz w:val="22"/>
          <w:szCs w:val="22"/>
        </w:rPr>
        <w:t xml:space="preserve"> to</w:t>
      </w:r>
      <w:r w:rsidR="001A758F">
        <w:rPr>
          <w:rFonts w:asciiTheme="minorHAnsi" w:hAnsiTheme="minorHAnsi" w:cstheme="minorHAnsi"/>
          <w:sz w:val="22"/>
          <w:szCs w:val="22"/>
        </w:rPr>
        <w:t xml:space="preserve"> consecutive pottery</w:t>
      </w:r>
      <w:r w:rsidRPr="00D11700">
        <w:rPr>
          <w:rFonts w:asciiTheme="minorHAnsi" w:hAnsiTheme="minorHAnsi" w:cstheme="minorHAnsi"/>
          <w:sz w:val="22"/>
          <w:szCs w:val="22"/>
        </w:rPr>
        <w:t>, in the Late Bronze Age: “</w:t>
      </w:r>
      <w:r w:rsidRPr="00D11700">
        <w:rPr>
          <w:rFonts w:asciiTheme="minorHAnsi" w:hAnsiTheme="minorHAnsi" w:cstheme="minorHAnsi"/>
          <w:i/>
          <w:iCs/>
          <w:sz w:val="22"/>
          <w:szCs w:val="22"/>
        </w:rPr>
        <w:t>….the pottery and slip is thicker and the painted decoration tends to cover everything, in contrast to the empty spaces and decorative bands of White Slip ware”</w:t>
      </w:r>
      <w:r w:rsidRPr="00D11700">
        <w:rPr>
          <w:rFonts w:asciiTheme="minorHAnsi" w:hAnsiTheme="minorHAnsi" w:cstheme="minorHAnsi"/>
          <w:sz w:val="22"/>
          <w:szCs w:val="22"/>
        </w:rPr>
        <w:t xml:space="preserve"> [</w:t>
      </w:r>
      <w:r w:rsidR="00EA3373">
        <w:rPr>
          <w:rFonts w:asciiTheme="minorHAnsi" w:hAnsiTheme="minorHAnsi" w:cstheme="minorHAnsi"/>
          <w:sz w:val="22"/>
          <w:szCs w:val="22"/>
        </w:rPr>
        <w:t>6</w:t>
      </w:r>
      <w:r w:rsidRPr="00D11700">
        <w:rPr>
          <w:rFonts w:asciiTheme="minorHAnsi" w:hAnsiTheme="minorHAnsi" w:cstheme="minorHAnsi"/>
          <w:sz w:val="22"/>
          <w:szCs w:val="22"/>
        </w:rPr>
        <w:t xml:space="preserve">]. Like our aksos, this example also displays grand features. I </w:t>
      </w:r>
      <w:r w:rsidR="00447718">
        <w:rPr>
          <w:rFonts w:asciiTheme="minorHAnsi" w:hAnsiTheme="minorHAnsi" w:cstheme="minorHAnsi"/>
          <w:sz w:val="22"/>
          <w:szCs w:val="22"/>
        </w:rPr>
        <w:t xml:space="preserve">admire </w:t>
      </w:r>
      <w:r w:rsidRPr="00D11700">
        <w:rPr>
          <w:rFonts w:asciiTheme="minorHAnsi" w:hAnsiTheme="minorHAnsi" w:cstheme="minorHAnsi"/>
          <w:sz w:val="22"/>
          <w:szCs w:val="22"/>
        </w:rPr>
        <w:t xml:space="preserve">the artistic stylisation, </w:t>
      </w:r>
      <w:r w:rsidR="00461BBA">
        <w:rPr>
          <w:rFonts w:asciiTheme="minorHAnsi" w:hAnsiTheme="minorHAnsi" w:cstheme="minorHAnsi"/>
          <w:sz w:val="22"/>
          <w:szCs w:val="22"/>
        </w:rPr>
        <w:t xml:space="preserve">which </w:t>
      </w:r>
      <w:r w:rsidRPr="00D11700">
        <w:rPr>
          <w:rFonts w:asciiTheme="minorHAnsi" w:hAnsiTheme="minorHAnsi" w:cstheme="minorHAnsi"/>
          <w:sz w:val="22"/>
          <w:szCs w:val="22"/>
        </w:rPr>
        <w:t>still incorpora</w:t>
      </w:r>
      <w:r w:rsidR="00F95B57">
        <w:rPr>
          <w:rFonts w:asciiTheme="minorHAnsi" w:hAnsiTheme="minorHAnsi" w:cstheme="minorHAnsi"/>
          <w:sz w:val="22"/>
          <w:szCs w:val="22"/>
        </w:rPr>
        <w:t xml:space="preserve">tes </w:t>
      </w:r>
      <w:r w:rsidRPr="00D11700">
        <w:rPr>
          <w:rFonts w:asciiTheme="minorHAnsi" w:hAnsiTheme="minorHAnsi" w:cstheme="minorHAnsi"/>
          <w:sz w:val="22"/>
          <w:szCs w:val="22"/>
        </w:rPr>
        <w:t xml:space="preserve">animal observation. Johnson remarks </w:t>
      </w:r>
      <w:r w:rsidR="00DB0AF0">
        <w:rPr>
          <w:rFonts w:asciiTheme="minorHAnsi" w:hAnsiTheme="minorHAnsi" w:cstheme="minorHAnsi"/>
          <w:sz w:val="22"/>
          <w:szCs w:val="22"/>
        </w:rPr>
        <w:t xml:space="preserve">on the </w:t>
      </w:r>
      <w:r w:rsidRPr="00D11700">
        <w:rPr>
          <w:rFonts w:asciiTheme="minorHAnsi" w:hAnsiTheme="minorHAnsi" w:cstheme="minorHAnsi"/>
          <w:sz w:val="22"/>
          <w:szCs w:val="22"/>
        </w:rPr>
        <w:t>pinholes:</w:t>
      </w:r>
      <w:r w:rsidR="00D94D6F">
        <w:rPr>
          <w:rFonts w:asciiTheme="minorHAnsi" w:hAnsiTheme="minorHAnsi" w:cstheme="minorHAnsi"/>
          <w:sz w:val="22"/>
          <w:szCs w:val="22"/>
        </w:rPr>
        <w:t xml:space="preserve"> </w:t>
      </w:r>
      <w:r w:rsidRPr="00D11700">
        <w:rPr>
          <w:rFonts w:asciiTheme="minorHAnsi" w:hAnsiTheme="minorHAnsi" w:cstheme="minorHAnsi"/>
          <w:i/>
          <w:iCs/>
          <w:sz w:val="22"/>
          <w:szCs w:val="22"/>
        </w:rPr>
        <w:t>“Originally functional, they seem to have quickly become a decorative feature - only one would be needed to hang it by, by a string</w:t>
      </w:r>
      <w:r w:rsidRPr="00D11700">
        <w:rPr>
          <w:rFonts w:asciiTheme="minorHAnsi" w:hAnsiTheme="minorHAnsi" w:cstheme="minorHAnsi"/>
          <w:sz w:val="22"/>
          <w:szCs w:val="22"/>
        </w:rPr>
        <w:t>.” [</w:t>
      </w:r>
      <w:r w:rsidR="00EA3373">
        <w:rPr>
          <w:rFonts w:asciiTheme="minorHAnsi" w:hAnsiTheme="minorHAnsi" w:cstheme="minorHAnsi"/>
          <w:sz w:val="22"/>
          <w:szCs w:val="22"/>
        </w:rPr>
        <w:t>7</w:t>
      </w:r>
      <w:r w:rsidRPr="00D11700">
        <w:rPr>
          <w:rFonts w:asciiTheme="minorHAnsi" w:hAnsiTheme="minorHAnsi" w:cstheme="minorHAnsi"/>
          <w:sz w:val="22"/>
          <w:szCs w:val="22"/>
        </w:rPr>
        <w:t xml:space="preserve">]. This therefore raises a question, would only one pinhole suffice? </w:t>
      </w:r>
    </w:p>
    <w:p w14:paraId="7BE3E5DF" w14:textId="55839DA3" w:rsidR="00197E52" w:rsidRPr="00204881" w:rsidRDefault="00CA387E" w:rsidP="00934EAE">
      <w:pPr>
        <w:pStyle w:val="NormalWeb"/>
        <w:rPr>
          <w:rStyle w:val="fontstyle01"/>
          <w:rFonts w:asciiTheme="minorHAnsi" w:hAnsiTheme="minorHAnsi" w:cstheme="minorHAnsi"/>
          <w:sz w:val="22"/>
          <w:szCs w:val="22"/>
        </w:rPr>
      </w:pPr>
      <w:r w:rsidRPr="00934EAE">
        <w:rPr>
          <w:rStyle w:val="fontstyle01"/>
          <w:rFonts w:asciiTheme="minorHAnsi" w:hAnsiTheme="minorHAnsi" w:cstheme="minorHAnsi"/>
          <w:sz w:val="22"/>
          <w:szCs w:val="22"/>
        </w:rPr>
        <w:lastRenderedPageBreak/>
        <w:t xml:space="preserve"> Webb and Frankel </w:t>
      </w:r>
      <w:r w:rsidR="00E916AB" w:rsidRPr="00934EAE">
        <w:rPr>
          <w:rStyle w:val="fontstyle01"/>
          <w:rFonts w:asciiTheme="minorHAnsi" w:hAnsiTheme="minorHAnsi" w:cstheme="minorHAnsi"/>
          <w:sz w:val="22"/>
          <w:szCs w:val="22"/>
        </w:rPr>
        <w:t>assess t</w:t>
      </w:r>
      <w:r w:rsidRPr="00934EAE">
        <w:rPr>
          <w:rStyle w:val="fontstyle01"/>
          <w:rFonts w:asciiTheme="minorHAnsi" w:hAnsiTheme="minorHAnsi" w:cstheme="minorHAnsi"/>
          <w:sz w:val="22"/>
          <w:szCs w:val="22"/>
        </w:rPr>
        <w:t>he patterns further.</w:t>
      </w:r>
      <w:r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BD4DCE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“….. </w:t>
      </w:r>
      <w:r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zigzags, wavy lines, chevrons and lattice patterns, all of which appear in the later White Painted repertoire.”</w:t>
      </w:r>
      <w:r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[</w:t>
      </w:r>
      <w:r w:rsidR="00EA3373">
        <w:rPr>
          <w:rStyle w:val="fontstyle01"/>
          <w:rFonts w:asciiTheme="minorHAnsi" w:hAnsiTheme="minorHAnsi" w:cstheme="minorHAnsi"/>
          <w:sz w:val="22"/>
          <w:szCs w:val="22"/>
        </w:rPr>
        <w:t>8</w:t>
      </w:r>
      <w:r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]. However, how can we separate this style from White Painted IA?  Samuelson asserts </w:t>
      </w:r>
      <w:r w:rsidR="008A26A9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a </w:t>
      </w:r>
      <w:r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visible difference in this. </w:t>
      </w:r>
      <w:r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“White Painted IA has a</w:t>
      </w:r>
      <w:r w:rsidRPr="00934EA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much larger repertory of motifs with pictorial images of animals, trees, flowers and geometric</w:t>
      </w:r>
      <w:r w:rsidRPr="00934EAE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shapes, while White Painted IB has a more regulated repertory of geometric shapes arranged in</w:t>
      </w:r>
      <w:r w:rsidRPr="00934EA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more rigid patterns.”</w:t>
      </w:r>
      <w:r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[</w:t>
      </w:r>
      <w:r w:rsidR="003D5D01">
        <w:rPr>
          <w:rStyle w:val="fontstyle01"/>
          <w:rFonts w:asciiTheme="minorHAnsi" w:hAnsiTheme="minorHAnsi" w:cstheme="minorHAnsi"/>
          <w:sz w:val="22"/>
          <w:szCs w:val="22"/>
        </w:rPr>
        <w:t>9</w:t>
      </w:r>
      <w:r w:rsidRPr="00934EAE">
        <w:rPr>
          <w:rStyle w:val="fontstyle01"/>
          <w:rFonts w:asciiTheme="minorHAnsi" w:hAnsiTheme="minorHAnsi" w:cstheme="minorHAnsi"/>
          <w:sz w:val="22"/>
          <w:szCs w:val="22"/>
        </w:rPr>
        <w:t>]. I would ascribe our aksos as befitting the Late IB bracket most suitably.</w:t>
      </w:r>
      <w:r w:rsidR="00991385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991385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“White</w:t>
      </w:r>
      <w:r w:rsidR="00991385" w:rsidRPr="00934EA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="00991385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Painted IB is painted with matt dark red paint over a well-burnished cream to white slip”.[</w:t>
      </w:r>
      <w:r w:rsidR="003D5D01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10</w:t>
      </w:r>
      <w:r w:rsidR="00991385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] </w:t>
      </w:r>
      <w:r w:rsidR="00991385" w:rsidRPr="00934EAE">
        <w:rPr>
          <w:rStyle w:val="fontstyle01"/>
          <w:rFonts w:asciiTheme="minorHAnsi" w:hAnsiTheme="minorHAnsi" w:cstheme="minorHAnsi"/>
          <w:sz w:val="22"/>
          <w:szCs w:val="22"/>
        </w:rPr>
        <w:t>This certainly correlates with our example.</w:t>
      </w:r>
      <w:r w:rsidR="001E2C3C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S</w:t>
      </w:r>
      <w:r w:rsidR="00341652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teel notes </w:t>
      </w:r>
      <w:r w:rsidR="000950B7" w:rsidRPr="00934EAE">
        <w:rPr>
          <w:rStyle w:val="fontstyle01"/>
          <w:rFonts w:asciiTheme="minorHAnsi" w:hAnsiTheme="minorHAnsi" w:cstheme="minorHAnsi"/>
          <w:sz w:val="22"/>
          <w:szCs w:val="22"/>
        </w:rPr>
        <w:t>that there appears t</w:t>
      </w:r>
      <w:r w:rsidR="004808D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o </w:t>
      </w:r>
      <w:r w:rsidR="0034303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be </w:t>
      </w:r>
      <w:r w:rsidR="004808D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a </w:t>
      </w:r>
      <w:r w:rsidR="005C4711" w:rsidRPr="00934EAE">
        <w:rPr>
          <w:rStyle w:val="fontstyle01"/>
          <w:rFonts w:asciiTheme="minorHAnsi" w:hAnsiTheme="minorHAnsi" w:cstheme="minorHAnsi"/>
          <w:sz w:val="22"/>
          <w:szCs w:val="22"/>
        </w:rPr>
        <w:t>wide similarity</w:t>
      </w:r>
      <w:r w:rsidR="004808D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in </w:t>
      </w:r>
      <w:r w:rsidR="0091724A" w:rsidRPr="00934EAE">
        <w:rPr>
          <w:rStyle w:val="fontstyle01"/>
          <w:rFonts w:asciiTheme="minorHAnsi" w:hAnsiTheme="minorHAnsi" w:cstheme="minorHAnsi"/>
          <w:sz w:val="22"/>
          <w:szCs w:val="22"/>
        </w:rPr>
        <w:t>some Cypriot motifs</w:t>
      </w:r>
      <w:r w:rsidR="00080D72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. “Some</w:t>
      </w:r>
      <w:r w:rsidR="000D0C0E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 of the decorative motifs found on the Red Polished (Philia) wares, particularly incised</w:t>
      </w:r>
      <w:r w:rsidR="000D0C0E" w:rsidRPr="00934EA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="000D0C0E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chevrons, zigzags, and herringbone patterns, have parallels in the EB II ceramic repertory from</w:t>
      </w:r>
      <w:r w:rsidR="000D0C0E" w:rsidRPr="00934EA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="000D0C0E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Tarsus.” </w:t>
      </w:r>
      <w:r w:rsidR="00F60498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[</w:t>
      </w:r>
      <w:r w:rsidR="00C841CB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1</w:t>
      </w:r>
      <w:r w:rsidR="00886A1C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1</w:t>
      </w:r>
      <w:r w:rsidR="00F60498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]</w:t>
      </w:r>
      <w:r w:rsidR="00133D18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.</w:t>
      </w:r>
      <w:r w:rsidR="008461C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263BCD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However, none of these patterns </w:t>
      </w:r>
      <w:r w:rsidR="00841EA7" w:rsidRPr="00934EAE">
        <w:rPr>
          <w:rStyle w:val="fontstyle01"/>
          <w:rFonts w:asciiTheme="minorHAnsi" w:hAnsiTheme="minorHAnsi" w:cstheme="minorHAnsi"/>
          <w:sz w:val="22"/>
          <w:szCs w:val="22"/>
        </w:rPr>
        <w:t>seem apparent on ‘our’ vessel. Was this a seemingly isolated development in Cyprus’ ceramics</w:t>
      </w:r>
      <w:r w:rsidR="00F56DA3" w:rsidRPr="00934EAE">
        <w:rPr>
          <w:rStyle w:val="fontstyle01"/>
          <w:rFonts w:asciiTheme="minorHAnsi" w:hAnsiTheme="minorHAnsi" w:cstheme="minorHAnsi"/>
          <w:sz w:val="22"/>
          <w:szCs w:val="22"/>
        </w:rPr>
        <w:t>?</w:t>
      </w:r>
      <w:r w:rsidR="00841EA7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Why</w:t>
      </w:r>
      <w:r w:rsidR="00C735C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? </w:t>
      </w:r>
      <w:r w:rsidR="004B6E13" w:rsidRPr="00934EAE">
        <w:rPr>
          <w:rStyle w:val="fontstyle01"/>
          <w:rFonts w:asciiTheme="minorHAnsi" w:hAnsiTheme="minorHAnsi" w:cstheme="minorHAnsi"/>
          <w:sz w:val="22"/>
          <w:szCs w:val="22"/>
        </w:rPr>
        <w:t>How many more akso</w:t>
      </w:r>
      <w:r w:rsidR="008F2658" w:rsidRPr="00934EAE">
        <w:rPr>
          <w:rStyle w:val="fontstyle01"/>
          <w:rFonts w:asciiTheme="minorHAnsi" w:hAnsiTheme="minorHAnsi" w:cstheme="minorHAnsi"/>
          <w:sz w:val="22"/>
          <w:szCs w:val="22"/>
        </w:rPr>
        <w:t>i</w:t>
      </w:r>
      <w:r w:rsidR="004B6E13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and other items are like this</w:t>
      </w:r>
      <w:r w:rsidR="00EC02F5" w:rsidRPr="00934EAE">
        <w:rPr>
          <w:rStyle w:val="fontstyle01"/>
          <w:rFonts w:asciiTheme="minorHAnsi" w:hAnsiTheme="minorHAnsi" w:cstheme="minorHAnsi"/>
          <w:sz w:val="22"/>
          <w:szCs w:val="22"/>
        </w:rPr>
        <w:t>?</w:t>
      </w:r>
      <w:r w:rsidR="00D80D5E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555AF0" w:rsidRPr="00934EAE">
        <w:rPr>
          <w:rStyle w:val="fontstyle01"/>
          <w:rFonts w:asciiTheme="minorHAnsi" w:hAnsiTheme="minorHAnsi" w:cstheme="minorHAnsi"/>
          <w:sz w:val="22"/>
          <w:szCs w:val="22"/>
        </w:rPr>
        <w:t>A reason for the</w:t>
      </w:r>
      <w:r w:rsidR="00B424C0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ir rarity is explained </w:t>
      </w:r>
      <w:r w:rsidR="00330669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by </w:t>
      </w:r>
      <w:r w:rsidR="00B424C0" w:rsidRPr="00934EAE">
        <w:rPr>
          <w:rStyle w:val="fontstyle01"/>
          <w:rFonts w:asciiTheme="minorHAnsi" w:hAnsiTheme="minorHAnsi" w:cstheme="minorHAnsi"/>
          <w:sz w:val="22"/>
          <w:szCs w:val="22"/>
        </w:rPr>
        <w:t>Webb and Frankel</w:t>
      </w:r>
      <w:r w:rsidR="007679E0" w:rsidRPr="00934EAE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330669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D35C23" w:rsidRPr="00934EAE">
        <w:rPr>
          <w:rFonts w:asciiTheme="minorHAnsi" w:hAnsiTheme="minorHAnsi" w:cstheme="minorHAnsi"/>
          <w:sz w:val="22"/>
          <w:szCs w:val="22"/>
        </w:rPr>
        <w:t>In</w:t>
      </w:r>
      <w:r w:rsidR="00330669" w:rsidRPr="00934EAE">
        <w:rPr>
          <w:rFonts w:asciiTheme="minorHAnsi" w:hAnsiTheme="minorHAnsi" w:cstheme="minorHAnsi"/>
          <w:sz w:val="22"/>
          <w:szCs w:val="22"/>
        </w:rPr>
        <w:t xml:space="preserve"> an article,</w:t>
      </w:r>
      <w:r w:rsidR="00D35C23" w:rsidRPr="00934EAE">
        <w:rPr>
          <w:rFonts w:asciiTheme="minorHAnsi" w:hAnsiTheme="minorHAnsi" w:cstheme="minorHAnsi"/>
          <w:sz w:val="22"/>
          <w:szCs w:val="22"/>
        </w:rPr>
        <w:t xml:space="preserve"> they state</w:t>
      </w:r>
      <w:r w:rsidR="00D35C23" w:rsidRPr="00934EAE">
        <w:rPr>
          <w:rFonts w:asciiTheme="minorHAnsi" w:hAnsiTheme="minorHAnsi" w:cstheme="minorHAnsi"/>
          <w:i/>
          <w:iCs/>
          <w:sz w:val="22"/>
          <w:szCs w:val="22"/>
        </w:rPr>
        <w:t>:</w:t>
      </w:r>
      <w:r w:rsidR="00EE6D8F" w:rsidRPr="00934EAE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8B30BC" w:rsidRPr="00934EAE">
        <w:rPr>
          <w:rFonts w:asciiTheme="minorHAnsi" w:hAnsiTheme="minorHAnsi" w:cstheme="minorHAnsi"/>
          <w:i/>
          <w:iCs/>
          <w:sz w:val="22"/>
          <w:szCs w:val="22"/>
        </w:rPr>
        <w:t>“</w:t>
      </w:r>
      <w:r w:rsidR="00EE6D8F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White Painted (Philia) is also present at </w:t>
      </w:r>
      <w:r w:rsidR="005F411C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(one site) </w:t>
      </w:r>
      <w:r w:rsidR="00EE6D8F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Marki, although it is very rare, accounting for only about</w:t>
      </w:r>
      <w:r w:rsidR="00C12C62" w:rsidRPr="00934EAE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r w:rsidR="00EE6D8F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0.3% of Philia sherds</w:t>
      </w:r>
      <w:r w:rsidR="000960DF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.</w:t>
      </w:r>
      <w:r w:rsidR="008B30BC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>”</w:t>
      </w:r>
      <w:r w:rsidR="00EE6D8F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133D18" w:rsidRPr="00934EAE">
        <w:rPr>
          <w:rStyle w:val="fontstyle01"/>
          <w:rFonts w:asciiTheme="minorHAnsi" w:hAnsiTheme="minorHAnsi" w:cstheme="minorHAnsi"/>
          <w:sz w:val="22"/>
          <w:szCs w:val="22"/>
        </w:rPr>
        <w:t>[</w:t>
      </w:r>
      <w:r w:rsidR="00283D44">
        <w:rPr>
          <w:rStyle w:val="fontstyle01"/>
          <w:rFonts w:asciiTheme="minorHAnsi" w:hAnsiTheme="minorHAnsi" w:cstheme="minorHAnsi"/>
          <w:sz w:val="22"/>
          <w:szCs w:val="22"/>
        </w:rPr>
        <w:t>1</w:t>
      </w:r>
      <w:r w:rsidR="00886A1C">
        <w:rPr>
          <w:rStyle w:val="fontstyle01"/>
          <w:rFonts w:asciiTheme="minorHAnsi" w:hAnsiTheme="minorHAnsi" w:cstheme="minorHAnsi"/>
          <w:sz w:val="22"/>
          <w:szCs w:val="22"/>
        </w:rPr>
        <w:t>2</w:t>
      </w:r>
      <w:r w:rsidR="00C47904" w:rsidRPr="00934EAE">
        <w:rPr>
          <w:rStyle w:val="fontstyle01"/>
          <w:rFonts w:asciiTheme="minorHAnsi" w:hAnsiTheme="minorHAnsi" w:cstheme="minorHAnsi"/>
          <w:sz w:val="22"/>
          <w:szCs w:val="22"/>
        </w:rPr>
        <w:t>].</w:t>
      </w:r>
      <w:r w:rsidR="008B1B97" w:rsidRPr="00934EAE">
        <w:rPr>
          <w:rStyle w:val="fontstyle01"/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11090F" w:rsidRPr="00934EAE">
        <w:rPr>
          <w:rStyle w:val="fontstyle01"/>
          <w:rFonts w:asciiTheme="minorHAnsi" w:hAnsiTheme="minorHAnsi" w:cstheme="minorHAnsi"/>
          <w:sz w:val="22"/>
          <w:szCs w:val="22"/>
        </w:rPr>
        <w:t>Slip casting</w:t>
      </w:r>
      <w:r w:rsidR="00B4245C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A26A9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is potentially a lengthy process. </w:t>
      </w:r>
      <w:r w:rsidR="004376C8" w:rsidRPr="00934EAE">
        <w:rPr>
          <w:rStyle w:val="fontstyle01"/>
          <w:rFonts w:asciiTheme="minorHAnsi" w:hAnsiTheme="minorHAnsi" w:cstheme="minorHAnsi"/>
          <w:sz w:val="22"/>
          <w:szCs w:val="22"/>
        </w:rPr>
        <w:t>W</w:t>
      </w:r>
      <w:r w:rsidR="00D76C8E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ould this have been done on a </w:t>
      </w:r>
      <w:r w:rsidR="00257C35" w:rsidRPr="00934EAE">
        <w:rPr>
          <w:rStyle w:val="fontstyle01"/>
          <w:rFonts w:asciiTheme="minorHAnsi" w:hAnsiTheme="minorHAnsi" w:cstheme="minorHAnsi"/>
          <w:sz w:val="22"/>
          <w:szCs w:val="22"/>
        </w:rPr>
        <w:t>community-</w:t>
      </w:r>
      <w:r w:rsidR="00D76C8E" w:rsidRPr="00934EAE">
        <w:rPr>
          <w:rStyle w:val="fontstyle01"/>
          <w:rFonts w:asciiTheme="minorHAnsi" w:hAnsiTheme="minorHAnsi" w:cstheme="minorHAnsi"/>
          <w:sz w:val="22"/>
          <w:szCs w:val="22"/>
        </w:rPr>
        <w:t>wide scale</w:t>
      </w:r>
      <w:r w:rsidR="004376C8" w:rsidRPr="00934EAE">
        <w:rPr>
          <w:rStyle w:val="fontstyle01"/>
          <w:rFonts w:asciiTheme="minorHAnsi" w:hAnsiTheme="minorHAnsi" w:cstheme="minorHAnsi"/>
          <w:sz w:val="22"/>
          <w:szCs w:val="22"/>
        </w:rPr>
        <w:t>?</w:t>
      </w:r>
      <w:r w:rsidR="00D76C8E" w:rsidRPr="00934EAE">
        <w:rPr>
          <w:rStyle w:val="fontstyle01"/>
          <w:rFonts w:asciiTheme="minorHAnsi" w:hAnsiTheme="minorHAnsi" w:cstheme="minorHAnsi"/>
          <w:sz w:val="22"/>
          <w:szCs w:val="22"/>
        </w:rPr>
        <w:t xml:space="preserve"> Was this operating on a workshop basis? Was there concerted effort in the making of these aksoi?</w:t>
      </w:r>
    </w:p>
    <w:p w14:paraId="28C795FE" w14:textId="05AE1B5C" w:rsidR="002E5259" w:rsidRPr="00873641" w:rsidRDefault="001F7158" w:rsidP="00226013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When lookin</w:t>
      </w:r>
      <w:r w:rsidR="00132076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g at other</w:t>
      </w:r>
      <w:r w:rsidR="00DA1264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3C705D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White Painted Ware Asko</w:t>
      </w:r>
      <w:r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i</w:t>
      </w:r>
      <w:r w:rsidR="00132076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I </w:t>
      </w:r>
      <w:r w:rsidR="009F122C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was surprised at the variety presented in one object</w:t>
      </w:r>
      <w:r w:rsidR="00C533A8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  <w:r w:rsidR="003C705D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37EAD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I noted </w:t>
      </w:r>
      <w:r w:rsidR="00900B55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v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ery exaggerated h</w:t>
      </w:r>
      <w:r w:rsidR="003C705D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andle</w:t>
      </w:r>
      <w:r w:rsidR="009F122C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on </w:t>
      </w:r>
      <w:r w:rsidR="009F122C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some 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example</w:t>
      </w:r>
      <w:r w:rsidR="009F122C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, unlike the pin</w:t>
      </w:r>
      <w:r w:rsidR="00B22437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-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hole</w:t>
      </w:r>
      <w:r w:rsidR="00FE4060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="00BB12C3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FE4060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n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our item.</w:t>
      </w:r>
      <w:r w:rsidR="00100DF3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97612B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It</w:t>
      </w:r>
      <w:r w:rsidR="00EE71B8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seems that there was no one ‘blueprint’ used in the production of aksoi</w:t>
      </w:r>
      <w:r w:rsidR="00ED45A2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, was it then mainly down to the individua</w:t>
      </w:r>
      <w:r w:rsidR="00494DB4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l</w:t>
      </w:r>
      <w:r w:rsidR="00ED45A2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? This </w:t>
      </w:r>
      <w:r w:rsidR="00FE4060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ED45A2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raws to my mind the relationship of p</w:t>
      </w:r>
      <w:r w:rsidR="003850B0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urpose </w:t>
      </w:r>
      <w:r w:rsidR="00E1113D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to </w:t>
      </w:r>
      <w:r w:rsidR="003850B0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preference</w:t>
      </w:r>
      <w:r w:rsidR="003C705D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7A3F54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197E52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Some had</w:t>
      </w:r>
      <w:r w:rsidR="00261ED3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7A3F54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singular pattern</w:t>
      </w:r>
      <w:r w:rsidR="003B1A97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="007A3F54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however, in contrast to our </w:t>
      </w:r>
      <w:r w:rsidR="003B1A97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complex </w:t>
      </w:r>
      <w:r w:rsidR="006C5FA3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example. </w:t>
      </w:r>
      <w:r w:rsidR="00817147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A dee</w:t>
      </w:r>
      <w:r w:rsidR="00204929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 seems to be an unusual choice: </w:t>
      </w:r>
      <w:r w:rsidR="006C5FA3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“</w:t>
      </w:r>
      <w:r w:rsidR="003C705D" w:rsidRPr="005354CD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They appear in this period usually in the form of horned animals, especially bulls or, especially later, in the Late Bronze Age, as a wine-skin with bull's head.</w:t>
      </w:r>
      <w:r w:rsidR="006C5FA3" w:rsidRPr="005354CD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”</w:t>
      </w:r>
      <w:r w:rsidR="001A6DA5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[</w:t>
      </w:r>
      <w:r w:rsidR="00C54447">
        <w:rPr>
          <w:rFonts w:asciiTheme="minorHAnsi" w:hAnsiTheme="minorHAnsi" w:cstheme="minorHAnsi"/>
          <w:b w:val="0"/>
          <w:bCs w:val="0"/>
          <w:sz w:val="22"/>
          <w:szCs w:val="22"/>
        </w:rPr>
        <w:t>1</w:t>
      </w:r>
      <w:r w:rsidR="005C085F">
        <w:rPr>
          <w:rFonts w:asciiTheme="minorHAnsi" w:hAnsiTheme="minorHAnsi" w:cstheme="minorHAnsi"/>
          <w:b w:val="0"/>
          <w:bCs w:val="0"/>
          <w:sz w:val="22"/>
          <w:szCs w:val="22"/>
        </w:rPr>
        <w:t>3</w:t>
      </w:r>
      <w:r w:rsidR="001A6DA5" w:rsidRPr="005354CD">
        <w:rPr>
          <w:rFonts w:asciiTheme="minorHAnsi" w:hAnsiTheme="minorHAnsi" w:cstheme="minorHAnsi"/>
          <w:b w:val="0"/>
          <w:bCs w:val="0"/>
          <w:sz w:val="22"/>
          <w:szCs w:val="22"/>
        </w:rPr>
        <w:t>].</w:t>
      </w:r>
      <w:r w:rsidR="00873641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226013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When defining Zoomorphic, two options are suggested. </w:t>
      </w:r>
      <w:r w:rsidR="00226013" w:rsidRPr="005354CD">
        <w:rPr>
          <w:rFonts w:asciiTheme="minorHAnsi" w:hAnsiTheme="minorHAnsi" w:cstheme="minorHAnsi"/>
          <w:b w:val="0"/>
          <w:bCs w:val="0"/>
          <w:i/>
          <w:iCs/>
          <w:sz w:val="22"/>
          <w:szCs w:val="22"/>
          <w:lang w:val="en-US"/>
        </w:rPr>
        <w:t xml:space="preserve">“1) </w:t>
      </w:r>
      <w:r w:rsidR="00226013" w:rsidRPr="005354CD">
        <w:rPr>
          <w:rStyle w:val="dttext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having the form of an animal 2) of, relating to, or being a deity conceived of in animal form or with animal attributes”.</w:t>
      </w:r>
      <w:r w:rsidR="00226013" w:rsidRPr="005354CD">
        <w:rPr>
          <w:rStyle w:val="dttext"/>
          <w:rFonts w:asciiTheme="minorHAnsi" w:hAnsiTheme="minorHAnsi" w:cstheme="minorHAnsi"/>
          <w:b w:val="0"/>
          <w:bCs w:val="0"/>
          <w:sz w:val="22"/>
          <w:szCs w:val="22"/>
        </w:rPr>
        <w:t xml:space="preserve"> [1</w:t>
      </w:r>
      <w:r w:rsidR="00561A22">
        <w:rPr>
          <w:rStyle w:val="dttext"/>
          <w:rFonts w:asciiTheme="minorHAnsi" w:hAnsiTheme="minorHAnsi" w:cstheme="minorHAnsi"/>
          <w:b w:val="0"/>
          <w:bCs w:val="0"/>
          <w:sz w:val="22"/>
          <w:szCs w:val="22"/>
        </w:rPr>
        <w:t>4</w:t>
      </w:r>
      <w:r w:rsidR="00226013" w:rsidRPr="005354CD">
        <w:rPr>
          <w:rStyle w:val="dttext"/>
          <w:rFonts w:asciiTheme="minorHAnsi" w:hAnsiTheme="minorHAnsi" w:cstheme="minorHAnsi"/>
          <w:b w:val="0"/>
          <w:bCs w:val="0"/>
          <w:sz w:val="22"/>
          <w:szCs w:val="22"/>
        </w:rPr>
        <w:t>]</w:t>
      </w:r>
      <w:r w:rsidR="005354CD" w:rsidRPr="005354CD">
        <w:rPr>
          <w:rStyle w:val="dttext"/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226013" w:rsidRPr="005354CD">
        <w:rPr>
          <w:rStyle w:val="dttext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226013" w:rsidRPr="005354CD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>The overt stylisation, certainly in my eyes, redirected the direction of Cyprus’s pottery.</w:t>
      </w:r>
      <w:r w:rsidR="00271357" w:rsidRPr="005354CD">
        <w:rPr>
          <w:rStyle w:val="fontstyle01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271357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It is a piece of White Painted Ware/White Pinhole Style seen in terms of the way it would have been carried, and in terms of the coverage of patterning and themes. It is a rare example of this ware, as not many examples have survived</w:t>
      </w:r>
      <w:r w:rsidR="00F61DD1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too, was this a ritual practice?</w:t>
      </w:r>
      <w:r w:rsidR="00141DA3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</w:t>
      </w:r>
      <w:r w:rsidR="000A413F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This is a </w:t>
      </w:r>
      <w:r w:rsidR="003E3C77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significant object as it not </w:t>
      </w:r>
      <w:r w:rsidR="000C7D1E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only show</w:t>
      </w:r>
      <w:r w:rsidR="004257E8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ed </w:t>
      </w:r>
      <w:r w:rsidR="000615DB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Cypriot</w:t>
      </w:r>
      <w:r w:rsidR="008F552C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ceramic development</w:t>
      </w:r>
      <w:r w:rsidR="000615DB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, it gives us an insight into daily life/potentially ritualistic life</w:t>
      </w:r>
      <w:r w:rsidR="0028781F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. B</w:t>
      </w:r>
      <w:r w:rsidR="000615DB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ut I feel the most important f</w:t>
      </w:r>
      <w:r w:rsidR="00CB4174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actor is that it represents a great shift and develop</w:t>
      </w:r>
      <w:r w:rsidR="00386C68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ment </w:t>
      </w:r>
      <w:r w:rsidR="00E35136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in Cyprus’s </w:t>
      </w:r>
      <w:r w:rsidR="00FA76A3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(</w:t>
      </w:r>
      <w:r w:rsidR="00E35136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Bronze Age</w:t>
      </w:r>
      <w:r w:rsidR="00FA76A3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)</w:t>
      </w:r>
      <w:r w:rsidR="00E35136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history.</w:t>
      </w:r>
      <w:r w:rsidR="00C83C45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If I was to study this object further, </w:t>
      </w:r>
      <w:r w:rsidR="0073575B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I would assess ceremonial life, and </w:t>
      </w:r>
      <w:r w:rsidR="00827458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other </w:t>
      </w:r>
      <w:r w:rsidR="004F1261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items </w:t>
      </w:r>
      <w:r w:rsidR="00827458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involved </w:t>
      </w:r>
      <w:r w:rsidR="004F1261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in the process. I would look at how that </w:t>
      </w:r>
      <w:r w:rsidR="00C04E41" w:rsidRPr="005354CD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would take place, and the extent to which it played a part in the lives of Cypriots.</w:t>
      </w:r>
    </w:p>
    <w:p w14:paraId="57394FA5" w14:textId="2489BE10" w:rsidR="00221481" w:rsidRPr="000F1BDC" w:rsidRDefault="00BB18DE" w:rsidP="00221481">
      <w:pPr>
        <w:pStyle w:val="NormalWeb"/>
        <w:rPr>
          <w:rFonts w:asciiTheme="minorHAnsi" w:hAnsiTheme="minorHAnsi" w:cstheme="minorHAnsi"/>
          <w:lang w:val="en-US"/>
        </w:rPr>
      </w:pPr>
      <w:r w:rsidRPr="000F1BDC">
        <w:rPr>
          <w:rFonts w:asciiTheme="minorHAnsi" w:hAnsiTheme="minorHAnsi" w:cstheme="minorHAnsi"/>
          <w:lang w:val="en-US"/>
        </w:rPr>
        <w:t>Bibliograp</w:t>
      </w:r>
      <w:r w:rsidR="00221481" w:rsidRPr="000F1BDC">
        <w:rPr>
          <w:rFonts w:asciiTheme="minorHAnsi" w:hAnsiTheme="minorHAnsi" w:cstheme="minorHAnsi"/>
          <w:lang w:val="en-US"/>
        </w:rPr>
        <w:t xml:space="preserve">hy </w:t>
      </w:r>
    </w:p>
    <w:p w14:paraId="2B39AADE" w14:textId="77777777" w:rsidR="00964A66" w:rsidRDefault="00221481" w:rsidP="00964A66">
      <w:pPr>
        <w:pStyle w:val="NormalWeb"/>
        <w:rPr>
          <w:rStyle w:val="a"/>
          <w:rFonts w:asciiTheme="minorHAnsi" w:hAnsiTheme="minorHAnsi" w:cstheme="minorHAnsi"/>
        </w:rPr>
      </w:pPr>
      <w:r w:rsidRPr="000F1BDC">
        <w:rPr>
          <w:rFonts w:asciiTheme="minorHAnsi" w:hAnsiTheme="minorHAnsi" w:cstheme="minorHAnsi"/>
          <w:lang w:val="en-US"/>
        </w:rPr>
        <w:t>1)</w:t>
      </w:r>
      <w:r w:rsidR="00341BE5" w:rsidRPr="000F1BDC">
        <w:rPr>
          <w:rFonts w:asciiTheme="minorHAnsi" w:hAnsiTheme="minorHAnsi" w:cstheme="minorHAnsi"/>
          <w:lang w:val="en-US"/>
        </w:rPr>
        <w:t xml:space="preserve"> </w:t>
      </w:r>
      <w:r w:rsidR="00964A66" w:rsidRPr="000F1BDC">
        <w:rPr>
          <w:rFonts w:asciiTheme="minorHAnsi" w:hAnsiTheme="minorHAnsi" w:cstheme="minorHAnsi"/>
        </w:rPr>
        <w:t>L</w:t>
      </w:r>
      <w:r w:rsidR="00964A66" w:rsidRPr="000F1BDC">
        <w:rPr>
          <w:rStyle w:val="fontstyle01"/>
          <w:rFonts w:asciiTheme="minorHAnsi" w:hAnsiTheme="minorHAnsi" w:cstheme="minorHAnsi"/>
        </w:rPr>
        <w:t xml:space="preserve">. </w:t>
      </w:r>
      <w:r w:rsidR="00964A66" w:rsidRPr="000F1BDC">
        <w:rPr>
          <w:rStyle w:val="a"/>
          <w:rFonts w:asciiTheme="minorHAnsi" w:hAnsiTheme="minorHAnsi" w:cstheme="minorHAnsi"/>
        </w:rPr>
        <w:t>Gagné, “Middle Cypriot White Painted Ware: A Study of Pottery Production and Distribution in Middle Bronze Age Cyprus” (2012) University of Toronto Press. Pp. 2</w:t>
      </w:r>
    </w:p>
    <w:p w14:paraId="19C88C42" w14:textId="1141A68D" w:rsidR="00221481" w:rsidRDefault="00221481" w:rsidP="00221481">
      <w:pPr>
        <w:pStyle w:val="NormalWeb"/>
        <w:rPr>
          <w:rStyle w:val="a"/>
          <w:rFonts w:asciiTheme="minorHAnsi" w:hAnsiTheme="minorHAnsi" w:cstheme="minorHAnsi"/>
        </w:rPr>
      </w:pPr>
      <w:r w:rsidRPr="000F1BDC">
        <w:rPr>
          <w:rFonts w:asciiTheme="minorHAnsi" w:hAnsiTheme="minorHAnsi" w:cstheme="minorHAnsi"/>
          <w:lang w:val="en-US"/>
        </w:rPr>
        <w:t>2)</w:t>
      </w:r>
      <w:r w:rsidR="008F10B4" w:rsidRPr="000F1BDC">
        <w:rPr>
          <w:rStyle w:val="fontstyle01"/>
          <w:rFonts w:asciiTheme="minorHAnsi" w:hAnsiTheme="minorHAnsi" w:cstheme="minorHAnsi"/>
        </w:rPr>
        <w:t xml:space="preserve"> L. </w:t>
      </w:r>
      <w:r w:rsidR="006C5A28" w:rsidRPr="000F1BDC">
        <w:rPr>
          <w:rStyle w:val="a"/>
          <w:rFonts w:asciiTheme="minorHAnsi" w:hAnsiTheme="minorHAnsi" w:cstheme="minorHAnsi"/>
        </w:rPr>
        <w:t>Gagné, “</w:t>
      </w:r>
      <w:r w:rsidR="008F10B4" w:rsidRPr="000F1BDC">
        <w:rPr>
          <w:rStyle w:val="a"/>
          <w:rFonts w:asciiTheme="minorHAnsi" w:hAnsiTheme="minorHAnsi" w:cstheme="minorHAnsi"/>
        </w:rPr>
        <w:t>Middle Cypriot White Painted Ware: A Study of Pottery Production andDistribution in Middle Bronze Age Cyprus</w:t>
      </w:r>
      <w:r w:rsidR="006C5A28" w:rsidRPr="000F1BDC">
        <w:rPr>
          <w:rStyle w:val="a"/>
          <w:rFonts w:asciiTheme="minorHAnsi" w:hAnsiTheme="minorHAnsi" w:cstheme="minorHAnsi"/>
        </w:rPr>
        <w:t xml:space="preserve">” (2012) </w:t>
      </w:r>
      <w:r w:rsidR="004D410E" w:rsidRPr="000F1BDC">
        <w:rPr>
          <w:rStyle w:val="a"/>
          <w:rFonts w:asciiTheme="minorHAnsi" w:hAnsiTheme="minorHAnsi" w:cstheme="minorHAnsi"/>
        </w:rPr>
        <w:t>University of Toronto Press</w:t>
      </w:r>
      <w:r w:rsidR="002D180F" w:rsidRPr="000F1BDC">
        <w:rPr>
          <w:rStyle w:val="a"/>
          <w:rFonts w:asciiTheme="minorHAnsi" w:hAnsiTheme="minorHAnsi" w:cstheme="minorHAnsi"/>
        </w:rPr>
        <w:t xml:space="preserve">. Pp. </w:t>
      </w:r>
      <w:r w:rsidR="009812B8" w:rsidRPr="000F1BDC">
        <w:rPr>
          <w:rStyle w:val="a"/>
          <w:rFonts w:asciiTheme="minorHAnsi" w:hAnsiTheme="minorHAnsi" w:cstheme="minorHAnsi"/>
        </w:rPr>
        <w:t>1</w:t>
      </w:r>
    </w:p>
    <w:p w14:paraId="0D3F0256" w14:textId="77777777" w:rsidR="007C1755" w:rsidRDefault="007C1755" w:rsidP="007C1755">
      <w:pPr>
        <w:pStyle w:val="NormalWeb"/>
        <w:rPr>
          <w:rStyle w:val="a"/>
          <w:rFonts w:asciiTheme="minorHAnsi" w:hAnsiTheme="minorHAnsi" w:cstheme="minorHAnsi"/>
        </w:rPr>
      </w:pPr>
      <w:r>
        <w:rPr>
          <w:rStyle w:val="a"/>
          <w:rFonts w:asciiTheme="minorHAnsi" w:hAnsiTheme="minorHAnsi" w:cstheme="minorHAnsi"/>
        </w:rPr>
        <w:t>3</w:t>
      </w:r>
      <w:r w:rsidRPr="000F1BDC">
        <w:rPr>
          <w:rStyle w:val="a"/>
          <w:rFonts w:asciiTheme="minorHAnsi" w:hAnsiTheme="minorHAnsi" w:cstheme="minorHAnsi"/>
        </w:rPr>
        <w:t xml:space="preserve">) </w:t>
      </w:r>
      <w:r w:rsidRPr="000F1BDC">
        <w:rPr>
          <w:rFonts w:asciiTheme="minorHAnsi" w:hAnsiTheme="minorHAnsi" w:cstheme="minorHAnsi"/>
        </w:rPr>
        <w:t>L</w:t>
      </w:r>
      <w:r w:rsidRPr="000F1BDC">
        <w:rPr>
          <w:rStyle w:val="fontstyle01"/>
          <w:rFonts w:asciiTheme="minorHAnsi" w:hAnsiTheme="minorHAnsi" w:cstheme="minorHAnsi"/>
        </w:rPr>
        <w:t xml:space="preserve">. </w:t>
      </w:r>
      <w:r w:rsidRPr="000F1BDC">
        <w:rPr>
          <w:rStyle w:val="a"/>
          <w:rFonts w:asciiTheme="minorHAnsi" w:hAnsiTheme="minorHAnsi" w:cstheme="minorHAnsi"/>
        </w:rPr>
        <w:t>Gagné, “Middle Cypriot White Painted Ware: A Study of Pottery Production and Distribution in Middle Bronze Age Cyprus” (2012) University of Toronto Press. Pp. 2</w:t>
      </w:r>
    </w:p>
    <w:p w14:paraId="0AB2820A" w14:textId="7D4B0396" w:rsidR="007C1755" w:rsidRPr="007C1755" w:rsidRDefault="007C1755" w:rsidP="007C1755">
      <w:pPr>
        <w:pStyle w:val="NormalWeb"/>
        <w:rPr>
          <w:rFonts w:asciiTheme="minorHAnsi" w:hAnsiTheme="minorHAnsi" w:cstheme="minorHAnsi"/>
          <w:lang w:val="en-US"/>
        </w:rPr>
      </w:pPr>
      <w:r w:rsidRPr="00964A66">
        <w:rPr>
          <w:rFonts w:asciiTheme="minorHAnsi" w:hAnsiTheme="minorHAnsi" w:cstheme="minorHAnsi"/>
          <w:sz w:val="22"/>
          <w:szCs w:val="22"/>
        </w:rPr>
        <w:lastRenderedPageBreak/>
        <w:t>4)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BDC">
        <w:rPr>
          <w:rFonts w:asciiTheme="minorHAnsi" w:hAnsiTheme="minorHAnsi" w:cstheme="minorHAnsi"/>
        </w:rPr>
        <w:t xml:space="preserve">B. Knapp, ‘Prehistoric and Protohistoric Cyprus: Identity, Insularity, and Connectivity’ (2008) Oxford University Press pp.355-6 </w:t>
      </w:r>
    </w:p>
    <w:p w14:paraId="096E9C30" w14:textId="38155911" w:rsidR="00DA519C" w:rsidRDefault="00D17084" w:rsidP="009414CB">
      <w:pPr>
        <w:pStyle w:val="Heading1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>5</w:t>
      </w:r>
      <w:r w:rsidR="00CD4E1E" w:rsidRPr="000F1BDC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>)</w:t>
      </w:r>
      <w:r w:rsidR="00C417C9" w:rsidRPr="000F1BDC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 xml:space="preserve"> L.Steel, </w:t>
      </w:r>
      <w:r w:rsidR="00C417C9" w:rsidRPr="000F1BD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Cyprus Before History:From the Earliest Settlers to the End of the Bronze Age (July 2004) </w:t>
      </w:r>
      <w:r w:rsidR="003C6186" w:rsidRPr="000F1BDC">
        <w:rPr>
          <w:rFonts w:asciiTheme="minorHAnsi" w:hAnsiTheme="minorHAnsi" w:cstheme="minorHAnsi"/>
          <w:b w:val="0"/>
          <w:bCs w:val="0"/>
          <w:sz w:val="24"/>
          <w:szCs w:val="24"/>
        </w:rPr>
        <w:t>Bristol Classical Press</w:t>
      </w:r>
      <w:r w:rsidR="009414CB" w:rsidRPr="000F1BD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pp.124</w:t>
      </w:r>
    </w:p>
    <w:p w14:paraId="55BF5E55" w14:textId="6AC6CC8E" w:rsidR="00E73BD7" w:rsidRDefault="00E73BD7" w:rsidP="00E73BD7">
      <w:pPr>
        <w:rPr>
          <w:rFonts w:cstheme="minorHAnsi"/>
          <w:lang w:val="en-US"/>
        </w:rPr>
      </w:pPr>
      <w:r>
        <w:rPr>
          <w:rFonts w:cstheme="minorHAnsi"/>
        </w:rPr>
        <w:t>6</w:t>
      </w:r>
      <w:r w:rsidRPr="000F1BDC">
        <w:rPr>
          <w:rFonts w:cstheme="minorHAnsi"/>
        </w:rPr>
        <w:t xml:space="preserve">) </w:t>
      </w:r>
      <w:hyperlink r:id="rId11" w:history="1">
        <w:r w:rsidRPr="000F1BDC">
          <w:rPr>
            <w:rStyle w:val="Hyperlink"/>
            <w:rFonts w:cstheme="minorHAnsi"/>
            <w:sz w:val="24"/>
            <w:szCs w:val="24"/>
          </w:rPr>
          <w:t>https://ant.david-johnson.co.uk/comments/</w:t>
        </w:r>
      </w:hyperlink>
      <w:r w:rsidRPr="000F1BDC">
        <w:rPr>
          <w:rFonts w:cstheme="minorHAnsi"/>
          <w:sz w:val="24"/>
          <w:szCs w:val="24"/>
        </w:rPr>
        <w:t xml:space="preserve"> </w:t>
      </w:r>
      <w:r w:rsidRPr="000F1BDC">
        <w:rPr>
          <w:rFonts w:cstheme="minorHAnsi"/>
          <w:lang w:val="en-US"/>
        </w:rPr>
        <w:t>Date Accessed: 18</w:t>
      </w:r>
      <w:r w:rsidRPr="000F1BDC">
        <w:rPr>
          <w:rFonts w:cstheme="minorHAnsi"/>
          <w:vertAlign w:val="superscript"/>
          <w:lang w:val="en-US"/>
        </w:rPr>
        <w:t>th</w:t>
      </w:r>
      <w:r w:rsidRPr="000F1BDC">
        <w:rPr>
          <w:rFonts w:cstheme="minorHAnsi"/>
          <w:lang w:val="en-US"/>
        </w:rPr>
        <w:t xml:space="preserve"> March 2020</w:t>
      </w:r>
    </w:p>
    <w:p w14:paraId="56CAA861" w14:textId="4BB0B363" w:rsidR="008A15E2" w:rsidRDefault="008A15E2" w:rsidP="008A15E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7</w:t>
      </w:r>
      <w:r w:rsidRPr="000F1BDC">
        <w:rPr>
          <w:rFonts w:cstheme="minorHAnsi"/>
        </w:rPr>
        <w:t xml:space="preserve">) </w:t>
      </w:r>
      <w:hyperlink r:id="rId12" w:history="1">
        <w:r w:rsidRPr="000F1BDC">
          <w:rPr>
            <w:rStyle w:val="Hyperlink"/>
            <w:rFonts w:cstheme="minorHAnsi"/>
            <w:sz w:val="24"/>
            <w:szCs w:val="24"/>
          </w:rPr>
          <w:t>https://ant.david-johnson.co.uk/comments/</w:t>
        </w:r>
      </w:hyperlink>
      <w:r w:rsidRPr="000F1BDC">
        <w:rPr>
          <w:rFonts w:cstheme="minorHAnsi"/>
          <w:sz w:val="24"/>
          <w:szCs w:val="24"/>
        </w:rPr>
        <w:t xml:space="preserve"> </w:t>
      </w:r>
      <w:r w:rsidRPr="000F1BDC">
        <w:rPr>
          <w:rFonts w:cstheme="minorHAnsi"/>
          <w:lang w:val="en-US"/>
        </w:rPr>
        <w:t>Date Accessed: 18</w:t>
      </w:r>
      <w:r w:rsidRPr="000F1BDC">
        <w:rPr>
          <w:rFonts w:cstheme="minorHAnsi"/>
          <w:vertAlign w:val="superscript"/>
          <w:lang w:val="en-US"/>
        </w:rPr>
        <w:t>th</w:t>
      </w:r>
      <w:r w:rsidRPr="000F1BDC">
        <w:rPr>
          <w:rFonts w:cstheme="minorHAnsi"/>
          <w:lang w:val="en-US"/>
        </w:rPr>
        <w:t xml:space="preserve"> March 2020</w:t>
      </w:r>
    </w:p>
    <w:p w14:paraId="01651400" w14:textId="6BEC76CE" w:rsidR="003D5D01" w:rsidRPr="000F1BDC" w:rsidRDefault="003D5D01" w:rsidP="003D5D01">
      <w:pPr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8</w:t>
      </w:r>
      <w:r w:rsidRPr="000F1BDC">
        <w:rPr>
          <w:rFonts w:eastAsia="Times New Roman" w:cstheme="minorHAnsi"/>
          <w:sz w:val="24"/>
          <w:szCs w:val="24"/>
        </w:rPr>
        <w:t>)</w:t>
      </w:r>
      <w:r>
        <w:rPr>
          <w:rFonts w:eastAsia="Times New Roman" w:cstheme="minorHAnsi"/>
          <w:sz w:val="24"/>
          <w:szCs w:val="24"/>
        </w:rPr>
        <w:t xml:space="preserve"> </w:t>
      </w:r>
      <w:r w:rsidRPr="000F1BDC">
        <w:rPr>
          <w:rFonts w:cstheme="minorHAnsi"/>
          <w:lang w:val="en-US"/>
        </w:rPr>
        <w:t xml:space="preserve">D. Webb, J. Frankel, </w:t>
      </w:r>
      <w:r w:rsidRPr="000F1BDC">
        <w:rPr>
          <w:rStyle w:val="fontstyle01"/>
          <w:rFonts w:asciiTheme="minorHAnsi" w:hAnsiTheme="minorHAnsi" w:cstheme="minorHAnsi"/>
          <w:i/>
          <w:iCs/>
        </w:rPr>
        <w:t>‘</w:t>
      </w:r>
      <w:r w:rsidRPr="000F1BDC">
        <w:rPr>
          <w:rFonts w:cstheme="minorHAnsi"/>
          <w:i/>
          <w:iCs/>
          <w:sz w:val="24"/>
          <w:szCs w:val="24"/>
        </w:rPr>
        <w:t>Characterizing the Philia Facies: Material Culture, Chronology, and the Origin of the Bronze Age in Cyprus’.</w:t>
      </w:r>
      <w:r w:rsidRPr="000F1BDC">
        <w:rPr>
          <w:rFonts w:cstheme="minorHAnsi"/>
          <w:i/>
          <w:iCs/>
        </w:rPr>
        <w:t xml:space="preserve"> </w:t>
      </w:r>
      <w:r w:rsidRPr="000F1BDC">
        <w:rPr>
          <w:rFonts w:eastAsia="Times New Roman" w:cstheme="minorHAnsi"/>
          <w:i/>
          <w:iCs/>
          <w:sz w:val="24"/>
          <w:szCs w:val="24"/>
        </w:rPr>
        <w:t>American Journal of Archaeology</w:t>
      </w:r>
      <w:r w:rsidRPr="000F1BDC">
        <w:rPr>
          <w:rFonts w:eastAsia="Times New Roman" w:cstheme="minorHAnsi"/>
          <w:sz w:val="24"/>
          <w:szCs w:val="24"/>
        </w:rPr>
        <w:t xml:space="preserve"> </w:t>
      </w:r>
      <w:r w:rsidRPr="000F1BDC">
        <w:rPr>
          <w:rFonts w:eastAsia="Times New Roman" w:cstheme="minorHAnsi"/>
          <w:i/>
          <w:iCs/>
          <w:sz w:val="24"/>
          <w:szCs w:val="24"/>
        </w:rPr>
        <w:t xml:space="preserve">Vol. 103, No. 1 </w:t>
      </w:r>
      <w:r w:rsidRPr="000F1BDC">
        <w:rPr>
          <w:rFonts w:eastAsia="Times New Roman" w:cstheme="minorHAnsi"/>
          <w:sz w:val="24"/>
          <w:szCs w:val="24"/>
        </w:rPr>
        <w:t>(Jan., 1999) Archaeological Institue of America, Boston pp. 24</w:t>
      </w:r>
    </w:p>
    <w:p w14:paraId="67C06CF6" w14:textId="77777777" w:rsidR="003D5D01" w:rsidRPr="000F1BDC" w:rsidRDefault="003D5D01" w:rsidP="003D5D01">
      <w:pPr>
        <w:rPr>
          <w:rFonts w:cstheme="minorHAnsi"/>
        </w:rPr>
      </w:pPr>
      <w:r>
        <w:rPr>
          <w:rFonts w:eastAsia="Times New Roman" w:cstheme="minorHAnsi"/>
          <w:sz w:val="24"/>
          <w:szCs w:val="24"/>
        </w:rPr>
        <w:t>9</w:t>
      </w:r>
      <w:r w:rsidRPr="000F1BDC">
        <w:rPr>
          <w:rFonts w:eastAsia="Times New Roman" w:cstheme="minorHAnsi"/>
          <w:sz w:val="24"/>
          <w:szCs w:val="24"/>
        </w:rPr>
        <w:t xml:space="preserve">) A.Samuelson, ‘Bronze Age White Painted Ware I in Cyprus: A Reinvestigation, </w:t>
      </w:r>
      <w:hyperlink r:id="rId13" w:history="1">
        <w:r w:rsidRPr="000F1BDC">
          <w:rPr>
            <w:rStyle w:val="Hyperlink"/>
            <w:rFonts w:cstheme="minorHAnsi"/>
            <w:i/>
            <w:iCs/>
            <w:color w:val="000000" w:themeColor="text1"/>
            <w:sz w:val="24"/>
            <w:szCs w:val="24"/>
            <w:u w:val="none"/>
          </w:rPr>
          <w:t>Issue 121 of Studies in Mediterranean archaeology and literature: Pocket-book</w:t>
        </w:r>
      </w:hyperlink>
      <w:r w:rsidRPr="000F1BDC">
        <w:rPr>
          <w:rFonts w:cstheme="minorHAnsi"/>
          <w:color w:val="000000" w:themeColor="text1"/>
          <w:sz w:val="24"/>
          <w:szCs w:val="24"/>
        </w:rPr>
        <w:t xml:space="preserve">, </w:t>
      </w:r>
      <w:hyperlink r:id="rId14" w:history="1">
        <w:r w:rsidRPr="000F1BDC">
          <w:rPr>
            <w:rStyle w:val="Hyperlink"/>
            <w:rFonts w:cstheme="minorHAnsi"/>
            <w:color w:val="000000" w:themeColor="text1"/>
            <w:sz w:val="24"/>
            <w:szCs w:val="24"/>
            <w:u w:val="none"/>
          </w:rPr>
          <w:t>Studies in Mediterranean archaeology and literature</w:t>
        </w:r>
      </w:hyperlink>
      <w:r w:rsidRPr="000F1BDC">
        <w:rPr>
          <w:rFonts w:cstheme="minorHAnsi"/>
          <w:color w:val="000000" w:themeColor="text1"/>
          <w:sz w:val="24"/>
          <w:szCs w:val="24"/>
        </w:rPr>
        <w:t>’</w:t>
      </w:r>
      <w:r w:rsidRPr="000F1BDC">
        <w:rPr>
          <w:rFonts w:eastAsia="Times New Roman" w:cstheme="minorHAnsi"/>
          <w:sz w:val="24"/>
          <w:szCs w:val="24"/>
        </w:rPr>
        <w:t xml:space="preserve"> (1993) </w:t>
      </w:r>
      <w:r w:rsidRPr="000F1BDC">
        <w:rPr>
          <w:rFonts w:cstheme="minorHAnsi"/>
        </w:rPr>
        <w:t>Åström Publishers, Sweden pp.35-36</w:t>
      </w:r>
    </w:p>
    <w:p w14:paraId="1875A446" w14:textId="0993016B" w:rsidR="002B6574" w:rsidRDefault="003D5D01" w:rsidP="00626059">
      <w:pPr>
        <w:rPr>
          <w:rFonts w:eastAsia="Times New Roman" w:cstheme="minorHAnsi"/>
          <w:sz w:val="24"/>
          <w:szCs w:val="24"/>
        </w:rPr>
      </w:pPr>
      <w:r>
        <w:rPr>
          <w:rFonts w:cstheme="minorHAnsi"/>
        </w:rPr>
        <w:t>1</w:t>
      </w:r>
      <w:r>
        <w:rPr>
          <w:rFonts w:cstheme="minorHAnsi"/>
          <w:sz w:val="24"/>
          <w:szCs w:val="24"/>
          <w:lang w:val="en-US"/>
        </w:rPr>
        <w:t>0</w:t>
      </w:r>
      <w:r w:rsidR="00154B66" w:rsidRPr="000F1BDC">
        <w:rPr>
          <w:rFonts w:cstheme="minorHAnsi"/>
          <w:sz w:val="24"/>
          <w:szCs w:val="24"/>
          <w:lang w:val="en-US"/>
        </w:rPr>
        <w:t xml:space="preserve">) </w:t>
      </w:r>
      <w:r w:rsidR="002C065B" w:rsidRPr="000F1BDC">
        <w:rPr>
          <w:rFonts w:cstheme="minorHAnsi"/>
          <w:sz w:val="24"/>
          <w:szCs w:val="24"/>
          <w:lang w:val="en-US"/>
        </w:rPr>
        <w:t xml:space="preserve">D. </w:t>
      </w:r>
      <w:r w:rsidR="00154B66" w:rsidRPr="000F1BDC">
        <w:rPr>
          <w:rFonts w:cstheme="minorHAnsi"/>
          <w:sz w:val="24"/>
          <w:szCs w:val="24"/>
          <w:lang w:val="en-US"/>
        </w:rPr>
        <w:t>Webb</w:t>
      </w:r>
      <w:r w:rsidR="003F7E3E" w:rsidRPr="000F1BDC">
        <w:rPr>
          <w:rFonts w:cstheme="minorHAnsi"/>
          <w:sz w:val="24"/>
          <w:szCs w:val="24"/>
          <w:lang w:val="en-US"/>
        </w:rPr>
        <w:t xml:space="preserve">, </w:t>
      </w:r>
      <w:r w:rsidR="002C065B" w:rsidRPr="000F1BDC">
        <w:rPr>
          <w:rFonts w:cstheme="minorHAnsi"/>
          <w:sz w:val="24"/>
          <w:szCs w:val="24"/>
          <w:lang w:val="en-US"/>
        </w:rPr>
        <w:t xml:space="preserve">J. </w:t>
      </w:r>
      <w:r w:rsidR="003F7E3E" w:rsidRPr="000F1BDC">
        <w:rPr>
          <w:rFonts w:cstheme="minorHAnsi"/>
          <w:sz w:val="24"/>
          <w:szCs w:val="24"/>
          <w:lang w:val="en-US"/>
        </w:rPr>
        <w:t>Frankel</w:t>
      </w:r>
      <w:r w:rsidR="002C065B" w:rsidRPr="000F1BDC">
        <w:rPr>
          <w:rFonts w:cstheme="minorHAnsi"/>
          <w:sz w:val="24"/>
          <w:szCs w:val="24"/>
          <w:lang w:val="en-US"/>
        </w:rPr>
        <w:t>,</w:t>
      </w:r>
      <w:r w:rsidR="003F7E3E" w:rsidRPr="000F1BDC">
        <w:rPr>
          <w:rFonts w:cstheme="minorHAnsi"/>
          <w:sz w:val="24"/>
          <w:szCs w:val="24"/>
          <w:lang w:val="en-US"/>
        </w:rPr>
        <w:t xml:space="preserve"> </w:t>
      </w:r>
      <w:r w:rsidR="003F7E3E" w:rsidRPr="000F1BDC">
        <w:rPr>
          <w:rStyle w:val="fontstyle01"/>
          <w:rFonts w:asciiTheme="minorHAnsi" w:hAnsiTheme="minorHAnsi" w:cstheme="minorHAnsi"/>
          <w:i/>
          <w:iCs/>
        </w:rPr>
        <w:t>‘</w:t>
      </w:r>
      <w:r w:rsidR="003F7E3E" w:rsidRPr="000F1BDC">
        <w:rPr>
          <w:rFonts w:cstheme="minorHAnsi"/>
          <w:i/>
          <w:iCs/>
          <w:sz w:val="24"/>
          <w:szCs w:val="24"/>
        </w:rPr>
        <w:t>Characterizing the Philia Facies: Material Culture, Chronology, and the Origin of the Bronze Age in Cyprus’.</w:t>
      </w:r>
      <w:r w:rsidR="00626059" w:rsidRPr="000F1BDC">
        <w:rPr>
          <w:rFonts w:cstheme="minorHAnsi"/>
          <w:i/>
          <w:iCs/>
        </w:rPr>
        <w:t xml:space="preserve"> </w:t>
      </w:r>
      <w:r w:rsidR="00626059" w:rsidRPr="000F1BDC">
        <w:rPr>
          <w:rFonts w:eastAsia="Times New Roman" w:cstheme="minorHAnsi"/>
          <w:i/>
          <w:iCs/>
          <w:sz w:val="24"/>
          <w:szCs w:val="24"/>
        </w:rPr>
        <w:t>American Journal of Archaeology</w:t>
      </w:r>
      <w:r w:rsidR="00626059" w:rsidRPr="000F1BDC">
        <w:rPr>
          <w:rFonts w:eastAsia="Times New Roman" w:cstheme="minorHAnsi"/>
          <w:sz w:val="24"/>
          <w:szCs w:val="24"/>
        </w:rPr>
        <w:t xml:space="preserve"> </w:t>
      </w:r>
      <w:r w:rsidR="00626059" w:rsidRPr="000F1BDC">
        <w:rPr>
          <w:rFonts w:eastAsia="Times New Roman" w:cstheme="minorHAnsi"/>
          <w:i/>
          <w:iCs/>
          <w:sz w:val="24"/>
          <w:szCs w:val="24"/>
        </w:rPr>
        <w:t xml:space="preserve">Vol. 103, No. 1 </w:t>
      </w:r>
      <w:r w:rsidR="00626059" w:rsidRPr="000F1BDC">
        <w:rPr>
          <w:rFonts w:eastAsia="Times New Roman" w:cstheme="minorHAnsi"/>
          <w:sz w:val="24"/>
          <w:szCs w:val="24"/>
        </w:rPr>
        <w:t xml:space="preserve">(Jan., 1999) </w:t>
      </w:r>
      <w:r w:rsidR="004369CC" w:rsidRPr="000F1BDC">
        <w:rPr>
          <w:rFonts w:eastAsia="Times New Roman" w:cstheme="minorHAnsi"/>
          <w:sz w:val="24"/>
          <w:szCs w:val="24"/>
        </w:rPr>
        <w:t xml:space="preserve">Archaeological Institue of America, </w:t>
      </w:r>
      <w:r w:rsidR="00F345C3" w:rsidRPr="000F1BDC">
        <w:rPr>
          <w:rFonts w:eastAsia="Times New Roman" w:cstheme="minorHAnsi"/>
          <w:sz w:val="24"/>
          <w:szCs w:val="24"/>
        </w:rPr>
        <w:t>Boston pp.</w:t>
      </w:r>
      <w:r w:rsidR="002B6574" w:rsidRPr="000F1BDC">
        <w:rPr>
          <w:rFonts w:eastAsia="Times New Roman" w:cstheme="minorHAnsi"/>
          <w:sz w:val="24"/>
          <w:szCs w:val="24"/>
        </w:rPr>
        <w:t xml:space="preserve"> 24</w:t>
      </w:r>
    </w:p>
    <w:p w14:paraId="03C65B11" w14:textId="77777777" w:rsidR="003D5D01" w:rsidRPr="000F1BDC" w:rsidRDefault="003D5D01" w:rsidP="003D5D01">
      <w:pPr>
        <w:pStyle w:val="Heading1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>11</w:t>
      </w:r>
      <w:r w:rsidRPr="000F1BDC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>)</w:t>
      </w:r>
      <w:r w:rsidRPr="000F1BDC">
        <w:rPr>
          <w:rFonts w:asciiTheme="minorHAnsi" w:hAnsiTheme="minorHAnsi" w:cstheme="minorHAnsi"/>
          <w:b w:val="0"/>
          <w:bCs w:val="0"/>
          <w:lang w:val="en-US"/>
        </w:rPr>
        <w:t xml:space="preserve"> </w:t>
      </w:r>
      <w:r w:rsidRPr="000F1BDC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>L.Steel, ‘</w:t>
      </w:r>
      <w:r w:rsidRPr="000F1BDC">
        <w:rPr>
          <w:rFonts w:asciiTheme="minorHAnsi" w:hAnsiTheme="minorHAnsi" w:cstheme="minorHAnsi"/>
          <w:b w:val="0"/>
          <w:bCs w:val="0"/>
          <w:sz w:val="24"/>
          <w:szCs w:val="24"/>
        </w:rPr>
        <w:t>Cyprus Before History: From the Earliest Settlers to the End of the Bronze Age’ (July 2004) Bristol Classical Press pp.</w:t>
      </w:r>
      <w:r w:rsidRPr="000F1BDC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>149-186</w:t>
      </w:r>
    </w:p>
    <w:p w14:paraId="095A3C7E" w14:textId="14AF05E3" w:rsidR="00F55C0F" w:rsidRPr="000F1BDC" w:rsidRDefault="003D5D01" w:rsidP="00F55C0F">
      <w:pPr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12</w:t>
      </w:r>
      <w:r w:rsidR="00886A1C">
        <w:rPr>
          <w:rFonts w:eastAsia="Times New Roman" w:cstheme="minorHAnsi"/>
          <w:sz w:val="24"/>
          <w:szCs w:val="24"/>
        </w:rPr>
        <w:t>)</w:t>
      </w:r>
      <w:r w:rsidR="005C085F">
        <w:rPr>
          <w:rFonts w:eastAsia="Times New Roman" w:cstheme="minorHAnsi"/>
          <w:sz w:val="24"/>
          <w:szCs w:val="24"/>
        </w:rPr>
        <w:t xml:space="preserve"> </w:t>
      </w:r>
      <w:r w:rsidR="00F55C0F" w:rsidRPr="000F1BDC">
        <w:rPr>
          <w:rFonts w:cstheme="minorHAnsi"/>
          <w:lang w:val="en-US"/>
        </w:rPr>
        <w:t xml:space="preserve">D. Webb, J. Frankel, </w:t>
      </w:r>
      <w:r w:rsidR="00F55C0F" w:rsidRPr="000F1BDC">
        <w:rPr>
          <w:rStyle w:val="fontstyle01"/>
          <w:rFonts w:asciiTheme="minorHAnsi" w:hAnsiTheme="minorHAnsi" w:cstheme="minorHAnsi"/>
          <w:i/>
          <w:iCs/>
        </w:rPr>
        <w:t>‘</w:t>
      </w:r>
      <w:r w:rsidR="00F55C0F" w:rsidRPr="000F1BDC">
        <w:rPr>
          <w:rFonts w:cstheme="minorHAnsi"/>
          <w:i/>
          <w:iCs/>
          <w:sz w:val="24"/>
          <w:szCs w:val="24"/>
        </w:rPr>
        <w:t>Characterizing the Philia Facies: Material Culture, Chronology, and the Origin of the Bronze Age in Cyprus’.</w:t>
      </w:r>
      <w:r w:rsidR="00F55C0F" w:rsidRPr="000F1BDC">
        <w:rPr>
          <w:rFonts w:cstheme="minorHAnsi"/>
          <w:i/>
          <w:iCs/>
        </w:rPr>
        <w:t xml:space="preserve"> </w:t>
      </w:r>
      <w:r w:rsidR="00F55C0F" w:rsidRPr="000F1BDC">
        <w:rPr>
          <w:rFonts w:eastAsia="Times New Roman" w:cstheme="minorHAnsi"/>
          <w:i/>
          <w:iCs/>
          <w:sz w:val="24"/>
          <w:szCs w:val="24"/>
        </w:rPr>
        <w:t>American Journal of Archaeology</w:t>
      </w:r>
      <w:r w:rsidR="00F55C0F" w:rsidRPr="000F1BDC">
        <w:rPr>
          <w:rFonts w:eastAsia="Times New Roman" w:cstheme="minorHAnsi"/>
          <w:sz w:val="24"/>
          <w:szCs w:val="24"/>
        </w:rPr>
        <w:t xml:space="preserve"> </w:t>
      </w:r>
      <w:r w:rsidR="00F55C0F" w:rsidRPr="000F1BDC">
        <w:rPr>
          <w:rFonts w:eastAsia="Times New Roman" w:cstheme="minorHAnsi"/>
          <w:i/>
          <w:iCs/>
          <w:sz w:val="24"/>
          <w:szCs w:val="24"/>
        </w:rPr>
        <w:t xml:space="preserve">Vol. 103, No. 1 </w:t>
      </w:r>
      <w:r w:rsidR="00F55C0F" w:rsidRPr="000F1BDC">
        <w:rPr>
          <w:rFonts w:eastAsia="Times New Roman" w:cstheme="minorHAnsi"/>
          <w:sz w:val="24"/>
          <w:szCs w:val="24"/>
        </w:rPr>
        <w:t>(Jan., 1999) Archaeological Institue of America, Boston pp. 24</w:t>
      </w:r>
    </w:p>
    <w:p w14:paraId="5AB07327" w14:textId="77777777" w:rsidR="005C085F" w:rsidRDefault="005C085F" w:rsidP="005C085F">
      <w:pPr>
        <w:rPr>
          <w:rFonts w:cstheme="minorHAnsi"/>
          <w:lang w:val="en-US"/>
        </w:rPr>
      </w:pPr>
      <w:r>
        <w:rPr>
          <w:rFonts w:eastAsia="Times New Roman" w:cstheme="minorHAnsi"/>
          <w:sz w:val="24"/>
          <w:szCs w:val="24"/>
        </w:rPr>
        <w:t>13</w:t>
      </w:r>
      <w:r w:rsidR="00B24FA9" w:rsidRPr="000F1BDC">
        <w:rPr>
          <w:rFonts w:eastAsia="Times New Roman" w:cstheme="minorHAnsi"/>
          <w:sz w:val="24"/>
          <w:szCs w:val="24"/>
        </w:rPr>
        <w:t xml:space="preserve">) </w:t>
      </w:r>
      <w:r w:rsidRPr="000F1BDC">
        <w:rPr>
          <w:rFonts w:cstheme="minorHAnsi"/>
        </w:rPr>
        <w:t xml:space="preserve">) </w:t>
      </w:r>
      <w:hyperlink r:id="rId15" w:history="1">
        <w:r w:rsidRPr="000F1BDC">
          <w:rPr>
            <w:rStyle w:val="Hyperlink"/>
            <w:rFonts w:cstheme="minorHAnsi"/>
            <w:sz w:val="24"/>
            <w:szCs w:val="24"/>
          </w:rPr>
          <w:t>https://ant.david-johnson.co.uk/comments/</w:t>
        </w:r>
      </w:hyperlink>
      <w:r w:rsidRPr="000F1BDC">
        <w:rPr>
          <w:rFonts w:cstheme="minorHAnsi"/>
          <w:sz w:val="24"/>
          <w:szCs w:val="24"/>
        </w:rPr>
        <w:t xml:space="preserve"> </w:t>
      </w:r>
      <w:r w:rsidRPr="000F1BDC">
        <w:rPr>
          <w:rFonts w:cstheme="minorHAnsi"/>
          <w:lang w:val="en-US"/>
        </w:rPr>
        <w:t>Date Accessed: 18</w:t>
      </w:r>
      <w:r w:rsidRPr="000F1BDC">
        <w:rPr>
          <w:rFonts w:cstheme="minorHAnsi"/>
          <w:vertAlign w:val="superscript"/>
          <w:lang w:val="en-US"/>
        </w:rPr>
        <w:t>th</w:t>
      </w:r>
      <w:r w:rsidRPr="000F1BDC">
        <w:rPr>
          <w:rFonts w:cstheme="minorHAnsi"/>
          <w:lang w:val="en-US"/>
        </w:rPr>
        <w:t xml:space="preserve"> March 2020</w:t>
      </w:r>
    </w:p>
    <w:p w14:paraId="3C7220C9" w14:textId="6F4C50A4" w:rsidR="005C085F" w:rsidRDefault="005C085F" w:rsidP="005C085F">
      <w:pPr>
        <w:pStyle w:val="NormalWeb"/>
        <w:rPr>
          <w:rFonts w:asciiTheme="minorHAnsi" w:hAnsiTheme="minorHAnsi" w:cstheme="minorHAnsi"/>
          <w:lang w:val="en-US"/>
        </w:rPr>
      </w:pPr>
      <w:r w:rsidRPr="000F1BDC">
        <w:rPr>
          <w:rFonts w:asciiTheme="minorHAnsi" w:hAnsiTheme="minorHAnsi" w:cstheme="minorHAnsi"/>
          <w:lang w:val="en-US"/>
        </w:rPr>
        <w:t>1</w:t>
      </w:r>
      <w:r>
        <w:rPr>
          <w:rFonts w:asciiTheme="minorHAnsi" w:hAnsiTheme="minorHAnsi" w:cstheme="minorHAnsi"/>
          <w:lang w:val="en-US"/>
        </w:rPr>
        <w:t>4</w:t>
      </w:r>
      <w:r w:rsidRPr="000F1BDC">
        <w:rPr>
          <w:rFonts w:asciiTheme="minorHAnsi" w:hAnsiTheme="minorHAnsi" w:cstheme="minorHAnsi"/>
          <w:lang w:val="en-US"/>
        </w:rPr>
        <w:t xml:space="preserve">) </w:t>
      </w:r>
      <w:hyperlink r:id="rId16" w:history="1">
        <w:r w:rsidRPr="000F1BDC">
          <w:rPr>
            <w:rStyle w:val="Hyperlink"/>
            <w:rFonts w:asciiTheme="minorHAnsi" w:hAnsiTheme="minorHAnsi" w:cstheme="minorHAnsi"/>
            <w:lang w:val="en-US"/>
          </w:rPr>
          <w:t>https://www.merriam-webster.com/dictionary/zoomorphic</w:t>
        </w:r>
      </w:hyperlink>
      <w:r w:rsidRPr="000F1BDC">
        <w:rPr>
          <w:rFonts w:asciiTheme="minorHAnsi" w:hAnsiTheme="minorHAnsi" w:cstheme="minorHAnsi"/>
          <w:lang w:val="en-US"/>
        </w:rPr>
        <w:t xml:space="preserve"> Date Accessed: 18</w:t>
      </w:r>
      <w:r w:rsidRPr="000F1BDC">
        <w:rPr>
          <w:rFonts w:asciiTheme="minorHAnsi" w:hAnsiTheme="minorHAnsi" w:cstheme="minorHAnsi"/>
          <w:vertAlign w:val="superscript"/>
          <w:lang w:val="en-US"/>
        </w:rPr>
        <w:t>th</w:t>
      </w:r>
      <w:r w:rsidRPr="000F1BDC">
        <w:rPr>
          <w:rFonts w:asciiTheme="minorHAnsi" w:hAnsiTheme="minorHAnsi" w:cstheme="minorHAnsi"/>
          <w:lang w:val="en-US"/>
        </w:rPr>
        <w:t xml:space="preserve"> March 2020</w:t>
      </w:r>
    </w:p>
    <w:p w14:paraId="5DBE9EAF" w14:textId="74DA8A32" w:rsidR="00EB4111" w:rsidRDefault="00EB4111" w:rsidP="005C085F">
      <w:pPr>
        <w:pStyle w:val="NormalWeb"/>
        <w:rPr>
          <w:rFonts w:asciiTheme="minorHAnsi" w:hAnsiTheme="minorHAnsi" w:cstheme="minorHAnsi"/>
          <w:lang w:val="en-US"/>
        </w:rPr>
      </w:pPr>
    </w:p>
    <w:p w14:paraId="7EF48C35" w14:textId="77777777" w:rsidR="00EB4111" w:rsidRPr="000F1BDC" w:rsidRDefault="00EB4111" w:rsidP="005C085F">
      <w:pPr>
        <w:pStyle w:val="NormalWeb"/>
        <w:rPr>
          <w:rFonts w:asciiTheme="minorHAnsi" w:hAnsiTheme="minorHAnsi" w:cstheme="minorHAnsi"/>
          <w:lang w:val="en-US"/>
        </w:rPr>
      </w:pPr>
    </w:p>
    <w:p w14:paraId="0A450649" w14:textId="5A794A7A" w:rsidR="009414CB" w:rsidRPr="000F1BDC" w:rsidRDefault="009414CB" w:rsidP="003F0931">
      <w:pPr>
        <w:pStyle w:val="NormalWeb"/>
        <w:rPr>
          <w:rFonts w:asciiTheme="minorHAnsi" w:hAnsiTheme="minorHAnsi" w:cstheme="minorHAnsi"/>
          <w:lang w:val="en-US"/>
        </w:rPr>
      </w:pPr>
      <w:r w:rsidRPr="000F1BDC">
        <w:rPr>
          <w:rStyle w:val="a"/>
          <w:rFonts w:asciiTheme="minorHAnsi" w:hAnsiTheme="minorHAnsi" w:cstheme="minorHAnsi"/>
        </w:rPr>
        <w:t>Picture references:</w:t>
      </w:r>
    </w:p>
    <w:p w14:paraId="1DA585B8" w14:textId="1913E189" w:rsidR="00861EB4" w:rsidRPr="000F1BDC" w:rsidRDefault="00B84B62">
      <w:pPr>
        <w:rPr>
          <w:rFonts w:cstheme="minorHAnsi"/>
        </w:rPr>
      </w:pPr>
      <w:hyperlink r:id="rId17" w:history="1">
        <w:r w:rsidR="009414CB" w:rsidRPr="000F1BDC">
          <w:rPr>
            <w:rStyle w:val="Hyperlink"/>
            <w:rFonts w:cstheme="minorHAnsi"/>
            <w:sz w:val="24"/>
            <w:szCs w:val="24"/>
          </w:rPr>
          <w:t>https://ant.david-johnson.co.uk/comments/</w:t>
        </w:r>
      </w:hyperlink>
      <w:r w:rsidR="009414CB" w:rsidRPr="000F1BDC">
        <w:rPr>
          <w:rFonts w:cstheme="minorHAnsi"/>
          <w:sz w:val="24"/>
          <w:szCs w:val="24"/>
        </w:rPr>
        <w:t xml:space="preserve"> Date Accessed: 18</w:t>
      </w:r>
      <w:r w:rsidR="009414CB" w:rsidRPr="000F1BDC">
        <w:rPr>
          <w:rFonts w:cstheme="minorHAnsi"/>
          <w:sz w:val="24"/>
          <w:szCs w:val="24"/>
          <w:vertAlign w:val="superscript"/>
        </w:rPr>
        <w:t>th</w:t>
      </w:r>
      <w:r w:rsidR="009414CB" w:rsidRPr="000F1BDC">
        <w:rPr>
          <w:rFonts w:cstheme="minorHAnsi"/>
          <w:sz w:val="24"/>
          <w:szCs w:val="24"/>
        </w:rPr>
        <w:t xml:space="preserve"> March 2020</w:t>
      </w:r>
    </w:p>
    <w:p w14:paraId="609E6C09" w14:textId="6F58FD05" w:rsidR="00861EB4" w:rsidRPr="000F1BDC" w:rsidRDefault="009414CB">
      <w:pPr>
        <w:rPr>
          <w:rFonts w:cstheme="minorHAnsi"/>
          <w:color w:val="000000"/>
          <w:sz w:val="24"/>
          <w:szCs w:val="24"/>
        </w:rPr>
      </w:pPr>
      <w:r w:rsidRPr="000F1BDC">
        <w:rPr>
          <w:rFonts w:cstheme="minorHAnsi"/>
          <w:color w:val="000000"/>
          <w:sz w:val="24"/>
          <w:szCs w:val="24"/>
        </w:rPr>
        <w:t>General References:</w:t>
      </w:r>
    </w:p>
    <w:p w14:paraId="307294D3" w14:textId="29002B70" w:rsidR="001359F2" w:rsidRPr="007F4D12" w:rsidRDefault="007F4D12" w:rsidP="001359F2">
      <w:pPr>
        <w:pStyle w:val="Heading1"/>
        <w:rPr>
          <w:b w:val="0"/>
          <w:bCs w:val="0"/>
          <w:sz w:val="24"/>
          <w:szCs w:val="24"/>
        </w:rPr>
      </w:pPr>
      <w:r w:rsidRPr="000F1BDC">
        <w:rPr>
          <w:rStyle w:val="a-size-large"/>
          <w:rFonts w:asciiTheme="minorHAnsi" w:hAnsiTheme="minorHAnsi" w:cstheme="minorHAnsi"/>
          <w:b w:val="0"/>
          <w:bCs w:val="0"/>
          <w:sz w:val="24"/>
          <w:szCs w:val="24"/>
        </w:rPr>
        <w:t>P. Diakos, ‘</w:t>
      </w:r>
      <w:r w:rsidR="001359F2" w:rsidRPr="000F1BDC">
        <w:rPr>
          <w:rStyle w:val="a-size-large"/>
          <w:rFonts w:asciiTheme="minorHAnsi" w:hAnsiTheme="minorHAnsi" w:cstheme="minorHAnsi"/>
          <w:b w:val="0"/>
          <w:bCs w:val="0"/>
          <w:sz w:val="24"/>
          <w:szCs w:val="24"/>
        </w:rPr>
        <w:t>The Stone age and the Early Bronze age in</w:t>
      </w:r>
      <w:r w:rsidR="001359F2" w:rsidRPr="007F4D12">
        <w:rPr>
          <w:rStyle w:val="a-size-large"/>
          <w:b w:val="0"/>
          <w:bCs w:val="0"/>
          <w:sz w:val="24"/>
          <w:szCs w:val="24"/>
        </w:rPr>
        <w:t xml:space="preserve"> Cyprus, (Svenska Cypernexpeditionen, 1927-1931)</w:t>
      </w:r>
      <w:r w:rsidRPr="007F4D12">
        <w:rPr>
          <w:rStyle w:val="a-size-large"/>
          <w:b w:val="0"/>
          <w:bCs w:val="0"/>
          <w:sz w:val="24"/>
          <w:szCs w:val="24"/>
        </w:rPr>
        <w:t>’</w:t>
      </w:r>
      <w:r w:rsidR="001359F2" w:rsidRPr="007F4D12">
        <w:rPr>
          <w:rStyle w:val="a-size-large"/>
          <w:b w:val="0"/>
          <w:bCs w:val="0"/>
          <w:sz w:val="24"/>
          <w:szCs w:val="24"/>
        </w:rPr>
        <w:t xml:space="preserve"> </w:t>
      </w:r>
      <w:r w:rsidRPr="007F4D12">
        <w:rPr>
          <w:rStyle w:val="a-size-large"/>
          <w:b w:val="0"/>
          <w:bCs w:val="0"/>
          <w:sz w:val="24"/>
          <w:szCs w:val="24"/>
        </w:rPr>
        <w:t xml:space="preserve">(1962) </w:t>
      </w:r>
      <w:r w:rsidR="001359F2" w:rsidRPr="007F4D12">
        <w:rPr>
          <w:rStyle w:val="a-size-large"/>
          <w:b w:val="0"/>
          <w:bCs w:val="0"/>
          <w:sz w:val="24"/>
          <w:szCs w:val="24"/>
        </w:rPr>
        <w:t>Published by: The Swedish Cyprus expedition</w:t>
      </w:r>
      <w:r w:rsidRPr="007F4D12">
        <w:rPr>
          <w:rStyle w:val="a-size-large"/>
          <w:b w:val="0"/>
          <w:bCs w:val="0"/>
          <w:sz w:val="24"/>
          <w:szCs w:val="24"/>
        </w:rPr>
        <w:t xml:space="preserve"> pp. 22</w:t>
      </w:r>
    </w:p>
    <w:p w14:paraId="07278FF8" w14:textId="18669179" w:rsidR="006E17FB" w:rsidRDefault="006E17FB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H. Catling ‘Cyprus in the </w:t>
      </w:r>
      <w:r w:rsidR="0025070F">
        <w:rPr>
          <w:rFonts w:ascii="Times New Roman" w:hAnsi="Times New Roman" w:cs="Times New Roman"/>
          <w:color w:val="000000"/>
          <w:sz w:val="24"/>
          <w:szCs w:val="24"/>
        </w:rPr>
        <w:t>Neolithic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and Early Bronze Age Period’ (1966)</w:t>
      </w:r>
      <w:r w:rsidR="0025070F">
        <w:rPr>
          <w:rFonts w:ascii="Times New Roman" w:hAnsi="Times New Roman" w:cs="Times New Roman"/>
          <w:color w:val="000000"/>
          <w:sz w:val="24"/>
          <w:szCs w:val="24"/>
        </w:rPr>
        <w:t xml:space="preserve"> Cambridge University Press pp. 25</w:t>
      </w:r>
    </w:p>
    <w:p w14:paraId="732F7F04" w14:textId="1BFFFB4D" w:rsidR="00EF5A23" w:rsidRPr="00361DF9" w:rsidRDefault="00EF5A23" w:rsidP="00EF5A23">
      <w:pPr>
        <w:pStyle w:val="Heading1"/>
        <w:rPr>
          <w:b w:val="0"/>
          <w:bCs w:val="0"/>
          <w:sz w:val="24"/>
          <w:szCs w:val="24"/>
        </w:rPr>
      </w:pPr>
      <w:r w:rsidRPr="00361DF9">
        <w:rPr>
          <w:b w:val="0"/>
          <w:bCs w:val="0"/>
          <w:color w:val="000000"/>
          <w:sz w:val="24"/>
          <w:szCs w:val="24"/>
        </w:rPr>
        <w:t>H. Bulcholz , V.</w:t>
      </w:r>
      <w:r w:rsidR="00361DF9">
        <w:rPr>
          <w:b w:val="0"/>
          <w:bCs w:val="0"/>
          <w:color w:val="000000"/>
          <w:sz w:val="24"/>
          <w:szCs w:val="24"/>
        </w:rPr>
        <w:t xml:space="preserve"> </w:t>
      </w:r>
      <w:r w:rsidR="00361DF9" w:rsidRPr="00361DF9">
        <w:rPr>
          <w:rStyle w:val="fontstyle01"/>
          <w:b w:val="0"/>
          <w:bCs w:val="0"/>
        </w:rPr>
        <w:t>Karageorghis</w:t>
      </w:r>
      <w:r w:rsidR="00361DF9">
        <w:rPr>
          <w:rStyle w:val="fontstyle01"/>
          <w:b w:val="0"/>
          <w:bCs w:val="0"/>
        </w:rPr>
        <w:t xml:space="preserve">, </w:t>
      </w:r>
      <w:r>
        <w:rPr>
          <w:color w:val="000000"/>
          <w:sz w:val="24"/>
          <w:szCs w:val="24"/>
        </w:rPr>
        <w:t>‘</w:t>
      </w:r>
      <w:r w:rsidRPr="00EF5A23">
        <w:rPr>
          <w:rStyle w:val="a-size-large"/>
          <w:b w:val="0"/>
          <w:bCs w:val="0"/>
          <w:sz w:val="24"/>
          <w:szCs w:val="24"/>
        </w:rPr>
        <w:t>Prehistoric Greece And Cyprus An Archaeological Handbook</w:t>
      </w:r>
      <w:r>
        <w:rPr>
          <w:rStyle w:val="a-size-large"/>
          <w:b w:val="0"/>
          <w:bCs w:val="0"/>
          <w:sz w:val="24"/>
          <w:szCs w:val="24"/>
        </w:rPr>
        <w:t>’</w:t>
      </w:r>
      <w:r w:rsidR="005C6B05" w:rsidRPr="00361DF9">
        <w:rPr>
          <w:b w:val="0"/>
          <w:bCs w:val="0"/>
          <w:sz w:val="24"/>
          <w:szCs w:val="24"/>
        </w:rPr>
        <w:t>(1975) Phaidon Press pp.73</w:t>
      </w:r>
    </w:p>
    <w:p w14:paraId="31E793F8" w14:textId="0028B5C4" w:rsidR="00EF5A23" w:rsidRPr="007F4D12" w:rsidRDefault="00EF5A23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EF5A23" w:rsidRPr="007F4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FD491E" w14:textId="77777777" w:rsidR="00B84B62" w:rsidRDefault="00B84B62" w:rsidP="00282E3F">
      <w:pPr>
        <w:spacing w:after="0" w:line="240" w:lineRule="auto"/>
      </w:pPr>
      <w:r>
        <w:separator/>
      </w:r>
    </w:p>
  </w:endnote>
  <w:endnote w:type="continuationSeparator" w:id="0">
    <w:p w14:paraId="69E47AD6" w14:textId="77777777" w:rsidR="00B84B62" w:rsidRDefault="00B84B62" w:rsidP="00282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AE97E" w14:textId="77777777" w:rsidR="00B84B62" w:rsidRDefault="00B84B62" w:rsidP="00282E3F">
      <w:pPr>
        <w:spacing w:after="0" w:line="240" w:lineRule="auto"/>
      </w:pPr>
      <w:r>
        <w:separator/>
      </w:r>
    </w:p>
  </w:footnote>
  <w:footnote w:type="continuationSeparator" w:id="0">
    <w:p w14:paraId="4FF8CCF0" w14:textId="77777777" w:rsidR="00B84B62" w:rsidRDefault="00B84B62" w:rsidP="00282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E6C30"/>
    <w:multiLevelType w:val="hybridMultilevel"/>
    <w:tmpl w:val="76A40C9E"/>
    <w:lvl w:ilvl="0" w:tplc="080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5C"/>
    <w:rsid w:val="00031771"/>
    <w:rsid w:val="000317EC"/>
    <w:rsid w:val="00033E36"/>
    <w:rsid w:val="00034A1F"/>
    <w:rsid w:val="00043F5D"/>
    <w:rsid w:val="00057623"/>
    <w:rsid w:val="000615DB"/>
    <w:rsid w:val="00080D72"/>
    <w:rsid w:val="00087A77"/>
    <w:rsid w:val="00092B1E"/>
    <w:rsid w:val="00092BC6"/>
    <w:rsid w:val="00094EFD"/>
    <w:rsid w:val="000950B7"/>
    <w:rsid w:val="000960DF"/>
    <w:rsid w:val="00096162"/>
    <w:rsid w:val="0009697A"/>
    <w:rsid w:val="0009757B"/>
    <w:rsid w:val="000A0577"/>
    <w:rsid w:val="000A413F"/>
    <w:rsid w:val="000A5F82"/>
    <w:rsid w:val="000B049D"/>
    <w:rsid w:val="000B60E7"/>
    <w:rsid w:val="000C03DB"/>
    <w:rsid w:val="000C4D1A"/>
    <w:rsid w:val="000C7D1E"/>
    <w:rsid w:val="000D0C0E"/>
    <w:rsid w:val="000D2176"/>
    <w:rsid w:val="000D64B9"/>
    <w:rsid w:val="000D6B89"/>
    <w:rsid w:val="000D7CBE"/>
    <w:rsid w:val="000E0A86"/>
    <w:rsid w:val="000F1BDC"/>
    <w:rsid w:val="00100151"/>
    <w:rsid w:val="00100DF3"/>
    <w:rsid w:val="001052AE"/>
    <w:rsid w:val="00106131"/>
    <w:rsid w:val="00110343"/>
    <w:rsid w:val="0011090F"/>
    <w:rsid w:val="00117E74"/>
    <w:rsid w:val="00123A49"/>
    <w:rsid w:val="00124409"/>
    <w:rsid w:val="0012701B"/>
    <w:rsid w:val="00132076"/>
    <w:rsid w:val="00133D18"/>
    <w:rsid w:val="001359F2"/>
    <w:rsid w:val="001376EB"/>
    <w:rsid w:val="00141DA3"/>
    <w:rsid w:val="00142DC6"/>
    <w:rsid w:val="00144140"/>
    <w:rsid w:val="0015316E"/>
    <w:rsid w:val="00154B66"/>
    <w:rsid w:val="0015598C"/>
    <w:rsid w:val="00156D3B"/>
    <w:rsid w:val="00170410"/>
    <w:rsid w:val="001736D9"/>
    <w:rsid w:val="0017484A"/>
    <w:rsid w:val="00176F20"/>
    <w:rsid w:val="00177425"/>
    <w:rsid w:val="00184BCF"/>
    <w:rsid w:val="00185EAB"/>
    <w:rsid w:val="0019426B"/>
    <w:rsid w:val="00197E52"/>
    <w:rsid w:val="001A4321"/>
    <w:rsid w:val="001A6DA5"/>
    <w:rsid w:val="001A758F"/>
    <w:rsid w:val="001B6CD0"/>
    <w:rsid w:val="001B7BDC"/>
    <w:rsid w:val="001C5418"/>
    <w:rsid w:val="001C655F"/>
    <w:rsid w:val="001D103A"/>
    <w:rsid w:val="001D112E"/>
    <w:rsid w:val="001D1B77"/>
    <w:rsid w:val="001D26B5"/>
    <w:rsid w:val="001E2C3C"/>
    <w:rsid w:val="001F7158"/>
    <w:rsid w:val="00201A95"/>
    <w:rsid w:val="00202F65"/>
    <w:rsid w:val="00204881"/>
    <w:rsid w:val="00204929"/>
    <w:rsid w:val="0020599C"/>
    <w:rsid w:val="00205D0D"/>
    <w:rsid w:val="00212273"/>
    <w:rsid w:val="00221481"/>
    <w:rsid w:val="00222EED"/>
    <w:rsid w:val="00226013"/>
    <w:rsid w:val="00232082"/>
    <w:rsid w:val="00232BFB"/>
    <w:rsid w:val="00235968"/>
    <w:rsid w:val="00241ADA"/>
    <w:rsid w:val="00245AD1"/>
    <w:rsid w:val="00247114"/>
    <w:rsid w:val="00247430"/>
    <w:rsid w:val="0025070F"/>
    <w:rsid w:val="0025266C"/>
    <w:rsid w:val="00257C35"/>
    <w:rsid w:val="00261ED3"/>
    <w:rsid w:val="00262F3C"/>
    <w:rsid w:val="00263BCD"/>
    <w:rsid w:val="00271357"/>
    <w:rsid w:val="0027401F"/>
    <w:rsid w:val="00276CF5"/>
    <w:rsid w:val="00282E3F"/>
    <w:rsid w:val="00283D44"/>
    <w:rsid w:val="00285E26"/>
    <w:rsid w:val="0028781F"/>
    <w:rsid w:val="00291E6D"/>
    <w:rsid w:val="00294933"/>
    <w:rsid w:val="00294CFA"/>
    <w:rsid w:val="00296411"/>
    <w:rsid w:val="002B08EF"/>
    <w:rsid w:val="002B652E"/>
    <w:rsid w:val="002B6574"/>
    <w:rsid w:val="002C065B"/>
    <w:rsid w:val="002C1CBA"/>
    <w:rsid w:val="002D180F"/>
    <w:rsid w:val="002E515A"/>
    <w:rsid w:val="002E5259"/>
    <w:rsid w:val="002E57E2"/>
    <w:rsid w:val="002E6822"/>
    <w:rsid w:val="003016A9"/>
    <w:rsid w:val="00311E15"/>
    <w:rsid w:val="003151FE"/>
    <w:rsid w:val="00316C6E"/>
    <w:rsid w:val="00326CAF"/>
    <w:rsid w:val="00330669"/>
    <w:rsid w:val="003321E8"/>
    <w:rsid w:val="0034140C"/>
    <w:rsid w:val="00341652"/>
    <w:rsid w:val="00341BE5"/>
    <w:rsid w:val="0034303F"/>
    <w:rsid w:val="00361DF9"/>
    <w:rsid w:val="003850B0"/>
    <w:rsid w:val="0038659D"/>
    <w:rsid w:val="00386C68"/>
    <w:rsid w:val="00396ED8"/>
    <w:rsid w:val="003A2BE3"/>
    <w:rsid w:val="003A751E"/>
    <w:rsid w:val="003B1A97"/>
    <w:rsid w:val="003C2E89"/>
    <w:rsid w:val="003C4F0D"/>
    <w:rsid w:val="003C6186"/>
    <w:rsid w:val="003C705D"/>
    <w:rsid w:val="003D5D01"/>
    <w:rsid w:val="003E00D4"/>
    <w:rsid w:val="003E3C77"/>
    <w:rsid w:val="003E4423"/>
    <w:rsid w:val="003E566F"/>
    <w:rsid w:val="003E7969"/>
    <w:rsid w:val="003F0931"/>
    <w:rsid w:val="003F0EF0"/>
    <w:rsid w:val="003F2BFF"/>
    <w:rsid w:val="003F4B47"/>
    <w:rsid w:val="003F7E3E"/>
    <w:rsid w:val="004002A5"/>
    <w:rsid w:val="00412314"/>
    <w:rsid w:val="0042455A"/>
    <w:rsid w:val="004257E8"/>
    <w:rsid w:val="004369CC"/>
    <w:rsid w:val="004376C8"/>
    <w:rsid w:val="00437F4D"/>
    <w:rsid w:val="0044059C"/>
    <w:rsid w:val="00445B1D"/>
    <w:rsid w:val="00447718"/>
    <w:rsid w:val="00455BB1"/>
    <w:rsid w:val="00457C0F"/>
    <w:rsid w:val="004608BF"/>
    <w:rsid w:val="00461A3D"/>
    <w:rsid w:val="00461BBA"/>
    <w:rsid w:val="00463F7C"/>
    <w:rsid w:val="00464F90"/>
    <w:rsid w:val="004650FB"/>
    <w:rsid w:val="0047128F"/>
    <w:rsid w:val="00472231"/>
    <w:rsid w:val="0047404E"/>
    <w:rsid w:val="004806D1"/>
    <w:rsid w:val="004808DF"/>
    <w:rsid w:val="00480ACB"/>
    <w:rsid w:val="00482293"/>
    <w:rsid w:val="00493B69"/>
    <w:rsid w:val="00494DB4"/>
    <w:rsid w:val="004B6E13"/>
    <w:rsid w:val="004D1796"/>
    <w:rsid w:val="004D410E"/>
    <w:rsid w:val="004D7F1D"/>
    <w:rsid w:val="004E161F"/>
    <w:rsid w:val="004E7EA7"/>
    <w:rsid w:val="004F1261"/>
    <w:rsid w:val="004F3B93"/>
    <w:rsid w:val="005016E3"/>
    <w:rsid w:val="005119DC"/>
    <w:rsid w:val="00511DE0"/>
    <w:rsid w:val="00517525"/>
    <w:rsid w:val="00526C14"/>
    <w:rsid w:val="00531088"/>
    <w:rsid w:val="005354CD"/>
    <w:rsid w:val="00536408"/>
    <w:rsid w:val="00544AE8"/>
    <w:rsid w:val="00555AF0"/>
    <w:rsid w:val="00561A22"/>
    <w:rsid w:val="005621FF"/>
    <w:rsid w:val="005663FF"/>
    <w:rsid w:val="005812E1"/>
    <w:rsid w:val="0058413A"/>
    <w:rsid w:val="00585FBA"/>
    <w:rsid w:val="00591535"/>
    <w:rsid w:val="0059286B"/>
    <w:rsid w:val="00594619"/>
    <w:rsid w:val="005A1D83"/>
    <w:rsid w:val="005C085F"/>
    <w:rsid w:val="005C4711"/>
    <w:rsid w:val="005C6B05"/>
    <w:rsid w:val="005D1DD8"/>
    <w:rsid w:val="005D3AA3"/>
    <w:rsid w:val="005E0F5C"/>
    <w:rsid w:val="005E2DB2"/>
    <w:rsid w:val="005E5309"/>
    <w:rsid w:val="005F163E"/>
    <w:rsid w:val="005F411C"/>
    <w:rsid w:val="005F77C9"/>
    <w:rsid w:val="00601094"/>
    <w:rsid w:val="00602B81"/>
    <w:rsid w:val="0060367C"/>
    <w:rsid w:val="00606BAC"/>
    <w:rsid w:val="00611253"/>
    <w:rsid w:val="006112F1"/>
    <w:rsid w:val="006115AC"/>
    <w:rsid w:val="00623497"/>
    <w:rsid w:val="006236D3"/>
    <w:rsid w:val="00626059"/>
    <w:rsid w:val="00631B76"/>
    <w:rsid w:val="00642959"/>
    <w:rsid w:val="0064309D"/>
    <w:rsid w:val="00654E8E"/>
    <w:rsid w:val="006652A4"/>
    <w:rsid w:val="0066550C"/>
    <w:rsid w:val="00670F0A"/>
    <w:rsid w:val="00672A0B"/>
    <w:rsid w:val="00675B66"/>
    <w:rsid w:val="0068166B"/>
    <w:rsid w:val="00690EC0"/>
    <w:rsid w:val="006A5081"/>
    <w:rsid w:val="006A7CB5"/>
    <w:rsid w:val="006B0D89"/>
    <w:rsid w:val="006B0EF0"/>
    <w:rsid w:val="006C2273"/>
    <w:rsid w:val="006C51E9"/>
    <w:rsid w:val="006C5A28"/>
    <w:rsid w:val="006C5FA3"/>
    <w:rsid w:val="006D0FB7"/>
    <w:rsid w:val="006D796E"/>
    <w:rsid w:val="006E17FB"/>
    <w:rsid w:val="006E4232"/>
    <w:rsid w:val="006F4346"/>
    <w:rsid w:val="006F46AB"/>
    <w:rsid w:val="006F4CA7"/>
    <w:rsid w:val="00701042"/>
    <w:rsid w:val="007037EC"/>
    <w:rsid w:val="00710559"/>
    <w:rsid w:val="00711C79"/>
    <w:rsid w:val="00721F9B"/>
    <w:rsid w:val="00725130"/>
    <w:rsid w:val="007333ED"/>
    <w:rsid w:val="0073575B"/>
    <w:rsid w:val="00754493"/>
    <w:rsid w:val="00756AE4"/>
    <w:rsid w:val="00756FE9"/>
    <w:rsid w:val="0076035F"/>
    <w:rsid w:val="00761674"/>
    <w:rsid w:val="007679E0"/>
    <w:rsid w:val="007702C3"/>
    <w:rsid w:val="00771713"/>
    <w:rsid w:val="0077619D"/>
    <w:rsid w:val="0077715B"/>
    <w:rsid w:val="00780F66"/>
    <w:rsid w:val="007854C1"/>
    <w:rsid w:val="00786CF4"/>
    <w:rsid w:val="007929E7"/>
    <w:rsid w:val="007A1959"/>
    <w:rsid w:val="007A29FF"/>
    <w:rsid w:val="007A3F54"/>
    <w:rsid w:val="007A69CE"/>
    <w:rsid w:val="007B5D2C"/>
    <w:rsid w:val="007B6A3A"/>
    <w:rsid w:val="007B6AA8"/>
    <w:rsid w:val="007C1755"/>
    <w:rsid w:val="007D2C2D"/>
    <w:rsid w:val="007D728A"/>
    <w:rsid w:val="007E1733"/>
    <w:rsid w:val="007E608B"/>
    <w:rsid w:val="007E68C1"/>
    <w:rsid w:val="007E7C9A"/>
    <w:rsid w:val="007F4D12"/>
    <w:rsid w:val="008010D6"/>
    <w:rsid w:val="00804404"/>
    <w:rsid w:val="008057BB"/>
    <w:rsid w:val="00811262"/>
    <w:rsid w:val="00813EB1"/>
    <w:rsid w:val="00816617"/>
    <w:rsid w:val="00817147"/>
    <w:rsid w:val="00817E11"/>
    <w:rsid w:val="0082342D"/>
    <w:rsid w:val="00827458"/>
    <w:rsid w:val="008312D5"/>
    <w:rsid w:val="00834F7C"/>
    <w:rsid w:val="00841EA7"/>
    <w:rsid w:val="0084245A"/>
    <w:rsid w:val="00844470"/>
    <w:rsid w:val="008461CF"/>
    <w:rsid w:val="008544A8"/>
    <w:rsid w:val="0085466C"/>
    <w:rsid w:val="00855747"/>
    <w:rsid w:val="008607A9"/>
    <w:rsid w:val="00861EB4"/>
    <w:rsid w:val="00862D5C"/>
    <w:rsid w:val="00864359"/>
    <w:rsid w:val="00865B49"/>
    <w:rsid w:val="00866E5B"/>
    <w:rsid w:val="00873641"/>
    <w:rsid w:val="00873A8F"/>
    <w:rsid w:val="008861D2"/>
    <w:rsid w:val="00886A1C"/>
    <w:rsid w:val="00890AB4"/>
    <w:rsid w:val="008946DD"/>
    <w:rsid w:val="00897EDD"/>
    <w:rsid w:val="008A0CB7"/>
    <w:rsid w:val="008A15E2"/>
    <w:rsid w:val="008A26A9"/>
    <w:rsid w:val="008A537D"/>
    <w:rsid w:val="008B0697"/>
    <w:rsid w:val="008B1B97"/>
    <w:rsid w:val="008B30BC"/>
    <w:rsid w:val="008C08D1"/>
    <w:rsid w:val="008D7811"/>
    <w:rsid w:val="008E5030"/>
    <w:rsid w:val="008E5F7B"/>
    <w:rsid w:val="008E7BB4"/>
    <w:rsid w:val="008F10B4"/>
    <w:rsid w:val="008F2658"/>
    <w:rsid w:val="008F52C1"/>
    <w:rsid w:val="008F552C"/>
    <w:rsid w:val="008F667C"/>
    <w:rsid w:val="008F701C"/>
    <w:rsid w:val="00900893"/>
    <w:rsid w:val="00900B55"/>
    <w:rsid w:val="00900EB2"/>
    <w:rsid w:val="009040BE"/>
    <w:rsid w:val="0091724A"/>
    <w:rsid w:val="00920B5F"/>
    <w:rsid w:val="00921BE9"/>
    <w:rsid w:val="0092382D"/>
    <w:rsid w:val="0092536F"/>
    <w:rsid w:val="009270EB"/>
    <w:rsid w:val="009332C9"/>
    <w:rsid w:val="00934EAE"/>
    <w:rsid w:val="009414CB"/>
    <w:rsid w:val="00943262"/>
    <w:rsid w:val="009463DF"/>
    <w:rsid w:val="00954513"/>
    <w:rsid w:val="0095762F"/>
    <w:rsid w:val="009634CA"/>
    <w:rsid w:val="00964A66"/>
    <w:rsid w:val="00966017"/>
    <w:rsid w:val="009738FF"/>
    <w:rsid w:val="0097517C"/>
    <w:rsid w:val="0097612B"/>
    <w:rsid w:val="009812B8"/>
    <w:rsid w:val="009818FE"/>
    <w:rsid w:val="009833B8"/>
    <w:rsid w:val="00984B67"/>
    <w:rsid w:val="00984D7E"/>
    <w:rsid w:val="009860FE"/>
    <w:rsid w:val="009863FB"/>
    <w:rsid w:val="00991385"/>
    <w:rsid w:val="00993806"/>
    <w:rsid w:val="00993FE5"/>
    <w:rsid w:val="00994D8C"/>
    <w:rsid w:val="009A48E4"/>
    <w:rsid w:val="009A7E26"/>
    <w:rsid w:val="009B0904"/>
    <w:rsid w:val="009B1DE1"/>
    <w:rsid w:val="009B5A56"/>
    <w:rsid w:val="009B691A"/>
    <w:rsid w:val="009B7870"/>
    <w:rsid w:val="009C1CBF"/>
    <w:rsid w:val="009D1AE2"/>
    <w:rsid w:val="009E2271"/>
    <w:rsid w:val="009F122C"/>
    <w:rsid w:val="009F248F"/>
    <w:rsid w:val="009F37C5"/>
    <w:rsid w:val="009F3A95"/>
    <w:rsid w:val="009F4524"/>
    <w:rsid w:val="009F4F9F"/>
    <w:rsid w:val="009F5305"/>
    <w:rsid w:val="009F5603"/>
    <w:rsid w:val="00A01073"/>
    <w:rsid w:val="00A01B79"/>
    <w:rsid w:val="00A02AD2"/>
    <w:rsid w:val="00A03510"/>
    <w:rsid w:val="00A06501"/>
    <w:rsid w:val="00A1606E"/>
    <w:rsid w:val="00A17695"/>
    <w:rsid w:val="00A43F3F"/>
    <w:rsid w:val="00A534F0"/>
    <w:rsid w:val="00A53D6C"/>
    <w:rsid w:val="00A55571"/>
    <w:rsid w:val="00A572CE"/>
    <w:rsid w:val="00A612C3"/>
    <w:rsid w:val="00A65A9C"/>
    <w:rsid w:val="00A7197C"/>
    <w:rsid w:val="00A739BD"/>
    <w:rsid w:val="00A747A0"/>
    <w:rsid w:val="00A74DE1"/>
    <w:rsid w:val="00A75229"/>
    <w:rsid w:val="00A777DE"/>
    <w:rsid w:val="00A77CF4"/>
    <w:rsid w:val="00A96243"/>
    <w:rsid w:val="00AA3471"/>
    <w:rsid w:val="00AB23F1"/>
    <w:rsid w:val="00AB3C36"/>
    <w:rsid w:val="00AB5792"/>
    <w:rsid w:val="00AC2C67"/>
    <w:rsid w:val="00AD4D9B"/>
    <w:rsid w:val="00AE008E"/>
    <w:rsid w:val="00AE3C1D"/>
    <w:rsid w:val="00AF3F91"/>
    <w:rsid w:val="00AF7C91"/>
    <w:rsid w:val="00B011A4"/>
    <w:rsid w:val="00B0203A"/>
    <w:rsid w:val="00B022FA"/>
    <w:rsid w:val="00B03766"/>
    <w:rsid w:val="00B07D4E"/>
    <w:rsid w:val="00B15CCB"/>
    <w:rsid w:val="00B21148"/>
    <w:rsid w:val="00B22437"/>
    <w:rsid w:val="00B24FA9"/>
    <w:rsid w:val="00B40141"/>
    <w:rsid w:val="00B4245C"/>
    <w:rsid w:val="00B424C0"/>
    <w:rsid w:val="00B57CBB"/>
    <w:rsid w:val="00B60BEC"/>
    <w:rsid w:val="00B6582C"/>
    <w:rsid w:val="00B65B39"/>
    <w:rsid w:val="00B66C26"/>
    <w:rsid w:val="00B72DCB"/>
    <w:rsid w:val="00B84734"/>
    <w:rsid w:val="00B84B62"/>
    <w:rsid w:val="00B95AEB"/>
    <w:rsid w:val="00BA6AD0"/>
    <w:rsid w:val="00BB12C3"/>
    <w:rsid w:val="00BB18DE"/>
    <w:rsid w:val="00BB41A9"/>
    <w:rsid w:val="00BB7213"/>
    <w:rsid w:val="00BC05F6"/>
    <w:rsid w:val="00BC1DE2"/>
    <w:rsid w:val="00BC4375"/>
    <w:rsid w:val="00BC52D4"/>
    <w:rsid w:val="00BD4DCE"/>
    <w:rsid w:val="00BD674A"/>
    <w:rsid w:val="00BD6F8E"/>
    <w:rsid w:val="00BE58A7"/>
    <w:rsid w:val="00BF40A7"/>
    <w:rsid w:val="00BF5B86"/>
    <w:rsid w:val="00C01E73"/>
    <w:rsid w:val="00C04E41"/>
    <w:rsid w:val="00C12C62"/>
    <w:rsid w:val="00C14673"/>
    <w:rsid w:val="00C155DE"/>
    <w:rsid w:val="00C1591B"/>
    <w:rsid w:val="00C20325"/>
    <w:rsid w:val="00C222A5"/>
    <w:rsid w:val="00C336BC"/>
    <w:rsid w:val="00C346E6"/>
    <w:rsid w:val="00C35992"/>
    <w:rsid w:val="00C373B6"/>
    <w:rsid w:val="00C409F7"/>
    <w:rsid w:val="00C417C9"/>
    <w:rsid w:val="00C47904"/>
    <w:rsid w:val="00C533A8"/>
    <w:rsid w:val="00C53583"/>
    <w:rsid w:val="00C54447"/>
    <w:rsid w:val="00C6455E"/>
    <w:rsid w:val="00C72FC6"/>
    <w:rsid w:val="00C735CF"/>
    <w:rsid w:val="00C75EF5"/>
    <w:rsid w:val="00C770BD"/>
    <w:rsid w:val="00C8384F"/>
    <w:rsid w:val="00C83C45"/>
    <w:rsid w:val="00C841CB"/>
    <w:rsid w:val="00C96C85"/>
    <w:rsid w:val="00CA0904"/>
    <w:rsid w:val="00CA387E"/>
    <w:rsid w:val="00CA4CA9"/>
    <w:rsid w:val="00CB1A96"/>
    <w:rsid w:val="00CB4174"/>
    <w:rsid w:val="00CB7C89"/>
    <w:rsid w:val="00CC2CE3"/>
    <w:rsid w:val="00CC571D"/>
    <w:rsid w:val="00CD0B53"/>
    <w:rsid w:val="00CD0DC0"/>
    <w:rsid w:val="00CD48DA"/>
    <w:rsid w:val="00CD4E1E"/>
    <w:rsid w:val="00CE13BD"/>
    <w:rsid w:val="00CE3605"/>
    <w:rsid w:val="00CE4A35"/>
    <w:rsid w:val="00CF09FD"/>
    <w:rsid w:val="00CF5B5F"/>
    <w:rsid w:val="00D063E5"/>
    <w:rsid w:val="00D104F1"/>
    <w:rsid w:val="00D11700"/>
    <w:rsid w:val="00D139AF"/>
    <w:rsid w:val="00D13E1D"/>
    <w:rsid w:val="00D17084"/>
    <w:rsid w:val="00D22E44"/>
    <w:rsid w:val="00D32BF3"/>
    <w:rsid w:val="00D35C23"/>
    <w:rsid w:val="00D43531"/>
    <w:rsid w:val="00D46806"/>
    <w:rsid w:val="00D54D93"/>
    <w:rsid w:val="00D60BF8"/>
    <w:rsid w:val="00D632D0"/>
    <w:rsid w:val="00D636A7"/>
    <w:rsid w:val="00D66FE4"/>
    <w:rsid w:val="00D71F1F"/>
    <w:rsid w:val="00D76C8E"/>
    <w:rsid w:val="00D803D5"/>
    <w:rsid w:val="00D80D5E"/>
    <w:rsid w:val="00D81F47"/>
    <w:rsid w:val="00D85366"/>
    <w:rsid w:val="00D85BDC"/>
    <w:rsid w:val="00D8709C"/>
    <w:rsid w:val="00D910DC"/>
    <w:rsid w:val="00D94D6F"/>
    <w:rsid w:val="00DA05E0"/>
    <w:rsid w:val="00DA1264"/>
    <w:rsid w:val="00DA519C"/>
    <w:rsid w:val="00DA54BE"/>
    <w:rsid w:val="00DB0AF0"/>
    <w:rsid w:val="00DB28CB"/>
    <w:rsid w:val="00DB2B40"/>
    <w:rsid w:val="00DB32E0"/>
    <w:rsid w:val="00DC00C7"/>
    <w:rsid w:val="00DC01BE"/>
    <w:rsid w:val="00DC772A"/>
    <w:rsid w:val="00DC7B2A"/>
    <w:rsid w:val="00DD1075"/>
    <w:rsid w:val="00DD26F5"/>
    <w:rsid w:val="00DD3736"/>
    <w:rsid w:val="00DE71B3"/>
    <w:rsid w:val="00DF1135"/>
    <w:rsid w:val="00DF2B11"/>
    <w:rsid w:val="00DF635F"/>
    <w:rsid w:val="00DF65B3"/>
    <w:rsid w:val="00E01F65"/>
    <w:rsid w:val="00E028F2"/>
    <w:rsid w:val="00E1113D"/>
    <w:rsid w:val="00E1174D"/>
    <w:rsid w:val="00E20079"/>
    <w:rsid w:val="00E2690F"/>
    <w:rsid w:val="00E35136"/>
    <w:rsid w:val="00E3668E"/>
    <w:rsid w:val="00E37EAD"/>
    <w:rsid w:val="00E41E12"/>
    <w:rsid w:val="00E459EF"/>
    <w:rsid w:val="00E515A2"/>
    <w:rsid w:val="00E52005"/>
    <w:rsid w:val="00E623E3"/>
    <w:rsid w:val="00E64D59"/>
    <w:rsid w:val="00E73BD7"/>
    <w:rsid w:val="00E84416"/>
    <w:rsid w:val="00E90FF0"/>
    <w:rsid w:val="00E916AB"/>
    <w:rsid w:val="00E91B96"/>
    <w:rsid w:val="00EA08EE"/>
    <w:rsid w:val="00EA1F8E"/>
    <w:rsid w:val="00EA3373"/>
    <w:rsid w:val="00EA39FA"/>
    <w:rsid w:val="00EA5FAE"/>
    <w:rsid w:val="00EA7F9E"/>
    <w:rsid w:val="00EB4111"/>
    <w:rsid w:val="00EB4130"/>
    <w:rsid w:val="00EC02F5"/>
    <w:rsid w:val="00EC04C1"/>
    <w:rsid w:val="00ED1654"/>
    <w:rsid w:val="00ED45A2"/>
    <w:rsid w:val="00ED66BB"/>
    <w:rsid w:val="00EE20AF"/>
    <w:rsid w:val="00EE2BA9"/>
    <w:rsid w:val="00EE37F6"/>
    <w:rsid w:val="00EE6D8F"/>
    <w:rsid w:val="00EE71B8"/>
    <w:rsid w:val="00EE7B23"/>
    <w:rsid w:val="00EF5A23"/>
    <w:rsid w:val="00EF6CAB"/>
    <w:rsid w:val="00F000A0"/>
    <w:rsid w:val="00F033F4"/>
    <w:rsid w:val="00F16841"/>
    <w:rsid w:val="00F234D6"/>
    <w:rsid w:val="00F25B3C"/>
    <w:rsid w:val="00F30FD1"/>
    <w:rsid w:val="00F33117"/>
    <w:rsid w:val="00F338E2"/>
    <w:rsid w:val="00F345C3"/>
    <w:rsid w:val="00F40560"/>
    <w:rsid w:val="00F41344"/>
    <w:rsid w:val="00F46395"/>
    <w:rsid w:val="00F47B8F"/>
    <w:rsid w:val="00F52539"/>
    <w:rsid w:val="00F55C0F"/>
    <w:rsid w:val="00F56DA3"/>
    <w:rsid w:val="00F60498"/>
    <w:rsid w:val="00F61DD1"/>
    <w:rsid w:val="00F6367B"/>
    <w:rsid w:val="00F67FCF"/>
    <w:rsid w:val="00F8383C"/>
    <w:rsid w:val="00F85279"/>
    <w:rsid w:val="00F861B6"/>
    <w:rsid w:val="00F907F6"/>
    <w:rsid w:val="00F95B57"/>
    <w:rsid w:val="00F9696B"/>
    <w:rsid w:val="00FA5636"/>
    <w:rsid w:val="00FA76A3"/>
    <w:rsid w:val="00FB3BC8"/>
    <w:rsid w:val="00FB57CA"/>
    <w:rsid w:val="00FC33C5"/>
    <w:rsid w:val="00FC7F83"/>
    <w:rsid w:val="00FD0088"/>
    <w:rsid w:val="00FD1FEA"/>
    <w:rsid w:val="00FE4060"/>
    <w:rsid w:val="00FE4DC3"/>
    <w:rsid w:val="00FF3D57"/>
    <w:rsid w:val="00FF5632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2EFFA"/>
  <w15:chartTrackingRefBased/>
  <w15:docId w15:val="{D16E6FFA-BFA5-4150-855A-59DCA277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2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7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D6B8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dttext">
    <w:name w:val="dttext"/>
    <w:basedOn w:val="DefaultParagraphFont"/>
    <w:rsid w:val="00033E36"/>
  </w:style>
  <w:style w:type="character" w:customStyle="1" w:styleId="Heading1Char">
    <w:name w:val="Heading 1 Char"/>
    <w:basedOn w:val="DefaultParagraphFont"/>
    <w:link w:val="Heading1"/>
    <w:uiPriority w:val="9"/>
    <w:rsid w:val="00232BF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fontstyle21">
    <w:name w:val="fontstyle21"/>
    <w:basedOn w:val="DefaultParagraphFont"/>
    <w:rsid w:val="00F85279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NormalWeb">
    <w:name w:val="Normal (Web)"/>
    <w:basedOn w:val="Normal"/>
    <w:uiPriority w:val="99"/>
    <w:unhideWhenUsed/>
    <w:rsid w:val="00CB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82E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E3F"/>
  </w:style>
  <w:style w:type="paragraph" w:styleId="Footer">
    <w:name w:val="footer"/>
    <w:basedOn w:val="Normal"/>
    <w:link w:val="FooterChar"/>
    <w:uiPriority w:val="99"/>
    <w:unhideWhenUsed/>
    <w:rsid w:val="00282E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E3F"/>
  </w:style>
  <w:style w:type="character" w:styleId="Hyperlink">
    <w:name w:val="Hyperlink"/>
    <w:basedOn w:val="DefaultParagraphFont"/>
    <w:uiPriority w:val="99"/>
    <w:unhideWhenUsed/>
    <w:rsid w:val="00861E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EB4"/>
    <w:rPr>
      <w:color w:val="605E5C"/>
      <w:shd w:val="clear" w:color="auto" w:fill="E1DFDD"/>
    </w:rPr>
  </w:style>
  <w:style w:type="character" w:customStyle="1" w:styleId="a">
    <w:name w:val="a"/>
    <w:basedOn w:val="DefaultParagraphFont"/>
    <w:rsid w:val="008F10B4"/>
  </w:style>
  <w:style w:type="character" w:styleId="HTMLCite">
    <w:name w:val="HTML Cite"/>
    <w:basedOn w:val="DefaultParagraphFont"/>
    <w:uiPriority w:val="99"/>
    <w:semiHidden/>
    <w:unhideWhenUsed/>
    <w:rsid w:val="00626059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C417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-size-large">
    <w:name w:val="a-size-large"/>
    <w:basedOn w:val="DefaultParagraphFont"/>
    <w:rsid w:val="00135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2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ogle.co.uk/search?tbo=p&amp;tbm=bks&amp;q=bibliogroup:%22Studies+in+Mediterranean+archaeology+and+literature:+Pocket-book%22&amp;source=gbs_metadata_r&amp;cad=8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nt.david-johnson.co.uk/comments/" TargetMode="External"/><Relationship Id="rId17" Type="http://schemas.openxmlformats.org/officeDocument/2006/relationships/hyperlink" Target="https://ant.david-johnson.co.uk/comment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erriam-webster.com/dictionary/zoomorphi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nt.david-johnson.co.uk/comment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ant.david-johnson.co.uk/comments/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ogle.co.uk/search?tbo=p&amp;tbm=bks&amp;q=inauthor:%22Studies+in+mediterranean+archaeology+and+literature%22&amp;source=gbs_metadata_r&amp;cad=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4" ma:contentTypeDescription="Create a new document." ma:contentTypeScope="" ma:versionID="1ee81c81f3e51db3147d4d956d1375b5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ec2e9a335e856b49cbd80f0f2695e6b2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9A11A7-0E63-4559-A975-902D62E0E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4975BF-EF06-4EC6-94C5-49381513E2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2FEC8C-3B9D-4438-BF33-30101635AD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6290</TotalTime>
  <Pages>4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Clarke (1900472)</dc:creator>
  <cp:keywords/>
  <dc:description/>
  <cp:lastModifiedBy>Thomas Clarke (1900472)</cp:lastModifiedBy>
  <cp:revision>613</cp:revision>
  <dcterms:created xsi:type="dcterms:W3CDTF">2020-03-19T12:46:00Z</dcterms:created>
  <dcterms:modified xsi:type="dcterms:W3CDTF">2020-04-01T15:11:00Z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