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32130006"/>
        <w:docPartObj>
          <w:docPartGallery w:val="Cover Pages"/>
          <w:docPartUnique/>
        </w:docPartObj>
      </w:sdtPr>
      <w:sdtEndPr>
        <w:rPr>
          <w:rFonts w:ascii="Arial" w:hAnsi="Arial" w:cs="Arial"/>
          <w:sz w:val="24"/>
          <w:szCs w:val="24"/>
        </w:rPr>
      </w:sdtEndPr>
      <w:sdtContent>
        <w:p w14:paraId="1569C852" w14:textId="0618105E" w:rsidR="00E05E52" w:rsidRDefault="00E05E52">
          <w:r>
            <w:rPr>
              <w:noProof/>
            </w:rPr>
            <mc:AlternateContent>
              <mc:Choice Requires="wpg">
                <w:drawing>
                  <wp:anchor distT="0" distB="0" distL="114300" distR="114300" simplePos="0" relativeHeight="251659264" behindDoc="1" locked="0" layoutInCell="1" allowOverlap="1" wp14:anchorId="1636AF75" wp14:editId="4AF5E1C9">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11973F9" w14:textId="2E1E0CB9" w:rsidR="00E05E52" w:rsidRDefault="00E05E52">
                                      <w:pPr>
                                        <w:pStyle w:val="NoSpacing"/>
                                        <w:spacing w:before="120"/>
                                        <w:jc w:val="center"/>
                                        <w:rPr>
                                          <w:color w:val="FFFFFF" w:themeColor="background1"/>
                                        </w:rPr>
                                      </w:pPr>
                                      <w:r>
                                        <w:rPr>
                                          <w:color w:val="FFFFFF" w:themeColor="background1"/>
                                        </w:rPr>
                                        <w:t>Razia Begum (2217307)</w:t>
                                      </w:r>
                                    </w:p>
                                  </w:sdtContent>
                                </w:sdt>
                                <w:p w14:paraId="4882DAD1" w14:textId="7507F502" w:rsidR="00E05E52" w:rsidRDefault="00E05E52">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9F911D0" w14:textId="6AF9654A" w:rsidR="00E05E52" w:rsidRDefault="0047193B">
                                  <w:pPr>
                                    <w:pStyle w:val="NoSpacing"/>
                                    <w:jc w:val="center"/>
                                    <w:rPr>
                                      <w:rFonts w:asciiTheme="majorHAnsi" w:eastAsiaTheme="majorEastAsia" w:hAnsiTheme="majorHAnsi" w:cstheme="majorBidi"/>
                                      <w:caps/>
                                      <w:color w:val="156082" w:themeColor="accent1"/>
                                      <w:sz w:val="72"/>
                                      <w:szCs w:val="72"/>
                                    </w:rPr>
                                  </w:pPr>
                                  <w:r w:rsidRPr="0047193B">
                                    <w:rPr>
                                      <w:rFonts w:asciiTheme="majorHAnsi" w:eastAsiaTheme="majorEastAsia" w:hAnsiTheme="majorHAnsi" w:cstheme="majorBidi"/>
                                      <w:caps/>
                                      <w:color w:val="156082" w:themeColor="accent1"/>
                                      <w:sz w:val="72"/>
                                      <w:szCs w:val="72"/>
                                    </w:rPr>
                                    <w:t>Analytical Report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636AF75"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11973F9" w14:textId="2E1E0CB9" w:rsidR="00E05E52" w:rsidRDefault="00E05E52">
                                <w:pPr>
                                  <w:pStyle w:val="NoSpacing"/>
                                  <w:spacing w:before="120"/>
                                  <w:jc w:val="center"/>
                                  <w:rPr>
                                    <w:color w:val="FFFFFF" w:themeColor="background1"/>
                                  </w:rPr>
                                </w:pPr>
                                <w:r>
                                  <w:rPr>
                                    <w:color w:val="FFFFFF" w:themeColor="background1"/>
                                  </w:rPr>
                                  <w:t>Razia Begum (2217307)</w:t>
                                </w:r>
                              </w:p>
                            </w:sdtContent>
                          </w:sdt>
                          <w:p w14:paraId="4882DAD1" w14:textId="7507F502" w:rsidR="00E05E52" w:rsidRDefault="00E05E52">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9F911D0" w14:textId="6AF9654A" w:rsidR="00E05E52" w:rsidRDefault="0047193B">
                            <w:pPr>
                              <w:pStyle w:val="NoSpacing"/>
                              <w:jc w:val="center"/>
                              <w:rPr>
                                <w:rFonts w:asciiTheme="majorHAnsi" w:eastAsiaTheme="majorEastAsia" w:hAnsiTheme="majorHAnsi" w:cstheme="majorBidi"/>
                                <w:caps/>
                                <w:color w:val="156082" w:themeColor="accent1"/>
                                <w:sz w:val="72"/>
                                <w:szCs w:val="72"/>
                              </w:rPr>
                            </w:pPr>
                            <w:r w:rsidRPr="0047193B">
                              <w:rPr>
                                <w:rFonts w:asciiTheme="majorHAnsi" w:eastAsiaTheme="majorEastAsia" w:hAnsiTheme="majorHAnsi" w:cstheme="majorBidi"/>
                                <w:caps/>
                                <w:color w:val="156082" w:themeColor="accent1"/>
                                <w:sz w:val="72"/>
                                <w:szCs w:val="72"/>
                              </w:rPr>
                              <w:t>Analytical Report</w:t>
                            </w:r>
                          </w:p>
                        </w:txbxContent>
                      </v:textbox>
                    </v:shape>
                    <w10:wrap anchorx="page" anchory="page"/>
                  </v:group>
                </w:pict>
              </mc:Fallback>
            </mc:AlternateContent>
          </w:r>
        </w:p>
        <w:p w14:paraId="0FC326D9" w14:textId="080B7806" w:rsidR="00E05E52" w:rsidRDefault="00E05E52">
          <w:pPr>
            <w:rPr>
              <w:rFonts w:ascii="Arial" w:hAnsi="Arial" w:cs="Arial"/>
              <w:sz w:val="24"/>
              <w:szCs w:val="24"/>
            </w:rPr>
          </w:pPr>
          <w:r>
            <w:rPr>
              <w:rFonts w:ascii="Arial" w:hAnsi="Arial" w:cs="Arial"/>
              <w:sz w:val="24"/>
              <w:szCs w:val="24"/>
            </w:rPr>
            <w:br w:type="page"/>
          </w:r>
        </w:p>
      </w:sdtContent>
    </w:sdt>
    <w:p w14:paraId="0A873EF6" w14:textId="73188C16" w:rsidR="00404420" w:rsidRDefault="00404420" w:rsidP="00404420">
      <w:pPr>
        <w:spacing w:line="360" w:lineRule="auto"/>
        <w:jc w:val="both"/>
        <w:rPr>
          <w:rFonts w:ascii="Arial" w:hAnsi="Arial" w:cs="Arial"/>
          <w:b/>
          <w:bCs/>
          <w:sz w:val="24"/>
          <w:szCs w:val="24"/>
        </w:rPr>
      </w:pPr>
      <w:r w:rsidRPr="004A0E9C">
        <w:rPr>
          <w:rFonts w:ascii="Arial" w:hAnsi="Arial" w:cs="Arial"/>
          <w:b/>
          <w:bCs/>
          <w:sz w:val="24"/>
          <w:szCs w:val="24"/>
        </w:rPr>
        <w:lastRenderedPageBreak/>
        <w:t>Student name:</w:t>
      </w:r>
      <w:r w:rsidRPr="004A0E9C">
        <w:rPr>
          <w:rFonts w:ascii="Arial" w:hAnsi="Arial" w:cs="Arial"/>
          <w:b/>
          <w:bCs/>
          <w:sz w:val="24"/>
          <w:szCs w:val="24"/>
        </w:rPr>
        <w:tab/>
      </w:r>
      <w:r>
        <w:rPr>
          <w:rFonts w:ascii="Arial" w:hAnsi="Arial" w:cs="Arial"/>
          <w:b/>
          <w:bCs/>
          <w:sz w:val="24"/>
          <w:szCs w:val="24"/>
        </w:rPr>
        <w:t xml:space="preserve">    Razia Begum</w:t>
      </w:r>
    </w:p>
    <w:p w14:paraId="018727B5" w14:textId="77777777" w:rsidR="00404420" w:rsidRPr="004A0E9C" w:rsidRDefault="00404420" w:rsidP="00404420">
      <w:pPr>
        <w:spacing w:line="360" w:lineRule="auto"/>
        <w:jc w:val="both"/>
        <w:rPr>
          <w:rFonts w:ascii="Arial" w:hAnsi="Arial" w:cs="Arial"/>
          <w:b/>
          <w:bCs/>
          <w:sz w:val="24"/>
          <w:szCs w:val="24"/>
        </w:rPr>
      </w:pPr>
      <w:r>
        <w:rPr>
          <w:rFonts w:ascii="Arial" w:hAnsi="Arial" w:cs="Arial"/>
          <w:b/>
          <w:bCs/>
          <w:sz w:val="24"/>
          <w:szCs w:val="24"/>
        </w:rPr>
        <w:t>Student number:        2217307</w:t>
      </w:r>
      <w:r w:rsidRPr="004A0E9C">
        <w:rPr>
          <w:rFonts w:ascii="Arial" w:hAnsi="Arial" w:cs="Arial"/>
          <w:b/>
          <w:bCs/>
          <w:sz w:val="24"/>
          <w:szCs w:val="24"/>
        </w:rPr>
        <w:t xml:space="preserve">     </w:t>
      </w:r>
    </w:p>
    <w:p w14:paraId="390AF10B" w14:textId="77777777" w:rsidR="00404420" w:rsidRPr="004A0E9C" w:rsidRDefault="00404420" w:rsidP="00404420">
      <w:pPr>
        <w:spacing w:line="360" w:lineRule="auto"/>
        <w:jc w:val="both"/>
        <w:rPr>
          <w:rFonts w:ascii="Arial" w:hAnsi="Arial" w:cs="Arial"/>
          <w:b/>
          <w:bCs/>
          <w:sz w:val="24"/>
          <w:szCs w:val="24"/>
        </w:rPr>
      </w:pPr>
      <w:r w:rsidRPr="004A0E9C">
        <w:rPr>
          <w:rFonts w:ascii="Arial" w:hAnsi="Arial" w:cs="Arial"/>
          <w:b/>
          <w:bCs/>
          <w:sz w:val="24"/>
          <w:szCs w:val="24"/>
        </w:rPr>
        <w:t>Programme:</w:t>
      </w:r>
      <w:r w:rsidRPr="004A0E9C">
        <w:rPr>
          <w:rFonts w:ascii="Arial" w:hAnsi="Arial" w:cs="Arial"/>
          <w:b/>
          <w:bCs/>
          <w:sz w:val="24"/>
          <w:szCs w:val="24"/>
        </w:rPr>
        <w:tab/>
        <w:t xml:space="preserve">           </w:t>
      </w:r>
      <w:r>
        <w:rPr>
          <w:rFonts w:ascii="Arial" w:hAnsi="Arial" w:cs="Arial"/>
          <w:b/>
          <w:bCs/>
          <w:sz w:val="24"/>
          <w:szCs w:val="24"/>
        </w:rPr>
        <w:t xml:space="preserve">    </w:t>
      </w:r>
      <w:r w:rsidRPr="004A0E9C">
        <w:rPr>
          <w:rFonts w:ascii="Arial" w:hAnsi="Arial" w:cs="Arial"/>
          <w:b/>
          <w:bCs/>
          <w:sz w:val="24"/>
          <w:szCs w:val="24"/>
        </w:rPr>
        <w:t>MSc Public Health and Social Care in Practice</w:t>
      </w:r>
    </w:p>
    <w:p w14:paraId="73CE05DD" w14:textId="77777777" w:rsidR="00404420" w:rsidRPr="004A0E9C" w:rsidRDefault="00404420" w:rsidP="00404420">
      <w:pPr>
        <w:spacing w:line="360" w:lineRule="auto"/>
        <w:jc w:val="both"/>
        <w:rPr>
          <w:rFonts w:ascii="Arial" w:hAnsi="Arial" w:cs="Arial"/>
          <w:b/>
          <w:bCs/>
          <w:sz w:val="24"/>
          <w:szCs w:val="24"/>
        </w:rPr>
      </w:pPr>
      <w:r w:rsidRPr="004A0E9C">
        <w:rPr>
          <w:rFonts w:ascii="Arial" w:hAnsi="Arial" w:cs="Arial"/>
          <w:b/>
          <w:bCs/>
          <w:sz w:val="24"/>
          <w:szCs w:val="24"/>
        </w:rPr>
        <w:t>Module:</w:t>
      </w:r>
      <w:r w:rsidRPr="004A0E9C">
        <w:rPr>
          <w:rFonts w:ascii="Arial" w:hAnsi="Arial" w:cs="Arial"/>
          <w:b/>
          <w:bCs/>
          <w:sz w:val="24"/>
          <w:szCs w:val="24"/>
        </w:rPr>
        <w:tab/>
        <w:t xml:space="preserve">           </w:t>
      </w:r>
      <w:r>
        <w:rPr>
          <w:rFonts w:ascii="Arial" w:hAnsi="Arial" w:cs="Arial"/>
          <w:b/>
          <w:bCs/>
          <w:sz w:val="24"/>
          <w:szCs w:val="24"/>
        </w:rPr>
        <w:t xml:space="preserve">  </w:t>
      </w:r>
      <w:r w:rsidRPr="004A0E9C">
        <w:rPr>
          <w:rFonts w:ascii="Arial" w:hAnsi="Arial" w:cs="Arial"/>
          <w:b/>
          <w:bCs/>
          <w:sz w:val="24"/>
          <w:szCs w:val="24"/>
        </w:rPr>
        <w:t xml:space="preserve"> </w:t>
      </w:r>
      <w:r>
        <w:rPr>
          <w:rFonts w:ascii="Arial" w:hAnsi="Arial" w:cs="Arial"/>
          <w:b/>
          <w:bCs/>
          <w:sz w:val="24"/>
          <w:szCs w:val="24"/>
        </w:rPr>
        <w:t xml:space="preserve"> </w:t>
      </w:r>
      <w:r w:rsidRPr="004A0E9C">
        <w:rPr>
          <w:rFonts w:ascii="Arial" w:hAnsi="Arial" w:cs="Arial"/>
          <w:b/>
          <w:bCs/>
          <w:sz w:val="24"/>
          <w:szCs w:val="24"/>
        </w:rPr>
        <w:t>Social Epidemiology and Public Health Development</w:t>
      </w:r>
    </w:p>
    <w:p w14:paraId="41C3F6E8" w14:textId="77777777" w:rsidR="00404420" w:rsidRPr="004A0E9C" w:rsidRDefault="00404420" w:rsidP="00404420">
      <w:pPr>
        <w:spacing w:line="360" w:lineRule="auto"/>
        <w:jc w:val="both"/>
        <w:rPr>
          <w:rFonts w:ascii="Arial" w:hAnsi="Arial" w:cs="Arial"/>
          <w:b/>
          <w:bCs/>
          <w:sz w:val="24"/>
          <w:szCs w:val="24"/>
        </w:rPr>
      </w:pPr>
      <w:r w:rsidRPr="004A0E9C">
        <w:rPr>
          <w:rFonts w:ascii="Arial" w:hAnsi="Arial" w:cs="Arial"/>
          <w:b/>
          <w:bCs/>
          <w:sz w:val="24"/>
          <w:szCs w:val="24"/>
        </w:rPr>
        <w:t xml:space="preserve">Module code: </w:t>
      </w:r>
      <w:r w:rsidRPr="004A0E9C">
        <w:rPr>
          <w:rFonts w:ascii="Arial" w:hAnsi="Arial" w:cs="Arial"/>
          <w:b/>
          <w:bCs/>
          <w:sz w:val="24"/>
          <w:szCs w:val="24"/>
        </w:rPr>
        <w:tab/>
      </w:r>
      <w:r>
        <w:rPr>
          <w:rFonts w:ascii="Arial" w:hAnsi="Arial" w:cs="Arial"/>
          <w:b/>
          <w:bCs/>
          <w:sz w:val="24"/>
          <w:szCs w:val="24"/>
        </w:rPr>
        <w:t xml:space="preserve">     </w:t>
      </w:r>
      <w:r w:rsidRPr="004A0E9C">
        <w:rPr>
          <w:rFonts w:ascii="Arial" w:hAnsi="Arial" w:cs="Arial"/>
          <w:b/>
          <w:bCs/>
          <w:sz w:val="24"/>
          <w:szCs w:val="24"/>
        </w:rPr>
        <w:t>LCHS7000</w:t>
      </w:r>
    </w:p>
    <w:p w14:paraId="15E3F36E" w14:textId="77777777" w:rsidR="00404420" w:rsidRPr="004A0E9C" w:rsidRDefault="00404420" w:rsidP="00404420">
      <w:pPr>
        <w:spacing w:line="360" w:lineRule="auto"/>
        <w:jc w:val="both"/>
        <w:rPr>
          <w:rFonts w:ascii="Arial" w:hAnsi="Arial" w:cs="Arial"/>
          <w:b/>
          <w:bCs/>
          <w:sz w:val="24"/>
          <w:szCs w:val="24"/>
        </w:rPr>
      </w:pPr>
      <w:r w:rsidRPr="004A0E9C">
        <w:rPr>
          <w:rFonts w:ascii="Arial" w:hAnsi="Arial" w:cs="Arial"/>
          <w:b/>
          <w:bCs/>
          <w:sz w:val="24"/>
          <w:szCs w:val="24"/>
        </w:rPr>
        <w:t>Lecturer:</w:t>
      </w:r>
      <w:r w:rsidRPr="004A0E9C">
        <w:rPr>
          <w:rFonts w:ascii="Arial" w:hAnsi="Arial" w:cs="Arial"/>
          <w:b/>
          <w:bCs/>
          <w:sz w:val="24"/>
          <w:szCs w:val="24"/>
        </w:rPr>
        <w:tab/>
        <w:t xml:space="preserve">               </w:t>
      </w:r>
      <w:r>
        <w:rPr>
          <w:rFonts w:ascii="Arial" w:hAnsi="Arial" w:cs="Arial"/>
          <w:b/>
          <w:bCs/>
          <w:sz w:val="24"/>
          <w:szCs w:val="24"/>
        </w:rPr>
        <w:t xml:space="preserve"> </w:t>
      </w:r>
      <w:r w:rsidRPr="004A0E9C">
        <w:rPr>
          <w:rFonts w:ascii="Arial" w:hAnsi="Arial" w:cs="Arial"/>
          <w:b/>
          <w:bCs/>
          <w:sz w:val="24"/>
          <w:szCs w:val="24"/>
        </w:rPr>
        <w:t>Dr Hamdi Hussain</w:t>
      </w:r>
    </w:p>
    <w:p w14:paraId="64FE91EF" w14:textId="77777777" w:rsidR="00404420" w:rsidRDefault="00404420" w:rsidP="00404420">
      <w:pPr>
        <w:spacing w:line="360" w:lineRule="auto"/>
        <w:jc w:val="both"/>
        <w:rPr>
          <w:rFonts w:ascii="Arial" w:hAnsi="Arial" w:cs="Arial"/>
          <w:b/>
          <w:bCs/>
          <w:sz w:val="24"/>
          <w:szCs w:val="24"/>
        </w:rPr>
      </w:pPr>
      <w:r w:rsidRPr="004A0E9C">
        <w:rPr>
          <w:rFonts w:ascii="Arial" w:hAnsi="Arial" w:cs="Arial"/>
          <w:b/>
          <w:bCs/>
          <w:sz w:val="24"/>
          <w:szCs w:val="24"/>
        </w:rPr>
        <w:t>Assignment Title:</w:t>
      </w:r>
      <w:r w:rsidRPr="004A0E9C">
        <w:rPr>
          <w:rFonts w:ascii="Arial" w:hAnsi="Arial" w:cs="Arial"/>
          <w:b/>
          <w:bCs/>
          <w:sz w:val="24"/>
          <w:szCs w:val="24"/>
        </w:rPr>
        <w:tab/>
        <w:t xml:space="preserve">   </w:t>
      </w:r>
      <w:r>
        <w:rPr>
          <w:rFonts w:ascii="Arial" w:hAnsi="Arial" w:cs="Arial"/>
          <w:b/>
          <w:bCs/>
          <w:sz w:val="24"/>
          <w:szCs w:val="24"/>
        </w:rPr>
        <w:t xml:space="preserve">  </w:t>
      </w:r>
      <w:r w:rsidRPr="004A0E9C">
        <w:rPr>
          <w:rFonts w:ascii="Arial" w:hAnsi="Arial" w:cs="Arial"/>
          <w:b/>
          <w:bCs/>
          <w:sz w:val="24"/>
          <w:szCs w:val="24"/>
        </w:rPr>
        <w:t>Component 2 Analytical Report</w:t>
      </w:r>
    </w:p>
    <w:p w14:paraId="11C3B004" w14:textId="77777777" w:rsidR="00726409" w:rsidRDefault="00726409" w:rsidP="00404420">
      <w:pPr>
        <w:spacing w:line="360" w:lineRule="auto"/>
        <w:jc w:val="both"/>
        <w:rPr>
          <w:rFonts w:ascii="Arial" w:hAnsi="Arial" w:cs="Arial"/>
          <w:b/>
          <w:bCs/>
          <w:sz w:val="24"/>
          <w:szCs w:val="24"/>
        </w:rPr>
      </w:pPr>
    </w:p>
    <w:p w14:paraId="22ABD61A" w14:textId="77777777" w:rsidR="00726409" w:rsidRDefault="00726409" w:rsidP="00404420">
      <w:pPr>
        <w:spacing w:line="360" w:lineRule="auto"/>
        <w:jc w:val="both"/>
        <w:rPr>
          <w:rFonts w:ascii="Arial" w:hAnsi="Arial" w:cs="Arial"/>
          <w:b/>
          <w:bCs/>
          <w:sz w:val="24"/>
          <w:szCs w:val="24"/>
        </w:rPr>
      </w:pPr>
    </w:p>
    <w:p w14:paraId="2A14865A" w14:textId="77777777" w:rsidR="00726409" w:rsidRDefault="00726409" w:rsidP="00404420">
      <w:pPr>
        <w:spacing w:line="360" w:lineRule="auto"/>
        <w:jc w:val="both"/>
        <w:rPr>
          <w:rFonts w:ascii="Arial" w:hAnsi="Arial" w:cs="Arial"/>
          <w:b/>
          <w:bCs/>
          <w:sz w:val="24"/>
          <w:szCs w:val="24"/>
        </w:rPr>
      </w:pPr>
    </w:p>
    <w:p w14:paraId="04E6EB73" w14:textId="77777777" w:rsidR="00726409" w:rsidRDefault="00726409" w:rsidP="00404420">
      <w:pPr>
        <w:spacing w:line="360" w:lineRule="auto"/>
        <w:jc w:val="both"/>
        <w:rPr>
          <w:rFonts w:ascii="Arial" w:hAnsi="Arial" w:cs="Arial"/>
          <w:b/>
          <w:bCs/>
          <w:sz w:val="24"/>
          <w:szCs w:val="24"/>
        </w:rPr>
      </w:pPr>
    </w:p>
    <w:p w14:paraId="0FBF6AFB" w14:textId="77777777" w:rsidR="00726409" w:rsidRDefault="00726409" w:rsidP="00404420">
      <w:pPr>
        <w:spacing w:line="360" w:lineRule="auto"/>
        <w:jc w:val="both"/>
        <w:rPr>
          <w:rFonts w:ascii="Arial" w:hAnsi="Arial" w:cs="Arial"/>
          <w:b/>
          <w:bCs/>
          <w:sz w:val="24"/>
          <w:szCs w:val="24"/>
        </w:rPr>
      </w:pPr>
    </w:p>
    <w:p w14:paraId="3735C1F3" w14:textId="77777777" w:rsidR="00726409" w:rsidRPr="004A0E9C" w:rsidRDefault="00726409" w:rsidP="00404420">
      <w:pPr>
        <w:spacing w:line="360" w:lineRule="auto"/>
        <w:jc w:val="both"/>
        <w:rPr>
          <w:rFonts w:ascii="Arial" w:hAnsi="Arial" w:cs="Arial"/>
          <w:b/>
          <w:bCs/>
          <w:sz w:val="24"/>
          <w:szCs w:val="24"/>
        </w:rPr>
      </w:pPr>
    </w:p>
    <w:p w14:paraId="0D11BDCB" w14:textId="77777777" w:rsidR="008977D6" w:rsidRDefault="008977D6">
      <w:pPr>
        <w:rPr>
          <w:rFonts w:ascii="Arial" w:hAnsi="Arial" w:cs="Arial"/>
        </w:rPr>
      </w:pPr>
    </w:p>
    <w:p w14:paraId="72D7FB38" w14:textId="77777777" w:rsidR="00404420" w:rsidRDefault="00404420">
      <w:pPr>
        <w:rPr>
          <w:rFonts w:ascii="Arial" w:hAnsi="Arial" w:cs="Arial"/>
        </w:rPr>
      </w:pPr>
    </w:p>
    <w:p w14:paraId="7FD97F43" w14:textId="77777777" w:rsidR="00404420" w:rsidRDefault="00404420">
      <w:pPr>
        <w:rPr>
          <w:rFonts w:ascii="Arial" w:hAnsi="Arial" w:cs="Arial"/>
        </w:rPr>
      </w:pPr>
    </w:p>
    <w:p w14:paraId="10F1BCF0" w14:textId="77777777" w:rsidR="00404420" w:rsidRDefault="00404420">
      <w:pPr>
        <w:rPr>
          <w:rFonts w:ascii="Arial" w:hAnsi="Arial" w:cs="Arial"/>
        </w:rPr>
      </w:pPr>
    </w:p>
    <w:p w14:paraId="3E60CCAA" w14:textId="77777777" w:rsidR="00404420" w:rsidRDefault="00404420">
      <w:pPr>
        <w:rPr>
          <w:rFonts w:ascii="Arial" w:hAnsi="Arial" w:cs="Arial"/>
        </w:rPr>
      </w:pPr>
    </w:p>
    <w:p w14:paraId="4B1E07DA" w14:textId="77777777" w:rsidR="00404420" w:rsidRDefault="00404420">
      <w:pPr>
        <w:rPr>
          <w:rFonts w:ascii="Arial" w:hAnsi="Arial" w:cs="Arial"/>
        </w:rPr>
      </w:pPr>
    </w:p>
    <w:p w14:paraId="1AA99FBB" w14:textId="77777777" w:rsidR="00404420" w:rsidRDefault="00404420">
      <w:pPr>
        <w:rPr>
          <w:rFonts w:ascii="Arial" w:hAnsi="Arial" w:cs="Arial"/>
        </w:rPr>
      </w:pPr>
    </w:p>
    <w:p w14:paraId="4EB7FC46" w14:textId="77777777" w:rsidR="00404420" w:rsidRDefault="00404420">
      <w:pPr>
        <w:rPr>
          <w:rFonts w:ascii="Arial" w:hAnsi="Arial" w:cs="Arial"/>
        </w:rPr>
      </w:pPr>
    </w:p>
    <w:p w14:paraId="112A9DAC" w14:textId="77777777" w:rsidR="00404420" w:rsidRDefault="00404420">
      <w:pPr>
        <w:rPr>
          <w:rFonts w:ascii="Arial" w:hAnsi="Arial" w:cs="Arial"/>
        </w:rPr>
      </w:pPr>
    </w:p>
    <w:p w14:paraId="430C9731" w14:textId="77777777" w:rsidR="00404420" w:rsidRDefault="00404420">
      <w:pPr>
        <w:rPr>
          <w:rFonts w:ascii="Arial" w:hAnsi="Arial" w:cs="Arial"/>
        </w:rPr>
      </w:pPr>
    </w:p>
    <w:p w14:paraId="0B103664" w14:textId="77777777" w:rsidR="00404420" w:rsidRDefault="00404420">
      <w:pPr>
        <w:rPr>
          <w:rFonts w:ascii="Arial" w:hAnsi="Arial" w:cs="Arial"/>
        </w:rPr>
      </w:pPr>
    </w:p>
    <w:p w14:paraId="0198EBD7" w14:textId="77777777" w:rsidR="00404420" w:rsidRDefault="00404420">
      <w:pPr>
        <w:rPr>
          <w:rFonts w:ascii="Arial" w:hAnsi="Arial" w:cs="Arial"/>
        </w:rPr>
      </w:pPr>
    </w:p>
    <w:p w14:paraId="20730CFA" w14:textId="77777777" w:rsidR="00404420" w:rsidRDefault="00404420">
      <w:pPr>
        <w:rPr>
          <w:rFonts w:ascii="Arial" w:hAnsi="Arial" w:cs="Arial"/>
        </w:rPr>
      </w:pPr>
    </w:p>
    <w:p w14:paraId="50195C9D" w14:textId="77777777" w:rsidR="00404420" w:rsidRDefault="00404420">
      <w:pPr>
        <w:rPr>
          <w:rFonts w:ascii="Arial" w:hAnsi="Arial" w:cs="Arial"/>
        </w:rPr>
      </w:pPr>
    </w:p>
    <w:p w14:paraId="7D669CB5" w14:textId="77777777" w:rsidR="002A4B87" w:rsidRDefault="002A4B87" w:rsidP="00217083">
      <w:pPr>
        <w:rPr>
          <w:rFonts w:ascii="Arial" w:hAnsi="Arial" w:cs="Arial"/>
          <w:b/>
          <w:bCs/>
          <w:sz w:val="28"/>
          <w:szCs w:val="28"/>
        </w:rPr>
      </w:pPr>
    </w:p>
    <w:p w14:paraId="272CE138" w14:textId="32C779BA" w:rsidR="00217083" w:rsidRDefault="00217083" w:rsidP="00D915E9">
      <w:pPr>
        <w:jc w:val="both"/>
        <w:rPr>
          <w:rFonts w:ascii="Arial" w:hAnsi="Arial" w:cs="Arial"/>
          <w:b/>
          <w:bCs/>
          <w:sz w:val="28"/>
          <w:szCs w:val="28"/>
        </w:rPr>
      </w:pPr>
      <w:r w:rsidRPr="000D7D8C">
        <w:rPr>
          <w:rFonts w:ascii="Arial" w:hAnsi="Arial" w:cs="Arial"/>
          <w:b/>
          <w:bCs/>
          <w:sz w:val="28"/>
          <w:szCs w:val="28"/>
        </w:rPr>
        <w:lastRenderedPageBreak/>
        <w:t>Content</w:t>
      </w:r>
      <w:r w:rsidR="0047193B">
        <w:rPr>
          <w:rFonts w:ascii="Arial" w:hAnsi="Arial" w:cs="Arial"/>
          <w:b/>
          <w:bCs/>
          <w:sz w:val="28"/>
          <w:szCs w:val="28"/>
        </w:rPr>
        <w:t xml:space="preserve"> Page</w:t>
      </w:r>
      <w:r w:rsidR="005D4B73">
        <w:rPr>
          <w:rFonts w:ascii="Arial" w:hAnsi="Arial" w:cs="Arial"/>
          <w:b/>
          <w:bCs/>
          <w:sz w:val="28"/>
          <w:szCs w:val="28"/>
        </w:rPr>
        <w:t>:</w:t>
      </w:r>
    </w:p>
    <w:p w14:paraId="7FC8E26A" w14:textId="77777777" w:rsidR="00217083" w:rsidRPr="00643CC1" w:rsidRDefault="00217083" w:rsidP="00D915E9">
      <w:pPr>
        <w:jc w:val="both"/>
        <w:rPr>
          <w:rFonts w:ascii="Arial" w:hAnsi="Arial" w:cs="Arial"/>
          <w:sz w:val="24"/>
          <w:szCs w:val="24"/>
        </w:rPr>
      </w:pPr>
      <w:r w:rsidRPr="00643CC1">
        <w:rPr>
          <w:rFonts w:ascii="Arial" w:hAnsi="Arial" w:cs="Arial"/>
          <w:sz w:val="24"/>
          <w:szCs w:val="24"/>
        </w:rPr>
        <w:t>Task 1:</w:t>
      </w:r>
    </w:p>
    <w:p w14:paraId="58A3067D" w14:textId="77777777" w:rsidR="00217083" w:rsidRPr="00643CC1" w:rsidRDefault="00217083" w:rsidP="00D915E9">
      <w:pPr>
        <w:jc w:val="both"/>
        <w:rPr>
          <w:rFonts w:ascii="Arial" w:hAnsi="Arial" w:cs="Arial"/>
          <w:sz w:val="24"/>
          <w:szCs w:val="24"/>
        </w:rPr>
      </w:pPr>
      <w:r w:rsidRPr="00643CC1">
        <w:rPr>
          <w:rFonts w:ascii="Arial" w:hAnsi="Arial" w:cs="Arial"/>
          <w:sz w:val="24"/>
          <w:szCs w:val="24"/>
        </w:rPr>
        <w:t>Age and Health Inequality in the Elderly Population of the UK</w:t>
      </w:r>
    </w:p>
    <w:p w14:paraId="013CC2F4" w14:textId="099F218A" w:rsidR="00217083" w:rsidRDefault="00217083" w:rsidP="00D915E9">
      <w:pPr>
        <w:jc w:val="both"/>
        <w:rPr>
          <w:rFonts w:ascii="Arial" w:hAnsi="Arial" w:cs="Arial"/>
        </w:rPr>
      </w:pPr>
      <w:r w:rsidRPr="00812617">
        <w:rPr>
          <w:rFonts w:ascii="Arial" w:hAnsi="Arial" w:cs="Arial"/>
        </w:rPr>
        <w:t>Introduction………………………………………………………………………</w:t>
      </w:r>
      <w:r w:rsidR="000A5200">
        <w:rPr>
          <w:rFonts w:ascii="Arial" w:hAnsi="Arial" w:cs="Arial"/>
        </w:rPr>
        <w:t>……….</w:t>
      </w:r>
      <w:r>
        <w:rPr>
          <w:rFonts w:ascii="Arial" w:hAnsi="Arial" w:cs="Arial"/>
        </w:rPr>
        <w:t>3</w:t>
      </w:r>
    </w:p>
    <w:p w14:paraId="130FC071" w14:textId="2B8BBAB8" w:rsidR="00217083" w:rsidRPr="00EA03EB" w:rsidRDefault="00217083" w:rsidP="00D915E9">
      <w:pPr>
        <w:jc w:val="both"/>
        <w:rPr>
          <w:rFonts w:ascii="Arial" w:hAnsi="Arial" w:cs="Arial"/>
        </w:rPr>
      </w:pPr>
    </w:p>
    <w:p w14:paraId="5E567290" w14:textId="0D10192B" w:rsidR="00217083" w:rsidRDefault="00217083" w:rsidP="00D915E9">
      <w:pPr>
        <w:jc w:val="both"/>
        <w:rPr>
          <w:rFonts w:ascii="Arial" w:hAnsi="Arial" w:cs="Arial"/>
        </w:rPr>
      </w:pPr>
      <w:r w:rsidRPr="00EA03EB">
        <w:rPr>
          <w:rFonts w:ascii="Arial" w:hAnsi="Arial" w:cs="Arial"/>
        </w:rPr>
        <w:t>Higher Rates of Mental Illness</w:t>
      </w:r>
      <w:r>
        <w:rPr>
          <w:rFonts w:ascii="Arial" w:hAnsi="Arial" w:cs="Arial"/>
        </w:rPr>
        <w:t>…………………………………………….…………</w:t>
      </w:r>
      <w:r w:rsidR="000A5200">
        <w:rPr>
          <w:rFonts w:ascii="Arial" w:hAnsi="Arial" w:cs="Arial"/>
        </w:rPr>
        <w:t>…</w:t>
      </w:r>
      <w:r>
        <w:rPr>
          <w:rFonts w:ascii="Arial" w:hAnsi="Arial" w:cs="Arial"/>
        </w:rPr>
        <w:t>3</w:t>
      </w:r>
    </w:p>
    <w:p w14:paraId="3575D68B" w14:textId="68E0577D" w:rsidR="00217083" w:rsidRPr="00812617" w:rsidRDefault="00217083" w:rsidP="00D915E9">
      <w:pPr>
        <w:jc w:val="both"/>
        <w:rPr>
          <w:rFonts w:ascii="Arial" w:hAnsi="Arial" w:cs="Arial"/>
        </w:rPr>
      </w:pPr>
      <w:r w:rsidRPr="003D287B">
        <w:rPr>
          <w:rFonts w:ascii="Arial" w:hAnsi="Arial" w:cs="Arial"/>
        </w:rPr>
        <w:t>Low Rates of Access to Healthcare</w:t>
      </w:r>
      <w:r>
        <w:rPr>
          <w:rFonts w:ascii="Arial" w:hAnsi="Arial" w:cs="Arial"/>
        </w:rPr>
        <w:t>……………………………………….…………</w:t>
      </w:r>
      <w:r w:rsidR="000A5200">
        <w:rPr>
          <w:rFonts w:ascii="Arial" w:hAnsi="Arial" w:cs="Arial"/>
        </w:rPr>
        <w:t>…</w:t>
      </w:r>
      <w:r>
        <w:rPr>
          <w:rFonts w:ascii="Arial" w:hAnsi="Arial" w:cs="Arial"/>
        </w:rPr>
        <w:t>3</w:t>
      </w:r>
    </w:p>
    <w:p w14:paraId="04B45496" w14:textId="77777777" w:rsidR="00217083" w:rsidRDefault="00217083" w:rsidP="00D915E9">
      <w:pPr>
        <w:jc w:val="both"/>
        <w:rPr>
          <w:rFonts w:ascii="Arial" w:hAnsi="Arial" w:cs="Arial"/>
          <w:sz w:val="24"/>
          <w:szCs w:val="24"/>
        </w:rPr>
      </w:pPr>
      <w:r w:rsidRPr="00812617">
        <w:rPr>
          <w:rFonts w:ascii="Arial" w:hAnsi="Arial" w:cs="Arial"/>
        </w:rPr>
        <w:t>Mortality Rates Among the Elderly Group</w:t>
      </w:r>
      <w:r>
        <w:rPr>
          <w:rFonts w:ascii="Arial" w:hAnsi="Arial" w:cs="Arial"/>
          <w:sz w:val="24"/>
          <w:szCs w:val="24"/>
        </w:rPr>
        <w:t>……………………………….………...3</w:t>
      </w:r>
    </w:p>
    <w:p w14:paraId="151DB9EA" w14:textId="0189398B" w:rsidR="00217083" w:rsidRDefault="00217083" w:rsidP="00D915E9">
      <w:pPr>
        <w:jc w:val="both"/>
        <w:rPr>
          <w:rFonts w:ascii="Arial" w:hAnsi="Arial" w:cs="Arial"/>
          <w:sz w:val="24"/>
          <w:szCs w:val="24"/>
        </w:rPr>
      </w:pPr>
      <w:r w:rsidRPr="0016356E">
        <w:rPr>
          <w:rFonts w:ascii="Arial" w:hAnsi="Arial" w:cs="Arial"/>
          <w:sz w:val="24"/>
          <w:szCs w:val="24"/>
        </w:rPr>
        <w:t>Low Rates of Access to Healthcare</w:t>
      </w:r>
      <w:r>
        <w:rPr>
          <w:rFonts w:ascii="Arial" w:hAnsi="Arial" w:cs="Arial"/>
          <w:sz w:val="24"/>
          <w:szCs w:val="24"/>
        </w:rPr>
        <w:t>…………………………………….……...</w:t>
      </w:r>
      <w:r w:rsidR="000A5200">
        <w:rPr>
          <w:rFonts w:ascii="Arial" w:hAnsi="Arial" w:cs="Arial"/>
          <w:sz w:val="24"/>
          <w:szCs w:val="24"/>
        </w:rPr>
        <w:t>.</w:t>
      </w:r>
      <w:r>
        <w:rPr>
          <w:rFonts w:ascii="Arial" w:hAnsi="Arial" w:cs="Arial"/>
          <w:sz w:val="24"/>
          <w:szCs w:val="24"/>
        </w:rPr>
        <w:t>3</w:t>
      </w:r>
    </w:p>
    <w:p w14:paraId="3071FB0F" w14:textId="087148E4" w:rsidR="00217083" w:rsidRDefault="00217083" w:rsidP="00D915E9">
      <w:pPr>
        <w:jc w:val="both"/>
        <w:rPr>
          <w:rFonts w:ascii="Arial" w:hAnsi="Arial" w:cs="Arial"/>
          <w:sz w:val="24"/>
          <w:szCs w:val="24"/>
        </w:rPr>
      </w:pPr>
      <w:r w:rsidRPr="00195595">
        <w:rPr>
          <w:rFonts w:ascii="Arial" w:hAnsi="Arial" w:cs="Arial"/>
          <w:sz w:val="24"/>
          <w:szCs w:val="24"/>
        </w:rPr>
        <w:t>Social Isolation and Loneliness</w:t>
      </w:r>
      <w:r>
        <w:rPr>
          <w:rFonts w:ascii="Arial" w:hAnsi="Arial" w:cs="Arial"/>
          <w:sz w:val="24"/>
          <w:szCs w:val="24"/>
        </w:rPr>
        <w:t>………………………………………………...</w:t>
      </w:r>
      <w:r w:rsidR="000A5200">
        <w:rPr>
          <w:rFonts w:ascii="Arial" w:hAnsi="Arial" w:cs="Arial"/>
          <w:sz w:val="24"/>
          <w:szCs w:val="24"/>
        </w:rPr>
        <w:t>.</w:t>
      </w:r>
      <w:r>
        <w:rPr>
          <w:rFonts w:ascii="Arial" w:hAnsi="Arial" w:cs="Arial"/>
          <w:sz w:val="24"/>
          <w:szCs w:val="24"/>
        </w:rPr>
        <w:t>4</w:t>
      </w:r>
    </w:p>
    <w:p w14:paraId="1FB93901" w14:textId="06F4AC6E" w:rsidR="00217083" w:rsidRDefault="00217083" w:rsidP="00D915E9">
      <w:pPr>
        <w:jc w:val="both"/>
        <w:rPr>
          <w:rFonts w:ascii="Arial" w:hAnsi="Arial" w:cs="Arial"/>
          <w:sz w:val="24"/>
          <w:szCs w:val="24"/>
        </w:rPr>
      </w:pPr>
      <w:r w:rsidRPr="0016356E">
        <w:rPr>
          <w:rFonts w:ascii="Arial" w:hAnsi="Arial" w:cs="Arial"/>
          <w:sz w:val="24"/>
          <w:szCs w:val="24"/>
        </w:rPr>
        <w:t>Poverty</w:t>
      </w:r>
      <w:r>
        <w:rPr>
          <w:rFonts w:ascii="Arial" w:hAnsi="Arial" w:cs="Arial"/>
          <w:sz w:val="24"/>
          <w:szCs w:val="24"/>
        </w:rPr>
        <w:t>…………………………………………………………………………</w:t>
      </w:r>
      <w:r w:rsidR="00972893">
        <w:rPr>
          <w:rFonts w:ascii="Arial" w:hAnsi="Arial" w:cs="Arial"/>
          <w:sz w:val="24"/>
          <w:szCs w:val="24"/>
        </w:rPr>
        <w:t>…...</w:t>
      </w:r>
      <w:r>
        <w:rPr>
          <w:rFonts w:ascii="Arial" w:hAnsi="Arial" w:cs="Arial"/>
          <w:sz w:val="24"/>
          <w:szCs w:val="24"/>
        </w:rPr>
        <w:t>4</w:t>
      </w:r>
    </w:p>
    <w:p w14:paraId="1FCCAAF0" w14:textId="7387AC7C" w:rsidR="00217083" w:rsidRDefault="00217083" w:rsidP="00D915E9">
      <w:pPr>
        <w:jc w:val="both"/>
        <w:rPr>
          <w:rFonts w:ascii="Arial" w:hAnsi="Arial" w:cs="Arial"/>
          <w:sz w:val="24"/>
          <w:szCs w:val="24"/>
        </w:rPr>
      </w:pPr>
      <w:r w:rsidRPr="0016356E">
        <w:rPr>
          <w:rFonts w:ascii="Arial" w:hAnsi="Arial" w:cs="Arial"/>
          <w:sz w:val="24"/>
          <w:szCs w:val="24"/>
        </w:rPr>
        <w:t>Housing Issues</w:t>
      </w:r>
      <w:r>
        <w:rPr>
          <w:rFonts w:ascii="Arial" w:hAnsi="Arial" w:cs="Arial"/>
          <w:sz w:val="24"/>
          <w:szCs w:val="24"/>
        </w:rPr>
        <w:t>……………………………………………………….………...</w:t>
      </w:r>
      <w:r w:rsidR="00972893">
        <w:rPr>
          <w:rFonts w:ascii="Arial" w:hAnsi="Arial" w:cs="Arial"/>
          <w:sz w:val="24"/>
          <w:szCs w:val="24"/>
        </w:rPr>
        <w:t>.</w:t>
      </w:r>
      <w:r>
        <w:rPr>
          <w:rFonts w:ascii="Arial" w:hAnsi="Arial" w:cs="Arial"/>
          <w:sz w:val="24"/>
          <w:szCs w:val="24"/>
        </w:rPr>
        <w:t>…4</w:t>
      </w:r>
    </w:p>
    <w:p w14:paraId="09C68F49" w14:textId="36F10E8B" w:rsidR="00217083" w:rsidRDefault="00217083" w:rsidP="00D915E9">
      <w:pPr>
        <w:jc w:val="both"/>
        <w:rPr>
          <w:rFonts w:ascii="Arial" w:hAnsi="Arial" w:cs="Arial"/>
          <w:sz w:val="24"/>
          <w:szCs w:val="24"/>
        </w:rPr>
      </w:pPr>
      <w:r w:rsidRPr="001170AE">
        <w:rPr>
          <w:rFonts w:ascii="Arial" w:hAnsi="Arial" w:cs="Arial"/>
          <w:sz w:val="24"/>
          <w:szCs w:val="24"/>
        </w:rPr>
        <w:t>National Response to Reduce Health Inequalities</w:t>
      </w:r>
      <w:r>
        <w:rPr>
          <w:rFonts w:ascii="Arial" w:hAnsi="Arial" w:cs="Arial"/>
          <w:sz w:val="24"/>
          <w:szCs w:val="24"/>
        </w:rPr>
        <w:t>……………….………….</w:t>
      </w:r>
      <w:r w:rsidR="00972893">
        <w:rPr>
          <w:rFonts w:ascii="Arial" w:hAnsi="Arial" w:cs="Arial"/>
          <w:sz w:val="24"/>
          <w:szCs w:val="24"/>
        </w:rPr>
        <w:t>.</w:t>
      </w:r>
      <w:r>
        <w:rPr>
          <w:rFonts w:ascii="Arial" w:hAnsi="Arial" w:cs="Arial"/>
          <w:sz w:val="24"/>
          <w:szCs w:val="24"/>
        </w:rPr>
        <w:t>..4-5</w:t>
      </w:r>
    </w:p>
    <w:p w14:paraId="21738BAF" w14:textId="58C7BEA4" w:rsidR="00217083" w:rsidRDefault="00217083" w:rsidP="00D915E9">
      <w:pPr>
        <w:jc w:val="both"/>
        <w:rPr>
          <w:rFonts w:ascii="Arial" w:hAnsi="Arial" w:cs="Arial"/>
          <w:sz w:val="24"/>
          <w:szCs w:val="24"/>
        </w:rPr>
      </w:pPr>
      <w:r w:rsidRPr="005A014D">
        <w:rPr>
          <w:rFonts w:ascii="Arial" w:hAnsi="Arial" w:cs="Arial"/>
          <w:sz w:val="24"/>
          <w:szCs w:val="24"/>
        </w:rPr>
        <w:t>Organisations That Support the Chosen Group</w:t>
      </w:r>
      <w:r>
        <w:rPr>
          <w:rFonts w:ascii="Arial" w:hAnsi="Arial" w:cs="Arial"/>
          <w:sz w:val="24"/>
          <w:szCs w:val="24"/>
        </w:rPr>
        <w:t>……………………………</w:t>
      </w:r>
      <w:r w:rsidR="00972893">
        <w:rPr>
          <w:rFonts w:ascii="Arial" w:hAnsi="Arial" w:cs="Arial"/>
          <w:sz w:val="24"/>
          <w:szCs w:val="24"/>
        </w:rPr>
        <w:t>.</w:t>
      </w:r>
      <w:r>
        <w:rPr>
          <w:rFonts w:ascii="Arial" w:hAnsi="Arial" w:cs="Arial"/>
          <w:sz w:val="24"/>
          <w:szCs w:val="24"/>
        </w:rPr>
        <w:t>….5</w:t>
      </w:r>
    </w:p>
    <w:p w14:paraId="68C279D6" w14:textId="01E972BF" w:rsidR="00217083" w:rsidRDefault="00217083" w:rsidP="00D915E9">
      <w:pPr>
        <w:jc w:val="both"/>
        <w:rPr>
          <w:rFonts w:ascii="Arial" w:hAnsi="Arial" w:cs="Arial"/>
          <w:sz w:val="24"/>
          <w:szCs w:val="24"/>
        </w:rPr>
      </w:pPr>
      <w:r w:rsidRPr="005A014D">
        <w:rPr>
          <w:rFonts w:ascii="Arial" w:hAnsi="Arial" w:cs="Arial"/>
          <w:sz w:val="24"/>
          <w:szCs w:val="24"/>
        </w:rPr>
        <w:t>Conclusion</w:t>
      </w:r>
      <w:r>
        <w:rPr>
          <w:rFonts w:ascii="Arial" w:hAnsi="Arial" w:cs="Arial"/>
          <w:sz w:val="24"/>
          <w:szCs w:val="24"/>
        </w:rPr>
        <w:t>………………………………………………………...……………</w:t>
      </w:r>
      <w:r w:rsidR="00972893">
        <w:rPr>
          <w:rFonts w:ascii="Arial" w:hAnsi="Arial" w:cs="Arial"/>
          <w:sz w:val="24"/>
          <w:szCs w:val="24"/>
        </w:rPr>
        <w:t>.</w:t>
      </w:r>
      <w:r>
        <w:rPr>
          <w:rFonts w:ascii="Arial" w:hAnsi="Arial" w:cs="Arial"/>
          <w:sz w:val="24"/>
          <w:szCs w:val="24"/>
        </w:rPr>
        <w:t>…5-6</w:t>
      </w:r>
    </w:p>
    <w:p w14:paraId="07C8E89A" w14:textId="77777777" w:rsidR="00217083" w:rsidRPr="007C5F11" w:rsidRDefault="00217083" w:rsidP="00D915E9">
      <w:pPr>
        <w:jc w:val="both"/>
        <w:rPr>
          <w:rFonts w:ascii="Arial" w:hAnsi="Arial" w:cs="Arial"/>
          <w:b/>
          <w:bCs/>
          <w:sz w:val="24"/>
          <w:szCs w:val="24"/>
        </w:rPr>
      </w:pPr>
      <w:r w:rsidRPr="007C5F11">
        <w:rPr>
          <w:rFonts w:ascii="Arial" w:hAnsi="Arial" w:cs="Arial"/>
          <w:b/>
          <w:bCs/>
          <w:sz w:val="24"/>
          <w:szCs w:val="24"/>
        </w:rPr>
        <w:t>Task 2</w:t>
      </w:r>
    </w:p>
    <w:p w14:paraId="419017F7" w14:textId="77777777" w:rsidR="00217083" w:rsidRPr="007C5F11" w:rsidRDefault="00217083" w:rsidP="00D915E9">
      <w:pPr>
        <w:jc w:val="both"/>
        <w:rPr>
          <w:rFonts w:ascii="Arial" w:hAnsi="Arial" w:cs="Arial"/>
          <w:b/>
          <w:bCs/>
          <w:sz w:val="24"/>
          <w:szCs w:val="24"/>
        </w:rPr>
      </w:pPr>
      <w:r w:rsidRPr="007C5F11">
        <w:rPr>
          <w:rFonts w:ascii="Arial" w:hAnsi="Arial" w:cs="Arial"/>
          <w:b/>
          <w:bCs/>
          <w:sz w:val="24"/>
          <w:szCs w:val="24"/>
        </w:rPr>
        <w:t>Epidemiological Analysis: Type 2 Diabetes Mellitus in the London Borough of Newham</w:t>
      </w:r>
    </w:p>
    <w:p w14:paraId="4FF4252A" w14:textId="2EE4A2F7" w:rsidR="00217083" w:rsidRDefault="00217083" w:rsidP="00D915E9">
      <w:pPr>
        <w:jc w:val="both"/>
        <w:rPr>
          <w:rFonts w:ascii="Arial" w:hAnsi="Arial" w:cs="Arial"/>
          <w:sz w:val="24"/>
          <w:szCs w:val="24"/>
        </w:rPr>
      </w:pPr>
      <w:r w:rsidRPr="00097151">
        <w:rPr>
          <w:rFonts w:ascii="Arial" w:hAnsi="Arial" w:cs="Arial"/>
          <w:sz w:val="24"/>
          <w:szCs w:val="24"/>
        </w:rPr>
        <w:t>Introducti</w:t>
      </w:r>
      <w:r>
        <w:rPr>
          <w:rFonts w:ascii="Arial" w:hAnsi="Arial" w:cs="Arial"/>
          <w:sz w:val="24"/>
          <w:szCs w:val="24"/>
        </w:rPr>
        <w:t>on:</w:t>
      </w:r>
      <w:r w:rsidRPr="005122C0">
        <w:t xml:space="preserve"> </w:t>
      </w:r>
      <w:r w:rsidRPr="005122C0">
        <w:rPr>
          <w:rFonts w:ascii="Arial" w:hAnsi="Arial" w:cs="Arial"/>
          <w:sz w:val="24"/>
          <w:szCs w:val="24"/>
        </w:rPr>
        <w:t>Definition and Consequences</w:t>
      </w:r>
      <w:r>
        <w:rPr>
          <w:rFonts w:ascii="Arial" w:hAnsi="Arial" w:cs="Arial"/>
          <w:sz w:val="24"/>
          <w:szCs w:val="24"/>
        </w:rPr>
        <w:t>………………………………………...</w:t>
      </w:r>
      <w:r w:rsidR="00141F83">
        <w:rPr>
          <w:rFonts w:ascii="Arial" w:hAnsi="Arial" w:cs="Arial"/>
          <w:sz w:val="24"/>
          <w:szCs w:val="24"/>
        </w:rPr>
        <w:t>.</w:t>
      </w:r>
      <w:r>
        <w:rPr>
          <w:rFonts w:ascii="Arial" w:hAnsi="Arial" w:cs="Arial"/>
          <w:sz w:val="24"/>
          <w:szCs w:val="24"/>
        </w:rPr>
        <w:t>7</w:t>
      </w:r>
    </w:p>
    <w:p w14:paraId="64428C34" w14:textId="30AEBFFC" w:rsidR="00217083" w:rsidRDefault="00217083" w:rsidP="00D915E9">
      <w:pPr>
        <w:jc w:val="both"/>
        <w:rPr>
          <w:rFonts w:ascii="Arial" w:hAnsi="Arial" w:cs="Arial"/>
          <w:sz w:val="24"/>
          <w:szCs w:val="24"/>
        </w:rPr>
      </w:pPr>
      <w:r w:rsidRPr="00300B7F">
        <w:rPr>
          <w:rFonts w:ascii="Arial" w:hAnsi="Arial" w:cs="Arial"/>
          <w:sz w:val="24"/>
          <w:szCs w:val="24"/>
        </w:rPr>
        <w:t>Global Prevalence</w:t>
      </w:r>
      <w:r>
        <w:rPr>
          <w:rFonts w:ascii="Arial" w:hAnsi="Arial" w:cs="Arial"/>
          <w:sz w:val="24"/>
          <w:szCs w:val="24"/>
        </w:rPr>
        <w:t>…………………………………………………………………</w:t>
      </w:r>
      <w:r w:rsidR="00EB7DC0">
        <w:rPr>
          <w:rFonts w:ascii="Arial" w:hAnsi="Arial" w:cs="Arial"/>
          <w:sz w:val="24"/>
          <w:szCs w:val="24"/>
        </w:rPr>
        <w:t>…...</w:t>
      </w:r>
      <w:r>
        <w:rPr>
          <w:rFonts w:ascii="Arial" w:hAnsi="Arial" w:cs="Arial"/>
          <w:sz w:val="24"/>
          <w:szCs w:val="24"/>
        </w:rPr>
        <w:t>7</w:t>
      </w:r>
    </w:p>
    <w:p w14:paraId="68099FD3" w14:textId="1C6E318B" w:rsidR="00217083" w:rsidRDefault="00217083" w:rsidP="00D915E9">
      <w:pPr>
        <w:jc w:val="both"/>
        <w:rPr>
          <w:rFonts w:ascii="Arial" w:hAnsi="Arial" w:cs="Arial"/>
          <w:sz w:val="24"/>
          <w:szCs w:val="24"/>
        </w:rPr>
      </w:pPr>
      <w:r>
        <w:rPr>
          <w:rFonts w:ascii="Arial" w:hAnsi="Arial" w:cs="Arial"/>
          <w:sz w:val="24"/>
          <w:szCs w:val="24"/>
        </w:rPr>
        <w:t>UK Prevalence………………………………………………………………………</w:t>
      </w:r>
      <w:r w:rsidR="00C3070E">
        <w:rPr>
          <w:rFonts w:ascii="Arial" w:hAnsi="Arial" w:cs="Arial"/>
          <w:sz w:val="24"/>
          <w:szCs w:val="24"/>
        </w:rPr>
        <w:t>.</w:t>
      </w:r>
      <w:r>
        <w:rPr>
          <w:rFonts w:ascii="Arial" w:hAnsi="Arial" w:cs="Arial"/>
          <w:sz w:val="24"/>
          <w:szCs w:val="24"/>
        </w:rPr>
        <w:t>…</w:t>
      </w:r>
      <w:r w:rsidR="00B45103">
        <w:rPr>
          <w:rFonts w:ascii="Arial" w:hAnsi="Arial" w:cs="Arial"/>
          <w:sz w:val="24"/>
          <w:szCs w:val="24"/>
        </w:rPr>
        <w:t>8</w:t>
      </w:r>
    </w:p>
    <w:p w14:paraId="544541EF" w14:textId="5160D16A" w:rsidR="00217083" w:rsidRDefault="00217083" w:rsidP="00D915E9">
      <w:pPr>
        <w:jc w:val="both"/>
        <w:rPr>
          <w:rFonts w:ascii="Arial" w:hAnsi="Arial" w:cs="Arial"/>
          <w:sz w:val="24"/>
          <w:szCs w:val="24"/>
        </w:rPr>
      </w:pPr>
      <w:r w:rsidRPr="00021D10">
        <w:rPr>
          <w:rFonts w:ascii="Arial" w:hAnsi="Arial" w:cs="Arial"/>
          <w:sz w:val="24"/>
          <w:szCs w:val="24"/>
        </w:rPr>
        <w:t>Local Context: Newham</w:t>
      </w:r>
      <w:r>
        <w:rPr>
          <w:rFonts w:ascii="Arial" w:hAnsi="Arial" w:cs="Arial"/>
          <w:sz w:val="24"/>
          <w:szCs w:val="24"/>
        </w:rPr>
        <w:t>……………………………………………………………</w:t>
      </w:r>
      <w:r w:rsidR="00B45103">
        <w:rPr>
          <w:rFonts w:ascii="Arial" w:hAnsi="Arial" w:cs="Arial"/>
          <w:sz w:val="24"/>
          <w:szCs w:val="24"/>
        </w:rPr>
        <w:t>….</w:t>
      </w:r>
      <w:r w:rsidR="003B1C37">
        <w:rPr>
          <w:rFonts w:ascii="Arial" w:hAnsi="Arial" w:cs="Arial"/>
          <w:sz w:val="24"/>
          <w:szCs w:val="24"/>
        </w:rPr>
        <w:t>8</w:t>
      </w:r>
    </w:p>
    <w:p w14:paraId="7FFF5752" w14:textId="3B271A8F" w:rsidR="00217083" w:rsidRDefault="00217083" w:rsidP="00D915E9">
      <w:pPr>
        <w:jc w:val="both"/>
        <w:rPr>
          <w:rFonts w:ascii="Arial" w:hAnsi="Arial" w:cs="Arial"/>
          <w:sz w:val="24"/>
          <w:szCs w:val="24"/>
        </w:rPr>
      </w:pPr>
      <w:r w:rsidRPr="00136313">
        <w:rPr>
          <w:rFonts w:ascii="Arial" w:hAnsi="Arial" w:cs="Arial"/>
          <w:sz w:val="24"/>
          <w:szCs w:val="24"/>
        </w:rPr>
        <w:t>Public Health Measures: The “3 Ps”</w:t>
      </w:r>
      <w:r>
        <w:rPr>
          <w:rFonts w:ascii="Arial" w:hAnsi="Arial" w:cs="Arial"/>
          <w:sz w:val="24"/>
          <w:szCs w:val="24"/>
        </w:rPr>
        <w:t>………………………………………………</w:t>
      </w:r>
      <w:r w:rsidR="00B56302">
        <w:rPr>
          <w:rFonts w:ascii="Arial" w:hAnsi="Arial" w:cs="Arial"/>
          <w:sz w:val="24"/>
          <w:szCs w:val="24"/>
        </w:rPr>
        <w:t>…</w:t>
      </w:r>
      <w:r w:rsidR="000C15D7">
        <w:rPr>
          <w:rFonts w:ascii="Arial" w:hAnsi="Arial" w:cs="Arial"/>
          <w:sz w:val="24"/>
          <w:szCs w:val="24"/>
        </w:rPr>
        <w:t>.</w:t>
      </w:r>
      <w:r>
        <w:rPr>
          <w:rFonts w:ascii="Arial" w:hAnsi="Arial" w:cs="Arial"/>
          <w:sz w:val="24"/>
          <w:szCs w:val="24"/>
        </w:rPr>
        <w:t>8</w:t>
      </w:r>
      <w:r w:rsidR="003B1C37">
        <w:rPr>
          <w:rFonts w:ascii="Arial" w:hAnsi="Arial" w:cs="Arial"/>
          <w:sz w:val="24"/>
          <w:szCs w:val="24"/>
        </w:rPr>
        <w:t>-9</w:t>
      </w:r>
    </w:p>
    <w:p w14:paraId="01C5DB68" w14:textId="30CEEFD0" w:rsidR="00217083" w:rsidRDefault="00217083" w:rsidP="00D915E9">
      <w:pPr>
        <w:jc w:val="both"/>
        <w:rPr>
          <w:rFonts w:ascii="Arial" w:hAnsi="Arial" w:cs="Arial"/>
          <w:sz w:val="24"/>
          <w:szCs w:val="24"/>
        </w:rPr>
      </w:pPr>
      <w:r w:rsidRPr="007B158F">
        <w:rPr>
          <w:rFonts w:ascii="Arial" w:hAnsi="Arial" w:cs="Arial"/>
          <w:sz w:val="24"/>
          <w:szCs w:val="24"/>
        </w:rPr>
        <w:t>Key Determinants and Risk Factors</w:t>
      </w:r>
      <w:r>
        <w:rPr>
          <w:rFonts w:ascii="Arial" w:hAnsi="Arial" w:cs="Arial"/>
          <w:sz w:val="24"/>
          <w:szCs w:val="24"/>
        </w:rPr>
        <w:t>………………………………………………</w:t>
      </w:r>
      <w:proofErr w:type="gramStart"/>
      <w:r w:rsidR="00846184">
        <w:rPr>
          <w:rFonts w:ascii="Arial" w:hAnsi="Arial" w:cs="Arial"/>
          <w:sz w:val="24"/>
          <w:szCs w:val="24"/>
        </w:rPr>
        <w:t>…</w:t>
      </w:r>
      <w:r w:rsidR="00B56302">
        <w:rPr>
          <w:rFonts w:ascii="Arial" w:hAnsi="Arial" w:cs="Arial"/>
          <w:sz w:val="24"/>
          <w:szCs w:val="24"/>
        </w:rPr>
        <w:t>.</w:t>
      </w:r>
      <w:r w:rsidR="003B1C37">
        <w:rPr>
          <w:rFonts w:ascii="Arial" w:hAnsi="Arial" w:cs="Arial"/>
          <w:sz w:val="24"/>
          <w:szCs w:val="24"/>
        </w:rPr>
        <w:t>.</w:t>
      </w:r>
      <w:proofErr w:type="gramEnd"/>
      <w:r>
        <w:rPr>
          <w:rFonts w:ascii="Arial" w:hAnsi="Arial" w:cs="Arial"/>
          <w:sz w:val="24"/>
          <w:szCs w:val="24"/>
        </w:rPr>
        <w:t>9</w:t>
      </w:r>
    </w:p>
    <w:p w14:paraId="1E7EC694" w14:textId="3B1BBC12" w:rsidR="00217083" w:rsidRDefault="00217083" w:rsidP="00D915E9">
      <w:pPr>
        <w:jc w:val="both"/>
        <w:rPr>
          <w:rFonts w:ascii="Arial" w:hAnsi="Arial" w:cs="Arial"/>
          <w:sz w:val="24"/>
          <w:szCs w:val="24"/>
        </w:rPr>
      </w:pPr>
      <w:r w:rsidRPr="009A246A">
        <w:rPr>
          <w:rFonts w:ascii="Arial" w:hAnsi="Arial" w:cs="Arial"/>
          <w:sz w:val="24"/>
          <w:szCs w:val="24"/>
        </w:rPr>
        <w:t>Epidemiological Studies and Health Needs Assessment</w:t>
      </w:r>
      <w:r>
        <w:rPr>
          <w:rFonts w:ascii="Arial" w:hAnsi="Arial" w:cs="Arial"/>
          <w:sz w:val="24"/>
          <w:szCs w:val="24"/>
        </w:rPr>
        <w:t>……………………</w:t>
      </w:r>
      <w:r w:rsidR="00846184">
        <w:rPr>
          <w:rFonts w:ascii="Arial" w:hAnsi="Arial" w:cs="Arial"/>
          <w:sz w:val="24"/>
          <w:szCs w:val="24"/>
        </w:rPr>
        <w:t>…...</w:t>
      </w:r>
      <w:r>
        <w:rPr>
          <w:rFonts w:ascii="Arial" w:hAnsi="Arial" w:cs="Arial"/>
          <w:sz w:val="24"/>
          <w:szCs w:val="24"/>
        </w:rPr>
        <w:t>9</w:t>
      </w:r>
      <w:r w:rsidR="00B56302">
        <w:rPr>
          <w:rFonts w:ascii="Arial" w:hAnsi="Arial" w:cs="Arial"/>
          <w:sz w:val="24"/>
          <w:szCs w:val="24"/>
        </w:rPr>
        <w:t>-10</w:t>
      </w:r>
    </w:p>
    <w:p w14:paraId="0094CC2D" w14:textId="32758BD3" w:rsidR="00217083" w:rsidRDefault="00217083" w:rsidP="00D915E9">
      <w:pPr>
        <w:jc w:val="both"/>
        <w:rPr>
          <w:rFonts w:ascii="Arial" w:hAnsi="Arial" w:cs="Arial"/>
          <w:sz w:val="24"/>
          <w:szCs w:val="24"/>
        </w:rPr>
      </w:pPr>
      <w:r w:rsidRPr="009A246A">
        <w:rPr>
          <w:rFonts w:ascii="Arial" w:hAnsi="Arial" w:cs="Arial"/>
          <w:sz w:val="24"/>
          <w:szCs w:val="24"/>
        </w:rPr>
        <w:t>Monitoring and Surveillance Systems</w:t>
      </w:r>
      <w:r>
        <w:rPr>
          <w:rFonts w:ascii="Arial" w:hAnsi="Arial" w:cs="Arial"/>
          <w:sz w:val="24"/>
          <w:szCs w:val="24"/>
        </w:rPr>
        <w:t>……………………………………………</w:t>
      </w:r>
      <w:r w:rsidR="00846184">
        <w:rPr>
          <w:rFonts w:ascii="Arial" w:hAnsi="Arial" w:cs="Arial"/>
          <w:sz w:val="24"/>
          <w:szCs w:val="24"/>
        </w:rPr>
        <w:t>…...</w:t>
      </w:r>
      <w:r w:rsidR="00BF5533">
        <w:rPr>
          <w:rFonts w:ascii="Arial" w:hAnsi="Arial" w:cs="Arial"/>
          <w:sz w:val="24"/>
          <w:szCs w:val="24"/>
        </w:rPr>
        <w:t>10</w:t>
      </w:r>
    </w:p>
    <w:p w14:paraId="67698B80" w14:textId="79DEB750" w:rsidR="00217083" w:rsidRDefault="00217083" w:rsidP="00D915E9">
      <w:pPr>
        <w:jc w:val="both"/>
        <w:rPr>
          <w:rFonts w:ascii="Arial" w:hAnsi="Arial" w:cs="Arial"/>
          <w:sz w:val="24"/>
          <w:szCs w:val="24"/>
        </w:rPr>
      </w:pPr>
      <w:r w:rsidRPr="00D14444">
        <w:rPr>
          <w:rFonts w:ascii="Arial" w:hAnsi="Arial" w:cs="Arial"/>
          <w:sz w:val="24"/>
          <w:szCs w:val="24"/>
        </w:rPr>
        <w:t>Planning and Epidemiological Assessment of Public Health Impact</w:t>
      </w:r>
      <w:r>
        <w:rPr>
          <w:rFonts w:ascii="Arial" w:hAnsi="Arial" w:cs="Arial"/>
          <w:sz w:val="24"/>
          <w:szCs w:val="24"/>
        </w:rPr>
        <w:t>…………</w:t>
      </w:r>
      <w:r w:rsidR="00C3070E">
        <w:rPr>
          <w:rFonts w:ascii="Arial" w:hAnsi="Arial" w:cs="Arial"/>
          <w:sz w:val="24"/>
          <w:szCs w:val="24"/>
        </w:rPr>
        <w:t>….</w:t>
      </w:r>
      <w:r w:rsidR="000C15D7">
        <w:rPr>
          <w:rFonts w:ascii="Arial" w:hAnsi="Arial" w:cs="Arial"/>
          <w:sz w:val="24"/>
          <w:szCs w:val="24"/>
        </w:rPr>
        <w:t>.</w:t>
      </w:r>
      <w:r w:rsidR="00C3070E">
        <w:rPr>
          <w:rFonts w:ascii="Arial" w:hAnsi="Arial" w:cs="Arial"/>
          <w:sz w:val="24"/>
          <w:szCs w:val="24"/>
        </w:rPr>
        <w:t>.</w:t>
      </w:r>
      <w:r w:rsidR="00BC140F">
        <w:rPr>
          <w:rFonts w:ascii="Arial" w:hAnsi="Arial" w:cs="Arial"/>
          <w:sz w:val="24"/>
          <w:szCs w:val="24"/>
        </w:rPr>
        <w:t>10</w:t>
      </w:r>
    </w:p>
    <w:p w14:paraId="57198D55" w14:textId="0835E28E" w:rsidR="00217083" w:rsidRDefault="00217083" w:rsidP="00D915E9">
      <w:pPr>
        <w:jc w:val="both"/>
        <w:rPr>
          <w:rFonts w:ascii="Arial" w:hAnsi="Arial" w:cs="Arial"/>
          <w:sz w:val="24"/>
          <w:szCs w:val="24"/>
        </w:rPr>
      </w:pPr>
      <w:r w:rsidRPr="00435F6B">
        <w:rPr>
          <w:rFonts w:ascii="Arial" w:hAnsi="Arial" w:cs="Arial"/>
          <w:sz w:val="24"/>
          <w:szCs w:val="24"/>
        </w:rPr>
        <w:t>Designing and Evaluating a Health Intervention Programme</w:t>
      </w:r>
      <w:r>
        <w:rPr>
          <w:rFonts w:ascii="Arial" w:hAnsi="Arial" w:cs="Arial"/>
          <w:sz w:val="24"/>
          <w:szCs w:val="24"/>
        </w:rPr>
        <w:t>……………………</w:t>
      </w:r>
      <w:r w:rsidR="005901BA">
        <w:rPr>
          <w:rFonts w:ascii="Arial" w:hAnsi="Arial" w:cs="Arial"/>
          <w:sz w:val="24"/>
          <w:szCs w:val="24"/>
        </w:rPr>
        <w:t>.10</w:t>
      </w:r>
      <w:r w:rsidR="00BF5533">
        <w:rPr>
          <w:rFonts w:ascii="Arial" w:hAnsi="Arial" w:cs="Arial"/>
          <w:sz w:val="24"/>
          <w:szCs w:val="24"/>
        </w:rPr>
        <w:t>-1</w:t>
      </w:r>
      <w:r w:rsidR="00131DEF">
        <w:rPr>
          <w:rFonts w:ascii="Arial" w:hAnsi="Arial" w:cs="Arial"/>
          <w:sz w:val="24"/>
          <w:szCs w:val="24"/>
        </w:rPr>
        <w:t>1</w:t>
      </w:r>
    </w:p>
    <w:p w14:paraId="0A4FE766" w14:textId="17F457A4" w:rsidR="00217083" w:rsidRDefault="00217083" w:rsidP="00D915E9">
      <w:pPr>
        <w:jc w:val="both"/>
        <w:rPr>
          <w:rFonts w:ascii="Arial" w:hAnsi="Arial" w:cs="Arial"/>
          <w:sz w:val="24"/>
          <w:szCs w:val="24"/>
        </w:rPr>
      </w:pPr>
      <w:r w:rsidRPr="00435F6B">
        <w:rPr>
          <w:rFonts w:ascii="Arial" w:hAnsi="Arial" w:cs="Arial"/>
          <w:sz w:val="24"/>
          <w:szCs w:val="24"/>
        </w:rPr>
        <w:t>Strengths and Weaknesses of the Epidemiological Approach</w:t>
      </w:r>
      <w:r>
        <w:rPr>
          <w:rFonts w:ascii="Arial" w:hAnsi="Arial" w:cs="Arial"/>
          <w:sz w:val="24"/>
          <w:szCs w:val="24"/>
        </w:rPr>
        <w:t>…………………</w:t>
      </w:r>
      <w:r w:rsidR="00846184">
        <w:rPr>
          <w:rFonts w:ascii="Arial" w:hAnsi="Arial" w:cs="Arial"/>
          <w:sz w:val="24"/>
          <w:szCs w:val="24"/>
        </w:rPr>
        <w:t>…...</w:t>
      </w:r>
      <w:r w:rsidR="005901BA">
        <w:rPr>
          <w:rFonts w:ascii="Arial" w:hAnsi="Arial" w:cs="Arial"/>
          <w:sz w:val="24"/>
          <w:szCs w:val="24"/>
        </w:rPr>
        <w:t>1</w:t>
      </w:r>
      <w:r w:rsidR="00131DEF">
        <w:rPr>
          <w:rFonts w:ascii="Arial" w:hAnsi="Arial" w:cs="Arial"/>
          <w:sz w:val="24"/>
          <w:szCs w:val="24"/>
        </w:rPr>
        <w:t>1</w:t>
      </w:r>
    </w:p>
    <w:p w14:paraId="366CEEA6" w14:textId="1E9E606C" w:rsidR="00217083" w:rsidRDefault="00217083" w:rsidP="00D915E9">
      <w:pPr>
        <w:jc w:val="both"/>
        <w:rPr>
          <w:rFonts w:ascii="Arial" w:hAnsi="Arial" w:cs="Arial"/>
          <w:sz w:val="24"/>
          <w:szCs w:val="24"/>
        </w:rPr>
      </w:pPr>
      <w:r w:rsidRPr="00435F6B">
        <w:rPr>
          <w:rFonts w:ascii="Arial" w:hAnsi="Arial" w:cs="Arial"/>
          <w:sz w:val="24"/>
          <w:szCs w:val="24"/>
        </w:rPr>
        <w:t>Conclusion</w:t>
      </w:r>
      <w:r>
        <w:rPr>
          <w:rFonts w:ascii="Arial" w:hAnsi="Arial" w:cs="Arial"/>
          <w:sz w:val="24"/>
          <w:szCs w:val="24"/>
        </w:rPr>
        <w:t>…………………………………………………………………………</w:t>
      </w:r>
      <w:r w:rsidR="00846184">
        <w:rPr>
          <w:rFonts w:ascii="Arial" w:hAnsi="Arial" w:cs="Arial"/>
          <w:sz w:val="24"/>
          <w:szCs w:val="24"/>
        </w:rPr>
        <w:t>…...</w:t>
      </w:r>
      <w:r w:rsidR="005901BA">
        <w:rPr>
          <w:rFonts w:ascii="Arial" w:hAnsi="Arial" w:cs="Arial"/>
          <w:sz w:val="24"/>
          <w:szCs w:val="24"/>
        </w:rPr>
        <w:t>11</w:t>
      </w:r>
      <w:r w:rsidR="00322DF6">
        <w:rPr>
          <w:rFonts w:ascii="Arial" w:hAnsi="Arial" w:cs="Arial"/>
          <w:sz w:val="24"/>
          <w:szCs w:val="24"/>
        </w:rPr>
        <w:t>-12</w:t>
      </w:r>
    </w:p>
    <w:p w14:paraId="3C190A54" w14:textId="2CCE72AD" w:rsidR="008D1DEC" w:rsidRDefault="008665C0" w:rsidP="008D1DEC">
      <w:pPr>
        <w:jc w:val="both"/>
        <w:rPr>
          <w:rFonts w:ascii="Arial" w:hAnsi="Arial" w:cs="Arial"/>
          <w:sz w:val="24"/>
          <w:szCs w:val="24"/>
        </w:rPr>
      </w:pPr>
      <w:r>
        <w:rPr>
          <w:rFonts w:ascii="Arial" w:hAnsi="Arial" w:cs="Arial"/>
          <w:sz w:val="24"/>
          <w:szCs w:val="24"/>
        </w:rPr>
        <w:t>Refer</w:t>
      </w:r>
      <w:r w:rsidR="00556F4D">
        <w:rPr>
          <w:rFonts w:ascii="Arial" w:hAnsi="Arial" w:cs="Arial"/>
          <w:sz w:val="24"/>
          <w:szCs w:val="24"/>
        </w:rPr>
        <w:t>ence List………………………………………………………</w:t>
      </w:r>
      <w:r w:rsidR="00846184">
        <w:rPr>
          <w:rFonts w:ascii="Arial" w:hAnsi="Arial" w:cs="Arial"/>
          <w:sz w:val="24"/>
          <w:szCs w:val="24"/>
        </w:rPr>
        <w:t>…...</w:t>
      </w:r>
      <w:r w:rsidR="00556F4D">
        <w:rPr>
          <w:rFonts w:ascii="Arial" w:hAnsi="Arial" w:cs="Arial"/>
          <w:sz w:val="24"/>
          <w:szCs w:val="24"/>
        </w:rPr>
        <w:t>…</w:t>
      </w:r>
      <w:r w:rsidR="000571DF">
        <w:rPr>
          <w:rFonts w:ascii="Arial" w:hAnsi="Arial" w:cs="Arial"/>
          <w:sz w:val="24"/>
          <w:szCs w:val="24"/>
        </w:rPr>
        <w:t>13-14</w:t>
      </w:r>
      <w:r w:rsidR="00033D8E">
        <w:rPr>
          <w:rFonts w:ascii="Arial" w:hAnsi="Arial" w:cs="Arial"/>
          <w:sz w:val="24"/>
          <w:szCs w:val="24"/>
        </w:rPr>
        <w:t>-15-16-</w:t>
      </w:r>
      <w:r w:rsidR="00846184">
        <w:rPr>
          <w:rFonts w:ascii="Arial" w:hAnsi="Arial" w:cs="Arial"/>
          <w:sz w:val="24"/>
          <w:szCs w:val="24"/>
        </w:rPr>
        <w:t>17</w:t>
      </w:r>
    </w:p>
    <w:p w14:paraId="2E9425ED" w14:textId="79AB4F95" w:rsidR="00062BE0" w:rsidRPr="008D1DEC" w:rsidRDefault="00062BE0" w:rsidP="008D1DEC">
      <w:pPr>
        <w:jc w:val="both"/>
        <w:rPr>
          <w:rFonts w:ascii="Arial" w:hAnsi="Arial" w:cs="Arial"/>
          <w:sz w:val="24"/>
          <w:szCs w:val="24"/>
        </w:rPr>
      </w:pPr>
      <w:r>
        <w:rPr>
          <w:rFonts w:ascii="Arial" w:hAnsi="Arial" w:cs="Arial"/>
          <w:b/>
          <w:bCs/>
        </w:rPr>
        <w:lastRenderedPageBreak/>
        <w:t>Task</w:t>
      </w:r>
      <w:r w:rsidR="00572B21">
        <w:rPr>
          <w:rFonts w:ascii="Arial" w:hAnsi="Arial" w:cs="Arial"/>
          <w:b/>
          <w:bCs/>
        </w:rPr>
        <w:t xml:space="preserve"> 1:</w:t>
      </w:r>
    </w:p>
    <w:p w14:paraId="0F89FB21" w14:textId="399F47D9" w:rsidR="00923D3F" w:rsidRPr="00FF4BC5" w:rsidRDefault="00923D3F" w:rsidP="00923D3F">
      <w:pPr>
        <w:spacing w:line="360" w:lineRule="auto"/>
        <w:jc w:val="both"/>
        <w:rPr>
          <w:rFonts w:ascii="Arial" w:hAnsi="Arial" w:cs="Arial"/>
          <w:b/>
          <w:bCs/>
        </w:rPr>
      </w:pPr>
      <w:r w:rsidRPr="00FF4BC5">
        <w:rPr>
          <w:rFonts w:ascii="Arial" w:hAnsi="Arial" w:cs="Arial"/>
          <w:b/>
          <w:bCs/>
        </w:rPr>
        <w:t xml:space="preserve">Age and Health Inequality in the </w:t>
      </w:r>
      <w:r>
        <w:rPr>
          <w:rFonts w:ascii="Arial" w:hAnsi="Arial" w:cs="Arial"/>
          <w:b/>
          <w:bCs/>
        </w:rPr>
        <w:t>Elderly</w:t>
      </w:r>
      <w:r w:rsidRPr="00FF4BC5">
        <w:rPr>
          <w:rFonts w:ascii="Arial" w:hAnsi="Arial" w:cs="Arial"/>
          <w:b/>
          <w:bCs/>
        </w:rPr>
        <w:t xml:space="preserve"> Population of the UK</w:t>
      </w:r>
    </w:p>
    <w:p w14:paraId="3B73D8CF" w14:textId="77777777" w:rsidR="00923D3F" w:rsidRPr="00FF4BC5" w:rsidRDefault="00923D3F" w:rsidP="00923D3F">
      <w:pPr>
        <w:spacing w:line="360" w:lineRule="auto"/>
        <w:jc w:val="both"/>
        <w:rPr>
          <w:rFonts w:ascii="Arial" w:hAnsi="Arial" w:cs="Arial"/>
          <w:b/>
          <w:bCs/>
        </w:rPr>
      </w:pPr>
      <w:r w:rsidRPr="00FF4BC5">
        <w:rPr>
          <w:rFonts w:ascii="Arial" w:hAnsi="Arial" w:cs="Arial"/>
          <w:b/>
          <w:bCs/>
        </w:rPr>
        <w:t>Introduction</w:t>
      </w:r>
    </w:p>
    <w:p w14:paraId="66516366" w14:textId="77777777" w:rsidR="00923D3F" w:rsidRPr="00FF4BC5" w:rsidRDefault="00923D3F" w:rsidP="00923D3F">
      <w:pPr>
        <w:spacing w:line="360" w:lineRule="auto"/>
        <w:jc w:val="both"/>
        <w:rPr>
          <w:rFonts w:ascii="Arial" w:hAnsi="Arial" w:cs="Arial"/>
        </w:rPr>
      </w:pPr>
      <w:r w:rsidRPr="00FF4BC5">
        <w:rPr>
          <w:rFonts w:ascii="Arial" w:hAnsi="Arial" w:cs="Arial"/>
        </w:rPr>
        <w:t>The chosen target group for this analysis is the elderly population in the UK, defined as individuals aged 65 and over. This group is particularly vulnerable to health inequalities due to age-related physiological decline, increased prevalence of chronic conditions, and social factors such as isolation and economic insecurity. As the UK’s population ages, the urgency of understanding and addressing these disparities becomes critical for public health planning and social justice (Centre for Ageing Better, 2025).</w:t>
      </w:r>
    </w:p>
    <w:p w14:paraId="5B5F36F7" w14:textId="315A194A" w:rsidR="00923D3F" w:rsidRPr="00FF4BC5" w:rsidRDefault="00923D3F" w:rsidP="00923D3F">
      <w:pPr>
        <w:spacing w:line="360" w:lineRule="auto"/>
        <w:jc w:val="both"/>
        <w:rPr>
          <w:rFonts w:ascii="Arial" w:hAnsi="Arial" w:cs="Arial"/>
          <w:b/>
          <w:bCs/>
        </w:rPr>
      </w:pPr>
      <w:bookmarkStart w:id="0" w:name="_Hlk213140830"/>
    </w:p>
    <w:p w14:paraId="6ECC85AF" w14:textId="77777777" w:rsidR="00923D3F" w:rsidRPr="00FF4BC5" w:rsidRDefault="00923D3F" w:rsidP="00923D3F">
      <w:pPr>
        <w:spacing w:line="360" w:lineRule="auto"/>
        <w:jc w:val="both"/>
        <w:rPr>
          <w:rFonts w:ascii="Arial" w:hAnsi="Arial" w:cs="Arial"/>
          <w:b/>
          <w:bCs/>
        </w:rPr>
      </w:pPr>
      <w:r w:rsidRPr="00FF4BC5">
        <w:rPr>
          <w:rFonts w:ascii="Arial" w:hAnsi="Arial" w:cs="Arial"/>
          <w:b/>
          <w:bCs/>
        </w:rPr>
        <w:t>Higher Rates of Mental Illness</w:t>
      </w:r>
    </w:p>
    <w:bookmarkEnd w:id="0"/>
    <w:p w14:paraId="37317041" w14:textId="77777777" w:rsidR="00923D3F" w:rsidRPr="00FF4BC5" w:rsidRDefault="00923D3F" w:rsidP="00923D3F">
      <w:pPr>
        <w:spacing w:line="360" w:lineRule="auto"/>
        <w:jc w:val="both"/>
        <w:rPr>
          <w:rFonts w:ascii="Arial" w:hAnsi="Arial" w:cs="Arial"/>
        </w:rPr>
      </w:pPr>
      <w:r w:rsidRPr="00FF4BC5">
        <w:rPr>
          <w:rFonts w:ascii="Arial" w:hAnsi="Arial" w:cs="Arial"/>
        </w:rPr>
        <w:t>Older adults in the UK experience disproportionately high rates of depression and anxiety. According to the Centre for Mental Health (2025), 20.2% of adults aged 65+ live with a common mental health condition. Contributing factors include bereavement, chronic illness, and social isolation. Mental health services often prioritise younger populations, leaving older adults underdiagnosed and undertreated. Solutions include age-specific mental health outreach and integrated care models (Priory, 2025).</w:t>
      </w:r>
    </w:p>
    <w:p w14:paraId="7EAC33D1" w14:textId="77777777" w:rsidR="00923D3F" w:rsidRPr="00FF4BC5" w:rsidRDefault="00923D3F" w:rsidP="00923D3F">
      <w:pPr>
        <w:spacing w:line="360" w:lineRule="auto"/>
        <w:jc w:val="both"/>
        <w:rPr>
          <w:rFonts w:ascii="Arial" w:hAnsi="Arial" w:cs="Arial"/>
          <w:b/>
          <w:bCs/>
        </w:rPr>
      </w:pPr>
      <w:bookmarkStart w:id="1" w:name="_Hlk213140922"/>
      <w:r w:rsidRPr="00FF4BC5">
        <w:rPr>
          <w:rFonts w:ascii="Arial" w:hAnsi="Arial" w:cs="Arial"/>
          <w:b/>
          <w:bCs/>
        </w:rPr>
        <w:t>Low Rates of Access to Healthcare</w:t>
      </w:r>
    </w:p>
    <w:bookmarkEnd w:id="1"/>
    <w:p w14:paraId="2F4CE0B2" w14:textId="77777777" w:rsidR="00923D3F" w:rsidRPr="00FF4BC5" w:rsidRDefault="00923D3F" w:rsidP="00923D3F">
      <w:pPr>
        <w:spacing w:line="360" w:lineRule="auto"/>
        <w:jc w:val="both"/>
        <w:rPr>
          <w:rFonts w:ascii="Arial" w:hAnsi="Arial" w:cs="Arial"/>
        </w:rPr>
      </w:pPr>
      <w:r w:rsidRPr="00FF4BC5">
        <w:rPr>
          <w:rFonts w:ascii="Arial" w:hAnsi="Arial" w:cs="Arial"/>
        </w:rPr>
        <w:t>Despite being the largest users of NHS services, older people face barriers such as long waiting times, digital exclusion, and mobility issues. NHS England (2025) reports that 75% of people aged 75+ have multiple long-term conditions, yet many struggle to access coordinated care. To bridge this gap, it is essential to focus on improving transport, digital literacy, and geriatric training among healthcare professionals, as these measures can significantly enhance healthcare access for the elderly (Age UK, 2025a).</w:t>
      </w:r>
    </w:p>
    <w:p w14:paraId="3354EB99" w14:textId="77777777" w:rsidR="00923D3F" w:rsidRDefault="00923D3F" w:rsidP="00923D3F">
      <w:pPr>
        <w:spacing w:line="360" w:lineRule="auto"/>
        <w:jc w:val="both"/>
        <w:rPr>
          <w:rFonts w:ascii="Arial" w:hAnsi="Arial" w:cs="Arial"/>
          <w:b/>
          <w:bCs/>
        </w:rPr>
      </w:pPr>
      <w:r w:rsidRPr="00FF4BC5">
        <w:rPr>
          <w:rFonts w:ascii="Arial" w:hAnsi="Arial" w:cs="Arial"/>
          <w:b/>
          <w:bCs/>
        </w:rPr>
        <w:t>Mortality Rates Among the Elderly Group</w:t>
      </w:r>
    </w:p>
    <w:p w14:paraId="5BDF2BBD" w14:textId="77777777" w:rsidR="00923D3F" w:rsidRPr="00FF4BC5" w:rsidRDefault="00923D3F" w:rsidP="00923D3F">
      <w:pPr>
        <w:spacing w:line="360" w:lineRule="auto"/>
        <w:jc w:val="both"/>
        <w:rPr>
          <w:rFonts w:ascii="Arial" w:hAnsi="Arial" w:cs="Arial"/>
        </w:rPr>
      </w:pPr>
      <w:r w:rsidRPr="005E2AC0">
        <w:rPr>
          <w:rFonts w:ascii="Arial" w:hAnsi="Arial" w:cs="Arial"/>
        </w:rPr>
        <w:t>According to the Office for Health Improvement and Disparities (2025), while mortality rates remain significantly higher among older adults, especially in deprived areas, there is potential for positive change. This reflects broader systemic influences, including unequal access to healthcare, chronic disease burden, and environmental stressors that accumulate over time. Addressing social determinants of health and improving end-of-life care are essential steps (Gov.uk, 2025a).</w:t>
      </w:r>
    </w:p>
    <w:p w14:paraId="1B9DE5BA" w14:textId="77777777" w:rsidR="00923D3F" w:rsidRDefault="00923D3F" w:rsidP="00923D3F">
      <w:pPr>
        <w:spacing w:line="360" w:lineRule="auto"/>
        <w:jc w:val="both"/>
        <w:rPr>
          <w:rFonts w:ascii="Arial" w:hAnsi="Arial" w:cs="Arial"/>
          <w:b/>
          <w:bCs/>
        </w:rPr>
      </w:pPr>
    </w:p>
    <w:p w14:paraId="1CBB9A1C" w14:textId="77777777" w:rsidR="00923D3F" w:rsidRPr="00FF4BC5" w:rsidRDefault="00923D3F" w:rsidP="00923D3F">
      <w:pPr>
        <w:spacing w:line="360" w:lineRule="auto"/>
        <w:jc w:val="both"/>
        <w:rPr>
          <w:rFonts w:ascii="Arial" w:hAnsi="Arial" w:cs="Arial"/>
          <w:b/>
          <w:bCs/>
        </w:rPr>
      </w:pPr>
      <w:r w:rsidRPr="00FF4BC5">
        <w:rPr>
          <w:rFonts w:ascii="Arial" w:hAnsi="Arial" w:cs="Arial"/>
          <w:b/>
          <w:bCs/>
        </w:rPr>
        <w:lastRenderedPageBreak/>
        <w:t>Social Isolation and Loneliness</w:t>
      </w:r>
    </w:p>
    <w:p w14:paraId="6413DC11" w14:textId="77777777" w:rsidR="00923D3F" w:rsidRPr="00FF4BC5" w:rsidRDefault="00923D3F" w:rsidP="00923D3F">
      <w:pPr>
        <w:spacing w:line="360" w:lineRule="auto"/>
        <w:jc w:val="both"/>
        <w:rPr>
          <w:rFonts w:ascii="Arial" w:hAnsi="Arial" w:cs="Arial"/>
        </w:rPr>
      </w:pPr>
      <w:r w:rsidRPr="00FF4BC5">
        <w:rPr>
          <w:rFonts w:ascii="Arial" w:hAnsi="Arial" w:cs="Arial"/>
        </w:rPr>
        <w:t>Loneliness affects nearly one million older people in the UK, with over two million aged 75+ living alone (Age UK, 2025b). Isolation increases the risk of cognitive decline, depression, and physical illness, highlighting the profound impact of this issue. Causes include retirement, bereavement, and reduced mobility. Community engagement programs, befriending services, and intergenerational initiatives can mitigate these effects (BMC Geriatrics, 2025).</w:t>
      </w:r>
    </w:p>
    <w:p w14:paraId="68EE6558" w14:textId="77777777" w:rsidR="00923D3F" w:rsidRPr="00FF4BC5" w:rsidRDefault="00923D3F" w:rsidP="00923D3F">
      <w:pPr>
        <w:spacing w:line="360" w:lineRule="auto"/>
        <w:jc w:val="both"/>
        <w:rPr>
          <w:rFonts w:ascii="Arial" w:hAnsi="Arial" w:cs="Arial"/>
          <w:b/>
          <w:bCs/>
        </w:rPr>
      </w:pPr>
      <w:r w:rsidRPr="00FF4BC5">
        <w:rPr>
          <w:rFonts w:ascii="Arial" w:hAnsi="Arial" w:cs="Arial"/>
          <w:b/>
          <w:bCs/>
        </w:rPr>
        <w:t>Poverty</w:t>
      </w:r>
    </w:p>
    <w:p w14:paraId="1CB2D3C3" w14:textId="77777777" w:rsidR="00923D3F" w:rsidRPr="00FF4BC5" w:rsidRDefault="00923D3F" w:rsidP="00923D3F">
      <w:pPr>
        <w:spacing w:line="360" w:lineRule="auto"/>
        <w:jc w:val="both"/>
        <w:rPr>
          <w:rFonts w:ascii="Arial" w:hAnsi="Arial" w:cs="Arial"/>
        </w:rPr>
      </w:pPr>
      <w:r w:rsidRPr="00FF4BC5">
        <w:rPr>
          <w:rFonts w:ascii="Arial" w:hAnsi="Arial" w:cs="Arial"/>
        </w:rPr>
        <w:t>17% of pensioners live in relative poverty, with rates rising to 21% among those aged 85+ (Centre for Ageing Better, 2025). Contributing factors include inadequate pensions, rising living costs, and limited employment opportunities. Poverty exacerbates health inequalities by restricting access to nutritious food, heating, and healthcare. Policy reforms to pension systems and targeted financial support are needed (JRF, 2025).</w:t>
      </w:r>
    </w:p>
    <w:p w14:paraId="13729DCF" w14:textId="77777777" w:rsidR="00923D3F" w:rsidRPr="00FF4BC5" w:rsidRDefault="00923D3F" w:rsidP="00923D3F">
      <w:pPr>
        <w:spacing w:line="360" w:lineRule="auto"/>
        <w:jc w:val="both"/>
        <w:rPr>
          <w:rFonts w:ascii="Arial" w:hAnsi="Arial" w:cs="Arial"/>
          <w:b/>
          <w:bCs/>
        </w:rPr>
      </w:pPr>
      <w:r w:rsidRPr="00FF4BC5">
        <w:rPr>
          <w:rFonts w:ascii="Arial" w:hAnsi="Arial" w:cs="Arial"/>
          <w:b/>
          <w:bCs/>
        </w:rPr>
        <w:t>Housing Issues</w:t>
      </w:r>
    </w:p>
    <w:p w14:paraId="2F1CC9FE" w14:textId="77777777" w:rsidR="00923D3F" w:rsidRPr="00FF4BC5" w:rsidRDefault="00923D3F" w:rsidP="00923D3F">
      <w:pPr>
        <w:spacing w:line="360" w:lineRule="auto"/>
        <w:jc w:val="both"/>
        <w:rPr>
          <w:rFonts w:ascii="Arial" w:hAnsi="Arial" w:cs="Arial"/>
        </w:rPr>
      </w:pPr>
      <w:r w:rsidRPr="00FF4BC5">
        <w:rPr>
          <w:rFonts w:ascii="Arial" w:hAnsi="Arial" w:cs="Arial"/>
        </w:rPr>
        <w:t>Many older adults live in unsuitable or insecure housing. Age UK (2025c) highlights that a shortage of accessible housing forces many to remain in homes that do not meet their needs. Poor housing conditions contribute to falls, respiratory illness, and mental distress. Solutions include expanding affordable senior housing and retrofitting existing homes for accessibility (Crisis UK, 2025).</w:t>
      </w:r>
    </w:p>
    <w:p w14:paraId="7E7DED29" w14:textId="77777777" w:rsidR="00923D3F" w:rsidRPr="00FF4BC5" w:rsidRDefault="00923D3F" w:rsidP="00923D3F">
      <w:pPr>
        <w:spacing w:line="360" w:lineRule="auto"/>
        <w:jc w:val="both"/>
        <w:rPr>
          <w:rFonts w:ascii="Arial" w:hAnsi="Arial" w:cs="Arial"/>
          <w:b/>
          <w:bCs/>
        </w:rPr>
      </w:pPr>
      <w:r w:rsidRPr="00FF4BC5">
        <w:rPr>
          <w:rFonts w:ascii="Arial" w:hAnsi="Arial" w:cs="Arial"/>
          <w:b/>
          <w:bCs/>
        </w:rPr>
        <w:t>National Response to Reduce Health Inequalities</w:t>
      </w:r>
    </w:p>
    <w:p w14:paraId="40004092" w14:textId="77777777" w:rsidR="00923D3F" w:rsidRPr="00FF4BC5" w:rsidRDefault="00923D3F" w:rsidP="00923D3F">
      <w:pPr>
        <w:spacing w:line="360" w:lineRule="auto"/>
        <w:jc w:val="both"/>
        <w:rPr>
          <w:rFonts w:ascii="Arial" w:hAnsi="Arial" w:cs="Arial"/>
        </w:rPr>
      </w:pPr>
      <w:r w:rsidRPr="00FF4BC5">
        <w:rPr>
          <w:rFonts w:ascii="Arial" w:hAnsi="Arial" w:cs="Arial"/>
        </w:rPr>
        <w:t>The UK government has introduced several targeted initiatives to address the health inequalities experienced by older adults. One key measure is the Health Inequalities in Health Protection Report (UKHSA, 2025), which identifies systemic causes of disparities and recommends strategic interventions such as enhanced regional resource allocation and improved data collection to understand local needs better. The report highlights that people in the most deprived areas are nearly twice as likely to be hospitalised for infectious diseases compared to those in the least deprived areas (UKHSA, 2025a).</w:t>
      </w:r>
    </w:p>
    <w:p w14:paraId="64B9F27C" w14:textId="77777777" w:rsidR="00923D3F" w:rsidRPr="00FF4BC5" w:rsidRDefault="00923D3F" w:rsidP="00923D3F">
      <w:pPr>
        <w:spacing w:line="360" w:lineRule="auto"/>
        <w:jc w:val="both"/>
        <w:rPr>
          <w:rFonts w:ascii="Arial" w:hAnsi="Arial" w:cs="Arial"/>
        </w:rPr>
      </w:pPr>
      <w:r w:rsidRPr="00FF4BC5">
        <w:rPr>
          <w:rFonts w:ascii="Arial" w:hAnsi="Arial" w:cs="Arial"/>
        </w:rPr>
        <w:t>Another significant development is the implementation of the Integrated Care Systems (ICS) Framework, promoted by the Care Quality Commission. ICS aims to deliver person-centred care by fostering collaboration between health and social care providers. This approach is particularly beneficial for older individuals with complex needs, as it reduces service fragmentation and improves continuity of care (CQC, 2025a). The framework also encourages engagement with communities to address health inequalities more effectively (Point of Care Foundation, 2025).</w:t>
      </w:r>
    </w:p>
    <w:p w14:paraId="4C9869E5" w14:textId="77777777" w:rsidR="00923D3F" w:rsidRPr="00FF4BC5" w:rsidRDefault="00923D3F" w:rsidP="00923D3F">
      <w:pPr>
        <w:spacing w:line="360" w:lineRule="auto"/>
        <w:jc w:val="both"/>
        <w:rPr>
          <w:rFonts w:ascii="Arial" w:hAnsi="Arial" w:cs="Arial"/>
        </w:rPr>
      </w:pPr>
      <w:r w:rsidRPr="00FF4BC5">
        <w:rPr>
          <w:rFonts w:ascii="Arial" w:hAnsi="Arial" w:cs="Arial"/>
        </w:rPr>
        <w:lastRenderedPageBreak/>
        <w:t>In response to rising energy costs and the impact of fuel poverty on older populations, the government expanded the Winter Fuel Payment scheme. Adjustments included increasing the payment amount and broadening eligibility criteria to ensure that vulnerable pensioners could maintain safe and warm living conditions during colder months (Age UK, 2025a; GOV.UK, 2025). This support is crucial given that cold homes contribute to excess winter deaths among the elderly.</w:t>
      </w:r>
    </w:p>
    <w:p w14:paraId="0E2350C8" w14:textId="77777777" w:rsidR="00923D3F" w:rsidRPr="00FF4BC5" w:rsidRDefault="00923D3F" w:rsidP="00923D3F">
      <w:pPr>
        <w:spacing w:line="360" w:lineRule="auto"/>
        <w:jc w:val="both"/>
        <w:rPr>
          <w:rFonts w:ascii="Arial" w:hAnsi="Arial" w:cs="Arial"/>
          <w:b/>
          <w:bCs/>
        </w:rPr>
      </w:pPr>
      <w:r w:rsidRPr="00FF4BC5">
        <w:rPr>
          <w:rFonts w:ascii="Arial" w:hAnsi="Arial" w:cs="Arial"/>
          <w:b/>
          <w:bCs/>
        </w:rPr>
        <w:t>Organisations That Support the Chosen Group</w:t>
      </w:r>
    </w:p>
    <w:p w14:paraId="7BDED348" w14:textId="77777777" w:rsidR="00923D3F" w:rsidRPr="00FF4BC5" w:rsidRDefault="00923D3F" w:rsidP="00923D3F">
      <w:pPr>
        <w:spacing w:line="360" w:lineRule="auto"/>
        <w:jc w:val="both"/>
        <w:rPr>
          <w:rFonts w:ascii="Arial" w:hAnsi="Arial" w:cs="Arial"/>
        </w:rPr>
      </w:pPr>
      <w:r w:rsidRPr="00FF4BC5">
        <w:rPr>
          <w:rFonts w:ascii="Arial" w:hAnsi="Arial" w:cs="Arial"/>
        </w:rPr>
        <w:t>Age UK is the leading national charity dedicated to supporting older people across the United Kingdom. It plays a vital role in addressing health inequalities through a wide range of services and advocacy efforts. The organisation offers befriending programs and social support networks designed to combat loneliness and isolation, which are prevalent among the senior citizens (Age UK, 2025b). It also provides accessible information and advice on key issues such as benefits, housing, and healthcare, helping older adults navigate complex systems and secure the support they need.</w:t>
      </w:r>
    </w:p>
    <w:p w14:paraId="2E5C6E10" w14:textId="77777777" w:rsidR="00923D3F" w:rsidRPr="00FF4BC5" w:rsidRDefault="00923D3F" w:rsidP="00923D3F">
      <w:pPr>
        <w:spacing w:line="360" w:lineRule="auto"/>
        <w:jc w:val="both"/>
        <w:rPr>
          <w:rFonts w:ascii="Arial" w:hAnsi="Arial" w:cs="Arial"/>
        </w:rPr>
      </w:pPr>
      <w:r w:rsidRPr="00FF4BC5">
        <w:rPr>
          <w:rFonts w:ascii="Arial" w:hAnsi="Arial" w:cs="Arial"/>
        </w:rPr>
        <w:t>Beyond direct services, Age UK is deeply involved in campaigning and policy advocacy. Its Health Influencing Team works to ensure that the voices of older people are represented in national decision-making processes. The charity’s flagship publication, the State of Ageing Report (Centre for Ageing Better, 2025), presents comprehensive data on the challenges facing older adults and offers evidence-based recommendations to reduce inequalities. The report reveals that millions of older people live in poor-quality housing and experience significant regional disparities in health outcomes.</w:t>
      </w:r>
    </w:p>
    <w:p w14:paraId="2AF72DDC" w14:textId="77777777" w:rsidR="00923D3F" w:rsidRPr="00FF4BC5" w:rsidRDefault="00923D3F" w:rsidP="00923D3F">
      <w:pPr>
        <w:spacing w:line="360" w:lineRule="auto"/>
        <w:jc w:val="both"/>
        <w:rPr>
          <w:rFonts w:ascii="Arial" w:hAnsi="Arial" w:cs="Arial"/>
        </w:rPr>
      </w:pPr>
      <w:r w:rsidRPr="20A8404B">
        <w:rPr>
          <w:rFonts w:ascii="Arial" w:hAnsi="Arial" w:cs="Arial"/>
        </w:rPr>
        <w:t>Age UK also conducts research into critical areas such as mental health, poverty, and housing, using its findings to shape public discourse and influence policy reform (Age UK, 2025c). Through its multifaceted approach combining service delivery, research, and advocacy Age UK continues to be a cornerstone in the fight against age-related health disparities. It works not only to improve individual lives but also to contribute to a more equitable and inclusive society for older generations.</w:t>
      </w:r>
    </w:p>
    <w:p w14:paraId="67A726CA" w14:textId="77777777" w:rsidR="00923D3F" w:rsidRPr="00FF4BC5" w:rsidRDefault="00923D3F" w:rsidP="00923D3F">
      <w:pPr>
        <w:spacing w:line="360" w:lineRule="auto"/>
        <w:jc w:val="both"/>
        <w:rPr>
          <w:rFonts w:ascii="Arial" w:hAnsi="Arial" w:cs="Arial"/>
          <w:b/>
          <w:bCs/>
        </w:rPr>
      </w:pPr>
      <w:r w:rsidRPr="00FF4BC5">
        <w:rPr>
          <w:rFonts w:ascii="Arial" w:hAnsi="Arial" w:cs="Arial"/>
          <w:b/>
          <w:bCs/>
        </w:rPr>
        <w:t>Conclusion</w:t>
      </w:r>
    </w:p>
    <w:p w14:paraId="1287F35E" w14:textId="77777777" w:rsidR="00923D3F" w:rsidRPr="00FF4BC5" w:rsidRDefault="00923D3F" w:rsidP="00923D3F">
      <w:pPr>
        <w:spacing w:line="360" w:lineRule="auto"/>
        <w:jc w:val="both"/>
        <w:rPr>
          <w:rFonts w:ascii="Arial" w:hAnsi="Arial" w:cs="Arial"/>
        </w:rPr>
      </w:pPr>
      <w:r w:rsidRPr="00FF4BC5">
        <w:rPr>
          <w:rFonts w:ascii="Arial" w:hAnsi="Arial" w:cs="Arial"/>
        </w:rPr>
        <w:t xml:space="preserve">In summary, the elderly population in the UK faces persistent and multifaceted health inequalities, including elevated rates of mental illness, restricted access to healthcare, higher mortality in deprived areas, social isolation, poverty, and housing insecurity (UKHSA, 2025; Age UK, 2025a; Centre for Ageing Better, 2025). These disparities are shaped by structural and social determinants such as income, geography, and digital exclusion, and they demand coordinated responses at both national and local levels. Government initiatives like the Health </w:t>
      </w:r>
      <w:r w:rsidRPr="00FF4BC5">
        <w:rPr>
          <w:rFonts w:ascii="Arial" w:hAnsi="Arial" w:cs="Arial"/>
        </w:rPr>
        <w:lastRenderedPageBreak/>
        <w:t>Inequalities in Health Protection Report and Integrated Care Systems aim to address these gaps (UKHSA, 2025; CQC, 2025). Charities such as Age UK play a vital role in advocacy, service provision, and research, helping older adults age with dignity, improved health, and greater social inclusion (Age UK, 2025c).</w:t>
      </w:r>
    </w:p>
    <w:p w14:paraId="73C3BFEC" w14:textId="77777777" w:rsidR="000D7D8C" w:rsidRDefault="000D7D8C">
      <w:pPr>
        <w:rPr>
          <w:rFonts w:ascii="Arial" w:hAnsi="Arial" w:cs="Arial"/>
          <w:b/>
          <w:bCs/>
          <w:sz w:val="28"/>
          <w:szCs w:val="28"/>
        </w:rPr>
      </w:pPr>
    </w:p>
    <w:p w14:paraId="2CEC085C" w14:textId="77777777" w:rsidR="00243195" w:rsidRDefault="00243195">
      <w:pPr>
        <w:rPr>
          <w:rFonts w:ascii="Arial" w:hAnsi="Arial" w:cs="Arial"/>
          <w:b/>
          <w:bCs/>
          <w:sz w:val="28"/>
          <w:szCs w:val="28"/>
        </w:rPr>
      </w:pPr>
    </w:p>
    <w:p w14:paraId="6461BB57" w14:textId="77777777" w:rsidR="00243195" w:rsidRDefault="00243195">
      <w:pPr>
        <w:rPr>
          <w:rFonts w:ascii="Arial" w:hAnsi="Arial" w:cs="Arial"/>
          <w:b/>
          <w:bCs/>
          <w:sz w:val="28"/>
          <w:szCs w:val="28"/>
        </w:rPr>
      </w:pPr>
    </w:p>
    <w:p w14:paraId="4CDBF937" w14:textId="77777777" w:rsidR="00243195" w:rsidRDefault="00243195">
      <w:pPr>
        <w:rPr>
          <w:rFonts w:ascii="Arial" w:hAnsi="Arial" w:cs="Arial"/>
          <w:b/>
          <w:bCs/>
          <w:sz w:val="28"/>
          <w:szCs w:val="28"/>
        </w:rPr>
      </w:pPr>
    </w:p>
    <w:p w14:paraId="1D23BF6D" w14:textId="77777777" w:rsidR="00243195" w:rsidRDefault="00243195">
      <w:pPr>
        <w:rPr>
          <w:rFonts w:ascii="Arial" w:hAnsi="Arial" w:cs="Arial"/>
          <w:b/>
          <w:bCs/>
          <w:sz w:val="28"/>
          <w:szCs w:val="28"/>
        </w:rPr>
      </w:pPr>
    </w:p>
    <w:p w14:paraId="09E36821" w14:textId="77777777" w:rsidR="00243195" w:rsidRDefault="00243195">
      <w:pPr>
        <w:rPr>
          <w:rFonts w:ascii="Arial" w:hAnsi="Arial" w:cs="Arial"/>
          <w:b/>
          <w:bCs/>
          <w:sz w:val="28"/>
          <w:szCs w:val="28"/>
        </w:rPr>
      </w:pPr>
    </w:p>
    <w:p w14:paraId="4FF82D47" w14:textId="77777777" w:rsidR="00243195" w:rsidRDefault="00243195">
      <w:pPr>
        <w:rPr>
          <w:rFonts w:ascii="Arial" w:hAnsi="Arial" w:cs="Arial"/>
          <w:b/>
          <w:bCs/>
          <w:sz w:val="28"/>
          <w:szCs w:val="28"/>
        </w:rPr>
      </w:pPr>
    </w:p>
    <w:p w14:paraId="085233DE" w14:textId="77777777" w:rsidR="00243195" w:rsidRDefault="00243195">
      <w:pPr>
        <w:rPr>
          <w:rFonts w:ascii="Arial" w:hAnsi="Arial" w:cs="Arial"/>
          <w:b/>
          <w:bCs/>
          <w:sz w:val="28"/>
          <w:szCs w:val="28"/>
        </w:rPr>
      </w:pPr>
    </w:p>
    <w:p w14:paraId="13F0B2DA" w14:textId="77777777" w:rsidR="00243195" w:rsidRDefault="00243195">
      <w:pPr>
        <w:rPr>
          <w:rFonts w:ascii="Arial" w:hAnsi="Arial" w:cs="Arial"/>
          <w:b/>
          <w:bCs/>
          <w:sz w:val="28"/>
          <w:szCs w:val="28"/>
        </w:rPr>
      </w:pPr>
    </w:p>
    <w:p w14:paraId="5EED4C50" w14:textId="77777777" w:rsidR="00243195" w:rsidRDefault="00243195">
      <w:pPr>
        <w:rPr>
          <w:rFonts w:ascii="Arial" w:hAnsi="Arial" w:cs="Arial"/>
          <w:b/>
          <w:bCs/>
          <w:sz w:val="28"/>
          <w:szCs w:val="28"/>
        </w:rPr>
      </w:pPr>
    </w:p>
    <w:p w14:paraId="10E453E7" w14:textId="77777777" w:rsidR="00243195" w:rsidRDefault="00243195">
      <w:pPr>
        <w:rPr>
          <w:rFonts w:ascii="Arial" w:hAnsi="Arial" w:cs="Arial"/>
          <w:b/>
          <w:bCs/>
          <w:sz w:val="28"/>
          <w:szCs w:val="28"/>
        </w:rPr>
      </w:pPr>
    </w:p>
    <w:p w14:paraId="445FBB09" w14:textId="77777777" w:rsidR="00243195" w:rsidRDefault="00243195">
      <w:pPr>
        <w:rPr>
          <w:rFonts w:ascii="Arial" w:hAnsi="Arial" w:cs="Arial"/>
          <w:b/>
          <w:bCs/>
          <w:sz w:val="28"/>
          <w:szCs w:val="28"/>
        </w:rPr>
      </w:pPr>
    </w:p>
    <w:p w14:paraId="69AE78BE" w14:textId="77777777" w:rsidR="00243195" w:rsidRDefault="00243195">
      <w:pPr>
        <w:rPr>
          <w:rFonts w:ascii="Arial" w:hAnsi="Arial" w:cs="Arial"/>
          <w:b/>
          <w:bCs/>
          <w:sz w:val="28"/>
          <w:szCs w:val="28"/>
        </w:rPr>
      </w:pPr>
    </w:p>
    <w:p w14:paraId="6DD99BF8" w14:textId="77777777" w:rsidR="00243195" w:rsidRDefault="00243195">
      <w:pPr>
        <w:rPr>
          <w:rFonts w:ascii="Arial" w:hAnsi="Arial" w:cs="Arial"/>
          <w:b/>
          <w:bCs/>
          <w:sz w:val="28"/>
          <w:szCs w:val="28"/>
        </w:rPr>
      </w:pPr>
    </w:p>
    <w:p w14:paraId="7944BC75" w14:textId="77777777" w:rsidR="00243195" w:rsidRDefault="00243195">
      <w:pPr>
        <w:rPr>
          <w:rFonts w:ascii="Arial" w:hAnsi="Arial" w:cs="Arial"/>
          <w:b/>
          <w:bCs/>
          <w:sz w:val="28"/>
          <w:szCs w:val="28"/>
        </w:rPr>
      </w:pPr>
    </w:p>
    <w:p w14:paraId="386687BD" w14:textId="77777777" w:rsidR="00243195" w:rsidRDefault="00243195">
      <w:pPr>
        <w:rPr>
          <w:rFonts w:ascii="Arial" w:hAnsi="Arial" w:cs="Arial"/>
          <w:b/>
          <w:bCs/>
          <w:sz w:val="28"/>
          <w:szCs w:val="28"/>
        </w:rPr>
      </w:pPr>
    </w:p>
    <w:p w14:paraId="47F6249D" w14:textId="77777777" w:rsidR="00243195" w:rsidRDefault="00243195">
      <w:pPr>
        <w:rPr>
          <w:rFonts w:ascii="Arial" w:hAnsi="Arial" w:cs="Arial"/>
          <w:b/>
          <w:bCs/>
          <w:sz w:val="28"/>
          <w:szCs w:val="28"/>
        </w:rPr>
      </w:pPr>
    </w:p>
    <w:p w14:paraId="7181724C" w14:textId="77777777" w:rsidR="00243195" w:rsidRDefault="00243195">
      <w:pPr>
        <w:rPr>
          <w:rFonts w:ascii="Arial" w:hAnsi="Arial" w:cs="Arial"/>
          <w:b/>
          <w:bCs/>
          <w:sz w:val="28"/>
          <w:szCs w:val="28"/>
        </w:rPr>
      </w:pPr>
    </w:p>
    <w:p w14:paraId="4BB2427C" w14:textId="77777777" w:rsidR="00243195" w:rsidRDefault="00243195">
      <w:pPr>
        <w:rPr>
          <w:rFonts w:ascii="Arial" w:hAnsi="Arial" w:cs="Arial"/>
          <w:b/>
          <w:bCs/>
          <w:sz w:val="28"/>
          <w:szCs w:val="28"/>
        </w:rPr>
      </w:pPr>
    </w:p>
    <w:p w14:paraId="6783BF4C" w14:textId="77777777" w:rsidR="00243195" w:rsidRDefault="00243195">
      <w:pPr>
        <w:rPr>
          <w:rFonts w:ascii="Arial" w:hAnsi="Arial" w:cs="Arial"/>
          <w:b/>
          <w:bCs/>
          <w:sz w:val="28"/>
          <w:szCs w:val="28"/>
        </w:rPr>
      </w:pPr>
    </w:p>
    <w:p w14:paraId="1CEBCE36" w14:textId="77777777" w:rsidR="00243195" w:rsidRDefault="00243195">
      <w:pPr>
        <w:rPr>
          <w:rFonts w:ascii="Arial" w:hAnsi="Arial" w:cs="Arial"/>
          <w:b/>
          <w:bCs/>
          <w:sz w:val="28"/>
          <w:szCs w:val="28"/>
        </w:rPr>
      </w:pPr>
    </w:p>
    <w:p w14:paraId="089E6901" w14:textId="77777777" w:rsidR="00243195" w:rsidRDefault="00243195">
      <w:pPr>
        <w:rPr>
          <w:rFonts w:ascii="Arial" w:hAnsi="Arial" w:cs="Arial"/>
          <w:b/>
          <w:bCs/>
          <w:sz w:val="28"/>
          <w:szCs w:val="28"/>
        </w:rPr>
      </w:pPr>
    </w:p>
    <w:p w14:paraId="58C08D37" w14:textId="77777777" w:rsidR="00E73D5A" w:rsidRDefault="00E73D5A">
      <w:pPr>
        <w:rPr>
          <w:rFonts w:ascii="Arial" w:hAnsi="Arial" w:cs="Arial"/>
          <w:b/>
          <w:bCs/>
          <w:sz w:val="28"/>
          <w:szCs w:val="28"/>
        </w:rPr>
      </w:pPr>
    </w:p>
    <w:p w14:paraId="5626DA8D" w14:textId="77777777" w:rsidR="000A1862" w:rsidRDefault="000A1862">
      <w:pPr>
        <w:rPr>
          <w:rFonts w:ascii="Arial" w:hAnsi="Arial" w:cs="Arial"/>
          <w:b/>
          <w:bCs/>
          <w:sz w:val="28"/>
          <w:szCs w:val="28"/>
        </w:rPr>
      </w:pPr>
    </w:p>
    <w:p w14:paraId="42D99B7A" w14:textId="3545E9CB" w:rsidR="00243195" w:rsidRDefault="00243195">
      <w:pPr>
        <w:rPr>
          <w:rFonts w:ascii="Arial" w:hAnsi="Arial" w:cs="Arial"/>
          <w:b/>
          <w:bCs/>
          <w:sz w:val="28"/>
          <w:szCs w:val="28"/>
        </w:rPr>
      </w:pPr>
      <w:r>
        <w:rPr>
          <w:rFonts w:ascii="Arial" w:hAnsi="Arial" w:cs="Arial"/>
          <w:b/>
          <w:bCs/>
          <w:sz w:val="28"/>
          <w:szCs w:val="28"/>
        </w:rPr>
        <w:lastRenderedPageBreak/>
        <w:t>Task 2</w:t>
      </w:r>
    </w:p>
    <w:p w14:paraId="163C1576" w14:textId="77777777" w:rsidR="00EA2481" w:rsidRPr="001576EB" w:rsidRDefault="00EA2481" w:rsidP="00EA2481">
      <w:pPr>
        <w:spacing w:line="360" w:lineRule="auto"/>
        <w:jc w:val="both"/>
        <w:rPr>
          <w:rFonts w:ascii="Arial" w:hAnsi="Arial" w:cs="Arial"/>
          <w:b/>
          <w:bCs/>
          <w:sz w:val="24"/>
          <w:szCs w:val="24"/>
        </w:rPr>
      </w:pPr>
      <w:r w:rsidRPr="001576EB">
        <w:rPr>
          <w:rFonts w:ascii="Arial" w:hAnsi="Arial" w:cs="Arial"/>
          <w:b/>
          <w:bCs/>
          <w:sz w:val="24"/>
          <w:szCs w:val="24"/>
        </w:rPr>
        <w:t>Epidemiological Analysis: Type 2 Diabetes Mellitus in the London Borough of Newham</w:t>
      </w:r>
    </w:p>
    <w:p w14:paraId="1A101EB2" w14:textId="77777777" w:rsidR="00EA2481" w:rsidRPr="00BB6A80" w:rsidRDefault="00EA2481" w:rsidP="00EA2481">
      <w:pPr>
        <w:spacing w:line="360" w:lineRule="auto"/>
        <w:jc w:val="both"/>
        <w:rPr>
          <w:rFonts w:ascii="Arial" w:hAnsi="Arial" w:cs="Arial"/>
          <w:b/>
          <w:bCs/>
          <w:sz w:val="24"/>
          <w:szCs w:val="24"/>
        </w:rPr>
      </w:pPr>
      <w:r w:rsidRPr="00BB6A80">
        <w:rPr>
          <w:rFonts w:ascii="Arial" w:hAnsi="Arial" w:cs="Arial"/>
          <w:b/>
          <w:bCs/>
          <w:sz w:val="24"/>
          <w:szCs w:val="24"/>
        </w:rPr>
        <w:t>Introduction</w:t>
      </w:r>
    </w:p>
    <w:p w14:paraId="7776496F" w14:textId="77777777" w:rsidR="00EA2481" w:rsidRPr="001576EB" w:rsidRDefault="00EA2481" w:rsidP="00EA2481">
      <w:pPr>
        <w:spacing w:line="360" w:lineRule="auto"/>
        <w:jc w:val="both"/>
        <w:rPr>
          <w:rFonts w:ascii="Arial" w:hAnsi="Arial" w:cs="Arial"/>
          <w:b/>
          <w:bCs/>
        </w:rPr>
      </w:pPr>
      <w:r w:rsidRPr="001576EB">
        <w:rPr>
          <w:rFonts w:ascii="Arial" w:hAnsi="Arial" w:cs="Arial"/>
          <w:b/>
          <w:bCs/>
        </w:rPr>
        <w:t>Definition and Consequences</w:t>
      </w:r>
    </w:p>
    <w:p w14:paraId="0FEC1F10" w14:textId="64F3AF7E" w:rsidR="00EA2481" w:rsidRPr="00CB52E8" w:rsidRDefault="00EA2481" w:rsidP="00EA2481">
      <w:pPr>
        <w:spacing w:line="360" w:lineRule="auto"/>
        <w:jc w:val="both"/>
        <w:rPr>
          <w:rFonts w:ascii="Arial" w:hAnsi="Arial" w:cs="Arial"/>
        </w:rPr>
      </w:pPr>
      <w:r w:rsidRPr="00CB52E8">
        <w:rPr>
          <w:rFonts w:ascii="Arial" w:hAnsi="Arial" w:cs="Arial"/>
        </w:rPr>
        <w:t>Type 2 diabetes mellitus (T2DM) is not just a chronic metabolic disorder. It is a condition that significantly impairs the quality of life of those affected. Characterised by insulin resistance and impaired insulin secretion, T2DM leads to persistent hyperglycaemia (NICE, 2023). The condition significantly increases the risk of cardiovascular disease, kidney failure, neuropathy, retinopathy, and premature mortality (</w:t>
      </w:r>
      <w:r w:rsidR="007B0021">
        <w:rPr>
          <w:rFonts w:ascii="Arial" w:hAnsi="Arial" w:cs="Arial"/>
        </w:rPr>
        <w:t>Sacchetta et al., 2022</w:t>
      </w:r>
      <w:r w:rsidRPr="00CB52E8">
        <w:rPr>
          <w:rFonts w:ascii="Arial" w:hAnsi="Arial" w:cs="Arial"/>
        </w:rPr>
        <w:t>). Socially and culturally, diabetes has significant implications for quality of life, employment, and family health behaviours. It also has substantial economic costs for the NHS, estimated at £10 billion annually, equating to around 10% of the NHS budget (University of York, 2024).</w:t>
      </w:r>
    </w:p>
    <w:p w14:paraId="435C68C1" w14:textId="77777777" w:rsidR="003D5076" w:rsidRDefault="00194014" w:rsidP="00194014">
      <w:pPr>
        <w:spacing w:line="360" w:lineRule="auto"/>
        <w:jc w:val="both"/>
        <w:rPr>
          <w:rFonts w:ascii="Arial" w:hAnsi="Arial" w:cs="Arial"/>
          <w:b/>
          <w:bCs/>
        </w:rPr>
      </w:pPr>
      <w:r w:rsidRPr="003D5076">
        <w:rPr>
          <w:rFonts w:ascii="Arial" w:hAnsi="Arial" w:cs="Arial"/>
          <w:b/>
          <w:bCs/>
        </w:rPr>
        <w:t>Global Prevalence</w:t>
      </w:r>
    </w:p>
    <w:p w14:paraId="7B183D45" w14:textId="77777777" w:rsidR="00E24EE3" w:rsidRDefault="00194014" w:rsidP="00194014">
      <w:pPr>
        <w:spacing w:line="360" w:lineRule="auto"/>
        <w:jc w:val="both"/>
      </w:pPr>
      <w:r w:rsidRPr="003D5076">
        <w:rPr>
          <w:rFonts w:ascii="Arial" w:hAnsi="Arial" w:cs="Arial"/>
        </w:rPr>
        <w:t xml:space="preserve">The diabetes epidemic is a pressing global health issue, affecting over 590 million adults worldwide, with 90–95% of cases being type 2 diabetes mellitus (IDF, 2025). The Lancet </w:t>
      </w:r>
      <w:r w:rsidR="00D0109D">
        <w:rPr>
          <w:rFonts w:ascii="Arial" w:hAnsi="Arial" w:cs="Arial"/>
        </w:rPr>
        <w:t xml:space="preserve">(2023) </w:t>
      </w:r>
      <w:r w:rsidRPr="003D5076">
        <w:rPr>
          <w:rFonts w:ascii="Arial" w:hAnsi="Arial" w:cs="Arial"/>
        </w:rPr>
        <w:t>reports that prevalence has tripled over the past 30 years, driven by urbanisation, ageing populations, reduced physical activity, and rising obesity rates. Alarmingly, over 40% of people with diabetes remain undiagnosed, highlighting gaps in global screening and access to care (IDF, 2025). Without immediate and comprehensive intervention, projections estimate that by 2050, one in eight adults</w:t>
      </w:r>
      <w:r w:rsidR="003D5076">
        <w:rPr>
          <w:rFonts w:ascii="Arial" w:hAnsi="Arial" w:cs="Arial"/>
        </w:rPr>
        <w:t xml:space="preserve"> </w:t>
      </w:r>
      <w:r w:rsidRPr="003D5076">
        <w:rPr>
          <w:rFonts w:ascii="Arial" w:hAnsi="Arial" w:cs="Arial"/>
        </w:rPr>
        <w:t>approximately 853 million</w:t>
      </w:r>
      <w:r w:rsidR="003D5076">
        <w:rPr>
          <w:rFonts w:ascii="Arial" w:hAnsi="Arial" w:cs="Arial"/>
        </w:rPr>
        <w:t xml:space="preserve"> </w:t>
      </w:r>
      <w:r w:rsidRPr="003D5076">
        <w:rPr>
          <w:rFonts w:ascii="Arial" w:hAnsi="Arial" w:cs="Arial"/>
        </w:rPr>
        <w:t>will be living with diabetes.</w:t>
      </w:r>
      <w:r w:rsidR="00E24EE3" w:rsidRPr="00E24EE3">
        <w:t xml:space="preserve"> </w:t>
      </w:r>
    </w:p>
    <w:p w14:paraId="27E2DA77" w14:textId="07FC74C4" w:rsidR="00194014" w:rsidRDefault="00E24EE3" w:rsidP="00194014">
      <w:pPr>
        <w:spacing w:line="360" w:lineRule="auto"/>
        <w:jc w:val="both"/>
        <w:rPr>
          <w:rFonts w:ascii="Arial" w:hAnsi="Arial" w:cs="Arial"/>
        </w:rPr>
      </w:pPr>
      <w:r w:rsidRPr="00E24EE3">
        <w:rPr>
          <w:rFonts w:ascii="Arial" w:hAnsi="Arial" w:cs="Arial"/>
        </w:rPr>
        <w:t>The chart below illustrates the increasing global prevalence of diabetes.</w:t>
      </w:r>
    </w:p>
    <w:p w14:paraId="2E436E97" w14:textId="10CD58E3" w:rsidR="00595A13" w:rsidRDefault="00595A13" w:rsidP="00194014">
      <w:pPr>
        <w:spacing w:line="360" w:lineRule="auto"/>
        <w:jc w:val="both"/>
        <w:rPr>
          <w:rFonts w:ascii="Arial" w:hAnsi="Arial" w:cs="Arial"/>
          <w:b/>
          <w:bCs/>
        </w:rPr>
      </w:pPr>
      <w:r>
        <w:rPr>
          <w:rFonts w:ascii="Arial" w:hAnsi="Arial" w:cs="Arial"/>
          <w:b/>
          <w:bCs/>
          <w:noProof/>
        </w:rPr>
        <w:drawing>
          <wp:inline distT="0" distB="0" distL="0" distR="0" wp14:anchorId="299BFE86" wp14:editId="1516DDB2">
            <wp:extent cx="4987594" cy="2250410"/>
            <wp:effectExtent l="0" t="0" r="3810" b="0"/>
            <wp:docPr id="5804940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l="-1" t="-1434" r="-185"/>
                    <a:stretch>
                      <a:fillRect/>
                    </a:stretch>
                  </pic:blipFill>
                  <pic:spPr bwMode="auto">
                    <a:xfrm>
                      <a:off x="0" y="0"/>
                      <a:ext cx="5125106" cy="2312456"/>
                    </a:xfrm>
                    <a:prstGeom prst="rect">
                      <a:avLst/>
                    </a:prstGeom>
                    <a:noFill/>
                    <a:ln>
                      <a:noFill/>
                    </a:ln>
                    <a:extLst>
                      <a:ext uri="{53640926-AAD7-44D8-BBD7-CCE9431645EC}">
                        <a14:shadowObscured xmlns:a14="http://schemas.microsoft.com/office/drawing/2010/main"/>
                      </a:ext>
                    </a:extLst>
                  </pic:spPr>
                </pic:pic>
              </a:graphicData>
            </a:graphic>
          </wp:inline>
        </w:drawing>
      </w:r>
    </w:p>
    <w:p w14:paraId="676558CF" w14:textId="7778F688" w:rsidR="00595A13" w:rsidRPr="008040D8" w:rsidRDefault="008040D8" w:rsidP="00194014">
      <w:pPr>
        <w:spacing w:line="360" w:lineRule="auto"/>
        <w:jc w:val="both"/>
        <w:rPr>
          <w:rFonts w:ascii="Arial" w:hAnsi="Arial" w:cs="Arial"/>
        </w:rPr>
      </w:pPr>
      <w:r>
        <w:rPr>
          <w:rFonts w:ascii="Arial" w:hAnsi="Arial" w:cs="Arial"/>
        </w:rPr>
        <w:t xml:space="preserve">                                                                                                            </w:t>
      </w:r>
      <w:r w:rsidRPr="008040D8">
        <w:rPr>
          <w:rFonts w:ascii="Arial" w:hAnsi="Arial" w:cs="Arial"/>
        </w:rPr>
        <w:t>(Fleck, 2024)</w:t>
      </w:r>
    </w:p>
    <w:p w14:paraId="0D36A562" w14:textId="2943C3AB" w:rsidR="003D5076" w:rsidRDefault="00194014" w:rsidP="00194014">
      <w:pPr>
        <w:spacing w:line="360" w:lineRule="auto"/>
        <w:jc w:val="both"/>
        <w:rPr>
          <w:rFonts w:ascii="Arial" w:hAnsi="Arial" w:cs="Arial"/>
          <w:b/>
          <w:bCs/>
        </w:rPr>
      </w:pPr>
      <w:r w:rsidRPr="003D5076">
        <w:rPr>
          <w:rFonts w:ascii="Arial" w:hAnsi="Arial" w:cs="Arial"/>
          <w:b/>
          <w:bCs/>
        </w:rPr>
        <w:lastRenderedPageBreak/>
        <w:t>UK Prevalence</w:t>
      </w:r>
    </w:p>
    <w:p w14:paraId="0D89FC3D" w14:textId="4238EA33" w:rsidR="00194014" w:rsidRDefault="00194014" w:rsidP="00194014">
      <w:pPr>
        <w:spacing w:line="360" w:lineRule="auto"/>
        <w:jc w:val="both"/>
        <w:rPr>
          <w:rFonts w:ascii="Arial" w:hAnsi="Arial" w:cs="Arial"/>
        </w:rPr>
      </w:pPr>
      <w:r w:rsidRPr="003D5076">
        <w:rPr>
          <w:rFonts w:ascii="Arial" w:hAnsi="Arial" w:cs="Arial"/>
        </w:rPr>
        <w:t xml:space="preserve"> In the UK, over 5.8 million people are estimated to be living with diabetes, including nearly 1.3 million undiagnosed cases, marking an all-time high (Diabetes UK, 2025). Around 90% of these cases are T2DM, with prevalence disproportionately higher in deprived and ethnically diverse communities, especially among South Asian and Black African-Caribbean populations (GOV.UK, 2025). The rising trend is linked to poor diet, physical inactivity, and socioeconomic inequalities. With 6.3 million people considered at increased risk, the need for targeted prevention strategies is more crucial than ever</w:t>
      </w:r>
      <w:r w:rsidR="00487A45">
        <w:rPr>
          <w:rFonts w:ascii="Arial" w:hAnsi="Arial" w:cs="Arial"/>
        </w:rPr>
        <w:t xml:space="preserve"> </w:t>
      </w:r>
      <w:r w:rsidR="008E4922">
        <w:rPr>
          <w:rFonts w:ascii="Arial" w:hAnsi="Arial" w:cs="Arial"/>
        </w:rPr>
        <w:t>(WHO</w:t>
      </w:r>
      <w:r w:rsidR="00487A45">
        <w:rPr>
          <w:rFonts w:ascii="Arial" w:hAnsi="Arial" w:cs="Arial"/>
        </w:rPr>
        <w:t>, 2024).</w:t>
      </w:r>
    </w:p>
    <w:p w14:paraId="3A1F8734" w14:textId="0C2D2E29" w:rsidR="00AD1ABD" w:rsidRPr="003D5076" w:rsidRDefault="008C52C4" w:rsidP="00194014">
      <w:pPr>
        <w:spacing w:line="360" w:lineRule="auto"/>
        <w:jc w:val="both"/>
        <w:rPr>
          <w:rFonts w:ascii="Arial" w:hAnsi="Arial" w:cs="Arial"/>
        </w:rPr>
      </w:pPr>
      <w:r w:rsidRPr="008C52C4">
        <w:rPr>
          <w:rFonts w:ascii="Arial" w:hAnsi="Arial" w:cs="Arial"/>
        </w:rPr>
        <w:t>The chart below illustrates that older adults had a higher prevalence of type 2 diabetes, but younger adults were more likely to be undiagnosed if they did have type 2 diabetes.</w:t>
      </w:r>
    </w:p>
    <w:p w14:paraId="2C93E934" w14:textId="6A8F5626" w:rsidR="00B966B3" w:rsidRDefault="00C92EDD" w:rsidP="00EA2481">
      <w:pPr>
        <w:spacing w:line="360" w:lineRule="auto"/>
        <w:jc w:val="both"/>
        <w:rPr>
          <w:rFonts w:ascii="Arial" w:hAnsi="Arial" w:cs="Arial"/>
          <w:b/>
          <w:bCs/>
        </w:rPr>
      </w:pPr>
      <w:r>
        <w:rPr>
          <w:rFonts w:ascii="Arial" w:hAnsi="Arial" w:cs="Arial"/>
          <w:b/>
          <w:bCs/>
          <w:noProof/>
        </w:rPr>
        <w:drawing>
          <wp:inline distT="0" distB="0" distL="0" distR="0" wp14:anchorId="0F365C24" wp14:editId="677C5C65">
            <wp:extent cx="5086692" cy="2375535"/>
            <wp:effectExtent l="0" t="0" r="0" b="5715"/>
            <wp:docPr id="18462619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99039" cy="2428002"/>
                    </a:xfrm>
                    <a:prstGeom prst="rect">
                      <a:avLst/>
                    </a:prstGeom>
                    <a:noFill/>
                  </pic:spPr>
                </pic:pic>
              </a:graphicData>
            </a:graphic>
          </wp:inline>
        </w:drawing>
      </w:r>
    </w:p>
    <w:p w14:paraId="315E1879" w14:textId="77777777" w:rsidR="00612CB7" w:rsidRDefault="00612CB7" w:rsidP="00EA2481">
      <w:pPr>
        <w:spacing w:line="360" w:lineRule="auto"/>
        <w:jc w:val="both"/>
        <w:rPr>
          <w:rFonts w:ascii="Arial" w:hAnsi="Arial" w:cs="Arial"/>
        </w:rPr>
      </w:pPr>
      <w:r>
        <w:rPr>
          <w:rFonts w:ascii="Arial" w:hAnsi="Arial" w:cs="Arial"/>
        </w:rPr>
        <w:t xml:space="preserve">                                                                                                   </w:t>
      </w:r>
      <w:r w:rsidR="0005675E" w:rsidRPr="00612CB7">
        <w:rPr>
          <w:rFonts w:ascii="Arial" w:hAnsi="Arial" w:cs="Arial"/>
        </w:rPr>
        <w:t>(Finning</w:t>
      </w:r>
      <w:r w:rsidRPr="00612CB7">
        <w:rPr>
          <w:rFonts w:ascii="Arial" w:hAnsi="Arial" w:cs="Arial"/>
        </w:rPr>
        <w:t>,2024)</w:t>
      </w:r>
    </w:p>
    <w:p w14:paraId="74CDE641" w14:textId="5FF0BBB6" w:rsidR="00EA2481" w:rsidRPr="00612CB7" w:rsidRDefault="00EA2481" w:rsidP="00EA2481">
      <w:pPr>
        <w:spacing w:line="360" w:lineRule="auto"/>
        <w:jc w:val="both"/>
        <w:rPr>
          <w:rFonts w:ascii="Arial" w:hAnsi="Arial" w:cs="Arial"/>
        </w:rPr>
      </w:pPr>
      <w:r w:rsidRPr="00EA2481">
        <w:rPr>
          <w:rFonts w:ascii="Arial" w:hAnsi="Arial" w:cs="Arial"/>
          <w:b/>
          <w:bCs/>
        </w:rPr>
        <w:t>Local Context: Newham</w:t>
      </w:r>
    </w:p>
    <w:p w14:paraId="4F334937" w14:textId="65C2079C" w:rsidR="00BB6A80" w:rsidRPr="00326551" w:rsidRDefault="00EA2481" w:rsidP="00326551">
      <w:pPr>
        <w:spacing w:line="360" w:lineRule="auto"/>
        <w:jc w:val="both"/>
        <w:rPr>
          <w:rFonts w:ascii="Arial" w:hAnsi="Arial" w:cs="Arial"/>
        </w:rPr>
      </w:pPr>
      <w:r w:rsidRPr="00CB52E8">
        <w:rPr>
          <w:rFonts w:ascii="Arial" w:hAnsi="Arial" w:cs="Arial"/>
        </w:rPr>
        <w:t>Newham, an ethnically diverse borough in East London, has one of the highest diabetes prevalence rates in the UK. According to NHS Digital (2024), 9.6% of adults in Newham are diagnosed with diabetes, compared with the London average of 6.7%. High population density, socioeconomic deprivation, limited access to green spaces, and dietary habits contribute to the elevated burden (London Diabetes Clinical Network, 2018). The disease represents a major local public health challenge. It is crucial that, as public health officials, healthcare providers, policymakers, and community health organisations, implement targeted prevention, monitoring, and management strategies to address this issue.</w:t>
      </w:r>
    </w:p>
    <w:p w14:paraId="495B432A" w14:textId="313BC30E" w:rsidR="00AB09DE" w:rsidRDefault="00BB6A80" w:rsidP="00AB09DE">
      <w:pPr>
        <w:rPr>
          <w:rFonts w:ascii="Arial" w:hAnsi="Arial" w:cs="Arial"/>
          <w:b/>
          <w:bCs/>
        </w:rPr>
      </w:pPr>
      <w:r w:rsidRPr="00BB6A80">
        <w:rPr>
          <w:rFonts w:ascii="Arial" w:hAnsi="Arial" w:cs="Arial"/>
          <w:b/>
          <w:bCs/>
        </w:rPr>
        <w:t>Public Health Measures: The “3 Ps”</w:t>
      </w:r>
    </w:p>
    <w:p w14:paraId="57E1DF4F" w14:textId="4E011C17" w:rsidR="00BB6A80" w:rsidRPr="00804E62" w:rsidRDefault="00AB09DE" w:rsidP="00804E62">
      <w:pPr>
        <w:spacing w:line="360" w:lineRule="auto"/>
        <w:jc w:val="both"/>
        <w:rPr>
          <w:rFonts w:ascii="Arial" w:hAnsi="Arial" w:cs="Arial"/>
        </w:rPr>
      </w:pPr>
      <w:r w:rsidRPr="00804E62">
        <w:rPr>
          <w:rFonts w:ascii="Arial" w:hAnsi="Arial" w:cs="Arial"/>
        </w:rPr>
        <w:t xml:space="preserve">Public health initiatives in Newham actively tackle diabetes through three key strategies: prevention, protection, and promotion. The NHS Diabetes Prevention Programme  actively </w:t>
      </w:r>
      <w:r w:rsidRPr="00804E62">
        <w:rPr>
          <w:rFonts w:ascii="Arial" w:hAnsi="Arial" w:cs="Arial"/>
        </w:rPr>
        <w:lastRenderedPageBreak/>
        <w:t>supports individuals at high risk by promoting lifestyle changes. It emphasises weight management, healthy eating, and increased physical activity (NHS England, 2025). Primary care also plays a vital role through systematic screening for elevated HbA1c and fasting glucose levels (</w:t>
      </w:r>
      <w:r w:rsidR="00397564">
        <w:rPr>
          <w:rFonts w:ascii="Arial" w:hAnsi="Arial" w:cs="Arial"/>
        </w:rPr>
        <w:t>Kaur</w:t>
      </w:r>
      <w:r w:rsidRPr="00804E62">
        <w:rPr>
          <w:rFonts w:ascii="Arial" w:hAnsi="Arial" w:cs="Arial"/>
        </w:rPr>
        <w:t xml:space="preserve"> et al., 2020). Protection focuses on early detection of complications via routine retinal screening, comprehensive foot care, and annual health checks to mitigate long-term damage (NHS, 2023). Promotion involves community-based health campaigns led by Diabetes UK (2025) and Newham Council, offering culturally tailored dietary guidance and educational sessions in faith centres and workplaces to foster self-management and empowerment. These integrated measures aim not only to delay the onset of diabetes and reduce complications but also to address health inequalities and improve long-term outcomes for vulnerable populations.</w:t>
      </w:r>
    </w:p>
    <w:p w14:paraId="028D6F14" w14:textId="77777777" w:rsidR="00F214E9" w:rsidRPr="00804E62" w:rsidRDefault="00F214E9" w:rsidP="00804E62">
      <w:pPr>
        <w:spacing w:line="360" w:lineRule="auto"/>
        <w:jc w:val="both"/>
        <w:rPr>
          <w:rFonts w:ascii="Arial" w:hAnsi="Arial" w:cs="Arial"/>
          <w:b/>
          <w:bCs/>
        </w:rPr>
      </w:pPr>
      <w:r w:rsidRPr="00804E62">
        <w:rPr>
          <w:rFonts w:ascii="Arial" w:hAnsi="Arial" w:cs="Arial"/>
          <w:b/>
          <w:bCs/>
        </w:rPr>
        <w:t>Key Determinants and Risk Factors</w:t>
      </w:r>
    </w:p>
    <w:p w14:paraId="683603CF" w14:textId="2A9996FB" w:rsidR="00804E62" w:rsidRPr="00804E62" w:rsidRDefault="00804E62" w:rsidP="00804E62">
      <w:pPr>
        <w:spacing w:line="360" w:lineRule="auto"/>
        <w:jc w:val="both"/>
        <w:rPr>
          <w:rFonts w:ascii="Arial" w:hAnsi="Arial" w:cs="Arial"/>
        </w:rPr>
      </w:pPr>
      <w:r w:rsidRPr="00804E62">
        <w:rPr>
          <w:rFonts w:ascii="Arial" w:hAnsi="Arial" w:cs="Arial"/>
        </w:rPr>
        <w:t>Epidemiological research highlights several key determinants contributing to the prevalence of type 2 diabetes mellitus in Newham. Ethnicity plays a significant role, with South Asian, Black African, and Caribbean populations facing a two- to fourfold higher risk compared to White populations (Diabetes UK, 2025). Socioeconomic deprivation increases this risk because individuals with lower incomes and lower levels of education tend to have poor dietary habits, lead sedentary lifestyles, and engage less with healthcare services (PHE, 2018). Obesity remains a major modifiable risk factor, with approximately 70% of adults diagnosed with T2DM being overweight or obese (WHO, 2025). Age and gender also influence risk, with incidence increasing with age; however, in Newham, younger adults are increasingly affected due to lifestyle-related factors (GOV.UK, 2025). Environmental contributors such as limited access to recreational spaces and a high density of fast-food outlets exacerbate unhealthy behaviours (</w:t>
      </w:r>
      <w:r w:rsidR="00D91F9C">
        <w:rPr>
          <w:rFonts w:ascii="Arial" w:hAnsi="Arial" w:cs="Arial"/>
        </w:rPr>
        <w:t>Dattani et al., 2024</w:t>
      </w:r>
      <w:r w:rsidRPr="00804E62">
        <w:rPr>
          <w:rFonts w:ascii="Arial" w:hAnsi="Arial" w:cs="Arial"/>
        </w:rPr>
        <w:t>). These determinants interact across social and biological dimensions, reinforcing entrenched health inequalities within the borough.</w:t>
      </w:r>
    </w:p>
    <w:p w14:paraId="7B3D010D" w14:textId="77777777" w:rsidR="00804E62" w:rsidRPr="00804E62" w:rsidRDefault="00804E62" w:rsidP="00804E62">
      <w:pPr>
        <w:spacing w:line="360" w:lineRule="auto"/>
        <w:jc w:val="both"/>
        <w:rPr>
          <w:rFonts w:ascii="Arial" w:hAnsi="Arial" w:cs="Arial"/>
          <w:b/>
          <w:bCs/>
        </w:rPr>
      </w:pPr>
      <w:r w:rsidRPr="00804E62">
        <w:rPr>
          <w:rFonts w:ascii="Arial" w:hAnsi="Arial" w:cs="Arial"/>
          <w:b/>
          <w:bCs/>
        </w:rPr>
        <w:t>Epidemiological Studies and Health Needs Assessment</w:t>
      </w:r>
    </w:p>
    <w:p w14:paraId="6E5E3C4B" w14:textId="2570A854" w:rsidR="00804E62" w:rsidRPr="00804E62" w:rsidRDefault="00804E62" w:rsidP="00804E62">
      <w:pPr>
        <w:spacing w:line="360" w:lineRule="auto"/>
        <w:jc w:val="both"/>
        <w:rPr>
          <w:rFonts w:ascii="Arial" w:hAnsi="Arial" w:cs="Arial"/>
        </w:rPr>
      </w:pPr>
      <w:r w:rsidRPr="00804E62">
        <w:rPr>
          <w:rFonts w:ascii="Arial" w:hAnsi="Arial" w:cs="Arial"/>
        </w:rPr>
        <w:t xml:space="preserve">In Newham, epidemiological data collection employs a range of study designs, including cross-sectional, cohort, and case-control approaches. NHS Digital (2024) and the National Diabetes Audit are instrumental in monitoring annual prevalence, treatment uptake, and clinical outcomes. Local data reveal a disproportionately higher incidence of T2DM among Bangladeshi and Pakistani residents, mirroring national trends (Diabetes UK, 2024). A Health Needs Assessment (HNA) conducted by Newham Council (2023) identified several pressing concerns: over 60% of adults are overweight, physical inactivity and poor diet are widespread, and there are notable barriers to accessing culturally sensitive care. These findings inform commissioning decisions and guide resource allocation for prevention and early intervention </w:t>
      </w:r>
      <w:r w:rsidRPr="00804E62">
        <w:rPr>
          <w:rFonts w:ascii="Arial" w:hAnsi="Arial" w:cs="Arial"/>
        </w:rPr>
        <w:lastRenderedPageBreak/>
        <w:t>services. Additionally, epidemiological evidence supports GP practice strategies through the Quality and Outcomes Framework (QOF) indicators, ensuring data-driven improvements in care delivery</w:t>
      </w:r>
      <w:r w:rsidR="00941536">
        <w:rPr>
          <w:rFonts w:ascii="Arial" w:hAnsi="Arial" w:cs="Arial"/>
        </w:rPr>
        <w:t xml:space="preserve"> (Xia</w:t>
      </w:r>
      <w:r w:rsidR="00A65815">
        <w:rPr>
          <w:rFonts w:ascii="Arial" w:hAnsi="Arial" w:cs="Arial"/>
        </w:rPr>
        <w:t>o et al., 2025).</w:t>
      </w:r>
    </w:p>
    <w:p w14:paraId="303BEABB" w14:textId="77777777" w:rsidR="00804E62" w:rsidRPr="00804E62" w:rsidRDefault="00804E62" w:rsidP="00804E62">
      <w:pPr>
        <w:spacing w:line="360" w:lineRule="auto"/>
        <w:jc w:val="both"/>
        <w:rPr>
          <w:rFonts w:ascii="Arial" w:hAnsi="Arial" w:cs="Arial"/>
          <w:b/>
          <w:bCs/>
        </w:rPr>
      </w:pPr>
      <w:r w:rsidRPr="00804E62">
        <w:rPr>
          <w:rFonts w:ascii="Arial" w:hAnsi="Arial" w:cs="Arial"/>
          <w:b/>
          <w:bCs/>
        </w:rPr>
        <w:t>Monitoring and Surveillance Systems</w:t>
      </w:r>
    </w:p>
    <w:p w14:paraId="605CD59A" w14:textId="5D52F28B" w:rsidR="00804E62" w:rsidRPr="00F214E9" w:rsidRDefault="00804E62" w:rsidP="00804E62">
      <w:pPr>
        <w:spacing w:line="360" w:lineRule="auto"/>
        <w:jc w:val="both"/>
        <w:rPr>
          <w:rFonts w:ascii="Arial" w:hAnsi="Arial" w:cs="Arial"/>
          <w:b/>
          <w:bCs/>
        </w:rPr>
      </w:pPr>
      <w:r w:rsidRPr="00804E62">
        <w:rPr>
          <w:rFonts w:ascii="Arial" w:hAnsi="Arial" w:cs="Arial"/>
        </w:rPr>
        <w:t>Diabetes monitoring in Newham operates across three levels of surveillance. Routine data surveillance, facilitated by NHS Digital and Public Health England, tracks diagnosis rates, HbA1c control, and diabetes-related complications (NHS Digital, 2024). Sentinel and local health systems, particularly GP practices, contribute anonymised data to identify trends and geographic hotspots of poor glycaemic control (BMJ Best Practice, 2025). Researchers obtain population-level insights from registries such as the National Diabetes Audit and the Health Survey for England, which provide comprehensive data on prevalence and risk factors (NHS, 2025</w:t>
      </w:r>
      <w:r w:rsidR="00B741A9">
        <w:rPr>
          <w:rFonts w:ascii="Arial" w:hAnsi="Arial" w:cs="Arial"/>
        </w:rPr>
        <w:t>a</w:t>
      </w:r>
      <w:r w:rsidRPr="00804E62">
        <w:rPr>
          <w:rFonts w:ascii="Arial" w:hAnsi="Arial" w:cs="Arial"/>
        </w:rPr>
        <w:t>). Epidemiologists analyse these datasets to uncover disparities between ethnic groups and pinpoint underserved populations. This multi-tiered surveillance framework supports clinical governance and informs policymaking, fostering continuous quality improvement in diabetes care</w:t>
      </w:r>
      <w:r w:rsidRPr="00804E62">
        <w:rPr>
          <w:rFonts w:ascii="Arial" w:hAnsi="Arial" w:cs="Arial"/>
          <w:b/>
          <w:bCs/>
        </w:rPr>
        <w:t>.</w:t>
      </w:r>
    </w:p>
    <w:p w14:paraId="72F78DD1" w14:textId="77777777" w:rsidR="007C0F7F" w:rsidRPr="007C0F7F" w:rsidRDefault="007C0F7F" w:rsidP="007C0F7F">
      <w:pPr>
        <w:spacing w:line="360" w:lineRule="auto"/>
        <w:jc w:val="both"/>
        <w:rPr>
          <w:rFonts w:ascii="Arial" w:hAnsi="Arial" w:cs="Arial"/>
          <w:b/>
          <w:bCs/>
        </w:rPr>
      </w:pPr>
      <w:r w:rsidRPr="007C0F7F">
        <w:rPr>
          <w:rFonts w:ascii="Arial" w:hAnsi="Arial" w:cs="Arial"/>
          <w:b/>
          <w:bCs/>
        </w:rPr>
        <w:t>Planning and Epidemiological Assessment of Public Health Impact</w:t>
      </w:r>
    </w:p>
    <w:p w14:paraId="56E5B7A4" w14:textId="1E088822" w:rsidR="007C0F7F" w:rsidRDefault="007C0F7F" w:rsidP="007C0F7F">
      <w:pPr>
        <w:spacing w:line="360" w:lineRule="auto"/>
        <w:jc w:val="both"/>
        <w:rPr>
          <w:rFonts w:ascii="Arial" w:hAnsi="Arial" w:cs="Arial"/>
        </w:rPr>
      </w:pPr>
      <w:r w:rsidRPr="007C0F7F">
        <w:rPr>
          <w:rFonts w:ascii="Arial" w:hAnsi="Arial" w:cs="Arial"/>
        </w:rPr>
        <w:t>Effective diabetes prevention planning in Newham integrates key epidemiological metrics, including incidence, prevalence, mortality, and Disability-Adjusted Life Years (DALYs). Globally, diabetes ranks as the ninth leading cause of death according to the Global Burden of Disease Study (Springer, 2025). Locally, short-term impacts include increased GP consultations, higher medication use, and hospital admissions for hyperglycaemia and cardiovascular complications. Long-term consequences encompass chronic conditions such as renal failure, amputations, and blindness, all contributing to reduced life expectancy (WHO, 2025). Epidemiological modelling suggests that a 5% reduction in BMI across the borough could result in a 20% decrease in diabetes incidence over the next decade (NHS England, 2025). These projections underscore the importance of our collective efforts in strategic investment in prevention programmes and primary care services, which are key in our fight against diabetes.</w:t>
      </w:r>
    </w:p>
    <w:p w14:paraId="78833395" w14:textId="77777777" w:rsidR="008E3188" w:rsidRPr="008E3188" w:rsidRDefault="008E3188" w:rsidP="008E3188">
      <w:pPr>
        <w:spacing w:line="360" w:lineRule="auto"/>
        <w:jc w:val="both"/>
        <w:rPr>
          <w:rFonts w:ascii="Arial" w:hAnsi="Arial" w:cs="Arial"/>
          <w:b/>
          <w:bCs/>
        </w:rPr>
      </w:pPr>
      <w:r w:rsidRPr="008E3188">
        <w:rPr>
          <w:rFonts w:ascii="Arial" w:hAnsi="Arial" w:cs="Arial"/>
          <w:b/>
          <w:bCs/>
        </w:rPr>
        <w:t>Designing and Evaluating a Health Intervention Programme</w:t>
      </w:r>
    </w:p>
    <w:p w14:paraId="5C5ED902" w14:textId="006687E9" w:rsidR="008E3188" w:rsidRPr="008E3188" w:rsidRDefault="008E3188" w:rsidP="008E3188">
      <w:pPr>
        <w:spacing w:line="360" w:lineRule="auto"/>
        <w:jc w:val="both"/>
        <w:rPr>
          <w:rFonts w:ascii="Arial" w:hAnsi="Arial" w:cs="Arial"/>
        </w:rPr>
      </w:pPr>
      <w:r w:rsidRPr="008E3188">
        <w:rPr>
          <w:rFonts w:ascii="Arial" w:hAnsi="Arial" w:cs="Arial"/>
        </w:rPr>
        <w:t xml:space="preserve">Proposing a tailored intervention programme for Newham that integrates community-based education, digital monitoring, and social prescribing. The target population includes adults aged 30–60 with elevated HbA1c levels in the prediabetes range. Delivery would be a collaborative effort, coordinated by multidisciplinary teams operating within GP practices and community centres. Core components of the programme include lifestyle modification classes </w:t>
      </w:r>
      <w:r w:rsidRPr="008E3188">
        <w:rPr>
          <w:rFonts w:ascii="Arial" w:hAnsi="Arial" w:cs="Arial"/>
        </w:rPr>
        <w:lastRenderedPageBreak/>
        <w:t>focusing on diet, physical activity, and smoking cessation; culturally appropriate nutrition workshops led by community champions; digital self-monitoring tools such as flash glucose monitoring (NHS, 2025</w:t>
      </w:r>
      <w:r w:rsidR="007A389E">
        <w:rPr>
          <w:rFonts w:ascii="Arial" w:hAnsi="Arial" w:cs="Arial"/>
        </w:rPr>
        <w:t>b</w:t>
      </w:r>
      <w:r w:rsidRPr="008E3188">
        <w:rPr>
          <w:rFonts w:ascii="Arial" w:hAnsi="Arial" w:cs="Arial"/>
        </w:rPr>
        <w:t>); and referrals to the NHS Diabetes Prevention Programme  for individuals at high risk. The evaluation metrics would track reductions in HbA1c and BMI over 6–12 months, monitor uptake and retention rates, and assess patient-reported outcomes related to self-efficacy and lifestyle changes. Evidence from the DESMOND Programme (2025) indicates that structured education can improve glycaemic control by up to 1% in HbA1c and reduce cardiovascular risk factors. Comparable interventions in Tower Hamlets have demonstrated both cost-effectiveness and long-term sustainability (</w:t>
      </w:r>
      <w:r w:rsidR="00EB30B0">
        <w:rPr>
          <w:rFonts w:ascii="Arial" w:hAnsi="Arial" w:cs="Arial"/>
        </w:rPr>
        <w:t>Rubab et al</w:t>
      </w:r>
      <w:r w:rsidR="00AD1E44">
        <w:rPr>
          <w:rFonts w:ascii="Arial" w:hAnsi="Arial" w:cs="Arial"/>
        </w:rPr>
        <w:t>., 2025</w:t>
      </w:r>
      <w:r w:rsidRPr="008E3188">
        <w:rPr>
          <w:rFonts w:ascii="Arial" w:hAnsi="Arial" w:cs="Arial"/>
        </w:rPr>
        <w:t>).</w:t>
      </w:r>
    </w:p>
    <w:p w14:paraId="3DB8018F" w14:textId="77777777" w:rsidR="008E3188" w:rsidRPr="008E3188" w:rsidRDefault="008E3188" w:rsidP="008E3188">
      <w:pPr>
        <w:spacing w:line="360" w:lineRule="auto"/>
        <w:jc w:val="both"/>
        <w:rPr>
          <w:rFonts w:ascii="Arial" w:hAnsi="Arial" w:cs="Arial"/>
          <w:b/>
          <w:bCs/>
        </w:rPr>
      </w:pPr>
      <w:r w:rsidRPr="008E3188">
        <w:rPr>
          <w:rFonts w:ascii="Arial" w:hAnsi="Arial" w:cs="Arial"/>
          <w:b/>
          <w:bCs/>
        </w:rPr>
        <w:t>Strengths and Weaknesses of the Epidemiological Approach</w:t>
      </w:r>
    </w:p>
    <w:p w14:paraId="2ACDE0BC" w14:textId="55653651" w:rsidR="002F675E" w:rsidRDefault="001711AE" w:rsidP="006025D9">
      <w:pPr>
        <w:spacing w:line="360" w:lineRule="auto"/>
        <w:jc w:val="both"/>
        <w:rPr>
          <w:rFonts w:ascii="Arial" w:hAnsi="Arial" w:cs="Arial"/>
        </w:rPr>
      </w:pPr>
      <w:r w:rsidRPr="001711AE">
        <w:rPr>
          <w:rFonts w:ascii="Arial" w:hAnsi="Arial" w:cs="Arial"/>
        </w:rPr>
        <w:t>The epidemiological approach in Newham benefits from several strengths. These include robust routine surveillance data (NHS Digital, 2024), comprehensive use of quantitative and qualitative methods through the HNA, and integration of local demographic insights to enable tailored interventions. However, there are notable limitations. Under-reporting due to undiagnosed cases or incomplete records can skew prevalence estimates. The lack of longitudinal data hampers the assessment of long-term intervention outcomes. Ethnic and cultural diversity may confound the attribution of risk factors, and the complex interplay of socioeconomic variables presents challenges for establishing causal relationships. These limitations underscore the importance of continuous data triangulation a method of cross-verifying data from different sources to enhance reliability, and of adopting community-based participatory research methods to enhance reliability and contextual relevance</w:t>
      </w:r>
      <w:r w:rsidR="00790B3D" w:rsidRPr="00790B3D">
        <w:rPr>
          <w:rFonts w:ascii="Arial" w:hAnsi="Arial" w:cs="Arial"/>
        </w:rPr>
        <w:t>(Ravaghi et al., 2023).</w:t>
      </w:r>
    </w:p>
    <w:p w14:paraId="6E4FC4C6" w14:textId="01CF7EE7" w:rsidR="006025D9" w:rsidRPr="006025D9" w:rsidRDefault="006025D9" w:rsidP="006025D9">
      <w:pPr>
        <w:spacing w:line="360" w:lineRule="auto"/>
        <w:jc w:val="both"/>
        <w:rPr>
          <w:rFonts w:ascii="Arial" w:hAnsi="Arial" w:cs="Arial"/>
          <w:b/>
          <w:bCs/>
        </w:rPr>
      </w:pPr>
      <w:r w:rsidRPr="006025D9">
        <w:rPr>
          <w:rFonts w:ascii="Arial" w:hAnsi="Arial" w:cs="Arial"/>
          <w:b/>
          <w:bCs/>
        </w:rPr>
        <w:t>Conclusion</w:t>
      </w:r>
    </w:p>
    <w:p w14:paraId="58F83736" w14:textId="7450C574" w:rsidR="00CD59D2" w:rsidRPr="00CD59D2" w:rsidRDefault="00CD59D2" w:rsidP="00CD59D2">
      <w:pPr>
        <w:spacing w:line="360" w:lineRule="auto"/>
        <w:jc w:val="both"/>
        <w:rPr>
          <w:rFonts w:ascii="Arial" w:hAnsi="Arial" w:cs="Arial"/>
        </w:rPr>
      </w:pPr>
      <w:r w:rsidRPr="00CD59D2">
        <w:rPr>
          <w:rFonts w:ascii="Arial" w:hAnsi="Arial" w:cs="Arial"/>
        </w:rPr>
        <w:t>Type 2 diabetes in</w:t>
      </w:r>
      <w:r w:rsidR="00F503FD" w:rsidRPr="00F503FD">
        <w:t xml:space="preserve"> </w:t>
      </w:r>
      <w:r w:rsidR="00F503FD" w:rsidRPr="00F503FD">
        <w:rPr>
          <w:rFonts w:ascii="Arial" w:hAnsi="Arial" w:cs="Arial"/>
        </w:rPr>
        <w:t>Newham illustrates</w:t>
      </w:r>
      <w:r w:rsidRPr="00CD59D2">
        <w:rPr>
          <w:rFonts w:ascii="Arial" w:hAnsi="Arial" w:cs="Arial"/>
        </w:rPr>
        <w:t xml:space="preserve"> how epidemiological analysis serves as a cornerstone for effective public health action. Through robust studies, high-risk groups have been identified</w:t>
      </w:r>
      <w:r w:rsidR="00F503FD">
        <w:rPr>
          <w:rFonts w:ascii="Arial" w:hAnsi="Arial" w:cs="Arial"/>
        </w:rPr>
        <w:t xml:space="preserve"> </w:t>
      </w:r>
      <w:r w:rsidRPr="00CD59D2">
        <w:rPr>
          <w:rFonts w:ascii="Arial" w:hAnsi="Arial" w:cs="Arial"/>
        </w:rPr>
        <w:t>particularly among South Asian and Black communities</w:t>
      </w:r>
      <w:r w:rsidR="00F503FD">
        <w:rPr>
          <w:rFonts w:ascii="Arial" w:hAnsi="Arial" w:cs="Arial"/>
        </w:rPr>
        <w:t xml:space="preserve"> </w:t>
      </w:r>
      <w:r w:rsidRPr="00CD59D2">
        <w:rPr>
          <w:rFonts w:ascii="Arial" w:hAnsi="Arial" w:cs="Arial"/>
        </w:rPr>
        <w:t>alongside behavioural and socioeconomic determinants that shape disease prevalence (Diabetes UK, 2025; GOV.UK, 2025). These insights have informed culturally tailored interventions and guided strategic planning. By leveraging surveillance data, health needs assessments, and evidence-based prevention strategies, local health authorities can reduce the burden of diabetes and address entrenched health inequalities (Newham Council, 2025; NHS England, 2025).</w:t>
      </w:r>
    </w:p>
    <w:p w14:paraId="06483E3B" w14:textId="323049E5" w:rsidR="00CD59D2" w:rsidRDefault="00091E04" w:rsidP="00CD59D2">
      <w:pPr>
        <w:spacing w:line="360" w:lineRule="auto"/>
        <w:jc w:val="both"/>
        <w:rPr>
          <w:rFonts w:ascii="Arial" w:hAnsi="Arial" w:cs="Arial"/>
        </w:rPr>
      </w:pPr>
      <w:r w:rsidRPr="00091E04">
        <w:rPr>
          <w:rFonts w:ascii="Arial" w:hAnsi="Arial" w:cs="Arial"/>
        </w:rPr>
        <w:t xml:space="preserve">However, to sustain impact, </w:t>
      </w:r>
      <w:r w:rsidR="00CD59D2" w:rsidRPr="00CD59D2">
        <w:rPr>
          <w:rFonts w:ascii="Arial" w:hAnsi="Arial" w:cs="Arial"/>
        </w:rPr>
        <w:t xml:space="preserve"> continued investment in community engagement, digital health innovations, and longitudinal research is essential. Strengthening collaboration between healthcare providers, local authorities, and community organisations will be critical for achieving long-term reductions in diabetes incidence and improving population health </w:t>
      </w:r>
      <w:r w:rsidR="00CD59D2" w:rsidRPr="00CD59D2">
        <w:rPr>
          <w:rFonts w:ascii="Arial" w:hAnsi="Arial" w:cs="Arial"/>
        </w:rPr>
        <w:lastRenderedPageBreak/>
        <w:t>outcomes. Moreover, integrating structured education programmes and expanding access to preventive services can enhance self-management and reduce complications, as supported by the National Diabetes Audit and NHS high-impact interventions (NHS Digital, 2025; NHS England, 2025). This comprehensive approach ensures that public health responses remain adaptive, inclusive, and grounded in real-world data.</w:t>
      </w:r>
    </w:p>
    <w:p w14:paraId="6F650493" w14:textId="77777777" w:rsidR="00D9105F" w:rsidRDefault="00D9105F" w:rsidP="00CD59D2">
      <w:pPr>
        <w:spacing w:line="360" w:lineRule="auto"/>
        <w:jc w:val="both"/>
        <w:rPr>
          <w:rFonts w:ascii="Arial" w:hAnsi="Arial" w:cs="Arial"/>
        </w:rPr>
      </w:pPr>
    </w:p>
    <w:p w14:paraId="30A75592" w14:textId="77777777" w:rsidR="00D9105F" w:rsidRDefault="00D9105F" w:rsidP="00CD59D2">
      <w:pPr>
        <w:spacing w:line="360" w:lineRule="auto"/>
        <w:jc w:val="both"/>
        <w:rPr>
          <w:rFonts w:ascii="Arial" w:hAnsi="Arial" w:cs="Arial"/>
        </w:rPr>
      </w:pPr>
    </w:p>
    <w:p w14:paraId="45010A21" w14:textId="77777777" w:rsidR="00D9105F" w:rsidRDefault="00D9105F" w:rsidP="00CD59D2">
      <w:pPr>
        <w:spacing w:line="360" w:lineRule="auto"/>
        <w:jc w:val="both"/>
        <w:rPr>
          <w:rFonts w:ascii="Arial" w:hAnsi="Arial" w:cs="Arial"/>
        </w:rPr>
      </w:pPr>
    </w:p>
    <w:p w14:paraId="7B462336" w14:textId="77777777" w:rsidR="00D9105F" w:rsidRDefault="00D9105F" w:rsidP="00CD59D2">
      <w:pPr>
        <w:spacing w:line="360" w:lineRule="auto"/>
        <w:jc w:val="both"/>
        <w:rPr>
          <w:rFonts w:ascii="Arial" w:hAnsi="Arial" w:cs="Arial"/>
        </w:rPr>
      </w:pPr>
    </w:p>
    <w:p w14:paraId="435BB246" w14:textId="77777777" w:rsidR="00D9105F" w:rsidRDefault="00D9105F" w:rsidP="00CD59D2">
      <w:pPr>
        <w:spacing w:line="360" w:lineRule="auto"/>
        <w:jc w:val="both"/>
        <w:rPr>
          <w:rFonts w:ascii="Arial" w:hAnsi="Arial" w:cs="Arial"/>
        </w:rPr>
      </w:pPr>
    </w:p>
    <w:p w14:paraId="513B409C" w14:textId="77777777" w:rsidR="00AF3960" w:rsidRDefault="00AF3960" w:rsidP="00D9105F">
      <w:pPr>
        <w:spacing w:before="100" w:beforeAutospacing="1" w:after="100" w:afterAutospacing="1" w:line="240" w:lineRule="auto"/>
        <w:outlineLvl w:val="2"/>
        <w:rPr>
          <w:rFonts w:ascii="Arial" w:hAnsi="Arial" w:cs="Arial"/>
        </w:rPr>
      </w:pPr>
    </w:p>
    <w:p w14:paraId="7D021833" w14:textId="77777777" w:rsidR="00AF3960" w:rsidRDefault="00AF3960" w:rsidP="00D9105F">
      <w:pPr>
        <w:spacing w:before="100" w:beforeAutospacing="1" w:after="100" w:afterAutospacing="1" w:line="240" w:lineRule="auto"/>
        <w:outlineLvl w:val="2"/>
        <w:rPr>
          <w:rFonts w:ascii="Arial" w:hAnsi="Arial" w:cs="Arial"/>
        </w:rPr>
      </w:pPr>
    </w:p>
    <w:p w14:paraId="1DCD3321" w14:textId="77777777" w:rsidR="00AF3960" w:rsidRDefault="00AF3960" w:rsidP="00D9105F">
      <w:pPr>
        <w:spacing w:before="100" w:beforeAutospacing="1" w:after="100" w:afterAutospacing="1" w:line="240" w:lineRule="auto"/>
        <w:outlineLvl w:val="2"/>
        <w:rPr>
          <w:rFonts w:ascii="Arial" w:hAnsi="Arial" w:cs="Arial"/>
        </w:rPr>
      </w:pPr>
    </w:p>
    <w:p w14:paraId="0333A71A" w14:textId="77777777" w:rsidR="00AF3960" w:rsidRDefault="00AF3960" w:rsidP="00D9105F">
      <w:pPr>
        <w:spacing w:before="100" w:beforeAutospacing="1" w:after="100" w:afterAutospacing="1" w:line="240" w:lineRule="auto"/>
        <w:outlineLvl w:val="2"/>
        <w:rPr>
          <w:rFonts w:ascii="Arial" w:hAnsi="Arial" w:cs="Arial"/>
        </w:rPr>
      </w:pPr>
    </w:p>
    <w:p w14:paraId="25026D86" w14:textId="77777777" w:rsidR="00AF3960" w:rsidRDefault="00AF3960" w:rsidP="00D9105F">
      <w:pPr>
        <w:spacing w:before="100" w:beforeAutospacing="1" w:after="100" w:afterAutospacing="1" w:line="240" w:lineRule="auto"/>
        <w:outlineLvl w:val="2"/>
        <w:rPr>
          <w:rFonts w:ascii="Arial" w:hAnsi="Arial" w:cs="Arial"/>
        </w:rPr>
      </w:pPr>
    </w:p>
    <w:p w14:paraId="02E62C5C" w14:textId="77777777" w:rsidR="00AF3960" w:rsidRDefault="00AF3960" w:rsidP="00D9105F">
      <w:pPr>
        <w:spacing w:before="100" w:beforeAutospacing="1" w:after="100" w:afterAutospacing="1" w:line="240" w:lineRule="auto"/>
        <w:outlineLvl w:val="2"/>
        <w:rPr>
          <w:rFonts w:ascii="Arial" w:hAnsi="Arial" w:cs="Arial"/>
        </w:rPr>
      </w:pPr>
    </w:p>
    <w:p w14:paraId="50982191" w14:textId="77777777" w:rsidR="00AF3960" w:rsidRDefault="00AF3960" w:rsidP="00D9105F">
      <w:pPr>
        <w:spacing w:before="100" w:beforeAutospacing="1" w:after="100" w:afterAutospacing="1" w:line="240" w:lineRule="auto"/>
        <w:outlineLvl w:val="2"/>
        <w:rPr>
          <w:rFonts w:ascii="Arial" w:hAnsi="Arial" w:cs="Arial"/>
        </w:rPr>
      </w:pPr>
    </w:p>
    <w:p w14:paraId="628D84DA" w14:textId="77777777" w:rsidR="00024F22" w:rsidRDefault="00024F22" w:rsidP="00D9105F">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p>
    <w:p w14:paraId="18E82644" w14:textId="77777777" w:rsidR="00024F22" w:rsidRDefault="00024F22" w:rsidP="00D9105F">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p>
    <w:p w14:paraId="25035B36" w14:textId="77777777" w:rsidR="00024F22" w:rsidRDefault="00024F22" w:rsidP="00D9105F">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p>
    <w:p w14:paraId="7A8B2E9B" w14:textId="77777777" w:rsidR="00024F22" w:rsidRDefault="00024F22" w:rsidP="00D9105F">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p>
    <w:p w14:paraId="21E925ED" w14:textId="77777777" w:rsidR="00024F22" w:rsidRDefault="00024F22" w:rsidP="00D9105F">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p>
    <w:p w14:paraId="01046C00" w14:textId="77777777" w:rsidR="00024F22" w:rsidRDefault="00024F22" w:rsidP="00D9105F">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p>
    <w:p w14:paraId="1C63CF08" w14:textId="77777777" w:rsidR="00024F22" w:rsidRDefault="00024F22" w:rsidP="00D9105F">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p>
    <w:p w14:paraId="776A5B97" w14:textId="77777777" w:rsidR="008C52C4" w:rsidRDefault="008C52C4" w:rsidP="00D9105F">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p>
    <w:p w14:paraId="0EDD7275" w14:textId="77777777" w:rsidR="008C52C4" w:rsidRDefault="008C52C4" w:rsidP="00D9105F">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p>
    <w:p w14:paraId="69931589" w14:textId="77777777" w:rsidR="008C52C4" w:rsidRDefault="008C52C4" w:rsidP="00D9105F">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p>
    <w:p w14:paraId="287EE6BC" w14:textId="7147C665" w:rsidR="00D9105F" w:rsidRPr="00D9105F" w:rsidRDefault="00D9105F" w:rsidP="00D9105F">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r w:rsidRPr="00D9105F">
        <w:rPr>
          <w:rFonts w:ascii="Arial" w:eastAsia="Times New Roman" w:hAnsi="Arial" w:cs="Arial"/>
          <w:b/>
          <w:bCs/>
          <w:kern w:val="0"/>
          <w:sz w:val="24"/>
          <w:szCs w:val="24"/>
          <w:lang w:eastAsia="en-GB"/>
          <w14:ligatures w14:val="none"/>
        </w:rPr>
        <w:lastRenderedPageBreak/>
        <w:t>Reference</w:t>
      </w:r>
      <w:r w:rsidR="00EF197B">
        <w:rPr>
          <w:rFonts w:ascii="Arial" w:eastAsia="Times New Roman" w:hAnsi="Arial" w:cs="Arial"/>
          <w:b/>
          <w:bCs/>
          <w:kern w:val="0"/>
          <w:sz w:val="24"/>
          <w:szCs w:val="24"/>
          <w:lang w:eastAsia="en-GB"/>
          <w14:ligatures w14:val="none"/>
        </w:rPr>
        <w:t xml:space="preserve"> List:</w:t>
      </w:r>
      <w:r w:rsidRPr="00D9105F">
        <w:rPr>
          <w:rFonts w:ascii="Arial" w:eastAsia="Times New Roman" w:hAnsi="Arial" w:cs="Arial"/>
          <w:b/>
          <w:bCs/>
          <w:kern w:val="0"/>
          <w:sz w:val="24"/>
          <w:szCs w:val="24"/>
          <w:lang w:eastAsia="en-GB"/>
          <w14:ligatures w14:val="none"/>
        </w:rPr>
        <w:t xml:space="preserve"> </w:t>
      </w:r>
    </w:p>
    <w:p w14:paraId="49ECCF6D" w14:textId="11A4B548" w:rsidR="004D0433" w:rsidRPr="004D0433" w:rsidRDefault="004D0433" w:rsidP="004D0433">
      <w:pPr>
        <w:spacing w:before="100" w:beforeAutospacing="1" w:after="100" w:afterAutospacing="1" w:line="360" w:lineRule="auto"/>
        <w:rPr>
          <w:rFonts w:ascii="Arial" w:eastAsia="Times New Roman" w:hAnsi="Arial" w:cs="Arial"/>
          <w:kern w:val="0"/>
          <w:lang w:eastAsia="en-GB"/>
          <w14:ligatures w14:val="none"/>
        </w:rPr>
      </w:pPr>
      <w:r w:rsidRPr="004D0433">
        <w:rPr>
          <w:rFonts w:ascii="Arial" w:eastAsia="Times New Roman" w:hAnsi="Arial" w:cs="Arial"/>
          <w:kern w:val="0"/>
          <w:lang w:eastAsia="en-GB"/>
          <w14:ligatures w14:val="none"/>
        </w:rPr>
        <w:t xml:space="preserve">Age UK (2025a) </w:t>
      </w:r>
      <w:r w:rsidRPr="004D0433">
        <w:rPr>
          <w:rFonts w:ascii="Arial" w:eastAsia="Times New Roman" w:hAnsi="Arial" w:cs="Arial"/>
          <w:i/>
          <w:iCs/>
          <w:kern w:val="0"/>
          <w:lang w:eastAsia="en-GB"/>
          <w14:ligatures w14:val="none"/>
        </w:rPr>
        <w:t>The State of Health and Care of Older People in England 2025.</w:t>
      </w:r>
      <w:r w:rsidRPr="004D0433">
        <w:rPr>
          <w:rFonts w:ascii="Arial" w:eastAsia="Times New Roman" w:hAnsi="Arial" w:cs="Arial"/>
          <w:kern w:val="0"/>
          <w:lang w:eastAsia="en-GB"/>
          <w14:ligatures w14:val="none"/>
        </w:rPr>
        <w:t xml:space="preserve"> Available at: </w:t>
      </w:r>
      <w:hyperlink r:id="rId12" w:history="1">
        <w:r w:rsidRPr="001F2567">
          <w:rPr>
            <w:rStyle w:val="Hyperlink"/>
            <w:rFonts w:ascii="Arial" w:eastAsia="Times New Roman" w:hAnsi="Arial" w:cs="Arial"/>
            <w:kern w:val="0"/>
            <w:lang w:eastAsia="en-GB"/>
            <w14:ligatures w14:val="none"/>
          </w:rPr>
          <w:t>https://www.ageuk.org.uk/siteassets/documents/reports-and-publications/reports-and-briefings/health--wellbeing/state-of-health-care-of-older-people-in-england-2025.pdf</w:t>
        </w:r>
      </w:hyperlink>
      <w:r>
        <w:rPr>
          <w:rFonts w:ascii="Arial" w:eastAsia="Times New Roman" w:hAnsi="Arial" w:cs="Arial"/>
          <w:kern w:val="0"/>
          <w:lang w:eastAsia="en-GB"/>
          <w14:ligatures w14:val="none"/>
        </w:rPr>
        <w:t xml:space="preserve"> </w:t>
      </w:r>
      <w:r w:rsidRPr="004D0433">
        <w:rPr>
          <w:rFonts w:ascii="Arial" w:eastAsia="Times New Roman" w:hAnsi="Arial" w:cs="Arial"/>
          <w:kern w:val="0"/>
          <w:lang w:eastAsia="en-GB"/>
          <w14:ligatures w14:val="none"/>
        </w:rPr>
        <w:t xml:space="preserve"> (Accessed: 20 October 2025).</w:t>
      </w:r>
    </w:p>
    <w:p w14:paraId="1CDE630A" w14:textId="4549E026" w:rsidR="004D0433" w:rsidRPr="004D0433" w:rsidRDefault="004D0433" w:rsidP="004D0433">
      <w:pPr>
        <w:spacing w:before="100" w:beforeAutospacing="1" w:after="100" w:afterAutospacing="1" w:line="360" w:lineRule="auto"/>
        <w:rPr>
          <w:rFonts w:ascii="Arial" w:eastAsia="Times New Roman" w:hAnsi="Arial" w:cs="Arial"/>
          <w:kern w:val="0"/>
          <w:lang w:eastAsia="en-GB"/>
          <w14:ligatures w14:val="none"/>
        </w:rPr>
      </w:pPr>
      <w:r w:rsidRPr="004D0433">
        <w:rPr>
          <w:rFonts w:ascii="Arial" w:eastAsia="Times New Roman" w:hAnsi="Arial" w:cs="Arial"/>
          <w:kern w:val="0"/>
          <w:lang w:eastAsia="en-GB"/>
          <w14:ligatures w14:val="none"/>
        </w:rPr>
        <w:t xml:space="preserve">Age UK (2025b) </w:t>
      </w:r>
      <w:r w:rsidRPr="004D0433">
        <w:rPr>
          <w:rFonts w:ascii="Arial" w:eastAsia="Times New Roman" w:hAnsi="Arial" w:cs="Arial"/>
          <w:i/>
          <w:iCs/>
          <w:kern w:val="0"/>
          <w:lang w:eastAsia="en-GB"/>
          <w14:ligatures w14:val="none"/>
        </w:rPr>
        <w:t>Loneliness Research and Resources.</w:t>
      </w:r>
      <w:r w:rsidRPr="004D0433">
        <w:rPr>
          <w:rFonts w:ascii="Arial" w:eastAsia="Times New Roman" w:hAnsi="Arial" w:cs="Arial"/>
          <w:kern w:val="0"/>
          <w:lang w:eastAsia="en-GB"/>
          <w14:ligatures w14:val="none"/>
        </w:rPr>
        <w:t xml:space="preserve"> Available at: </w:t>
      </w:r>
      <w:hyperlink r:id="rId13" w:history="1">
        <w:r w:rsidRPr="001F2567">
          <w:rPr>
            <w:rStyle w:val="Hyperlink"/>
            <w:rFonts w:ascii="Arial" w:eastAsia="Times New Roman" w:hAnsi="Arial" w:cs="Arial"/>
            <w:kern w:val="0"/>
            <w:lang w:eastAsia="en-GB"/>
            <w14:ligatures w14:val="none"/>
          </w:rPr>
          <w:t>https://www.ageuk.org.uk/our-impact/policy-research/loneliness-research-and-resources/</w:t>
        </w:r>
      </w:hyperlink>
      <w:r>
        <w:rPr>
          <w:rFonts w:ascii="Arial" w:eastAsia="Times New Roman" w:hAnsi="Arial" w:cs="Arial"/>
          <w:kern w:val="0"/>
          <w:lang w:eastAsia="en-GB"/>
          <w14:ligatures w14:val="none"/>
        </w:rPr>
        <w:t xml:space="preserve"> </w:t>
      </w:r>
      <w:r w:rsidRPr="004D0433">
        <w:rPr>
          <w:rFonts w:ascii="Arial" w:eastAsia="Times New Roman" w:hAnsi="Arial" w:cs="Arial"/>
          <w:kern w:val="0"/>
          <w:lang w:eastAsia="en-GB"/>
          <w14:ligatures w14:val="none"/>
        </w:rPr>
        <w:t xml:space="preserve"> (Accessed: 25 October 2025).</w:t>
      </w:r>
    </w:p>
    <w:p w14:paraId="37434EFC" w14:textId="0D267A2D" w:rsidR="004D0433" w:rsidRDefault="004D0433" w:rsidP="004D0433">
      <w:pPr>
        <w:spacing w:before="100" w:beforeAutospacing="1" w:after="100" w:afterAutospacing="1" w:line="360" w:lineRule="auto"/>
        <w:rPr>
          <w:rFonts w:ascii="Arial" w:eastAsia="Times New Roman" w:hAnsi="Arial" w:cs="Arial"/>
          <w:kern w:val="0"/>
          <w:lang w:eastAsia="en-GB"/>
          <w14:ligatures w14:val="none"/>
        </w:rPr>
      </w:pPr>
      <w:r w:rsidRPr="004D0433">
        <w:rPr>
          <w:rFonts w:ascii="Arial" w:eastAsia="Times New Roman" w:hAnsi="Arial" w:cs="Arial"/>
          <w:kern w:val="0"/>
          <w:lang w:eastAsia="en-GB"/>
          <w14:ligatures w14:val="none"/>
        </w:rPr>
        <w:t xml:space="preserve">Age UK (2025c) </w:t>
      </w:r>
      <w:r w:rsidRPr="004D0433">
        <w:rPr>
          <w:rFonts w:ascii="Arial" w:eastAsia="Times New Roman" w:hAnsi="Arial" w:cs="Arial"/>
          <w:i/>
          <w:iCs/>
          <w:kern w:val="0"/>
          <w:lang w:eastAsia="en-GB"/>
          <w14:ligatures w14:val="none"/>
        </w:rPr>
        <w:t>Late Movers: Housing and Ageing Population.</w:t>
      </w:r>
      <w:r w:rsidRPr="004D0433">
        <w:rPr>
          <w:rFonts w:ascii="Arial" w:eastAsia="Times New Roman" w:hAnsi="Arial" w:cs="Arial"/>
          <w:kern w:val="0"/>
          <w:lang w:eastAsia="en-GB"/>
          <w14:ligatures w14:val="none"/>
        </w:rPr>
        <w:t xml:space="preserve"> Available at: </w:t>
      </w:r>
      <w:hyperlink r:id="rId14" w:history="1">
        <w:r w:rsidRPr="001F2567">
          <w:rPr>
            <w:rStyle w:val="Hyperlink"/>
            <w:rFonts w:ascii="Arial" w:eastAsia="Times New Roman" w:hAnsi="Arial" w:cs="Arial"/>
            <w:kern w:val="0"/>
            <w:lang w:eastAsia="en-GB"/>
            <w14:ligatures w14:val="none"/>
          </w:rPr>
          <w:t>https://www.ageuk.org.uk/siteassets/documents/reports-and-publications/reports-and-briefings/safe-at-home/late-movers-how-the-shortage-of-suitable-housing-affects-our-ageing-population-october-2025..pdf</w:t>
        </w:r>
      </w:hyperlink>
      <w:r>
        <w:rPr>
          <w:rFonts w:ascii="Arial" w:eastAsia="Times New Roman" w:hAnsi="Arial" w:cs="Arial"/>
          <w:kern w:val="0"/>
          <w:lang w:eastAsia="en-GB"/>
          <w14:ligatures w14:val="none"/>
        </w:rPr>
        <w:t xml:space="preserve"> </w:t>
      </w:r>
      <w:r w:rsidRPr="004D0433">
        <w:rPr>
          <w:rFonts w:ascii="Arial" w:eastAsia="Times New Roman" w:hAnsi="Arial" w:cs="Arial"/>
          <w:kern w:val="0"/>
          <w:lang w:eastAsia="en-GB"/>
          <w14:ligatures w14:val="none"/>
        </w:rPr>
        <w:t xml:space="preserve"> (Accessed: 20 October 2025).</w:t>
      </w:r>
    </w:p>
    <w:p w14:paraId="0BE5E97D" w14:textId="4EF7DCF9" w:rsidR="00422CC0" w:rsidRDefault="00422CC0" w:rsidP="00D9105F">
      <w:pPr>
        <w:spacing w:before="100" w:beforeAutospacing="1" w:after="100" w:afterAutospacing="1" w:line="360" w:lineRule="auto"/>
        <w:rPr>
          <w:rFonts w:ascii="Arial" w:eastAsia="Times New Roman" w:hAnsi="Arial" w:cs="Arial"/>
          <w:kern w:val="0"/>
          <w:lang w:eastAsia="en-GB"/>
          <w14:ligatures w14:val="none"/>
        </w:rPr>
      </w:pPr>
      <w:r w:rsidRPr="00422CC0">
        <w:rPr>
          <w:rFonts w:ascii="Arial" w:eastAsia="Times New Roman" w:hAnsi="Arial" w:cs="Arial"/>
          <w:kern w:val="0"/>
          <w:lang w:eastAsia="en-GB"/>
          <w14:ligatures w14:val="none"/>
        </w:rPr>
        <w:t xml:space="preserve">Bagnall, A-M., South, J., Kinsella, K., Trigwell, J., Sheridan, K. </w:t>
      </w:r>
      <w:r w:rsidR="0052043D">
        <w:rPr>
          <w:rFonts w:ascii="Arial" w:eastAsia="Times New Roman" w:hAnsi="Arial" w:cs="Arial"/>
          <w:kern w:val="0"/>
          <w:lang w:eastAsia="en-GB"/>
          <w14:ligatures w14:val="none"/>
        </w:rPr>
        <w:t>and</w:t>
      </w:r>
      <w:r w:rsidRPr="00422CC0">
        <w:rPr>
          <w:rFonts w:ascii="Arial" w:eastAsia="Times New Roman" w:hAnsi="Arial" w:cs="Arial"/>
          <w:kern w:val="0"/>
          <w:lang w:eastAsia="en-GB"/>
          <w14:ligatures w14:val="none"/>
        </w:rPr>
        <w:t xml:space="preserve"> Harden, A. </w:t>
      </w:r>
      <w:r w:rsidR="006B31D4">
        <w:rPr>
          <w:rFonts w:ascii="Arial" w:eastAsia="Times New Roman" w:hAnsi="Arial" w:cs="Arial"/>
          <w:kern w:val="0"/>
          <w:lang w:eastAsia="en-GB"/>
          <w14:ligatures w14:val="none"/>
        </w:rPr>
        <w:t>(</w:t>
      </w:r>
      <w:r w:rsidRPr="00422CC0">
        <w:rPr>
          <w:rFonts w:ascii="Arial" w:eastAsia="Times New Roman" w:hAnsi="Arial" w:cs="Arial"/>
          <w:kern w:val="0"/>
          <w:lang w:eastAsia="en-GB"/>
          <w14:ligatures w14:val="none"/>
        </w:rPr>
        <w:t>2025</w:t>
      </w:r>
      <w:r w:rsidR="006B31D4">
        <w:rPr>
          <w:rFonts w:ascii="Arial" w:eastAsia="Times New Roman" w:hAnsi="Arial" w:cs="Arial"/>
          <w:kern w:val="0"/>
          <w:lang w:eastAsia="en-GB"/>
          <w14:ligatures w14:val="none"/>
        </w:rPr>
        <w:t>)</w:t>
      </w:r>
      <w:r w:rsidRPr="00422CC0">
        <w:rPr>
          <w:rFonts w:ascii="Arial" w:eastAsia="Times New Roman" w:hAnsi="Arial" w:cs="Arial"/>
          <w:kern w:val="0"/>
          <w:lang w:eastAsia="en-GB"/>
          <w14:ligatures w14:val="none"/>
        </w:rPr>
        <w:t xml:space="preserve">Community engagement approaches to improve health: a cross-case study analysis of barriers and facilitators in UK practice. </w:t>
      </w:r>
      <w:r w:rsidRPr="006A11D9">
        <w:rPr>
          <w:rFonts w:ascii="Arial" w:eastAsia="Times New Roman" w:hAnsi="Arial" w:cs="Arial"/>
          <w:i/>
          <w:iCs/>
          <w:kern w:val="0"/>
          <w:lang w:eastAsia="en-GB"/>
          <w14:ligatures w14:val="none"/>
        </w:rPr>
        <w:t>BMC Public Health</w:t>
      </w:r>
      <w:r w:rsidRPr="00422CC0">
        <w:rPr>
          <w:rFonts w:ascii="Arial" w:eastAsia="Times New Roman" w:hAnsi="Arial" w:cs="Arial"/>
          <w:kern w:val="0"/>
          <w:lang w:eastAsia="en-GB"/>
          <w14:ligatures w14:val="none"/>
        </w:rPr>
        <w:t xml:space="preserve">, 25, Article 747. Available at: </w:t>
      </w:r>
      <w:hyperlink r:id="rId15" w:history="1">
        <w:r w:rsidR="006B31D4" w:rsidRPr="001F2567">
          <w:rPr>
            <w:rStyle w:val="Hyperlink"/>
            <w:rFonts w:ascii="Arial" w:eastAsia="Times New Roman" w:hAnsi="Arial" w:cs="Arial"/>
            <w:kern w:val="0"/>
            <w:lang w:eastAsia="en-GB"/>
            <w14:ligatures w14:val="none"/>
          </w:rPr>
          <w:t>https://bmcpublichealth.biomedcentral.com/articles/10.1186/s12889-025-21902-5</w:t>
        </w:r>
      </w:hyperlink>
      <w:r w:rsidR="006B31D4">
        <w:rPr>
          <w:rFonts w:ascii="Arial" w:eastAsia="Times New Roman" w:hAnsi="Arial" w:cs="Arial"/>
          <w:kern w:val="0"/>
          <w:lang w:eastAsia="en-GB"/>
          <w14:ligatures w14:val="none"/>
        </w:rPr>
        <w:t xml:space="preserve"> (Accessed:</w:t>
      </w:r>
      <w:r w:rsidR="00EB33F1">
        <w:rPr>
          <w:rFonts w:ascii="Arial" w:eastAsia="Times New Roman" w:hAnsi="Arial" w:cs="Arial"/>
          <w:kern w:val="0"/>
          <w:lang w:eastAsia="en-GB"/>
          <w14:ligatures w14:val="none"/>
        </w:rPr>
        <w:t xml:space="preserve"> 3 November 2025).</w:t>
      </w:r>
    </w:p>
    <w:p w14:paraId="7226381C" w14:textId="63A6B31A" w:rsidR="004D0433" w:rsidRPr="004D0433" w:rsidRDefault="004D0433" w:rsidP="004D0433">
      <w:pPr>
        <w:spacing w:before="100" w:beforeAutospacing="1" w:after="100" w:afterAutospacing="1" w:line="360" w:lineRule="auto"/>
        <w:rPr>
          <w:rFonts w:ascii="Arial" w:eastAsia="Times New Roman" w:hAnsi="Arial" w:cs="Arial"/>
          <w:kern w:val="0"/>
          <w:lang w:eastAsia="en-GB"/>
          <w14:ligatures w14:val="none"/>
        </w:rPr>
      </w:pPr>
      <w:r w:rsidRPr="004D0433">
        <w:rPr>
          <w:rFonts w:ascii="Arial" w:eastAsia="Times New Roman" w:hAnsi="Arial" w:cs="Arial"/>
          <w:kern w:val="0"/>
          <w:lang w:eastAsia="en-GB"/>
          <w14:ligatures w14:val="none"/>
        </w:rPr>
        <w:t xml:space="preserve">BMJ Best Practice (2025) </w:t>
      </w:r>
      <w:r w:rsidRPr="004D0433">
        <w:rPr>
          <w:rFonts w:ascii="Arial" w:eastAsia="Times New Roman" w:hAnsi="Arial" w:cs="Arial"/>
          <w:i/>
          <w:iCs/>
          <w:kern w:val="0"/>
          <w:lang w:eastAsia="en-GB"/>
          <w14:ligatures w14:val="none"/>
        </w:rPr>
        <w:t>Type 2 diabetes in adults: Aetiology.</w:t>
      </w:r>
      <w:r w:rsidRPr="004D0433">
        <w:rPr>
          <w:rFonts w:ascii="Arial" w:eastAsia="Times New Roman" w:hAnsi="Arial" w:cs="Arial"/>
          <w:kern w:val="0"/>
          <w:lang w:eastAsia="en-GB"/>
          <w14:ligatures w14:val="none"/>
        </w:rPr>
        <w:t xml:space="preserve"> Available at: </w:t>
      </w:r>
      <w:hyperlink r:id="rId16" w:history="1">
        <w:r w:rsidRPr="001F2567">
          <w:rPr>
            <w:rStyle w:val="Hyperlink"/>
            <w:rFonts w:ascii="Arial" w:eastAsia="Times New Roman" w:hAnsi="Arial" w:cs="Arial"/>
            <w:kern w:val="0"/>
            <w:lang w:eastAsia="en-GB"/>
            <w14:ligatures w14:val="none"/>
          </w:rPr>
          <w:t>https://bestpractice.bmj.com/topics/en-gb/24/aetiology</w:t>
        </w:r>
      </w:hyperlink>
      <w:r>
        <w:rPr>
          <w:rFonts w:ascii="Arial" w:eastAsia="Times New Roman" w:hAnsi="Arial" w:cs="Arial"/>
          <w:kern w:val="0"/>
          <w:lang w:eastAsia="en-GB"/>
          <w14:ligatures w14:val="none"/>
        </w:rPr>
        <w:t xml:space="preserve"> </w:t>
      </w:r>
      <w:r w:rsidRPr="004D0433">
        <w:rPr>
          <w:rFonts w:ascii="Arial" w:eastAsia="Times New Roman" w:hAnsi="Arial" w:cs="Arial"/>
          <w:kern w:val="0"/>
          <w:lang w:eastAsia="en-GB"/>
          <w14:ligatures w14:val="none"/>
        </w:rPr>
        <w:t>(Accessed: 26 October 2025).</w:t>
      </w:r>
    </w:p>
    <w:p w14:paraId="3F437D43" w14:textId="6EAE5FAB" w:rsidR="004D0433" w:rsidRPr="004D0433" w:rsidRDefault="004D0433" w:rsidP="004D0433">
      <w:pPr>
        <w:spacing w:before="100" w:beforeAutospacing="1" w:after="100" w:afterAutospacing="1" w:line="360" w:lineRule="auto"/>
        <w:rPr>
          <w:rFonts w:ascii="Arial" w:eastAsia="Times New Roman" w:hAnsi="Arial" w:cs="Arial"/>
          <w:kern w:val="0"/>
          <w:lang w:eastAsia="en-GB"/>
          <w14:ligatures w14:val="none"/>
        </w:rPr>
      </w:pPr>
      <w:r w:rsidRPr="004D0433">
        <w:rPr>
          <w:rFonts w:ascii="Arial" w:eastAsia="Times New Roman" w:hAnsi="Arial" w:cs="Arial"/>
          <w:kern w:val="0"/>
          <w:lang w:eastAsia="en-GB"/>
          <w14:ligatures w14:val="none"/>
        </w:rPr>
        <w:t xml:space="preserve">BMJ Best Practice (2025) </w:t>
      </w:r>
      <w:r w:rsidRPr="004D0433">
        <w:rPr>
          <w:rFonts w:ascii="Arial" w:eastAsia="Times New Roman" w:hAnsi="Arial" w:cs="Arial"/>
          <w:i/>
          <w:iCs/>
          <w:kern w:val="0"/>
          <w:lang w:eastAsia="en-GB"/>
          <w14:ligatures w14:val="none"/>
        </w:rPr>
        <w:t>Type 2 Diabetes Mellitus.</w:t>
      </w:r>
      <w:r w:rsidRPr="004D0433">
        <w:rPr>
          <w:rFonts w:ascii="Arial" w:eastAsia="Times New Roman" w:hAnsi="Arial" w:cs="Arial"/>
          <w:kern w:val="0"/>
          <w:lang w:eastAsia="en-GB"/>
          <w14:ligatures w14:val="none"/>
        </w:rPr>
        <w:t xml:space="preserve"> Available at: </w:t>
      </w:r>
      <w:hyperlink r:id="rId17" w:history="1">
        <w:r w:rsidRPr="001F2567">
          <w:rPr>
            <w:rStyle w:val="Hyperlink"/>
            <w:rFonts w:ascii="Arial" w:eastAsia="Times New Roman" w:hAnsi="Arial" w:cs="Arial"/>
            <w:kern w:val="0"/>
            <w:lang w:eastAsia="en-GB"/>
            <w14:ligatures w14:val="none"/>
          </w:rPr>
          <w:t>https://bestpractice.bmj.com</w:t>
        </w:r>
      </w:hyperlink>
      <w:r>
        <w:rPr>
          <w:rFonts w:ascii="Arial" w:eastAsia="Times New Roman" w:hAnsi="Arial" w:cs="Arial"/>
          <w:kern w:val="0"/>
          <w:lang w:eastAsia="en-GB"/>
          <w14:ligatures w14:val="none"/>
        </w:rPr>
        <w:t xml:space="preserve"> </w:t>
      </w:r>
      <w:r w:rsidRPr="004D0433">
        <w:rPr>
          <w:rFonts w:ascii="Arial" w:eastAsia="Times New Roman" w:hAnsi="Arial" w:cs="Arial"/>
          <w:kern w:val="0"/>
          <w:lang w:eastAsia="en-GB"/>
          <w14:ligatures w14:val="none"/>
        </w:rPr>
        <w:t>(Accessed: 26 October 2025).</w:t>
      </w:r>
    </w:p>
    <w:p w14:paraId="1B294D2E" w14:textId="66824678" w:rsidR="004D0433" w:rsidRPr="004D0433" w:rsidRDefault="004D0433" w:rsidP="004D0433">
      <w:pPr>
        <w:spacing w:before="100" w:beforeAutospacing="1" w:after="100" w:afterAutospacing="1" w:line="360" w:lineRule="auto"/>
        <w:rPr>
          <w:rFonts w:ascii="Arial" w:eastAsia="Times New Roman" w:hAnsi="Arial" w:cs="Arial"/>
          <w:kern w:val="0"/>
          <w:lang w:eastAsia="en-GB"/>
          <w14:ligatures w14:val="none"/>
        </w:rPr>
      </w:pPr>
      <w:r w:rsidRPr="004D0433">
        <w:rPr>
          <w:rFonts w:ascii="Arial" w:eastAsia="Times New Roman" w:hAnsi="Arial" w:cs="Arial"/>
          <w:kern w:val="0"/>
          <w:lang w:eastAsia="en-GB"/>
          <w14:ligatures w14:val="none"/>
        </w:rPr>
        <w:t xml:space="preserve">BMC Geriatrics (2025) </w:t>
      </w:r>
      <w:r w:rsidRPr="004D0433">
        <w:rPr>
          <w:rFonts w:ascii="Arial" w:eastAsia="Times New Roman" w:hAnsi="Arial" w:cs="Arial"/>
          <w:i/>
          <w:iCs/>
          <w:kern w:val="0"/>
          <w:lang w:eastAsia="en-GB"/>
          <w14:ligatures w14:val="none"/>
        </w:rPr>
        <w:t>Uncovering the Impact of Loneliness in Ageing Populations.</w:t>
      </w:r>
      <w:r w:rsidRPr="004D0433">
        <w:rPr>
          <w:rFonts w:ascii="Arial" w:eastAsia="Times New Roman" w:hAnsi="Arial" w:cs="Arial"/>
          <w:kern w:val="0"/>
          <w:lang w:eastAsia="en-GB"/>
          <w14:ligatures w14:val="none"/>
        </w:rPr>
        <w:t xml:space="preserve"> Available at: </w:t>
      </w:r>
      <w:hyperlink r:id="rId18" w:history="1">
        <w:r w:rsidRPr="001F2567">
          <w:rPr>
            <w:rStyle w:val="Hyperlink"/>
            <w:rFonts w:ascii="Arial" w:eastAsia="Times New Roman" w:hAnsi="Arial" w:cs="Arial"/>
            <w:kern w:val="0"/>
            <w:lang w:eastAsia="en-GB"/>
            <w14:ligatures w14:val="none"/>
          </w:rPr>
          <w:t>https://bmcgeriatr.biomedcentral.com/articles/10.1186/s12877-025-05846-4</w:t>
        </w:r>
      </w:hyperlink>
      <w:r>
        <w:rPr>
          <w:rFonts w:ascii="Arial" w:eastAsia="Times New Roman" w:hAnsi="Arial" w:cs="Arial"/>
          <w:kern w:val="0"/>
          <w:lang w:eastAsia="en-GB"/>
          <w14:ligatures w14:val="none"/>
        </w:rPr>
        <w:t xml:space="preserve"> </w:t>
      </w:r>
      <w:r w:rsidRPr="004D0433">
        <w:rPr>
          <w:rFonts w:ascii="Arial" w:eastAsia="Times New Roman" w:hAnsi="Arial" w:cs="Arial"/>
          <w:kern w:val="0"/>
          <w:lang w:eastAsia="en-GB"/>
          <w14:ligatures w14:val="none"/>
        </w:rPr>
        <w:t xml:space="preserve"> (Accessed: 3 November 2025).</w:t>
      </w:r>
    </w:p>
    <w:p w14:paraId="1A82AF63" w14:textId="5625030C" w:rsidR="004D0433" w:rsidRPr="004D0433" w:rsidRDefault="004D0433" w:rsidP="004D0433">
      <w:pPr>
        <w:spacing w:before="100" w:beforeAutospacing="1" w:after="100" w:afterAutospacing="1" w:line="360" w:lineRule="auto"/>
        <w:rPr>
          <w:rFonts w:ascii="Arial" w:eastAsia="Times New Roman" w:hAnsi="Arial" w:cs="Arial"/>
          <w:kern w:val="0"/>
          <w:lang w:eastAsia="en-GB"/>
          <w14:ligatures w14:val="none"/>
        </w:rPr>
      </w:pPr>
      <w:r w:rsidRPr="004D0433">
        <w:rPr>
          <w:rFonts w:ascii="Arial" w:eastAsia="Times New Roman" w:hAnsi="Arial" w:cs="Arial"/>
          <w:kern w:val="0"/>
          <w:lang w:eastAsia="en-GB"/>
          <w14:ligatures w14:val="none"/>
        </w:rPr>
        <w:t xml:space="preserve">Care Quality Commission (2025) </w:t>
      </w:r>
      <w:r w:rsidRPr="004D0433">
        <w:rPr>
          <w:rFonts w:ascii="Arial" w:eastAsia="Times New Roman" w:hAnsi="Arial" w:cs="Arial"/>
          <w:i/>
          <w:iCs/>
          <w:kern w:val="0"/>
          <w:lang w:eastAsia="en-GB"/>
          <w14:ligatures w14:val="none"/>
        </w:rPr>
        <w:t xml:space="preserve">ICS Improvement Framework. </w:t>
      </w:r>
      <w:r w:rsidRPr="004D0433">
        <w:rPr>
          <w:rFonts w:ascii="Arial" w:eastAsia="Times New Roman" w:hAnsi="Arial" w:cs="Arial"/>
          <w:kern w:val="0"/>
          <w:lang w:eastAsia="en-GB"/>
          <w14:ligatures w14:val="none"/>
        </w:rPr>
        <w:t xml:space="preserve">Available at: </w:t>
      </w:r>
      <w:hyperlink r:id="rId19" w:history="1">
        <w:r w:rsidRPr="001F2567">
          <w:rPr>
            <w:rStyle w:val="Hyperlink"/>
            <w:rFonts w:ascii="Arial" w:eastAsia="Times New Roman" w:hAnsi="Arial" w:cs="Arial"/>
            <w:kern w:val="0"/>
            <w:lang w:eastAsia="en-GB"/>
            <w14:ligatures w14:val="none"/>
          </w:rPr>
          <w:t>https://www.cqc.org.uk/sites/default/files/2025-02/20250602-ICS-improvement-framework.pdf</w:t>
        </w:r>
      </w:hyperlink>
      <w:r>
        <w:rPr>
          <w:rFonts w:ascii="Arial" w:eastAsia="Times New Roman" w:hAnsi="Arial" w:cs="Arial"/>
          <w:kern w:val="0"/>
          <w:lang w:eastAsia="en-GB"/>
          <w14:ligatures w14:val="none"/>
        </w:rPr>
        <w:t xml:space="preserve"> </w:t>
      </w:r>
      <w:r w:rsidRPr="004D0433">
        <w:rPr>
          <w:rFonts w:ascii="Arial" w:eastAsia="Times New Roman" w:hAnsi="Arial" w:cs="Arial"/>
          <w:kern w:val="0"/>
          <w:lang w:eastAsia="en-GB"/>
          <w14:ligatures w14:val="none"/>
        </w:rPr>
        <w:t>(Accessed: 29 October 2025).</w:t>
      </w:r>
    </w:p>
    <w:p w14:paraId="228F1BFE" w14:textId="73930E8D" w:rsidR="004D0433" w:rsidRPr="004D0433" w:rsidRDefault="004D0433" w:rsidP="004D0433">
      <w:pPr>
        <w:spacing w:before="100" w:beforeAutospacing="1" w:after="100" w:afterAutospacing="1" w:line="360" w:lineRule="auto"/>
        <w:rPr>
          <w:rFonts w:ascii="Arial" w:eastAsia="Times New Roman" w:hAnsi="Arial" w:cs="Arial"/>
          <w:kern w:val="0"/>
          <w:lang w:eastAsia="en-GB"/>
          <w14:ligatures w14:val="none"/>
        </w:rPr>
      </w:pPr>
      <w:r w:rsidRPr="004D0433">
        <w:rPr>
          <w:rFonts w:ascii="Arial" w:eastAsia="Times New Roman" w:hAnsi="Arial" w:cs="Arial"/>
          <w:kern w:val="0"/>
          <w:lang w:eastAsia="en-GB"/>
          <w14:ligatures w14:val="none"/>
        </w:rPr>
        <w:t>Centre for Ageing Better (2025</w:t>
      </w:r>
      <w:r w:rsidRPr="004D0433">
        <w:rPr>
          <w:rFonts w:ascii="Arial" w:eastAsia="Times New Roman" w:hAnsi="Arial" w:cs="Arial"/>
          <w:i/>
          <w:iCs/>
          <w:kern w:val="0"/>
          <w:lang w:eastAsia="en-GB"/>
          <w14:ligatures w14:val="none"/>
        </w:rPr>
        <w:t>) Health and Wellbeing: State of Ageing 2025.</w:t>
      </w:r>
      <w:r w:rsidRPr="004D0433">
        <w:rPr>
          <w:rFonts w:ascii="Arial" w:eastAsia="Times New Roman" w:hAnsi="Arial" w:cs="Arial"/>
          <w:kern w:val="0"/>
          <w:lang w:eastAsia="en-GB"/>
          <w14:ligatures w14:val="none"/>
        </w:rPr>
        <w:t xml:space="preserve"> Available at: </w:t>
      </w:r>
      <w:hyperlink r:id="rId20" w:history="1">
        <w:r w:rsidRPr="001F2567">
          <w:rPr>
            <w:rStyle w:val="Hyperlink"/>
            <w:rFonts w:ascii="Arial" w:eastAsia="Times New Roman" w:hAnsi="Arial" w:cs="Arial"/>
            <w:kern w:val="0"/>
            <w:lang w:eastAsia="en-GB"/>
            <w14:ligatures w14:val="none"/>
          </w:rPr>
          <w:t>https://ageing-better.org.uk/health-and-wellbeing-state-ageing-2025</w:t>
        </w:r>
      </w:hyperlink>
      <w:r>
        <w:rPr>
          <w:rFonts w:ascii="Arial" w:eastAsia="Times New Roman" w:hAnsi="Arial" w:cs="Arial"/>
          <w:kern w:val="0"/>
          <w:lang w:eastAsia="en-GB"/>
          <w14:ligatures w14:val="none"/>
        </w:rPr>
        <w:t xml:space="preserve"> </w:t>
      </w:r>
      <w:r w:rsidRPr="004D0433">
        <w:rPr>
          <w:rFonts w:ascii="Arial" w:eastAsia="Times New Roman" w:hAnsi="Arial" w:cs="Arial"/>
          <w:kern w:val="0"/>
          <w:lang w:eastAsia="en-GB"/>
          <w14:ligatures w14:val="none"/>
        </w:rPr>
        <w:t xml:space="preserve"> (Accessed: 30 October 2025).</w:t>
      </w:r>
    </w:p>
    <w:p w14:paraId="6731AD7F" w14:textId="74DA63A7" w:rsidR="004D0433" w:rsidRPr="004D0433" w:rsidRDefault="004D0433" w:rsidP="004D0433">
      <w:pPr>
        <w:spacing w:before="100" w:beforeAutospacing="1" w:after="100" w:afterAutospacing="1" w:line="360" w:lineRule="auto"/>
        <w:rPr>
          <w:rFonts w:ascii="Arial" w:eastAsia="Times New Roman" w:hAnsi="Arial" w:cs="Arial"/>
          <w:kern w:val="0"/>
          <w:lang w:eastAsia="en-GB"/>
          <w14:ligatures w14:val="none"/>
        </w:rPr>
      </w:pPr>
      <w:r w:rsidRPr="004D0433">
        <w:rPr>
          <w:rFonts w:ascii="Arial" w:eastAsia="Times New Roman" w:hAnsi="Arial" w:cs="Arial"/>
          <w:kern w:val="0"/>
          <w:lang w:eastAsia="en-GB"/>
          <w14:ligatures w14:val="none"/>
        </w:rPr>
        <w:lastRenderedPageBreak/>
        <w:t xml:space="preserve">Centre for Mental Health (2025) </w:t>
      </w:r>
      <w:r w:rsidRPr="004D0433">
        <w:rPr>
          <w:rFonts w:ascii="Arial" w:eastAsia="Times New Roman" w:hAnsi="Arial" w:cs="Arial"/>
          <w:i/>
          <w:iCs/>
          <w:kern w:val="0"/>
          <w:lang w:eastAsia="en-GB"/>
          <w14:ligatures w14:val="none"/>
        </w:rPr>
        <w:t>The Big Mental Health Report 2025.</w:t>
      </w:r>
      <w:r w:rsidRPr="004D0433">
        <w:rPr>
          <w:rFonts w:ascii="Arial" w:eastAsia="Times New Roman" w:hAnsi="Arial" w:cs="Arial"/>
          <w:kern w:val="0"/>
          <w:lang w:eastAsia="en-GB"/>
          <w14:ligatures w14:val="none"/>
        </w:rPr>
        <w:t xml:space="preserve"> Available at: </w:t>
      </w:r>
      <w:hyperlink r:id="rId21" w:history="1">
        <w:r w:rsidRPr="001F2567">
          <w:rPr>
            <w:rStyle w:val="Hyperlink"/>
            <w:rFonts w:ascii="Arial" w:eastAsia="Times New Roman" w:hAnsi="Arial" w:cs="Arial"/>
            <w:kern w:val="0"/>
            <w:lang w:eastAsia="en-GB"/>
            <w14:ligatures w14:val="none"/>
          </w:rPr>
          <w:t>https://www.centreformentalhealth.org.uk/publications/the-big-mental-health-report-2025/</w:t>
        </w:r>
      </w:hyperlink>
      <w:r>
        <w:rPr>
          <w:rFonts w:ascii="Arial" w:eastAsia="Times New Roman" w:hAnsi="Arial" w:cs="Arial"/>
          <w:kern w:val="0"/>
          <w:lang w:eastAsia="en-GB"/>
          <w14:ligatures w14:val="none"/>
        </w:rPr>
        <w:t xml:space="preserve"> </w:t>
      </w:r>
      <w:r w:rsidRPr="004D0433">
        <w:rPr>
          <w:rFonts w:ascii="Arial" w:eastAsia="Times New Roman" w:hAnsi="Arial" w:cs="Arial"/>
          <w:kern w:val="0"/>
          <w:lang w:eastAsia="en-GB"/>
          <w14:ligatures w14:val="none"/>
        </w:rPr>
        <w:t xml:space="preserve"> (Accessed: 2 November 2025).</w:t>
      </w:r>
    </w:p>
    <w:p w14:paraId="77D9D340" w14:textId="3A4CEA15" w:rsidR="004D0433" w:rsidRPr="004D0433" w:rsidRDefault="004D0433" w:rsidP="004D0433">
      <w:pPr>
        <w:spacing w:before="100" w:beforeAutospacing="1" w:after="100" w:afterAutospacing="1" w:line="360" w:lineRule="auto"/>
        <w:rPr>
          <w:rFonts w:ascii="Arial" w:eastAsia="Times New Roman" w:hAnsi="Arial" w:cs="Arial"/>
          <w:kern w:val="0"/>
          <w:lang w:eastAsia="en-GB"/>
          <w14:ligatures w14:val="none"/>
        </w:rPr>
      </w:pPr>
      <w:r w:rsidRPr="004D0433">
        <w:rPr>
          <w:rFonts w:ascii="Arial" w:eastAsia="Times New Roman" w:hAnsi="Arial" w:cs="Arial"/>
          <w:kern w:val="0"/>
          <w:lang w:eastAsia="en-GB"/>
          <w14:ligatures w14:val="none"/>
        </w:rPr>
        <w:t xml:space="preserve">Crisis UK (2025) </w:t>
      </w:r>
      <w:r w:rsidRPr="004D0433">
        <w:rPr>
          <w:rFonts w:ascii="Arial" w:eastAsia="Times New Roman" w:hAnsi="Arial" w:cs="Arial"/>
          <w:i/>
          <w:iCs/>
          <w:kern w:val="0"/>
          <w:lang w:eastAsia="en-GB"/>
          <w14:ligatures w14:val="none"/>
        </w:rPr>
        <w:t>The Hidden Housing Crisis Facing Older People.</w:t>
      </w:r>
      <w:r w:rsidRPr="004D0433">
        <w:rPr>
          <w:rFonts w:ascii="Arial" w:eastAsia="Times New Roman" w:hAnsi="Arial" w:cs="Arial"/>
          <w:kern w:val="0"/>
          <w:lang w:eastAsia="en-GB"/>
          <w14:ligatures w14:val="none"/>
        </w:rPr>
        <w:t xml:space="preserve"> Available at: </w:t>
      </w:r>
      <w:hyperlink r:id="rId22" w:history="1">
        <w:r w:rsidRPr="001F2567">
          <w:rPr>
            <w:rStyle w:val="Hyperlink"/>
            <w:rFonts w:ascii="Arial" w:eastAsia="Times New Roman" w:hAnsi="Arial" w:cs="Arial"/>
            <w:kern w:val="0"/>
            <w:lang w:eastAsia="en-GB"/>
            <w14:ligatures w14:val="none"/>
          </w:rPr>
          <w:t>https://www.crisis.org.uk/about-us/crisis-blog/the-hidden-housing-crisis-facing-older-people-in-britain/</w:t>
        </w:r>
      </w:hyperlink>
      <w:r>
        <w:rPr>
          <w:rFonts w:ascii="Arial" w:eastAsia="Times New Roman" w:hAnsi="Arial" w:cs="Arial"/>
          <w:kern w:val="0"/>
          <w:lang w:eastAsia="en-GB"/>
          <w14:ligatures w14:val="none"/>
        </w:rPr>
        <w:t xml:space="preserve"> </w:t>
      </w:r>
      <w:r w:rsidRPr="004D0433">
        <w:rPr>
          <w:rFonts w:ascii="Arial" w:eastAsia="Times New Roman" w:hAnsi="Arial" w:cs="Arial"/>
          <w:kern w:val="0"/>
          <w:lang w:eastAsia="en-GB"/>
          <w14:ligatures w14:val="none"/>
        </w:rPr>
        <w:t>(Accessed: 30 November 2025).</w:t>
      </w:r>
    </w:p>
    <w:p w14:paraId="7A8A3096" w14:textId="0ECAC205" w:rsidR="004D0433" w:rsidRPr="004D0433" w:rsidRDefault="004D0433" w:rsidP="004D0433">
      <w:pPr>
        <w:spacing w:before="100" w:beforeAutospacing="1" w:after="100" w:afterAutospacing="1" w:line="360" w:lineRule="auto"/>
        <w:rPr>
          <w:rFonts w:ascii="Arial" w:eastAsia="Times New Roman" w:hAnsi="Arial" w:cs="Arial"/>
          <w:kern w:val="0"/>
          <w:lang w:eastAsia="en-GB"/>
          <w14:ligatures w14:val="none"/>
        </w:rPr>
      </w:pPr>
      <w:r w:rsidRPr="004D0433">
        <w:rPr>
          <w:rFonts w:ascii="Arial" w:eastAsia="Times New Roman" w:hAnsi="Arial" w:cs="Arial"/>
          <w:kern w:val="0"/>
          <w:lang w:eastAsia="en-GB"/>
          <w14:ligatures w14:val="none"/>
        </w:rPr>
        <w:t xml:space="preserve">Diabetes UK (2024) </w:t>
      </w:r>
      <w:r w:rsidRPr="004D0433">
        <w:rPr>
          <w:rFonts w:ascii="Arial" w:eastAsia="Times New Roman" w:hAnsi="Arial" w:cs="Arial"/>
          <w:i/>
          <w:iCs/>
          <w:kern w:val="0"/>
          <w:lang w:eastAsia="en-GB"/>
          <w14:ligatures w14:val="none"/>
        </w:rPr>
        <w:t>Diabetes and Health Inequalities Report.</w:t>
      </w:r>
      <w:r w:rsidRPr="004D0433">
        <w:rPr>
          <w:rFonts w:ascii="Arial" w:eastAsia="Times New Roman" w:hAnsi="Arial" w:cs="Arial"/>
          <w:kern w:val="0"/>
          <w:lang w:eastAsia="en-GB"/>
          <w14:ligatures w14:val="none"/>
        </w:rPr>
        <w:t xml:space="preserve"> Available at: </w:t>
      </w:r>
      <w:hyperlink r:id="rId23" w:history="1">
        <w:r w:rsidRPr="001F2567">
          <w:rPr>
            <w:rStyle w:val="Hyperlink"/>
            <w:rFonts w:ascii="Arial" w:eastAsia="Times New Roman" w:hAnsi="Arial" w:cs="Arial"/>
            <w:kern w:val="0"/>
            <w:lang w:eastAsia="en-GB"/>
            <w14:ligatures w14:val="none"/>
          </w:rPr>
          <w:t>https://www.diabetes.org.uk</w:t>
        </w:r>
      </w:hyperlink>
      <w:r>
        <w:rPr>
          <w:rFonts w:ascii="Arial" w:eastAsia="Times New Roman" w:hAnsi="Arial" w:cs="Arial"/>
          <w:kern w:val="0"/>
          <w:lang w:eastAsia="en-GB"/>
          <w14:ligatures w14:val="none"/>
        </w:rPr>
        <w:t xml:space="preserve"> </w:t>
      </w:r>
      <w:r w:rsidRPr="004D0433">
        <w:rPr>
          <w:rFonts w:ascii="Arial" w:eastAsia="Times New Roman" w:hAnsi="Arial" w:cs="Arial"/>
          <w:kern w:val="0"/>
          <w:lang w:eastAsia="en-GB"/>
          <w14:ligatures w14:val="none"/>
        </w:rPr>
        <w:t>(Accessed: 2 November 2025).</w:t>
      </w:r>
    </w:p>
    <w:p w14:paraId="00D6A71D" w14:textId="3A701B7A" w:rsidR="004D0433" w:rsidRDefault="004D0433" w:rsidP="004D0433">
      <w:pPr>
        <w:spacing w:before="100" w:beforeAutospacing="1" w:after="100" w:afterAutospacing="1" w:line="360" w:lineRule="auto"/>
        <w:rPr>
          <w:rFonts w:ascii="Arial" w:eastAsia="Times New Roman" w:hAnsi="Arial" w:cs="Arial"/>
          <w:kern w:val="0"/>
          <w:lang w:eastAsia="en-GB"/>
          <w14:ligatures w14:val="none"/>
        </w:rPr>
      </w:pPr>
      <w:r w:rsidRPr="004D0433">
        <w:rPr>
          <w:rFonts w:ascii="Arial" w:eastAsia="Times New Roman" w:hAnsi="Arial" w:cs="Arial"/>
          <w:kern w:val="0"/>
          <w:lang w:eastAsia="en-GB"/>
          <w14:ligatures w14:val="none"/>
        </w:rPr>
        <w:t xml:space="preserve">Diabetes UK (2025) </w:t>
      </w:r>
      <w:r w:rsidRPr="004D0433">
        <w:rPr>
          <w:rFonts w:ascii="Arial" w:eastAsia="Times New Roman" w:hAnsi="Arial" w:cs="Arial"/>
          <w:i/>
          <w:iCs/>
          <w:kern w:val="0"/>
          <w:lang w:eastAsia="en-GB"/>
          <w14:ligatures w14:val="none"/>
        </w:rPr>
        <w:t>Type 2 Diabetes: Prevention and Management.</w:t>
      </w:r>
      <w:r w:rsidRPr="004D0433">
        <w:rPr>
          <w:rFonts w:ascii="Arial" w:eastAsia="Times New Roman" w:hAnsi="Arial" w:cs="Arial"/>
          <w:kern w:val="0"/>
          <w:lang w:eastAsia="en-GB"/>
          <w14:ligatures w14:val="none"/>
        </w:rPr>
        <w:t xml:space="preserve"> Available at: </w:t>
      </w:r>
      <w:hyperlink r:id="rId24" w:history="1">
        <w:r w:rsidRPr="001F2567">
          <w:rPr>
            <w:rStyle w:val="Hyperlink"/>
            <w:rFonts w:ascii="Arial" w:eastAsia="Times New Roman" w:hAnsi="Arial" w:cs="Arial"/>
            <w:kern w:val="0"/>
            <w:lang w:eastAsia="en-GB"/>
            <w14:ligatures w14:val="none"/>
          </w:rPr>
          <w:t>https://www.diabetes.org.uk/type-2</w:t>
        </w:r>
      </w:hyperlink>
      <w:r>
        <w:rPr>
          <w:rFonts w:ascii="Arial" w:eastAsia="Times New Roman" w:hAnsi="Arial" w:cs="Arial"/>
          <w:kern w:val="0"/>
          <w:lang w:eastAsia="en-GB"/>
          <w14:ligatures w14:val="none"/>
        </w:rPr>
        <w:t xml:space="preserve"> </w:t>
      </w:r>
      <w:r w:rsidRPr="004D0433">
        <w:rPr>
          <w:rFonts w:ascii="Arial" w:eastAsia="Times New Roman" w:hAnsi="Arial" w:cs="Arial"/>
          <w:kern w:val="0"/>
          <w:lang w:eastAsia="en-GB"/>
          <w14:ligatures w14:val="none"/>
        </w:rPr>
        <w:t>(Accessed: 29 October 2025).</w:t>
      </w:r>
    </w:p>
    <w:p w14:paraId="2B2002B8" w14:textId="60FE4A78" w:rsidR="00693F02" w:rsidRDefault="00693F02" w:rsidP="00D9105F">
      <w:pPr>
        <w:spacing w:before="100" w:beforeAutospacing="1" w:after="100" w:afterAutospacing="1" w:line="360" w:lineRule="auto"/>
        <w:rPr>
          <w:rFonts w:ascii="Arial" w:eastAsia="Times New Roman" w:hAnsi="Arial" w:cs="Arial"/>
          <w:kern w:val="0"/>
          <w:lang w:eastAsia="en-GB"/>
          <w14:ligatures w14:val="none"/>
        </w:rPr>
      </w:pPr>
      <w:r w:rsidRPr="00693F02">
        <w:rPr>
          <w:rFonts w:ascii="Arial" w:eastAsia="Times New Roman" w:hAnsi="Arial" w:cs="Arial"/>
          <w:kern w:val="0"/>
          <w:lang w:eastAsia="en-GB"/>
          <w14:ligatures w14:val="none"/>
        </w:rPr>
        <w:t>Dattani, R., Ul-Haq, Z., Shah, M., Kamalati, T., Pierce, B., Lucas, A., Baruwa, A., Bickford-Smith, L., Chilcott, J., Griffiths, T., Frankel, A. H., Willis, T.</w:t>
      </w:r>
      <w:r w:rsidR="006000FD">
        <w:rPr>
          <w:rFonts w:ascii="Arial" w:eastAsia="Times New Roman" w:hAnsi="Arial" w:cs="Arial"/>
          <w:kern w:val="0"/>
          <w:lang w:eastAsia="en-GB"/>
          <w14:ligatures w14:val="none"/>
        </w:rPr>
        <w:t xml:space="preserve"> and </w:t>
      </w:r>
      <w:r w:rsidRPr="00693F02">
        <w:rPr>
          <w:rFonts w:ascii="Arial" w:eastAsia="Times New Roman" w:hAnsi="Arial" w:cs="Arial"/>
          <w:kern w:val="0"/>
          <w:lang w:eastAsia="en-GB"/>
          <w14:ligatures w14:val="none"/>
        </w:rPr>
        <w:t>Tam, F. W. K. (2024) Real-</w:t>
      </w:r>
      <w:r w:rsidRPr="002A56FE">
        <w:rPr>
          <w:rFonts w:ascii="Arial" w:eastAsia="Times New Roman" w:hAnsi="Arial" w:cs="Arial"/>
          <w:kern w:val="0"/>
          <w:lang w:eastAsia="en-GB"/>
          <w14:ligatures w14:val="none"/>
        </w:rPr>
        <w:t xml:space="preserve">world study of the multimorbidity and health service utilisation among individuals with non-diabetic hyperglycemia and type 2 diabetes mellitus in Northwest London. </w:t>
      </w:r>
      <w:r w:rsidRPr="002A56FE">
        <w:rPr>
          <w:rFonts w:ascii="Arial" w:eastAsia="Times New Roman" w:hAnsi="Arial" w:cs="Arial"/>
          <w:i/>
          <w:iCs/>
          <w:kern w:val="0"/>
          <w:lang w:eastAsia="en-GB"/>
          <w14:ligatures w14:val="none"/>
        </w:rPr>
        <w:t>BMJ open diabetes research &amp; care,</w:t>
      </w:r>
      <w:r w:rsidRPr="002A56FE">
        <w:rPr>
          <w:rFonts w:ascii="Arial" w:eastAsia="Times New Roman" w:hAnsi="Arial" w:cs="Arial"/>
          <w:kern w:val="0"/>
          <w:lang w:eastAsia="en-GB"/>
          <w14:ligatures w14:val="none"/>
        </w:rPr>
        <w:t xml:space="preserve"> 12(4), e003873.Available at: </w:t>
      </w:r>
      <w:hyperlink r:id="rId25" w:history="1">
        <w:r w:rsidRPr="002A56FE">
          <w:rPr>
            <w:rStyle w:val="Hyperlink"/>
            <w:rFonts w:ascii="Arial" w:eastAsia="Times New Roman" w:hAnsi="Arial" w:cs="Arial"/>
            <w:kern w:val="0"/>
            <w:lang w:eastAsia="en-GB"/>
            <w14:ligatures w14:val="none"/>
          </w:rPr>
          <w:t>https://doi.org/10.1136/bmjdrc-2023-003873</w:t>
        </w:r>
      </w:hyperlink>
      <w:r w:rsidRPr="002A56FE">
        <w:rPr>
          <w:rFonts w:ascii="Arial" w:eastAsia="Times New Roman" w:hAnsi="Arial" w:cs="Arial"/>
          <w:kern w:val="0"/>
          <w:lang w:eastAsia="en-GB"/>
          <w14:ligatures w14:val="none"/>
        </w:rPr>
        <w:t xml:space="preserve">  (Accessed: 3 November 2025</w:t>
      </w:r>
      <w:r w:rsidRPr="00693F02">
        <w:rPr>
          <w:rFonts w:ascii="Arial" w:eastAsia="Times New Roman" w:hAnsi="Arial" w:cs="Arial"/>
          <w:kern w:val="0"/>
          <w:lang w:eastAsia="en-GB"/>
          <w14:ligatures w14:val="none"/>
        </w:rPr>
        <w:t>).</w:t>
      </w:r>
    </w:p>
    <w:p w14:paraId="797D516C" w14:textId="3D3C4177" w:rsidR="00CA3A72" w:rsidRPr="002A56FE" w:rsidRDefault="00CA3A72" w:rsidP="00D9105F">
      <w:pPr>
        <w:spacing w:before="100" w:beforeAutospacing="1" w:after="100" w:afterAutospacing="1" w:line="360" w:lineRule="auto"/>
        <w:rPr>
          <w:rFonts w:ascii="Arial" w:eastAsia="Times New Roman" w:hAnsi="Arial" w:cs="Arial"/>
          <w:kern w:val="0"/>
          <w:lang w:eastAsia="en-GB"/>
          <w14:ligatures w14:val="none"/>
        </w:rPr>
      </w:pPr>
      <w:r w:rsidRPr="00CA3A72">
        <w:rPr>
          <w:rFonts w:ascii="Arial" w:eastAsia="Times New Roman" w:hAnsi="Arial" w:cs="Arial"/>
          <w:kern w:val="0"/>
          <w:lang w:eastAsia="en-GB"/>
          <w14:ligatures w14:val="none"/>
        </w:rPr>
        <w:t xml:space="preserve">Finning, K. (2024) </w:t>
      </w:r>
      <w:r w:rsidRPr="00365A5B">
        <w:rPr>
          <w:rFonts w:ascii="Arial" w:eastAsia="Times New Roman" w:hAnsi="Arial" w:cs="Arial"/>
          <w:i/>
          <w:iCs/>
          <w:kern w:val="0"/>
          <w:lang w:eastAsia="en-GB"/>
          <w14:ligatures w14:val="none"/>
        </w:rPr>
        <w:t xml:space="preserve">Risk factors for pre-diabetes and undiagnosed type 2 diabetes in England - </w:t>
      </w:r>
      <w:r w:rsidRPr="002A56FE">
        <w:rPr>
          <w:rFonts w:ascii="Arial" w:eastAsia="Times New Roman" w:hAnsi="Arial" w:cs="Arial"/>
          <w:i/>
          <w:iCs/>
          <w:kern w:val="0"/>
          <w:lang w:eastAsia="en-GB"/>
          <w14:ligatures w14:val="none"/>
        </w:rPr>
        <w:t>Office for National Statistics</w:t>
      </w:r>
      <w:r w:rsidRPr="002A56FE">
        <w:rPr>
          <w:rFonts w:ascii="Arial" w:eastAsia="Times New Roman" w:hAnsi="Arial" w:cs="Arial"/>
          <w:kern w:val="0"/>
          <w:lang w:eastAsia="en-GB"/>
          <w14:ligatures w14:val="none"/>
        </w:rPr>
        <w:t xml:space="preserve">. </w:t>
      </w:r>
      <w:r w:rsidR="001357D8" w:rsidRPr="002A56FE">
        <w:rPr>
          <w:rFonts w:ascii="Arial" w:eastAsia="Times New Roman" w:hAnsi="Arial" w:cs="Arial"/>
          <w:kern w:val="0"/>
          <w:lang w:eastAsia="en-GB"/>
          <w14:ligatures w14:val="none"/>
        </w:rPr>
        <w:t xml:space="preserve">Available at: </w:t>
      </w:r>
      <w:hyperlink r:id="rId26" w:history="1">
        <w:r w:rsidR="001357D8" w:rsidRPr="002A56FE">
          <w:rPr>
            <w:rStyle w:val="Hyperlink"/>
            <w:rFonts w:ascii="Arial" w:eastAsia="Times New Roman" w:hAnsi="Arial" w:cs="Arial"/>
            <w:kern w:val="0"/>
            <w:lang w:eastAsia="en-GB"/>
            <w14:ligatures w14:val="none"/>
          </w:rPr>
          <w:t>https://www.ons.gov.uk/peoplepopulationandcommunity/healthandsocialcare/healthinequalities/bulletins/riskfactorsforprediabetesandundiagnosedtype2diabetesinengland/2013to2019</w:t>
        </w:r>
      </w:hyperlink>
      <w:r w:rsidR="001357D8" w:rsidRPr="002A56FE">
        <w:rPr>
          <w:rFonts w:ascii="Arial" w:eastAsia="Times New Roman" w:hAnsi="Arial" w:cs="Arial"/>
          <w:kern w:val="0"/>
          <w:lang w:eastAsia="en-GB"/>
          <w14:ligatures w14:val="none"/>
        </w:rPr>
        <w:t xml:space="preserve"> </w:t>
      </w:r>
      <w:r w:rsidRPr="002A56FE">
        <w:rPr>
          <w:rFonts w:ascii="Arial" w:eastAsia="Times New Roman" w:hAnsi="Arial" w:cs="Arial"/>
          <w:kern w:val="0"/>
          <w:lang w:eastAsia="en-GB"/>
          <w14:ligatures w14:val="none"/>
        </w:rPr>
        <w:t xml:space="preserve"> (Accessed: 2</w:t>
      </w:r>
      <w:r w:rsidR="001357D8" w:rsidRPr="002A56FE">
        <w:rPr>
          <w:rFonts w:ascii="Arial" w:eastAsia="Times New Roman" w:hAnsi="Arial" w:cs="Arial"/>
          <w:kern w:val="0"/>
          <w:lang w:eastAsia="en-GB"/>
          <w14:ligatures w14:val="none"/>
        </w:rPr>
        <w:t>9</w:t>
      </w:r>
      <w:r w:rsidRPr="002A56FE">
        <w:rPr>
          <w:rFonts w:ascii="Arial" w:eastAsia="Times New Roman" w:hAnsi="Arial" w:cs="Arial"/>
          <w:kern w:val="0"/>
          <w:lang w:eastAsia="en-GB"/>
          <w14:ligatures w14:val="none"/>
        </w:rPr>
        <w:t xml:space="preserve"> October 2025).</w:t>
      </w:r>
    </w:p>
    <w:p w14:paraId="35516D3D" w14:textId="65D5A409" w:rsidR="00365A5B" w:rsidRPr="002A56FE" w:rsidRDefault="00365A5B" w:rsidP="00D9105F">
      <w:pPr>
        <w:spacing w:before="100" w:beforeAutospacing="1" w:after="100" w:afterAutospacing="1" w:line="360" w:lineRule="auto"/>
        <w:rPr>
          <w:rFonts w:ascii="Arial" w:eastAsia="Times New Roman" w:hAnsi="Arial" w:cs="Arial"/>
          <w:kern w:val="0"/>
          <w:lang w:eastAsia="en-GB"/>
          <w14:ligatures w14:val="none"/>
        </w:rPr>
      </w:pPr>
      <w:r w:rsidRPr="002A56FE">
        <w:rPr>
          <w:rFonts w:ascii="Arial" w:eastAsia="Times New Roman" w:hAnsi="Arial" w:cs="Arial"/>
          <w:kern w:val="0"/>
          <w:lang w:eastAsia="en-GB"/>
          <w14:ligatures w14:val="none"/>
        </w:rPr>
        <w:t xml:space="preserve">Fleck, A. (2024) 'Diabetes cases are climbing,' </w:t>
      </w:r>
      <w:r w:rsidRPr="002A56FE">
        <w:rPr>
          <w:rFonts w:ascii="Arial" w:eastAsia="Times New Roman" w:hAnsi="Arial" w:cs="Arial"/>
          <w:i/>
          <w:iCs/>
          <w:kern w:val="0"/>
          <w:lang w:eastAsia="en-GB"/>
          <w14:ligatures w14:val="none"/>
        </w:rPr>
        <w:t>Statista Daily Data, 14 November</w:t>
      </w:r>
      <w:r w:rsidRPr="002A56FE">
        <w:rPr>
          <w:rFonts w:ascii="Arial" w:eastAsia="Times New Roman" w:hAnsi="Arial" w:cs="Arial"/>
          <w:kern w:val="0"/>
          <w:lang w:eastAsia="en-GB"/>
          <w14:ligatures w14:val="none"/>
        </w:rPr>
        <w:t>.</w:t>
      </w:r>
      <w:r w:rsidR="00C64A82" w:rsidRPr="002A56FE">
        <w:rPr>
          <w:rFonts w:ascii="Arial" w:eastAsia="Times New Roman" w:hAnsi="Arial" w:cs="Arial"/>
          <w:kern w:val="0"/>
          <w:lang w:eastAsia="en-GB"/>
          <w14:ligatures w14:val="none"/>
        </w:rPr>
        <w:t xml:space="preserve"> Available at: </w:t>
      </w:r>
      <w:hyperlink r:id="rId27" w:history="1">
        <w:r w:rsidR="002A56FE" w:rsidRPr="002A56FE">
          <w:rPr>
            <w:rStyle w:val="Hyperlink"/>
            <w:rFonts w:ascii="Arial" w:eastAsia="Times New Roman" w:hAnsi="Arial" w:cs="Arial"/>
            <w:kern w:val="0"/>
            <w:lang w:eastAsia="en-GB"/>
            <w14:ligatures w14:val="none"/>
          </w:rPr>
          <w:t>https://www.statista.com/chart/23491/share-of-adults-with-diabetes-world-region/?srsltid=AfmBOoqamqORtPdFbLOqtxvLMRw689dF_MFfjJAifwvqByjYg7t1DNL0</w:t>
        </w:r>
      </w:hyperlink>
      <w:r w:rsidR="00C64A82" w:rsidRPr="002A56FE">
        <w:rPr>
          <w:rFonts w:ascii="Arial" w:eastAsia="Times New Roman" w:hAnsi="Arial" w:cs="Arial"/>
          <w:kern w:val="0"/>
          <w:lang w:eastAsia="en-GB"/>
          <w14:ligatures w14:val="none"/>
        </w:rPr>
        <w:t xml:space="preserve"> </w:t>
      </w:r>
      <w:r w:rsidRPr="002A56FE">
        <w:rPr>
          <w:rFonts w:ascii="Arial" w:eastAsia="Times New Roman" w:hAnsi="Arial" w:cs="Arial"/>
          <w:kern w:val="0"/>
          <w:lang w:eastAsia="en-GB"/>
          <w14:ligatures w14:val="none"/>
        </w:rPr>
        <w:t xml:space="preserve"> (Accessed: 2</w:t>
      </w:r>
      <w:r w:rsidR="00C64A82" w:rsidRPr="002A56FE">
        <w:rPr>
          <w:rFonts w:ascii="Arial" w:eastAsia="Times New Roman" w:hAnsi="Arial" w:cs="Arial"/>
          <w:kern w:val="0"/>
          <w:lang w:eastAsia="en-GB"/>
          <w14:ligatures w14:val="none"/>
        </w:rPr>
        <w:t>8</w:t>
      </w:r>
      <w:r w:rsidRPr="002A56FE">
        <w:rPr>
          <w:rFonts w:ascii="Arial" w:eastAsia="Times New Roman" w:hAnsi="Arial" w:cs="Arial"/>
          <w:kern w:val="0"/>
          <w:lang w:eastAsia="en-GB"/>
          <w14:ligatures w14:val="none"/>
        </w:rPr>
        <w:t xml:space="preserve"> October 2025).</w:t>
      </w:r>
    </w:p>
    <w:p w14:paraId="5AB5355C" w14:textId="306D024E" w:rsidR="00043D50" w:rsidRPr="002A56FE" w:rsidRDefault="00043D50" w:rsidP="00D9105F">
      <w:pPr>
        <w:spacing w:before="100" w:beforeAutospacing="1" w:after="100" w:afterAutospacing="1" w:line="360" w:lineRule="auto"/>
        <w:rPr>
          <w:rFonts w:ascii="Arial" w:eastAsia="Times New Roman" w:hAnsi="Arial" w:cs="Arial"/>
          <w:kern w:val="0"/>
          <w:lang w:eastAsia="en-GB"/>
          <w14:ligatures w14:val="none"/>
        </w:rPr>
      </w:pPr>
      <w:r w:rsidRPr="002A56FE">
        <w:rPr>
          <w:rFonts w:ascii="Arial" w:eastAsia="Times New Roman" w:hAnsi="Arial" w:cs="Arial"/>
          <w:kern w:val="0"/>
          <w:lang w:eastAsia="en-GB"/>
          <w14:ligatures w14:val="none"/>
        </w:rPr>
        <w:t>Kaur, G., Lakshmi, P. V. M., Rastogi, A., Bhansali, A., Jain, S., Teerawattananon, Y., Bano, H.</w:t>
      </w:r>
      <w:r w:rsidR="00CC22D0" w:rsidRPr="002A56FE">
        <w:rPr>
          <w:rFonts w:ascii="Arial" w:eastAsia="Times New Roman" w:hAnsi="Arial" w:cs="Arial"/>
          <w:kern w:val="0"/>
          <w:lang w:eastAsia="en-GB"/>
          <w14:ligatures w14:val="none"/>
        </w:rPr>
        <w:t xml:space="preserve"> and </w:t>
      </w:r>
      <w:r w:rsidRPr="002A56FE">
        <w:rPr>
          <w:rFonts w:ascii="Arial" w:eastAsia="Times New Roman" w:hAnsi="Arial" w:cs="Arial"/>
          <w:kern w:val="0"/>
          <w:lang w:eastAsia="en-GB"/>
          <w14:ligatures w14:val="none"/>
        </w:rPr>
        <w:t xml:space="preserve"> Prinja, S. (2020) Diagnostic accuracy of tests for type 2 diabetes and prediabetes: A systematic review and meta-analysis. PloS one, 15(11), e0242415. </w:t>
      </w:r>
      <w:r w:rsidR="00181B0E" w:rsidRPr="002A56FE">
        <w:rPr>
          <w:rFonts w:ascii="Arial" w:eastAsia="Times New Roman" w:hAnsi="Arial" w:cs="Arial"/>
          <w:kern w:val="0"/>
          <w:lang w:eastAsia="en-GB"/>
          <w14:ligatures w14:val="none"/>
        </w:rPr>
        <w:t xml:space="preserve">Available at: </w:t>
      </w:r>
      <w:hyperlink r:id="rId28" w:history="1">
        <w:r w:rsidR="00181B0E" w:rsidRPr="002A56FE">
          <w:rPr>
            <w:rStyle w:val="Hyperlink"/>
            <w:rFonts w:ascii="Arial" w:eastAsia="Times New Roman" w:hAnsi="Arial" w:cs="Arial"/>
            <w:kern w:val="0"/>
            <w:lang w:eastAsia="en-GB"/>
            <w14:ligatures w14:val="none"/>
          </w:rPr>
          <w:t>https://doi.org/10.1371/journal.pone.0242415</w:t>
        </w:r>
      </w:hyperlink>
      <w:r w:rsidR="00181B0E" w:rsidRPr="002A56FE">
        <w:rPr>
          <w:rFonts w:ascii="Arial" w:eastAsia="Times New Roman" w:hAnsi="Arial" w:cs="Arial"/>
          <w:kern w:val="0"/>
          <w:lang w:eastAsia="en-GB"/>
          <w14:ligatures w14:val="none"/>
        </w:rPr>
        <w:t xml:space="preserve"> (Accessed:</w:t>
      </w:r>
      <w:r w:rsidR="00F01D36" w:rsidRPr="002A56FE">
        <w:rPr>
          <w:rFonts w:ascii="Arial" w:eastAsia="Times New Roman" w:hAnsi="Arial" w:cs="Arial"/>
          <w:kern w:val="0"/>
          <w:lang w:eastAsia="en-GB"/>
          <w14:ligatures w14:val="none"/>
        </w:rPr>
        <w:t xml:space="preserve"> 3 November 2025).</w:t>
      </w:r>
    </w:p>
    <w:p w14:paraId="335A581C" w14:textId="77777777" w:rsidR="004D0433" w:rsidRDefault="004D0433" w:rsidP="00D9105F">
      <w:pPr>
        <w:spacing w:before="100" w:beforeAutospacing="1" w:after="100" w:afterAutospacing="1" w:line="360" w:lineRule="auto"/>
        <w:rPr>
          <w:rFonts w:ascii="Arial" w:eastAsia="Times New Roman" w:hAnsi="Arial" w:cs="Arial"/>
          <w:kern w:val="0"/>
          <w:lang w:eastAsia="en-GB"/>
          <w14:ligatures w14:val="none"/>
        </w:rPr>
      </w:pPr>
    </w:p>
    <w:p w14:paraId="57483660" w14:textId="269B3C7B" w:rsidR="004D0433" w:rsidRPr="004D0433" w:rsidRDefault="004D0433" w:rsidP="004D0433">
      <w:pPr>
        <w:spacing w:before="100" w:beforeAutospacing="1" w:after="100" w:afterAutospacing="1" w:line="360" w:lineRule="auto"/>
        <w:rPr>
          <w:rFonts w:ascii="Arial" w:eastAsia="Times New Roman" w:hAnsi="Arial" w:cs="Arial"/>
          <w:kern w:val="0"/>
          <w:lang w:eastAsia="en-GB"/>
          <w14:ligatures w14:val="none"/>
        </w:rPr>
      </w:pPr>
      <w:r w:rsidRPr="004D0433">
        <w:rPr>
          <w:rFonts w:ascii="Arial" w:eastAsia="Times New Roman" w:hAnsi="Arial" w:cs="Arial"/>
          <w:kern w:val="0"/>
          <w:lang w:eastAsia="en-GB"/>
          <w14:ligatures w14:val="none"/>
        </w:rPr>
        <w:lastRenderedPageBreak/>
        <w:t>GOV.UK (2025</w:t>
      </w:r>
      <w:r w:rsidRPr="004D0433">
        <w:rPr>
          <w:rFonts w:ascii="Arial" w:eastAsia="Times New Roman" w:hAnsi="Arial" w:cs="Arial"/>
          <w:i/>
          <w:iCs/>
          <w:kern w:val="0"/>
          <w:lang w:eastAsia="en-GB"/>
          <w14:ligatures w14:val="none"/>
        </w:rPr>
        <w:t>) Diabetes profile: Statistical commentary, March 2025.</w:t>
      </w:r>
      <w:r w:rsidRPr="004D0433">
        <w:rPr>
          <w:rFonts w:ascii="Arial" w:eastAsia="Times New Roman" w:hAnsi="Arial" w:cs="Arial"/>
          <w:kern w:val="0"/>
          <w:lang w:eastAsia="en-GB"/>
          <w14:ligatures w14:val="none"/>
        </w:rPr>
        <w:t xml:space="preserve"> Available at: </w:t>
      </w:r>
      <w:hyperlink r:id="rId29" w:history="1">
        <w:r w:rsidRPr="001F2567">
          <w:rPr>
            <w:rStyle w:val="Hyperlink"/>
            <w:rFonts w:ascii="Arial" w:eastAsia="Times New Roman" w:hAnsi="Arial" w:cs="Arial"/>
            <w:kern w:val="0"/>
            <w:lang w:eastAsia="en-GB"/>
            <w14:ligatures w14:val="none"/>
          </w:rPr>
          <w:t>https://www.gov.uk/government/statistics/diabetes-profile-update-march-2025</w:t>
        </w:r>
      </w:hyperlink>
      <w:r>
        <w:rPr>
          <w:rFonts w:ascii="Arial" w:eastAsia="Times New Roman" w:hAnsi="Arial" w:cs="Arial"/>
          <w:kern w:val="0"/>
          <w:lang w:eastAsia="en-GB"/>
          <w14:ligatures w14:val="none"/>
        </w:rPr>
        <w:t xml:space="preserve"> </w:t>
      </w:r>
      <w:r w:rsidRPr="004D0433">
        <w:rPr>
          <w:rFonts w:ascii="Arial" w:eastAsia="Times New Roman" w:hAnsi="Arial" w:cs="Arial"/>
          <w:kern w:val="0"/>
          <w:lang w:eastAsia="en-GB"/>
          <w14:ligatures w14:val="none"/>
        </w:rPr>
        <w:t>(Accessed: 2 November 2025).</w:t>
      </w:r>
    </w:p>
    <w:p w14:paraId="085AEDD3" w14:textId="2C6C058A" w:rsidR="004D0433" w:rsidRPr="004D0433" w:rsidRDefault="004D0433" w:rsidP="004D0433">
      <w:pPr>
        <w:spacing w:before="100" w:beforeAutospacing="1" w:after="100" w:afterAutospacing="1" w:line="360" w:lineRule="auto"/>
        <w:rPr>
          <w:rFonts w:ascii="Arial" w:eastAsia="Times New Roman" w:hAnsi="Arial" w:cs="Arial"/>
          <w:kern w:val="0"/>
          <w:lang w:eastAsia="en-GB"/>
          <w14:ligatures w14:val="none"/>
        </w:rPr>
      </w:pPr>
      <w:r w:rsidRPr="004D0433">
        <w:rPr>
          <w:rFonts w:ascii="Arial" w:eastAsia="Times New Roman" w:hAnsi="Arial" w:cs="Arial"/>
          <w:kern w:val="0"/>
          <w:lang w:eastAsia="en-GB"/>
          <w14:ligatures w14:val="none"/>
        </w:rPr>
        <w:t xml:space="preserve">Gov.uk (2025a) </w:t>
      </w:r>
      <w:r w:rsidRPr="004D0433">
        <w:rPr>
          <w:rFonts w:ascii="Arial" w:eastAsia="Times New Roman" w:hAnsi="Arial" w:cs="Arial"/>
          <w:i/>
          <w:iCs/>
          <w:kern w:val="0"/>
          <w:lang w:eastAsia="en-GB"/>
          <w14:ligatures w14:val="none"/>
        </w:rPr>
        <w:t>Mortality Profile: May 2025 Update.</w:t>
      </w:r>
      <w:r w:rsidRPr="004D0433">
        <w:rPr>
          <w:rFonts w:ascii="Arial" w:eastAsia="Times New Roman" w:hAnsi="Arial" w:cs="Arial"/>
          <w:kern w:val="0"/>
          <w:lang w:eastAsia="en-GB"/>
          <w14:ligatures w14:val="none"/>
        </w:rPr>
        <w:t xml:space="preserve"> Available at: </w:t>
      </w:r>
      <w:hyperlink r:id="rId30" w:history="1">
        <w:r w:rsidRPr="001F2567">
          <w:rPr>
            <w:rStyle w:val="Hyperlink"/>
            <w:rFonts w:ascii="Arial" w:eastAsia="Times New Roman" w:hAnsi="Arial" w:cs="Arial"/>
            <w:kern w:val="0"/>
            <w:lang w:eastAsia="en-GB"/>
            <w14:ligatures w14:val="none"/>
          </w:rPr>
          <w:t>https://www.gov.uk/government/statistics/mortality-profile-may-2025-update</w:t>
        </w:r>
      </w:hyperlink>
      <w:r>
        <w:rPr>
          <w:rFonts w:ascii="Arial" w:eastAsia="Times New Roman" w:hAnsi="Arial" w:cs="Arial"/>
          <w:kern w:val="0"/>
          <w:lang w:eastAsia="en-GB"/>
          <w14:ligatures w14:val="none"/>
        </w:rPr>
        <w:t xml:space="preserve"> </w:t>
      </w:r>
      <w:r w:rsidRPr="004D0433">
        <w:rPr>
          <w:rFonts w:ascii="Arial" w:eastAsia="Times New Roman" w:hAnsi="Arial" w:cs="Arial"/>
          <w:kern w:val="0"/>
          <w:lang w:eastAsia="en-GB"/>
          <w14:ligatures w14:val="none"/>
        </w:rPr>
        <w:t>(Accessed: 4 November 2025).</w:t>
      </w:r>
    </w:p>
    <w:p w14:paraId="23626F2D" w14:textId="25D9F4DA" w:rsidR="004D0433" w:rsidRPr="004D0433" w:rsidRDefault="004D0433" w:rsidP="004D0433">
      <w:pPr>
        <w:spacing w:before="100" w:beforeAutospacing="1" w:after="100" w:afterAutospacing="1" w:line="360" w:lineRule="auto"/>
        <w:rPr>
          <w:rFonts w:ascii="Arial" w:eastAsia="Times New Roman" w:hAnsi="Arial" w:cs="Arial"/>
          <w:kern w:val="0"/>
          <w:lang w:eastAsia="en-GB"/>
          <w14:ligatures w14:val="none"/>
        </w:rPr>
      </w:pPr>
      <w:r w:rsidRPr="004D0433">
        <w:rPr>
          <w:rFonts w:ascii="Arial" w:eastAsia="Times New Roman" w:hAnsi="Arial" w:cs="Arial"/>
          <w:kern w:val="0"/>
          <w:lang w:eastAsia="en-GB"/>
          <w14:ligatures w14:val="none"/>
        </w:rPr>
        <w:t xml:space="preserve">International Diabetes Federation (2025) </w:t>
      </w:r>
      <w:r w:rsidRPr="004D0433">
        <w:rPr>
          <w:rFonts w:ascii="Arial" w:eastAsia="Times New Roman" w:hAnsi="Arial" w:cs="Arial"/>
          <w:i/>
          <w:iCs/>
          <w:kern w:val="0"/>
          <w:lang w:eastAsia="en-GB"/>
          <w14:ligatures w14:val="none"/>
        </w:rPr>
        <w:t>Diabetes Facts and Figures.</w:t>
      </w:r>
      <w:r w:rsidRPr="004D0433">
        <w:rPr>
          <w:rFonts w:ascii="Arial" w:eastAsia="Times New Roman" w:hAnsi="Arial" w:cs="Arial"/>
          <w:kern w:val="0"/>
          <w:lang w:eastAsia="en-GB"/>
          <w14:ligatures w14:val="none"/>
        </w:rPr>
        <w:t xml:space="preserve"> Available at: </w:t>
      </w:r>
      <w:hyperlink r:id="rId31" w:history="1">
        <w:r w:rsidRPr="001F2567">
          <w:rPr>
            <w:rStyle w:val="Hyperlink"/>
            <w:rFonts w:ascii="Arial" w:eastAsia="Times New Roman" w:hAnsi="Arial" w:cs="Arial"/>
            <w:kern w:val="0"/>
            <w:lang w:eastAsia="en-GB"/>
            <w14:ligatures w14:val="none"/>
          </w:rPr>
          <w:t>https://idf.org/about-diabetes/diabetes-facts-figures</w:t>
        </w:r>
      </w:hyperlink>
      <w:r>
        <w:rPr>
          <w:rFonts w:ascii="Arial" w:eastAsia="Times New Roman" w:hAnsi="Arial" w:cs="Arial"/>
          <w:kern w:val="0"/>
          <w:lang w:eastAsia="en-GB"/>
          <w14:ligatures w14:val="none"/>
        </w:rPr>
        <w:t xml:space="preserve"> </w:t>
      </w:r>
      <w:r w:rsidRPr="004D0433">
        <w:rPr>
          <w:rFonts w:ascii="Arial" w:eastAsia="Times New Roman" w:hAnsi="Arial" w:cs="Arial"/>
          <w:kern w:val="0"/>
          <w:lang w:eastAsia="en-GB"/>
          <w14:ligatures w14:val="none"/>
        </w:rPr>
        <w:t>(Accessed: 5 November 2025).</w:t>
      </w:r>
    </w:p>
    <w:p w14:paraId="124FDBAE" w14:textId="2A231565" w:rsidR="004D0433" w:rsidRPr="004D0433" w:rsidRDefault="004D0433" w:rsidP="004D0433">
      <w:pPr>
        <w:spacing w:before="100" w:beforeAutospacing="1" w:after="100" w:afterAutospacing="1" w:line="360" w:lineRule="auto"/>
        <w:rPr>
          <w:rFonts w:ascii="Arial" w:eastAsia="Times New Roman" w:hAnsi="Arial" w:cs="Arial"/>
          <w:kern w:val="0"/>
          <w:lang w:eastAsia="en-GB"/>
          <w14:ligatures w14:val="none"/>
        </w:rPr>
      </w:pPr>
      <w:r w:rsidRPr="004D0433">
        <w:rPr>
          <w:rFonts w:ascii="Arial" w:eastAsia="Times New Roman" w:hAnsi="Arial" w:cs="Arial"/>
          <w:kern w:val="0"/>
          <w:lang w:eastAsia="en-GB"/>
          <w14:ligatures w14:val="none"/>
        </w:rPr>
        <w:t xml:space="preserve">Joseph Rowntree Foundation (2025) </w:t>
      </w:r>
      <w:r w:rsidRPr="004D0433">
        <w:rPr>
          <w:rFonts w:ascii="Arial" w:eastAsia="Times New Roman" w:hAnsi="Arial" w:cs="Arial"/>
          <w:i/>
          <w:iCs/>
          <w:kern w:val="0"/>
          <w:lang w:eastAsia="en-GB"/>
          <w14:ligatures w14:val="none"/>
        </w:rPr>
        <w:t>UK Poverty 2025: The Essential Guide.</w:t>
      </w:r>
      <w:r w:rsidRPr="004D0433">
        <w:rPr>
          <w:rFonts w:ascii="Arial" w:eastAsia="Times New Roman" w:hAnsi="Arial" w:cs="Arial"/>
          <w:kern w:val="0"/>
          <w:lang w:eastAsia="en-GB"/>
          <w14:ligatures w14:val="none"/>
        </w:rPr>
        <w:t xml:space="preserve"> Available at: </w:t>
      </w:r>
      <w:hyperlink r:id="rId32" w:history="1">
        <w:r w:rsidRPr="001F2567">
          <w:rPr>
            <w:rStyle w:val="Hyperlink"/>
            <w:rFonts w:ascii="Arial" w:eastAsia="Times New Roman" w:hAnsi="Arial" w:cs="Arial"/>
            <w:kern w:val="0"/>
            <w:lang w:eastAsia="en-GB"/>
            <w14:ligatures w14:val="none"/>
          </w:rPr>
          <w:t>https://www.jrf.org.uk/uk-poverty-2025-the-essential-guide-to-understanding-poverty-in-the-uk</w:t>
        </w:r>
      </w:hyperlink>
      <w:r>
        <w:rPr>
          <w:rFonts w:ascii="Arial" w:eastAsia="Times New Roman" w:hAnsi="Arial" w:cs="Arial"/>
          <w:kern w:val="0"/>
          <w:lang w:eastAsia="en-GB"/>
          <w14:ligatures w14:val="none"/>
        </w:rPr>
        <w:t xml:space="preserve"> </w:t>
      </w:r>
      <w:r w:rsidRPr="004D0433">
        <w:rPr>
          <w:rFonts w:ascii="Arial" w:eastAsia="Times New Roman" w:hAnsi="Arial" w:cs="Arial"/>
          <w:kern w:val="0"/>
          <w:lang w:eastAsia="en-GB"/>
          <w14:ligatures w14:val="none"/>
        </w:rPr>
        <w:t>(Accessed: 2 November 2025).</w:t>
      </w:r>
    </w:p>
    <w:p w14:paraId="21364392" w14:textId="6512007F" w:rsidR="004D0433" w:rsidRDefault="004D0433" w:rsidP="004D0433">
      <w:pPr>
        <w:spacing w:before="100" w:beforeAutospacing="1" w:after="100" w:afterAutospacing="1" w:line="360" w:lineRule="auto"/>
        <w:rPr>
          <w:rFonts w:ascii="Arial" w:eastAsia="Times New Roman" w:hAnsi="Arial" w:cs="Arial"/>
          <w:kern w:val="0"/>
          <w:lang w:eastAsia="en-GB"/>
          <w14:ligatures w14:val="none"/>
        </w:rPr>
      </w:pPr>
      <w:r w:rsidRPr="004D0433">
        <w:rPr>
          <w:rFonts w:ascii="Arial" w:eastAsia="Times New Roman" w:hAnsi="Arial" w:cs="Arial"/>
          <w:kern w:val="0"/>
          <w:lang w:eastAsia="en-GB"/>
          <w14:ligatures w14:val="none"/>
        </w:rPr>
        <w:t xml:space="preserve">Lancet (2023) </w:t>
      </w:r>
      <w:r w:rsidRPr="004D0433">
        <w:rPr>
          <w:rFonts w:ascii="Arial" w:eastAsia="Times New Roman" w:hAnsi="Arial" w:cs="Arial"/>
          <w:i/>
          <w:iCs/>
          <w:kern w:val="0"/>
          <w:lang w:eastAsia="en-GB"/>
          <w14:ligatures w14:val="none"/>
        </w:rPr>
        <w:t>Global burden of diabetes.</w:t>
      </w:r>
      <w:r w:rsidRPr="004D0433">
        <w:rPr>
          <w:rFonts w:ascii="Arial" w:eastAsia="Times New Roman" w:hAnsi="Arial" w:cs="Arial"/>
          <w:kern w:val="0"/>
          <w:lang w:eastAsia="en-GB"/>
          <w14:ligatures w14:val="none"/>
        </w:rPr>
        <w:t xml:space="preserve"> Available at: </w:t>
      </w:r>
      <w:hyperlink r:id="rId33" w:history="1">
        <w:r w:rsidRPr="001F2567">
          <w:rPr>
            <w:rStyle w:val="Hyperlink"/>
            <w:rFonts w:ascii="Arial" w:eastAsia="Times New Roman" w:hAnsi="Arial" w:cs="Arial"/>
            <w:kern w:val="0"/>
            <w:lang w:eastAsia="en-GB"/>
            <w14:ligatures w14:val="none"/>
          </w:rPr>
          <w:t>https://www.thelancet.com/journals/lancet/article/PIIS0140-6736%2823%2901301-6/fulltext</w:t>
        </w:r>
      </w:hyperlink>
      <w:r>
        <w:rPr>
          <w:rFonts w:ascii="Arial" w:eastAsia="Times New Roman" w:hAnsi="Arial" w:cs="Arial"/>
          <w:kern w:val="0"/>
          <w:lang w:eastAsia="en-GB"/>
          <w14:ligatures w14:val="none"/>
        </w:rPr>
        <w:t xml:space="preserve"> </w:t>
      </w:r>
      <w:r w:rsidRPr="004D0433">
        <w:rPr>
          <w:rFonts w:ascii="Arial" w:eastAsia="Times New Roman" w:hAnsi="Arial" w:cs="Arial"/>
          <w:kern w:val="0"/>
          <w:lang w:eastAsia="en-GB"/>
          <w14:ligatures w14:val="none"/>
        </w:rPr>
        <w:t xml:space="preserve"> (Accessed: 4 November 2025</w:t>
      </w:r>
      <w:r>
        <w:rPr>
          <w:rFonts w:ascii="Arial" w:eastAsia="Times New Roman" w:hAnsi="Arial" w:cs="Arial"/>
          <w:kern w:val="0"/>
          <w:lang w:eastAsia="en-GB"/>
          <w14:ligatures w14:val="none"/>
        </w:rPr>
        <w:t>).</w:t>
      </w:r>
    </w:p>
    <w:p w14:paraId="75C6D58A" w14:textId="58A25949" w:rsidR="00D9105F" w:rsidRPr="00D9105F" w:rsidRDefault="00654B1A" w:rsidP="00D9105F">
      <w:pPr>
        <w:spacing w:before="100" w:beforeAutospacing="1" w:after="100" w:afterAutospacing="1" w:line="360" w:lineRule="auto"/>
        <w:rPr>
          <w:rFonts w:ascii="Arial" w:eastAsia="Times New Roman" w:hAnsi="Arial" w:cs="Arial"/>
          <w:kern w:val="0"/>
          <w:lang w:eastAsia="en-GB"/>
          <w14:ligatures w14:val="none"/>
        </w:rPr>
      </w:pPr>
      <w:r w:rsidRPr="00654B1A">
        <w:rPr>
          <w:rFonts w:ascii="Arial" w:eastAsia="Times New Roman" w:hAnsi="Arial" w:cs="Arial"/>
          <w:kern w:val="0"/>
          <w:lang w:eastAsia="en-GB"/>
          <w14:ligatures w14:val="none"/>
        </w:rPr>
        <w:t xml:space="preserve">London Diabetes Clinical Network (2018) </w:t>
      </w:r>
      <w:r w:rsidRPr="00A207BF">
        <w:rPr>
          <w:rFonts w:ascii="Arial" w:eastAsia="Times New Roman" w:hAnsi="Arial" w:cs="Arial"/>
          <w:i/>
          <w:iCs/>
          <w:kern w:val="0"/>
          <w:lang w:eastAsia="en-GB"/>
          <w14:ligatures w14:val="none"/>
        </w:rPr>
        <w:t>Consensus approach to the diagnosis of Type 2 diabetes</w:t>
      </w:r>
      <w:r w:rsidRPr="00A207BF">
        <w:rPr>
          <w:rFonts w:ascii="Arial" w:eastAsia="Times New Roman" w:hAnsi="Arial" w:cs="Arial"/>
          <w:kern w:val="0"/>
          <w:lang w:eastAsia="en-GB"/>
          <w14:ligatures w14:val="none"/>
        </w:rPr>
        <w:t>.</w:t>
      </w:r>
      <w:r w:rsidR="00A207BF">
        <w:rPr>
          <w:rFonts w:ascii="Arial" w:eastAsia="Times New Roman" w:hAnsi="Arial" w:cs="Arial"/>
          <w:kern w:val="0"/>
          <w:lang w:eastAsia="en-GB"/>
          <w14:ligatures w14:val="none"/>
        </w:rPr>
        <w:t xml:space="preserve"> Available at:</w:t>
      </w:r>
      <w:r w:rsidRPr="00A207BF">
        <w:rPr>
          <w:rFonts w:ascii="Arial" w:eastAsia="Times New Roman" w:hAnsi="Arial" w:cs="Arial"/>
          <w:kern w:val="0"/>
          <w:lang w:eastAsia="en-GB"/>
          <w14:ligatures w14:val="none"/>
        </w:rPr>
        <w:t xml:space="preserve"> </w:t>
      </w:r>
      <w:hyperlink r:id="rId34" w:history="1">
        <w:r w:rsidR="00A207BF" w:rsidRPr="001F2567">
          <w:rPr>
            <w:rStyle w:val="Hyperlink"/>
            <w:rFonts w:ascii="Arial" w:eastAsia="Times New Roman" w:hAnsi="Arial" w:cs="Arial"/>
            <w:kern w:val="0"/>
            <w:lang w:eastAsia="en-GB"/>
            <w14:ligatures w14:val="none"/>
          </w:rPr>
          <w:t>https://www.england.nhs.uk/london/wp-content/uploads/sites/8/2019/07/dia-consensus-type2-27092018-FINAL.pdf</w:t>
        </w:r>
      </w:hyperlink>
      <w:r w:rsidR="00A207BF">
        <w:rPr>
          <w:rFonts w:ascii="Arial" w:eastAsia="Times New Roman" w:hAnsi="Arial" w:cs="Arial"/>
          <w:kern w:val="0"/>
          <w:lang w:eastAsia="en-GB"/>
          <w14:ligatures w14:val="none"/>
        </w:rPr>
        <w:t xml:space="preserve"> (Accessed: 4 Nove</w:t>
      </w:r>
      <w:r w:rsidR="009E681F">
        <w:rPr>
          <w:rFonts w:ascii="Arial" w:eastAsia="Times New Roman" w:hAnsi="Arial" w:cs="Arial"/>
          <w:kern w:val="0"/>
          <w:lang w:eastAsia="en-GB"/>
          <w14:ligatures w14:val="none"/>
        </w:rPr>
        <w:t>mber 2025).</w:t>
      </w:r>
    </w:p>
    <w:p w14:paraId="404913B4" w14:textId="40B41EA7" w:rsidR="00C73C8F" w:rsidRPr="00C73C8F" w:rsidRDefault="00C73C8F" w:rsidP="00C73C8F">
      <w:pPr>
        <w:spacing w:before="100" w:beforeAutospacing="1" w:after="100" w:afterAutospacing="1" w:line="360" w:lineRule="auto"/>
        <w:rPr>
          <w:rFonts w:ascii="Arial" w:eastAsia="Times New Roman" w:hAnsi="Arial" w:cs="Arial"/>
          <w:kern w:val="0"/>
          <w:lang w:eastAsia="en-GB"/>
          <w14:ligatures w14:val="none"/>
        </w:rPr>
      </w:pPr>
      <w:r w:rsidRPr="00C73C8F">
        <w:rPr>
          <w:rFonts w:ascii="Arial" w:eastAsia="Times New Roman" w:hAnsi="Arial" w:cs="Arial"/>
          <w:kern w:val="0"/>
          <w:lang w:eastAsia="en-GB"/>
          <w14:ligatures w14:val="none"/>
        </w:rPr>
        <w:t xml:space="preserve">National Health Service England (2025) </w:t>
      </w:r>
      <w:r w:rsidRPr="00C73C8F">
        <w:rPr>
          <w:rFonts w:ascii="Arial" w:eastAsia="Times New Roman" w:hAnsi="Arial" w:cs="Arial"/>
          <w:i/>
          <w:iCs/>
          <w:kern w:val="0"/>
          <w:lang w:eastAsia="en-GB"/>
          <w14:ligatures w14:val="none"/>
        </w:rPr>
        <w:t>Improving Care for Older People</w:t>
      </w:r>
      <w:r w:rsidRPr="00C73C8F">
        <w:rPr>
          <w:rFonts w:ascii="Arial" w:eastAsia="Times New Roman" w:hAnsi="Arial" w:cs="Arial"/>
          <w:kern w:val="0"/>
          <w:lang w:eastAsia="en-GB"/>
          <w14:ligatures w14:val="none"/>
        </w:rPr>
        <w:t xml:space="preserve">. Available at: </w:t>
      </w:r>
      <w:hyperlink r:id="rId35" w:history="1">
        <w:r w:rsidRPr="001F2567">
          <w:rPr>
            <w:rStyle w:val="Hyperlink"/>
            <w:rFonts w:ascii="Arial" w:eastAsia="Times New Roman" w:hAnsi="Arial" w:cs="Arial"/>
            <w:kern w:val="0"/>
            <w:lang w:eastAsia="en-GB"/>
            <w14:ligatures w14:val="none"/>
          </w:rPr>
          <w:t>https://www.england.nhs.uk/ourwork/clinical-policy/older-people/improving-care-for-older-people/</w:t>
        </w:r>
      </w:hyperlink>
      <w:r>
        <w:rPr>
          <w:rFonts w:ascii="Arial" w:eastAsia="Times New Roman" w:hAnsi="Arial" w:cs="Arial"/>
          <w:kern w:val="0"/>
          <w:lang w:eastAsia="en-GB"/>
          <w14:ligatures w14:val="none"/>
        </w:rPr>
        <w:t xml:space="preserve"> </w:t>
      </w:r>
      <w:r w:rsidRPr="00C73C8F">
        <w:rPr>
          <w:rFonts w:ascii="Arial" w:eastAsia="Times New Roman" w:hAnsi="Arial" w:cs="Arial"/>
          <w:kern w:val="0"/>
          <w:lang w:eastAsia="en-GB"/>
          <w14:ligatures w14:val="none"/>
        </w:rPr>
        <w:t xml:space="preserve"> (Accessed: 2 November 2025).</w:t>
      </w:r>
    </w:p>
    <w:p w14:paraId="4E85AEFE" w14:textId="10500DF8" w:rsidR="00C73C8F" w:rsidRPr="00C73C8F" w:rsidRDefault="00C73C8F" w:rsidP="00C73C8F">
      <w:pPr>
        <w:spacing w:before="100" w:beforeAutospacing="1" w:after="100" w:afterAutospacing="1" w:line="360" w:lineRule="auto"/>
        <w:rPr>
          <w:rFonts w:ascii="Arial" w:eastAsia="Times New Roman" w:hAnsi="Arial" w:cs="Arial"/>
          <w:kern w:val="0"/>
          <w:lang w:eastAsia="en-GB"/>
          <w14:ligatures w14:val="none"/>
        </w:rPr>
      </w:pPr>
      <w:r w:rsidRPr="00C73C8F">
        <w:rPr>
          <w:rFonts w:ascii="Arial" w:eastAsia="Times New Roman" w:hAnsi="Arial" w:cs="Arial"/>
          <w:kern w:val="0"/>
          <w:lang w:eastAsia="en-GB"/>
          <w14:ligatures w14:val="none"/>
        </w:rPr>
        <w:t xml:space="preserve">National Health Service (2023) </w:t>
      </w:r>
      <w:r w:rsidRPr="00C73C8F">
        <w:rPr>
          <w:rFonts w:ascii="Arial" w:eastAsia="Times New Roman" w:hAnsi="Arial" w:cs="Arial"/>
          <w:i/>
          <w:iCs/>
          <w:kern w:val="0"/>
          <w:lang w:eastAsia="en-GB"/>
          <w14:ligatures w14:val="none"/>
        </w:rPr>
        <w:t xml:space="preserve">Treatment for Type 2 Diabetes. </w:t>
      </w:r>
      <w:r w:rsidRPr="00C73C8F">
        <w:rPr>
          <w:rFonts w:ascii="Arial" w:eastAsia="Times New Roman" w:hAnsi="Arial" w:cs="Arial"/>
          <w:kern w:val="0"/>
          <w:lang w:eastAsia="en-GB"/>
          <w14:ligatures w14:val="none"/>
        </w:rPr>
        <w:t xml:space="preserve">Available at: </w:t>
      </w:r>
      <w:hyperlink r:id="rId36" w:history="1">
        <w:r w:rsidRPr="001F2567">
          <w:rPr>
            <w:rStyle w:val="Hyperlink"/>
            <w:rFonts w:ascii="Arial" w:eastAsia="Times New Roman" w:hAnsi="Arial" w:cs="Arial"/>
            <w:kern w:val="0"/>
            <w:lang w:eastAsia="en-GB"/>
            <w14:ligatures w14:val="none"/>
          </w:rPr>
          <w:t>https://www.nhs.uk/conditions/type-2-diabetes/treatment</w:t>
        </w:r>
      </w:hyperlink>
      <w:r>
        <w:rPr>
          <w:rFonts w:ascii="Arial" w:eastAsia="Times New Roman" w:hAnsi="Arial" w:cs="Arial"/>
          <w:kern w:val="0"/>
          <w:lang w:eastAsia="en-GB"/>
          <w14:ligatures w14:val="none"/>
        </w:rPr>
        <w:t xml:space="preserve"> </w:t>
      </w:r>
      <w:r w:rsidRPr="00C73C8F">
        <w:rPr>
          <w:rFonts w:ascii="Arial" w:eastAsia="Times New Roman" w:hAnsi="Arial" w:cs="Arial"/>
          <w:kern w:val="0"/>
          <w:lang w:eastAsia="en-GB"/>
          <w14:ligatures w14:val="none"/>
        </w:rPr>
        <w:t xml:space="preserve"> (Accessed: 30 October 2025).</w:t>
      </w:r>
    </w:p>
    <w:p w14:paraId="799719F7" w14:textId="4C3916E6" w:rsidR="00C73C8F" w:rsidRPr="00C73C8F" w:rsidRDefault="00C73C8F" w:rsidP="00C73C8F">
      <w:pPr>
        <w:spacing w:before="100" w:beforeAutospacing="1" w:after="100" w:afterAutospacing="1" w:line="360" w:lineRule="auto"/>
        <w:rPr>
          <w:rFonts w:ascii="Arial" w:eastAsia="Times New Roman" w:hAnsi="Arial" w:cs="Arial"/>
          <w:kern w:val="0"/>
          <w:lang w:eastAsia="en-GB"/>
          <w14:ligatures w14:val="none"/>
        </w:rPr>
      </w:pPr>
      <w:r w:rsidRPr="00C73C8F">
        <w:rPr>
          <w:rFonts w:ascii="Arial" w:eastAsia="Times New Roman" w:hAnsi="Arial" w:cs="Arial"/>
          <w:kern w:val="0"/>
          <w:lang w:eastAsia="en-GB"/>
          <w14:ligatures w14:val="none"/>
        </w:rPr>
        <w:t xml:space="preserve">National Health Service (2025b) </w:t>
      </w:r>
      <w:r w:rsidRPr="00C73C8F">
        <w:rPr>
          <w:rFonts w:ascii="Arial" w:eastAsia="Times New Roman" w:hAnsi="Arial" w:cs="Arial"/>
          <w:i/>
          <w:iCs/>
          <w:kern w:val="0"/>
          <w:lang w:eastAsia="en-GB"/>
          <w14:ligatures w14:val="none"/>
        </w:rPr>
        <w:t>Flash Glucose Monitoring on the NHS</w:t>
      </w:r>
      <w:r w:rsidRPr="00C73C8F">
        <w:rPr>
          <w:rFonts w:ascii="Arial" w:eastAsia="Times New Roman" w:hAnsi="Arial" w:cs="Arial"/>
          <w:kern w:val="0"/>
          <w:lang w:eastAsia="en-GB"/>
          <w14:ligatures w14:val="none"/>
        </w:rPr>
        <w:t xml:space="preserve">. Available at: </w:t>
      </w:r>
      <w:hyperlink r:id="rId37" w:history="1">
        <w:r w:rsidRPr="001F2567">
          <w:rPr>
            <w:rStyle w:val="Hyperlink"/>
            <w:rFonts w:ascii="Arial" w:eastAsia="Times New Roman" w:hAnsi="Arial" w:cs="Arial"/>
            <w:kern w:val="0"/>
            <w:lang w:eastAsia="en-GB"/>
            <w14:ligatures w14:val="none"/>
          </w:rPr>
          <w:t>https://www.nhs.uk/conditions/flash-glucose-monitoring</w:t>
        </w:r>
      </w:hyperlink>
      <w:r>
        <w:rPr>
          <w:rFonts w:ascii="Arial" w:eastAsia="Times New Roman" w:hAnsi="Arial" w:cs="Arial"/>
          <w:kern w:val="0"/>
          <w:lang w:eastAsia="en-GB"/>
          <w14:ligatures w14:val="none"/>
        </w:rPr>
        <w:t xml:space="preserve"> </w:t>
      </w:r>
      <w:r w:rsidRPr="00C73C8F">
        <w:rPr>
          <w:rFonts w:ascii="Arial" w:eastAsia="Times New Roman" w:hAnsi="Arial" w:cs="Arial"/>
          <w:kern w:val="0"/>
          <w:lang w:eastAsia="en-GB"/>
          <w14:ligatures w14:val="none"/>
        </w:rPr>
        <w:t xml:space="preserve"> (Accessed: 4 November 2025).</w:t>
      </w:r>
    </w:p>
    <w:p w14:paraId="34CC14D0" w14:textId="0793FEF9" w:rsidR="00C73C8F" w:rsidRPr="00C73C8F" w:rsidRDefault="00C73C8F" w:rsidP="00C73C8F">
      <w:pPr>
        <w:spacing w:before="100" w:beforeAutospacing="1" w:after="100" w:afterAutospacing="1" w:line="360" w:lineRule="auto"/>
        <w:rPr>
          <w:rFonts w:ascii="Arial" w:eastAsia="Times New Roman" w:hAnsi="Arial" w:cs="Arial"/>
          <w:kern w:val="0"/>
          <w:lang w:eastAsia="en-GB"/>
          <w14:ligatures w14:val="none"/>
        </w:rPr>
      </w:pPr>
      <w:r w:rsidRPr="00C73C8F">
        <w:rPr>
          <w:rFonts w:ascii="Arial" w:eastAsia="Times New Roman" w:hAnsi="Arial" w:cs="Arial"/>
          <w:kern w:val="0"/>
          <w:lang w:eastAsia="en-GB"/>
          <w14:ligatures w14:val="none"/>
        </w:rPr>
        <w:t xml:space="preserve">National Health Service (2025d) </w:t>
      </w:r>
      <w:r w:rsidRPr="00C73C8F">
        <w:rPr>
          <w:rFonts w:ascii="Arial" w:eastAsia="Times New Roman" w:hAnsi="Arial" w:cs="Arial"/>
          <w:i/>
          <w:iCs/>
          <w:kern w:val="0"/>
          <w:lang w:eastAsia="en-GB"/>
          <w14:ligatures w14:val="none"/>
        </w:rPr>
        <w:t>Type 2 Diabetes Overview</w:t>
      </w:r>
      <w:r w:rsidRPr="00C73C8F">
        <w:rPr>
          <w:rFonts w:ascii="Arial" w:eastAsia="Times New Roman" w:hAnsi="Arial" w:cs="Arial"/>
          <w:kern w:val="0"/>
          <w:lang w:eastAsia="en-GB"/>
          <w14:ligatures w14:val="none"/>
        </w:rPr>
        <w:t xml:space="preserve">. Available at: </w:t>
      </w:r>
      <w:hyperlink r:id="rId38" w:history="1">
        <w:r w:rsidRPr="001F2567">
          <w:rPr>
            <w:rStyle w:val="Hyperlink"/>
            <w:rFonts w:ascii="Arial" w:eastAsia="Times New Roman" w:hAnsi="Arial" w:cs="Arial"/>
            <w:kern w:val="0"/>
            <w:lang w:eastAsia="en-GB"/>
            <w14:ligatures w14:val="none"/>
          </w:rPr>
          <w:t>https://www.nhs.uk/conditions/type-2-diabetes/what-is-type-2-diabetes</w:t>
        </w:r>
      </w:hyperlink>
      <w:r>
        <w:rPr>
          <w:rFonts w:ascii="Arial" w:eastAsia="Times New Roman" w:hAnsi="Arial" w:cs="Arial"/>
          <w:kern w:val="0"/>
          <w:lang w:eastAsia="en-GB"/>
          <w14:ligatures w14:val="none"/>
        </w:rPr>
        <w:t xml:space="preserve"> </w:t>
      </w:r>
      <w:r w:rsidRPr="00C73C8F">
        <w:rPr>
          <w:rFonts w:ascii="Arial" w:eastAsia="Times New Roman" w:hAnsi="Arial" w:cs="Arial"/>
          <w:kern w:val="0"/>
          <w:lang w:eastAsia="en-GB"/>
          <w14:ligatures w14:val="none"/>
        </w:rPr>
        <w:t xml:space="preserve"> (Accessed: 5 November 2025).</w:t>
      </w:r>
    </w:p>
    <w:p w14:paraId="1447419D" w14:textId="216969E5" w:rsidR="00C73C8F" w:rsidRPr="00C73C8F" w:rsidRDefault="00C73C8F" w:rsidP="00C73C8F">
      <w:pPr>
        <w:spacing w:before="100" w:beforeAutospacing="1" w:after="100" w:afterAutospacing="1" w:line="360" w:lineRule="auto"/>
        <w:rPr>
          <w:rFonts w:ascii="Arial" w:eastAsia="Times New Roman" w:hAnsi="Arial" w:cs="Arial"/>
          <w:kern w:val="0"/>
          <w:lang w:eastAsia="en-GB"/>
          <w14:ligatures w14:val="none"/>
        </w:rPr>
      </w:pPr>
      <w:r w:rsidRPr="00C73C8F">
        <w:rPr>
          <w:rFonts w:ascii="Arial" w:eastAsia="Times New Roman" w:hAnsi="Arial" w:cs="Arial"/>
          <w:kern w:val="0"/>
          <w:lang w:eastAsia="en-GB"/>
          <w14:ligatures w14:val="none"/>
        </w:rPr>
        <w:lastRenderedPageBreak/>
        <w:t xml:space="preserve">National Health Service  Digital (2024) </w:t>
      </w:r>
      <w:r w:rsidRPr="00C73C8F">
        <w:rPr>
          <w:rFonts w:ascii="Arial" w:eastAsia="Times New Roman" w:hAnsi="Arial" w:cs="Arial"/>
          <w:i/>
          <w:iCs/>
          <w:kern w:val="0"/>
          <w:lang w:eastAsia="en-GB"/>
          <w14:ligatures w14:val="none"/>
        </w:rPr>
        <w:t>National Diabetes Audit Report</w:t>
      </w:r>
      <w:r w:rsidRPr="00C73C8F">
        <w:rPr>
          <w:rFonts w:ascii="Arial" w:eastAsia="Times New Roman" w:hAnsi="Arial" w:cs="Arial"/>
          <w:kern w:val="0"/>
          <w:lang w:eastAsia="en-GB"/>
          <w14:ligatures w14:val="none"/>
        </w:rPr>
        <w:t xml:space="preserve">. Available at: </w:t>
      </w:r>
      <w:hyperlink r:id="rId39" w:history="1">
        <w:r w:rsidRPr="001F2567">
          <w:rPr>
            <w:rStyle w:val="Hyperlink"/>
            <w:rFonts w:ascii="Arial" w:eastAsia="Times New Roman" w:hAnsi="Arial" w:cs="Arial"/>
            <w:kern w:val="0"/>
            <w:lang w:eastAsia="en-GB"/>
            <w14:ligatures w14:val="none"/>
          </w:rPr>
          <w:t>https://digital.nhs.uk/data-and-information/publications/statistical/national-diabetes-audit</w:t>
        </w:r>
      </w:hyperlink>
      <w:r>
        <w:rPr>
          <w:rFonts w:ascii="Arial" w:eastAsia="Times New Roman" w:hAnsi="Arial" w:cs="Arial"/>
          <w:kern w:val="0"/>
          <w:lang w:eastAsia="en-GB"/>
          <w14:ligatures w14:val="none"/>
        </w:rPr>
        <w:t xml:space="preserve"> </w:t>
      </w:r>
      <w:r w:rsidRPr="00C73C8F">
        <w:rPr>
          <w:rFonts w:ascii="Arial" w:eastAsia="Times New Roman" w:hAnsi="Arial" w:cs="Arial"/>
          <w:kern w:val="0"/>
          <w:lang w:eastAsia="en-GB"/>
          <w14:ligatures w14:val="none"/>
        </w:rPr>
        <w:t xml:space="preserve"> (Accessed: 2 November 2025).</w:t>
      </w:r>
    </w:p>
    <w:p w14:paraId="0CACD38B" w14:textId="5A8B039F" w:rsidR="00C73C8F" w:rsidRPr="00C73C8F" w:rsidRDefault="00C73C8F" w:rsidP="00C73C8F">
      <w:pPr>
        <w:spacing w:before="100" w:beforeAutospacing="1" w:after="100" w:afterAutospacing="1" w:line="360" w:lineRule="auto"/>
        <w:rPr>
          <w:rFonts w:ascii="Arial" w:eastAsia="Times New Roman" w:hAnsi="Arial" w:cs="Arial"/>
          <w:kern w:val="0"/>
          <w:lang w:eastAsia="en-GB"/>
          <w14:ligatures w14:val="none"/>
        </w:rPr>
      </w:pPr>
      <w:r w:rsidRPr="00C73C8F">
        <w:rPr>
          <w:rFonts w:ascii="Arial" w:eastAsia="Times New Roman" w:hAnsi="Arial" w:cs="Arial"/>
          <w:kern w:val="0"/>
          <w:lang w:eastAsia="en-GB"/>
          <w14:ligatures w14:val="none"/>
        </w:rPr>
        <w:t xml:space="preserve">National Health Service England (2025) </w:t>
      </w:r>
      <w:r w:rsidRPr="00C73C8F">
        <w:rPr>
          <w:rFonts w:ascii="Arial" w:eastAsia="Times New Roman" w:hAnsi="Arial" w:cs="Arial"/>
          <w:i/>
          <w:iCs/>
          <w:kern w:val="0"/>
          <w:lang w:eastAsia="en-GB"/>
          <w14:ligatures w14:val="none"/>
        </w:rPr>
        <w:t xml:space="preserve">Diabetes Prevention Programme (NDPP). </w:t>
      </w:r>
      <w:r w:rsidRPr="00C73C8F">
        <w:rPr>
          <w:rFonts w:ascii="Arial" w:eastAsia="Times New Roman" w:hAnsi="Arial" w:cs="Arial"/>
          <w:kern w:val="0"/>
          <w:lang w:eastAsia="en-GB"/>
          <w14:ligatures w14:val="none"/>
        </w:rPr>
        <w:t xml:space="preserve">Available at: </w:t>
      </w:r>
      <w:hyperlink r:id="rId40" w:history="1">
        <w:r w:rsidRPr="001F2567">
          <w:rPr>
            <w:rStyle w:val="Hyperlink"/>
            <w:rFonts w:ascii="Arial" w:eastAsia="Times New Roman" w:hAnsi="Arial" w:cs="Arial"/>
            <w:kern w:val="0"/>
            <w:lang w:eastAsia="en-GB"/>
            <w14:ligatures w14:val="none"/>
          </w:rPr>
          <w:t>https://www.england.nhs.uk/diabetes/dpp</w:t>
        </w:r>
      </w:hyperlink>
      <w:r>
        <w:rPr>
          <w:rFonts w:ascii="Arial" w:eastAsia="Times New Roman" w:hAnsi="Arial" w:cs="Arial"/>
          <w:kern w:val="0"/>
          <w:lang w:eastAsia="en-GB"/>
          <w14:ligatures w14:val="none"/>
        </w:rPr>
        <w:t xml:space="preserve"> </w:t>
      </w:r>
      <w:r w:rsidRPr="00C73C8F">
        <w:rPr>
          <w:rFonts w:ascii="Arial" w:eastAsia="Times New Roman" w:hAnsi="Arial" w:cs="Arial"/>
          <w:kern w:val="0"/>
          <w:lang w:eastAsia="en-GB"/>
          <w14:ligatures w14:val="none"/>
        </w:rPr>
        <w:t xml:space="preserve"> (Accessed: 2 November 2025).</w:t>
      </w:r>
    </w:p>
    <w:p w14:paraId="590C8E5F" w14:textId="504E012A" w:rsidR="00C73C8F" w:rsidRDefault="00C73C8F" w:rsidP="00C73C8F">
      <w:pPr>
        <w:spacing w:before="100" w:beforeAutospacing="1" w:after="100" w:afterAutospacing="1" w:line="360" w:lineRule="auto"/>
        <w:rPr>
          <w:rFonts w:ascii="Arial" w:eastAsia="Times New Roman" w:hAnsi="Arial" w:cs="Arial"/>
          <w:kern w:val="0"/>
          <w:lang w:eastAsia="en-GB"/>
          <w14:ligatures w14:val="none"/>
        </w:rPr>
      </w:pPr>
      <w:r w:rsidRPr="00C73C8F">
        <w:rPr>
          <w:rFonts w:ascii="Arial" w:eastAsia="Times New Roman" w:hAnsi="Arial" w:cs="Arial"/>
          <w:kern w:val="0"/>
          <w:lang w:eastAsia="en-GB"/>
          <w14:ligatures w14:val="none"/>
        </w:rPr>
        <w:t xml:space="preserve">National Institute for Care and Excellence (2023) </w:t>
      </w:r>
      <w:r w:rsidRPr="00C73C8F">
        <w:rPr>
          <w:rFonts w:ascii="Arial" w:eastAsia="Times New Roman" w:hAnsi="Arial" w:cs="Arial"/>
          <w:i/>
          <w:iCs/>
          <w:kern w:val="0"/>
          <w:lang w:eastAsia="en-GB"/>
          <w14:ligatures w14:val="none"/>
        </w:rPr>
        <w:t>Type 2 Diabetes in Adults: Management (NG28).</w:t>
      </w:r>
      <w:r w:rsidRPr="00C73C8F">
        <w:rPr>
          <w:rFonts w:ascii="Arial" w:eastAsia="Times New Roman" w:hAnsi="Arial" w:cs="Arial"/>
          <w:kern w:val="0"/>
          <w:lang w:eastAsia="en-GB"/>
          <w14:ligatures w14:val="none"/>
        </w:rPr>
        <w:t xml:space="preserve"> Available at: </w:t>
      </w:r>
      <w:hyperlink r:id="rId41" w:history="1">
        <w:r w:rsidRPr="001F2567">
          <w:rPr>
            <w:rStyle w:val="Hyperlink"/>
            <w:rFonts w:ascii="Arial" w:eastAsia="Times New Roman" w:hAnsi="Arial" w:cs="Arial"/>
            <w:kern w:val="0"/>
            <w:lang w:eastAsia="en-GB"/>
            <w14:ligatures w14:val="none"/>
          </w:rPr>
          <w:t>https://www.nice.org.uk/guidance/ng28</w:t>
        </w:r>
      </w:hyperlink>
      <w:r>
        <w:rPr>
          <w:rFonts w:ascii="Arial" w:eastAsia="Times New Roman" w:hAnsi="Arial" w:cs="Arial"/>
          <w:kern w:val="0"/>
          <w:lang w:eastAsia="en-GB"/>
          <w14:ligatures w14:val="none"/>
        </w:rPr>
        <w:t xml:space="preserve"> </w:t>
      </w:r>
      <w:r w:rsidRPr="00C73C8F">
        <w:rPr>
          <w:rFonts w:ascii="Arial" w:eastAsia="Times New Roman" w:hAnsi="Arial" w:cs="Arial"/>
          <w:kern w:val="0"/>
          <w:lang w:eastAsia="en-GB"/>
          <w14:ligatures w14:val="none"/>
        </w:rPr>
        <w:t xml:space="preserve"> (Accessed: 5 November 2025).</w:t>
      </w:r>
    </w:p>
    <w:p w14:paraId="7E5C830F" w14:textId="6EB047F7" w:rsidR="00C73C8F" w:rsidRDefault="00C73C8F" w:rsidP="00D9105F">
      <w:pPr>
        <w:spacing w:before="100" w:beforeAutospacing="1" w:after="100" w:afterAutospacing="1" w:line="360" w:lineRule="auto"/>
        <w:rPr>
          <w:rFonts w:ascii="Arial" w:eastAsia="Times New Roman" w:hAnsi="Arial" w:cs="Arial"/>
          <w:kern w:val="0"/>
          <w:lang w:eastAsia="en-GB"/>
          <w14:ligatures w14:val="none"/>
        </w:rPr>
      </w:pPr>
      <w:r w:rsidRPr="00C73C8F">
        <w:rPr>
          <w:rFonts w:ascii="Arial" w:eastAsia="Times New Roman" w:hAnsi="Arial" w:cs="Arial"/>
          <w:kern w:val="0"/>
          <w:lang w:eastAsia="en-GB"/>
          <w14:ligatures w14:val="none"/>
        </w:rPr>
        <w:t xml:space="preserve">Priory (2025) </w:t>
      </w:r>
      <w:r w:rsidRPr="00C73C8F">
        <w:rPr>
          <w:rFonts w:ascii="Arial" w:eastAsia="Times New Roman" w:hAnsi="Arial" w:cs="Arial"/>
          <w:i/>
          <w:iCs/>
          <w:kern w:val="0"/>
          <w:lang w:eastAsia="en-GB"/>
          <w14:ligatures w14:val="none"/>
        </w:rPr>
        <w:t>Mental Health Statistics UK 2025.</w:t>
      </w:r>
      <w:r w:rsidRPr="00C73C8F">
        <w:rPr>
          <w:rFonts w:ascii="Arial" w:eastAsia="Times New Roman" w:hAnsi="Arial" w:cs="Arial"/>
          <w:kern w:val="0"/>
          <w:lang w:eastAsia="en-GB"/>
          <w14:ligatures w14:val="none"/>
        </w:rPr>
        <w:t xml:space="preserve"> Available at: </w:t>
      </w:r>
      <w:hyperlink r:id="rId42" w:history="1">
        <w:r w:rsidRPr="001F2567">
          <w:rPr>
            <w:rStyle w:val="Hyperlink"/>
            <w:rFonts w:ascii="Arial" w:eastAsia="Times New Roman" w:hAnsi="Arial" w:cs="Arial"/>
            <w:kern w:val="0"/>
            <w:lang w:eastAsia="en-GB"/>
            <w14:ligatures w14:val="none"/>
          </w:rPr>
          <w:t>https://www.priorygroup.com/mental-health/mental-health-statistics</w:t>
        </w:r>
      </w:hyperlink>
      <w:r>
        <w:rPr>
          <w:rFonts w:ascii="Arial" w:eastAsia="Times New Roman" w:hAnsi="Arial" w:cs="Arial"/>
          <w:kern w:val="0"/>
          <w:lang w:eastAsia="en-GB"/>
          <w14:ligatures w14:val="none"/>
        </w:rPr>
        <w:t xml:space="preserve"> </w:t>
      </w:r>
      <w:r w:rsidRPr="00C73C8F">
        <w:rPr>
          <w:rFonts w:ascii="Arial" w:eastAsia="Times New Roman" w:hAnsi="Arial" w:cs="Arial"/>
          <w:kern w:val="0"/>
          <w:lang w:eastAsia="en-GB"/>
          <w14:ligatures w14:val="none"/>
        </w:rPr>
        <w:t xml:space="preserve"> (Accessed: 3 November 2025).</w:t>
      </w:r>
    </w:p>
    <w:p w14:paraId="767E266B" w14:textId="4282F95B" w:rsidR="00801199" w:rsidRDefault="00801199" w:rsidP="00D9105F">
      <w:pPr>
        <w:spacing w:before="100" w:beforeAutospacing="1" w:after="100" w:afterAutospacing="1" w:line="360" w:lineRule="auto"/>
        <w:rPr>
          <w:rFonts w:ascii="Arial" w:eastAsia="Times New Roman" w:hAnsi="Arial" w:cs="Arial"/>
          <w:kern w:val="0"/>
          <w:lang w:eastAsia="en-GB"/>
          <w14:ligatures w14:val="none"/>
        </w:rPr>
      </w:pPr>
      <w:r w:rsidRPr="00801199">
        <w:rPr>
          <w:rFonts w:ascii="Arial" w:eastAsia="Times New Roman" w:hAnsi="Arial" w:cs="Arial"/>
          <w:kern w:val="0"/>
          <w:lang w:eastAsia="en-GB"/>
          <w14:ligatures w14:val="none"/>
        </w:rPr>
        <w:t xml:space="preserve">Ravaghi, H., Guisset, A-L., Elfeky, S., Nasir, N., Khani, S., Ahmadnezhad, E. </w:t>
      </w:r>
      <w:r w:rsidR="005127EF">
        <w:rPr>
          <w:rFonts w:ascii="Arial" w:eastAsia="Times New Roman" w:hAnsi="Arial" w:cs="Arial"/>
          <w:kern w:val="0"/>
          <w:lang w:eastAsia="en-GB"/>
          <w14:ligatures w14:val="none"/>
        </w:rPr>
        <w:t>and</w:t>
      </w:r>
      <w:r w:rsidRPr="00801199">
        <w:rPr>
          <w:rFonts w:ascii="Arial" w:eastAsia="Times New Roman" w:hAnsi="Arial" w:cs="Arial"/>
          <w:kern w:val="0"/>
          <w:lang w:eastAsia="en-GB"/>
          <w14:ligatures w14:val="none"/>
        </w:rPr>
        <w:t xml:space="preserve"> Abdi, Z., </w:t>
      </w:r>
      <w:r w:rsidR="00164270">
        <w:rPr>
          <w:rFonts w:ascii="Arial" w:eastAsia="Times New Roman" w:hAnsi="Arial" w:cs="Arial"/>
          <w:kern w:val="0"/>
          <w:lang w:eastAsia="en-GB"/>
          <w14:ligatures w14:val="none"/>
        </w:rPr>
        <w:t>(</w:t>
      </w:r>
      <w:r w:rsidRPr="00801199">
        <w:rPr>
          <w:rFonts w:ascii="Arial" w:eastAsia="Times New Roman" w:hAnsi="Arial" w:cs="Arial"/>
          <w:kern w:val="0"/>
          <w:lang w:eastAsia="en-GB"/>
          <w14:ligatures w14:val="none"/>
        </w:rPr>
        <w:t>2023</w:t>
      </w:r>
      <w:r w:rsidR="00164270">
        <w:rPr>
          <w:rFonts w:ascii="Arial" w:eastAsia="Times New Roman" w:hAnsi="Arial" w:cs="Arial"/>
          <w:kern w:val="0"/>
          <w:lang w:eastAsia="en-GB"/>
          <w14:ligatures w14:val="none"/>
        </w:rPr>
        <w:t>)</w:t>
      </w:r>
      <w:r w:rsidRPr="00801199">
        <w:rPr>
          <w:rFonts w:ascii="Arial" w:eastAsia="Times New Roman" w:hAnsi="Arial" w:cs="Arial"/>
          <w:kern w:val="0"/>
          <w:lang w:eastAsia="en-GB"/>
          <w14:ligatures w14:val="none"/>
        </w:rPr>
        <w:t xml:space="preserve"> A scoping review of community health needs and assets assessment: concepts, rationale, tools and uses. </w:t>
      </w:r>
      <w:r w:rsidRPr="00801199">
        <w:rPr>
          <w:rFonts w:ascii="Arial" w:eastAsia="Times New Roman" w:hAnsi="Arial" w:cs="Arial"/>
          <w:i/>
          <w:iCs/>
          <w:kern w:val="0"/>
          <w:lang w:eastAsia="en-GB"/>
          <w14:ligatures w14:val="none"/>
        </w:rPr>
        <w:t>BMC Health Services Research</w:t>
      </w:r>
      <w:r w:rsidRPr="00801199">
        <w:rPr>
          <w:rFonts w:ascii="Arial" w:eastAsia="Times New Roman" w:hAnsi="Arial" w:cs="Arial"/>
          <w:kern w:val="0"/>
          <w:lang w:eastAsia="en-GB"/>
          <w14:ligatures w14:val="none"/>
        </w:rPr>
        <w:t xml:space="preserve">, 23, Article 44. Available at: </w:t>
      </w:r>
      <w:hyperlink r:id="rId43" w:history="1">
        <w:r w:rsidR="0023376A" w:rsidRPr="001F2567">
          <w:rPr>
            <w:rStyle w:val="Hyperlink"/>
            <w:rFonts w:ascii="Arial" w:eastAsia="Times New Roman" w:hAnsi="Arial" w:cs="Arial"/>
            <w:kern w:val="0"/>
            <w:lang w:eastAsia="en-GB"/>
            <w14:ligatures w14:val="none"/>
          </w:rPr>
          <w:t>https://bmchealthservres.biomedcentral.com/articles/10.1186/s12913-022-08983-3</w:t>
        </w:r>
      </w:hyperlink>
      <w:r w:rsidR="0023376A">
        <w:rPr>
          <w:rFonts w:ascii="Arial" w:eastAsia="Times New Roman" w:hAnsi="Arial" w:cs="Arial"/>
          <w:kern w:val="0"/>
          <w:lang w:eastAsia="en-GB"/>
          <w14:ligatures w14:val="none"/>
        </w:rPr>
        <w:t xml:space="preserve"> (Accessed: 4 November 2025).</w:t>
      </w:r>
    </w:p>
    <w:p w14:paraId="3885D436" w14:textId="01FBB3CD" w:rsidR="00E34CDE" w:rsidRDefault="00E34CDE" w:rsidP="00D9105F">
      <w:pPr>
        <w:spacing w:before="100" w:beforeAutospacing="1" w:after="100" w:afterAutospacing="1" w:line="360" w:lineRule="auto"/>
        <w:rPr>
          <w:rFonts w:ascii="Arial" w:eastAsia="Times New Roman" w:hAnsi="Arial" w:cs="Arial"/>
          <w:kern w:val="0"/>
          <w:lang w:eastAsia="en-GB"/>
          <w14:ligatures w14:val="none"/>
        </w:rPr>
      </w:pPr>
      <w:r w:rsidRPr="00E34CDE">
        <w:rPr>
          <w:rFonts w:ascii="Arial" w:eastAsia="Times New Roman" w:hAnsi="Arial" w:cs="Arial"/>
          <w:kern w:val="0"/>
          <w:lang w:eastAsia="en-GB"/>
          <w14:ligatures w14:val="none"/>
        </w:rPr>
        <w:t>Rubab, H., Aziz, F., Gul, R.</w:t>
      </w:r>
      <w:r w:rsidR="00893AFB">
        <w:rPr>
          <w:rFonts w:ascii="Arial" w:eastAsia="Times New Roman" w:hAnsi="Arial" w:cs="Arial"/>
          <w:kern w:val="0"/>
          <w:lang w:eastAsia="en-GB"/>
          <w14:ligatures w14:val="none"/>
        </w:rPr>
        <w:t xml:space="preserve"> and </w:t>
      </w:r>
      <w:r w:rsidRPr="00E34CDE">
        <w:rPr>
          <w:rFonts w:ascii="Arial" w:eastAsia="Times New Roman" w:hAnsi="Arial" w:cs="Arial"/>
          <w:kern w:val="0"/>
          <w:lang w:eastAsia="en-GB"/>
          <w14:ligatures w14:val="none"/>
        </w:rPr>
        <w:t xml:space="preserve"> Froelicher, E. S. (2025). Effect of a structured educational intervention delivered through a mobile application on glycated haemoglobin and self-efficacy in adolescents with type 1 diabetes mellitus: a systematic review and meta-analysis. BMJ open, 15(9), e093798. Available at: </w:t>
      </w:r>
      <w:hyperlink r:id="rId44" w:history="1">
        <w:r w:rsidR="00C73C8F" w:rsidRPr="001F2567">
          <w:rPr>
            <w:rStyle w:val="Hyperlink"/>
            <w:rFonts w:ascii="Arial" w:eastAsia="Times New Roman" w:hAnsi="Arial" w:cs="Arial"/>
            <w:kern w:val="0"/>
            <w:lang w:eastAsia="en-GB"/>
            <w14:ligatures w14:val="none"/>
          </w:rPr>
          <w:t>https://doi.org/10.1136/bmjopen-2024-093798</w:t>
        </w:r>
      </w:hyperlink>
      <w:r w:rsidR="00C73C8F">
        <w:rPr>
          <w:rFonts w:ascii="Arial" w:eastAsia="Times New Roman" w:hAnsi="Arial" w:cs="Arial"/>
          <w:kern w:val="0"/>
          <w:lang w:eastAsia="en-GB"/>
          <w14:ligatures w14:val="none"/>
        </w:rPr>
        <w:t xml:space="preserve"> </w:t>
      </w:r>
      <w:r w:rsidRPr="00E34CDE">
        <w:rPr>
          <w:rFonts w:ascii="Arial" w:eastAsia="Times New Roman" w:hAnsi="Arial" w:cs="Arial"/>
          <w:kern w:val="0"/>
          <w:lang w:eastAsia="en-GB"/>
          <w14:ligatures w14:val="none"/>
        </w:rPr>
        <w:t xml:space="preserve"> (Accessed: 4 November 2025).</w:t>
      </w:r>
    </w:p>
    <w:p w14:paraId="4A19DB4A" w14:textId="75116CBF" w:rsidR="002C47F9" w:rsidRPr="00D9105F" w:rsidRDefault="002C47F9" w:rsidP="00D9105F">
      <w:pPr>
        <w:spacing w:before="100" w:beforeAutospacing="1" w:after="100" w:afterAutospacing="1" w:line="360" w:lineRule="auto"/>
        <w:rPr>
          <w:rFonts w:ascii="Arial" w:eastAsia="Times New Roman" w:hAnsi="Arial" w:cs="Arial"/>
          <w:kern w:val="0"/>
          <w:lang w:eastAsia="en-GB"/>
          <w14:ligatures w14:val="none"/>
        </w:rPr>
      </w:pPr>
      <w:r w:rsidRPr="002C47F9">
        <w:rPr>
          <w:rFonts w:ascii="Arial" w:eastAsia="Times New Roman" w:hAnsi="Arial" w:cs="Arial"/>
          <w:kern w:val="0"/>
          <w:lang w:eastAsia="en-GB"/>
          <w14:ligatures w14:val="none"/>
        </w:rPr>
        <w:t>Sacchetta, L., Chiriacò, M., Nesti, L., Leonetti, S., Forotti, G., Natali, A., Solini, A.</w:t>
      </w:r>
      <w:r>
        <w:rPr>
          <w:rFonts w:ascii="Arial" w:eastAsia="Times New Roman" w:hAnsi="Arial" w:cs="Arial"/>
          <w:kern w:val="0"/>
          <w:lang w:eastAsia="en-GB"/>
          <w14:ligatures w14:val="none"/>
        </w:rPr>
        <w:t xml:space="preserve"> and</w:t>
      </w:r>
      <w:r w:rsidRPr="002C47F9">
        <w:rPr>
          <w:rFonts w:ascii="Arial" w:eastAsia="Times New Roman" w:hAnsi="Arial" w:cs="Arial"/>
          <w:kern w:val="0"/>
          <w:lang w:eastAsia="en-GB"/>
          <w14:ligatures w14:val="none"/>
        </w:rPr>
        <w:t xml:space="preserve"> Tricò, D. (2022)</w:t>
      </w:r>
      <w:r>
        <w:rPr>
          <w:rFonts w:ascii="Arial" w:eastAsia="Times New Roman" w:hAnsi="Arial" w:cs="Arial"/>
          <w:kern w:val="0"/>
          <w:lang w:eastAsia="en-GB"/>
          <w14:ligatures w14:val="none"/>
        </w:rPr>
        <w:t xml:space="preserve"> </w:t>
      </w:r>
      <w:r w:rsidRPr="002C47F9">
        <w:rPr>
          <w:rFonts w:ascii="Arial" w:eastAsia="Times New Roman" w:hAnsi="Arial" w:cs="Arial"/>
          <w:kern w:val="0"/>
          <w:lang w:eastAsia="en-GB"/>
          <w14:ligatures w14:val="none"/>
        </w:rPr>
        <w:t>Synergistic effect of chronic kidney disease, neuropathy, and retinopathy on all-cause mortality in type 1 and type 2 diabetes: a 21-year longitudinal study. Cardiovascular diabetology, 21(1), 233.</w:t>
      </w:r>
      <w:r>
        <w:rPr>
          <w:rFonts w:ascii="Arial" w:eastAsia="Times New Roman" w:hAnsi="Arial" w:cs="Arial"/>
          <w:kern w:val="0"/>
          <w:lang w:eastAsia="en-GB"/>
          <w14:ligatures w14:val="none"/>
        </w:rPr>
        <w:t>Availab</w:t>
      </w:r>
      <w:r w:rsidR="00F6537A">
        <w:rPr>
          <w:rFonts w:ascii="Arial" w:eastAsia="Times New Roman" w:hAnsi="Arial" w:cs="Arial"/>
          <w:kern w:val="0"/>
          <w:lang w:eastAsia="en-GB"/>
          <w14:ligatures w14:val="none"/>
        </w:rPr>
        <w:t>le at:</w:t>
      </w:r>
      <w:r w:rsidRPr="002C47F9">
        <w:rPr>
          <w:rFonts w:ascii="Arial" w:eastAsia="Times New Roman" w:hAnsi="Arial" w:cs="Arial"/>
          <w:kern w:val="0"/>
          <w:lang w:eastAsia="en-GB"/>
          <w14:ligatures w14:val="none"/>
        </w:rPr>
        <w:t xml:space="preserve"> </w:t>
      </w:r>
      <w:hyperlink r:id="rId45" w:history="1">
        <w:r w:rsidR="001B50B6" w:rsidRPr="001F2567">
          <w:rPr>
            <w:rStyle w:val="Hyperlink"/>
            <w:rFonts w:ascii="Arial" w:eastAsia="Times New Roman" w:hAnsi="Arial" w:cs="Arial"/>
            <w:kern w:val="0"/>
            <w:lang w:eastAsia="en-GB"/>
            <w14:ligatures w14:val="none"/>
          </w:rPr>
          <w:t>https://doi.org/10.1186/s12933-022-01675-6</w:t>
        </w:r>
      </w:hyperlink>
      <w:r w:rsidR="001B50B6">
        <w:rPr>
          <w:rFonts w:ascii="Arial" w:eastAsia="Times New Roman" w:hAnsi="Arial" w:cs="Arial"/>
          <w:kern w:val="0"/>
          <w:lang w:eastAsia="en-GB"/>
          <w14:ligatures w14:val="none"/>
        </w:rPr>
        <w:t xml:space="preserve"> (Accessed:</w:t>
      </w:r>
      <w:r w:rsidR="00160048">
        <w:rPr>
          <w:rFonts w:ascii="Arial" w:eastAsia="Times New Roman" w:hAnsi="Arial" w:cs="Arial"/>
          <w:kern w:val="0"/>
          <w:lang w:eastAsia="en-GB"/>
          <w14:ligatures w14:val="none"/>
        </w:rPr>
        <w:t xml:space="preserve"> 1 November 2025).</w:t>
      </w:r>
    </w:p>
    <w:p w14:paraId="017F8704" w14:textId="755B31B8" w:rsidR="00C73C8F" w:rsidRPr="00C73C8F" w:rsidRDefault="00C73C8F" w:rsidP="00C73C8F">
      <w:pPr>
        <w:spacing w:before="100" w:beforeAutospacing="1" w:after="100" w:afterAutospacing="1" w:line="360" w:lineRule="auto"/>
        <w:rPr>
          <w:rFonts w:ascii="Arial" w:eastAsia="Times New Roman" w:hAnsi="Arial" w:cs="Arial"/>
          <w:kern w:val="0"/>
          <w:lang w:eastAsia="en-GB"/>
          <w14:ligatures w14:val="none"/>
        </w:rPr>
      </w:pPr>
      <w:r w:rsidRPr="00C73C8F">
        <w:rPr>
          <w:rFonts w:ascii="Arial" w:eastAsia="Times New Roman" w:hAnsi="Arial" w:cs="Arial"/>
          <w:kern w:val="0"/>
          <w:lang w:eastAsia="en-GB"/>
          <w14:ligatures w14:val="none"/>
        </w:rPr>
        <w:t xml:space="preserve">Springer (2025) </w:t>
      </w:r>
      <w:r w:rsidRPr="004D0433">
        <w:rPr>
          <w:rFonts w:ascii="Arial" w:eastAsia="Times New Roman" w:hAnsi="Arial" w:cs="Arial"/>
          <w:i/>
          <w:iCs/>
          <w:kern w:val="0"/>
          <w:lang w:eastAsia="en-GB"/>
          <w14:ligatures w14:val="none"/>
        </w:rPr>
        <w:t>Global Burden of Disease: Type II Diabetes</w:t>
      </w:r>
      <w:r w:rsidRPr="00C73C8F">
        <w:rPr>
          <w:rFonts w:ascii="Arial" w:eastAsia="Times New Roman" w:hAnsi="Arial" w:cs="Arial"/>
          <w:kern w:val="0"/>
          <w:lang w:eastAsia="en-GB"/>
          <w14:ligatures w14:val="none"/>
        </w:rPr>
        <w:t xml:space="preserve">. Available at: </w:t>
      </w:r>
      <w:hyperlink r:id="rId46" w:history="1">
        <w:r w:rsidR="004D0433" w:rsidRPr="001F2567">
          <w:rPr>
            <w:rStyle w:val="Hyperlink"/>
            <w:rFonts w:ascii="Arial" w:eastAsia="Times New Roman" w:hAnsi="Arial" w:cs="Arial"/>
            <w:kern w:val="0"/>
            <w:lang w:eastAsia="en-GB"/>
            <w14:ligatures w14:val="none"/>
          </w:rPr>
          <w:t>https://link.springer.com/rwe/10.1007/978-3-031-32047-7_68-1</w:t>
        </w:r>
      </w:hyperlink>
      <w:r w:rsidR="004D0433">
        <w:rPr>
          <w:rFonts w:ascii="Arial" w:eastAsia="Times New Roman" w:hAnsi="Arial" w:cs="Arial"/>
          <w:kern w:val="0"/>
          <w:lang w:eastAsia="en-GB"/>
          <w14:ligatures w14:val="none"/>
        </w:rPr>
        <w:t xml:space="preserve"> </w:t>
      </w:r>
      <w:r w:rsidRPr="00C73C8F">
        <w:rPr>
          <w:rFonts w:ascii="Arial" w:eastAsia="Times New Roman" w:hAnsi="Arial" w:cs="Arial"/>
          <w:kern w:val="0"/>
          <w:lang w:eastAsia="en-GB"/>
          <w14:ligatures w14:val="none"/>
        </w:rPr>
        <w:t>(Accessed: 5 November 2025).</w:t>
      </w:r>
    </w:p>
    <w:p w14:paraId="146B65B8" w14:textId="77777777" w:rsidR="00C73C8F" w:rsidRPr="00C73C8F" w:rsidRDefault="00C73C8F" w:rsidP="00C73C8F">
      <w:pPr>
        <w:spacing w:before="100" w:beforeAutospacing="1" w:after="100" w:afterAutospacing="1" w:line="360" w:lineRule="auto"/>
        <w:rPr>
          <w:rFonts w:ascii="Arial" w:eastAsia="Times New Roman" w:hAnsi="Arial" w:cs="Arial"/>
          <w:kern w:val="0"/>
          <w:lang w:eastAsia="en-GB"/>
          <w14:ligatures w14:val="none"/>
        </w:rPr>
      </w:pPr>
    </w:p>
    <w:p w14:paraId="5F5AE0FE" w14:textId="118B90B8" w:rsidR="00D9105F" w:rsidRPr="00D9105F" w:rsidRDefault="00C73C8F" w:rsidP="00D9105F">
      <w:pPr>
        <w:spacing w:before="100" w:beforeAutospacing="1" w:after="100" w:afterAutospacing="1" w:line="360" w:lineRule="auto"/>
        <w:rPr>
          <w:rFonts w:ascii="Arial" w:eastAsia="Times New Roman" w:hAnsi="Arial" w:cs="Arial"/>
          <w:kern w:val="0"/>
          <w:lang w:eastAsia="en-GB"/>
          <w14:ligatures w14:val="none"/>
        </w:rPr>
      </w:pPr>
      <w:r w:rsidRPr="00C73C8F">
        <w:rPr>
          <w:rFonts w:ascii="Arial" w:eastAsia="Times New Roman" w:hAnsi="Arial" w:cs="Arial"/>
          <w:kern w:val="0"/>
          <w:lang w:eastAsia="en-GB"/>
          <w14:ligatures w14:val="none"/>
        </w:rPr>
        <w:lastRenderedPageBreak/>
        <w:t xml:space="preserve">UK Health Security Agency (UKHSA) (2025) </w:t>
      </w:r>
      <w:r w:rsidRPr="004D0433">
        <w:rPr>
          <w:rFonts w:ascii="Arial" w:eastAsia="Times New Roman" w:hAnsi="Arial" w:cs="Arial"/>
          <w:i/>
          <w:iCs/>
          <w:kern w:val="0"/>
          <w:lang w:eastAsia="en-GB"/>
          <w14:ligatures w14:val="none"/>
        </w:rPr>
        <w:t>Health Inequalities in Health Protection Report.</w:t>
      </w:r>
      <w:r w:rsidRPr="00C73C8F">
        <w:rPr>
          <w:rFonts w:ascii="Arial" w:eastAsia="Times New Roman" w:hAnsi="Arial" w:cs="Arial"/>
          <w:kern w:val="0"/>
          <w:lang w:eastAsia="en-GB"/>
          <w14:ligatures w14:val="none"/>
        </w:rPr>
        <w:t xml:space="preserve"> Available at: </w:t>
      </w:r>
      <w:hyperlink r:id="rId47" w:history="1">
        <w:r w:rsidR="004D0433" w:rsidRPr="001F2567">
          <w:rPr>
            <w:rStyle w:val="Hyperlink"/>
            <w:rFonts w:ascii="Arial" w:eastAsia="Times New Roman" w:hAnsi="Arial" w:cs="Arial"/>
            <w:kern w:val="0"/>
            <w:lang w:eastAsia="en-GB"/>
            <w14:ligatures w14:val="none"/>
          </w:rPr>
          <w:t>https://www.gov.uk/government/publications/health-inequalities-in-health-protection-report/health-inequalities-in-health-protection-report-2025</w:t>
        </w:r>
      </w:hyperlink>
      <w:r w:rsidR="004D0433">
        <w:rPr>
          <w:rFonts w:ascii="Arial" w:eastAsia="Times New Roman" w:hAnsi="Arial" w:cs="Arial"/>
          <w:kern w:val="0"/>
          <w:lang w:eastAsia="en-GB"/>
          <w14:ligatures w14:val="none"/>
        </w:rPr>
        <w:t xml:space="preserve"> </w:t>
      </w:r>
      <w:r w:rsidRPr="00C73C8F">
        <w:rPr>
          <w:rFonts w:ascii="Arial" w:eastAsia="Times New Roman" w:hAnsi="Arial" w:cs="Arial"/>
          <w:kern w:val="0"/>
          <w:lang w:eastAsia="en-GB"/>
          <w14:ligatures w14:val="none"/>
        </w:rPr>
        <w:t xml:space="preserve"> (Accessed: 3 November 2025).</w:t>
      </w:r>
    </w:p>
    <w:p w14:paraId="3C766696" w14:textId="260FCC4D" w:rsidR="00D9105F" w:rsidRDefault="00D9105F" w:rsidP="00D9105F">
      <w:pPr>
        <w:spacing w:before="100" w:beforeAutospacing="1" w:after="100" w:afterAutospacing="1" w:line="360" w:lineRule="auto"/>
        <w:rPr>
          <w:rFonts w:ascii="Arial" w:eastAsia="Times New Roman" w:hAnsi="Arial" w:cs="Arial"/>
          <w:kern w:val="0"/>
          <w:lang w:eastAsia="en-GB"/>
          <w14:ligatures w14:val="none"/>
        </w:rPr>
      </w:pPr>
      <w:r w:rsidRPr="00D9105F">
        <w:rPr>
          <w:rFonts w:ascii="Arial" w:eastAsia="Times New Roman" w:hAnsi="Arial" w:cs="Arial"/>
          <w:kern w:val="0"/>
          <w:lang w:eastAsia="en-GB"/>
          <w14:ligatures w14:val="none"/>
        </w:rPr>
        <w:t xml:space="preserve">University of York (2024) </w:t>
      </w:r>
      <w:r w:rsidRPr="00D9105F">
        <w:rPr>
          <w:rFonts w:ascii="Arial" w:eastAsia="Times New Roman" w:hAnsi="Arial" w:cs="Arial"/>
          <w:i/>
          <w:iCs/>
          <w:kern w:val="0"/>
          <w:lang w:eastAsia="en-GB"/>
          <w14:ligatures w14:val="none"/>
        </w:rPr>
        <w:t>The Cost of Diabetes to the NHS and Society.</w:t>
      </w:r>
      <w:r w:rsidRPr="00D9105F">
        <w:rPr>
          <w:rFonts w:ascii="Arial" w:eastAsia="Times New Roman" w:hAnsi="Arial" w:cs="Arial"/>
          <w:kern w:val="0"/>
          <w:lang w:eastAsia="en-GB"/>
          <w14:ligatures w14:val="none"/>
        </w:rPr>
        <w:t xml:space="preserve"> Centre for Health Economics.</w:t>
      </w:r>
      <w:r w:rsidR="001347AA" w:rsidRPr="001347AA">
        <w:t xml:space="preserve"> </w:t>
      </w:r>
      <w:r w:rsidR="001347AA">
        <w:t xml:space="preserve">Available at: </w:t>
      </w:r>
      <w:hyperlink r:id="rId48" w:history="1">
        <w:r w:rsidR="001347AA" w:rsidRPr="001F2567">
          <w:rPr>
            <w:rStyle w:val="Hyperlink"/>
            <w:rFonts w:ascii="Arial" w:eastAsia="Times New Roman" w:hAnsi="Arial" w:cs="Arial"/>
            <w:kern w:val="0"/>
            <w:lang w:eastAsia="en-GB"/>
            <w14:ligatures w14:val="none"/>
          </w:rPr>
          <w:t>https://www.york.ac.uk/news-and-events/news/2024/research/diabetes-cost-to-uk/</w:t>
        </w:r>
      </w:hyperlink>
      <w:r w:rsidR="001347AA">
        <w:rPr>
          <w:rFonts w:ascii="Arial" w:eastAsia="Times New Roman" w:hAnsi="Arial" w:cs="Arial"/>
          <w:kern w:val="0"/>
          <w:lang w:eastAsia="en-GB"/>
          <w14:ligatures w14:val="none"/>
        </w:rPr>
        <w:t xml:space="preserve"> (Accessed: 5 November 2025).</w:t>
      </w:r>
    </w:p>
    <w:p w14:paraId="77CE5448" w14:textId="2B3C8568" w:rsidR="00A52D7F" w:rsidRPr="00D9105F" w:rsidRDefault="00A52D7F" w:rsidP="00D9105F">
      <w:pPr>
        <w:spacing w:before="100" w:beforeAutospacing="1" w:after="100" w:afterAutospacing="1" w:line="360" w:lineRule="auto"/>
        <w:rPr>
          <w:rFonts w:ascii="Arial" w:eastAsia="Times New Roman" w:hAnsi="Arial" w:cs="Arial"/>
          <w:kern w:val="0"/>
          <w:lang w:eastAsia="en-GB"/>
          <w14:ligatures w14:val="none"/>
        </w:rPr>
      </w:pPr>
      <w:r w:rsidRPr="00A52D7F">
        <w:rPr>
          <w:rFonts w:ascii="Arial" w:eastAsia="Times New Roman" w:hAnsi="Arial" w:cs="Arial"/>
          <w:kern w:val="0"/>
          <w:lang w:eastAsia="en-GB"/>
          <w14:ligatures w14:val="none"/>
        </w:rPr>
        <w:t xml:space="preserve">World Health Organization (2024) Diabetes. Available at: </w:t>
      </w:r>
      <w:hyperlink r:id="rId49" w:history="1">
        <w:r w:rsidRPr="001F2567">
          <w:rPr>
            <w:rStyle w:val="Hyperlink"/>
            <w:rFonts w:ascii="Arial" w:eastAsia="Times New Roman" w:hAnsi="Arial" w:cs="Arial"/>
            <w:kern w:val="0"/>
            <w:lang w:eastAsia="en-GB"/>
            <w14:ligatures w14:val="none"/>
          </w:rPr>
          <w:t>https://www.who.int/news-room/fact-sheets/detail/diabetes</w:t>
        </w:r>
      </w:hyperlink>
      <w:r>
        <w:rPr>
          <w:rFonts w:ascii="Arial" w:eastAsia="Times New Roman" w:hAnsi="Arial" w:cs="Arial"/>
          <w:kern w:val="0"/>
          <w:lang w:eastAsia="en-GB"/>
          <w14:ligatures w14:val="none"/>
        </w:rPr>
        <w:t xml:space="preserve"> </w:t>
      </w:r>
      <w:r w:rsidRPr="00A52D7F">
        <w:rPr>
          <w:rFonts w:ascii="Arial" w:eastAsia="Times New Roman" w:hAnsi="Arial" w:cs="Arial"/>
          <w:kern w:val="0"/>
          <w:lang w:eastAsia="en-GB"/>
          <w14:ligatures w14:val="none"/>
        </w:rPr>
        <w:t xml:space="preserve"> (Accessed: 27 October 2025).</w:t>
      </w:r>
    </w:p>
    <w:p w14:paraId="1F309252" w14:textId="511CC412" w:rsidR="00C73C8F" w:rsidRDefault="00C73C8F" w:rsidP="00D9105F">
      <w:pPr>
        <w:spacing w:before="100" w:beforeAutospacing="1" w:after="100" w:afterAutospacing="1" w:line="360" w:lineRule="auto"/>
        <w:rPr>
          <w:rFonts w:ascii="Arial" w:eastAsia="Times New Roman" w:hAnsi="Arial" w:cs="Arial"/>
          <w:kern w:val="0"/>
          <w:lang w:eastAsia="en-GB"/>
          <w14:ligatures w14:val="none"/>
        </w:rPr>
      </w:pPr>
      <w:r w:rsidRPr="00C73C8F">
        <w:rPr>
          <w:rFonts w:ascii="Arial" w:eastAsia="Times New Roman" w:hAnsi="Arial" w:cs="Arial"/>
          <w:kern w:val="0"/>
          <w:lang w:eastAsia="en-GB"/>
          <w14:ligatures w14:val="none"/>
        </w:rPr>
        <w:t xml:space="preserve">WHO (2025) </w:t>
      </w:r>
      <w:r w:rsidRPr="00C73C8F">
        <w:rPr>
          <w:rFonts w:ascii="Arial" w:eastAsia="Times New Roman" w:hAnsi="Arial" w:cs="Arial"/>
          <w:i/>
          <w:iCs/>
          <w:kern w:val="0"/>
          <w:lang w:eastAsia="en-GB"/>
          <w14:ligatures w14:val="none"/>
        </w:rPr>
        <w:t>Diabetes Fact Sheet.</w:t>
      </w:r>
      <w:r w:rsidRPr="00C73C8F">
        <w:rPr>
          <w:rFonts w:ascii="Arial" w:eastAsia="Times New Roman" w:hAnsi="Arial" w:cs="Arial"/>
          <w:kern w:val="0"/>
          <w:lang w:eastAsia="en-GB"/>
          <w14:ligatures w14:val="none"/>
        </w:rPr>
        <w:t xml:space="preserve"> Available at: </w:t>
      </w:r>
      <w:hyperlink r:id="rId50" w:history="1">
        <w:r w:rsidRPr="001F2567">
          <w:rPr>
            <w:rStyle w:val="Hyperlink"/>
            <w:rFonts w:ascii="Arial" w:eastAsia="Times New Roman" w:hAnsi="Arial" w:cs="Arial"/>
            <w:kern w:val="0"/>
            <w:lang w:eastAsia="en-GB"/>
            <w14:ligatures w14:val="none"/>
          </w:rPr>
          <w:t>https://www.who.int/news-room/fact-sheets/detail/diabetes</w:t>
        </w:r>
      </w:hyperlink>
      <w:r>
        <w:rPr>
          <w:rFonts w:ascii="Arial" w:eastAsia="Times New Roman" w:hAnsi="Arial" w:cs="Arial"/>
          <w:kern w:val="0"/>
          <w:lang w:eastAsia="en-GB"/>
          <w14:ligatures w14:val="none"/>
        </w:rPr>
        <w:t xml:space="preserve"> (Accessed: 30 October 2025).</w:t>
      </w:r>
    </w:p>
    <w:p w14:paraId="764B1DE9" w14:textId="1A597A71" w:rsidR="00351587" w:rsidRDefault="00351587" w:rsidP="00DF7E6C">
      <w:pPr>
        <w:spacing w:line="360" w:lineRule="auto"/>
        <w:jc w:val="both"/>
        <w:rPr>
          <w:rFonts w:ascii="Arial" w:hAnsi="Arial" w:cs="Arial"/>
        </w:rPr>
      </w:pPr>
      <w:r w:rsidRPr="00351587">
        <w:rPr>
          <w:rFonts w:ascii="Arial" w:hAnsi="Arial" w:cs="Arial"/>
        </w:rPr>
        <w:t>Xiao, M., Núñez-Elvira, A.</w:t>
      </w:r>
      <w:r w:rsidR="00B836AB">
        <w:rPr>
          <w:rFonts w:ascii="Arial" w:hAnsi="Arial" w:cs="Arial"/>
        </w:rPr>
        <w:t xml:space="preserve"> and</w:t>
      </w:r>
      <w:r w:rsidRPr="00351587">
        <w:rPr>
          <w:rFonts w:ascii="Arial" w:hAnsi="Arial" w:cs="Arial"/>
        </w:rPr>
        <w:t xml:space="preserve"> Kristensen, S.R., 2025. How does the Quality and Outcomes Framework impact on the quality of life of adult patients with diabetes? A cross-sectional study in England using GP Patient Survey data. BMC Primary Care, 26, Article 327. Available at: </w:t>
      </w:r>
      <w:hyperlink r:id="rId51" w:history="1">
        <w:r w:rsidRPr="001F2567">
          <w:rPr>
            <w:rStyle w:val="Hyperlink"/>
            <w:rFonts w:ascii="Arial" w:hAnsi="Arial" w:cs="Arial"/>
          </w:rPr>
          <w:t>https://bmcprimcare.biomedcentral.com/articles/10.1186/s12875-025-02930-x</w:t>
        </w:r>
      </w:hyperlink>
      <w:r>
        <w:rPr>
          <w:rFonts w:ascii="Arial" w:hAnsi="Arial" w:cs="Arial"/>
        </w:rPr>
        <w:t xml:space="preserve"> (Accessed</w:t>
      </w:r>
      <w:r w:rsidR="00744AA4">
        <w:rPr>
          <w:rFonts w:ascii="Arial" w:hAnsi="Arial" w:cs="Arial"/>
        </w:rPr>
        <w:t>: 4 November 2025).</w:t>
      </w:r>
    </w:p>
    <w:p w14:paraId="0F94AA84" w14:textId="77777777" w:rsidR="00351587" w:rsidRDefault="00351587" w:rsidP="00DF7E6C">
      <w:pPr>
        <w:spacing w:line="360" w:lineRule="auto"/>
        <w:jc w:val="both"/>
        <w:rPr>
          <w:rFonts w:ascii="Arial" w:hAnsi="Arial" w:cs="Arial"/>
        </w:rPr>
      </w:pPr>
    </w:p>
    <w:p w14:paraId="47B48433" w14:textId="77777777" w:rsidR="00D9105F" w:rsidRPr="007C5BF8" w:rsidRDefault="00D9105F" w:rsidP="00CD59D2">
      <w:pPr>
        <w:spacing w:line="360" w:lineRule="auto"/>
        <w:jc w:val="both"/>
        <w:rPr>
          <w:rFonts w:ascii="Arial" w:hAnsi="Arial" w:cs="Arial"/>
        </w:rPr>
      </w:pPr>
    </w:p>
    <w:sectPr w:rsidR="00D9105F" w:rsidRPr="007C5BF8" w:rsidSect="00E05E52">
      <w:footerReference w:type="default" r:id="rId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6BCA47" w14:textId="77777777" w:rsidR="00053F1F" w:rsidRDefault="00053F1F" w:rsidP="00062BE0">
      <w:pPr>
        <w:spacing w:after="0" w:line="240" w:lineRule="auto"/>
      </w:pPr>
      <w:r>
        <w:separator/>
      </w:r>
    </w:p>
  </w:endnote>
  <w:endnote w:type="continuationSeparator" w:id="0">
    <w:p w14:paraId="4CAB3CBE" w14:textId="77777777" w:rsidR="00053F1F" w:rsidRDefault="00053F1F" w:rsidP="00062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8124138"/>
      <w:docPartObj>
        <w:docPartGallery w:val="Page Numbers (Bottom of Page)"/>
        <w:docPartUnique/>
      </w:docPartObj>
    </w:sdtPr>
    <w:sdtEndPr>
      <w:rPr>
        <w:noProof/>
      </w:rPr>
    </w:sdtEndPr>
    <w:sdtContent>
      <w:p w14:paraId="3AF6B16C" w14:textId="3CBAC652" w:rsidR="00062BE0" w:rsidRDefault="00062B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9B6871" w14:textId="77777777" w:rsidR="00062BE0" w:rsidRDefault="00062B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AAB8E8" w14:textId="77777777" w:rsidR="00053F1F" w:rsidRDefault="00053F1F" w:rsidP="00062BE0">
      <w:pPr>
        <w:spacing w:after="0" w:line="240" w:lineRule="auto"/>
      </w:pPr>
      <w:r>
        <w:separator/>
      </w:r>
    </w:p>
  </w:footnote>
  <w:footnote w:type="continuationSeparator" w:id="0">
    <w:p w14:paraId="48612432" w14:textId="77777777" w:rsidR="00053F1F" w:rsidRDefault="00053F1F" w:rsidP="00062B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1477D"/>
    <w:multiLevelType w:val="multilevel"/>
    <w:tmpl w:val="AECA25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98272A"/>
    <w:multiLevelType w:val="multilevel"/>
    <w:tmpl w:val="4B92AD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1606C7"/>
    <w:multiLevelType w:val="multilevel"/>
    <w:tmpl w:val="84A2D4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FE73EF"/>
    <w:multiLevelType w:val="multilevel"/>
    <w:tmpl w:val="C678A5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E33FE4"/>
    <w:multiLevelType w:val="multilevel"/>
    <w:tmpl w:val="A852CF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030A92"/>
    <w:multiLevelType w:val="multilevel"/>
    <w:tmpl w:val="7576A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A67420"/>
    <w:multiLevelType w:val="multilevel"/>
    <w:tmpl w:val="8FE60E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2E37C7"/>
    <w:multiLevelType w:val="multilevel"/>
    <w:tmpl w:val="2BE8E9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D2261A"/>
    <w:multiLevelType w:val="multilevel"/>
    <w:tmpl w:val="E6805A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F36022"/>
    <w:multiLevelType w:val="multilevel"/>
    <w:tmpl w:val="863411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C648C2"/>
    <w:multiLevelType w:val="multilevel"/>
    <w:tmpl w:val="E60E54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786B9B"/>
    <w:multiLevelType w:val="multilevel"/>
    <w:tmpl w:val="CEFC4A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3416C2"/>
    <w:multiLevelType w:val="multilevel"/>
    <w:tmpl w:val="A6F21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301A54"/>
    <w:multiLevelType w:val="multilevel"/>
    <w:tmpl w:val="90745D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7A1C5A"/>
    <w:multiLevelType w:val="multilevel"/>
    <w:tmpl w:val="BD7CAE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294699"/>
    <w:multiLevelType w:val="multilevel"/>
    <w:tmpl w:val="4F8E65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1555212">
    <w:abstractNumId w:val="5"/>
  </w:num>
  <w:num w:numId="2" w16cid:durableId="1796026312">
    <w:abstractNumId w:val="9"/>
  </w:num>
  <w:num w:numId="3" w16cid:durableId="703482548">
    <w:abstractNumId w:val="8"/>
  </w:num>
  <w:num w:numId="4" w16cid:durableId="317342922">
    <w:abstractNumId w:val="2"/>
  </w:num>
  <w:num w:numId="5" w16cid:durableId="1634286645">
    <w:abstractNumId w:val="10"/>
  </w:num>
  <w:num w:numId="6" w16cid:durableId="1192457764">
    <w:abstractNumId w:val="15"/>
  </w:num>
  <w:num w:numId="7" w16cid:durableId="861937464">
    <w:abstractNumId w:val="7"/>
  </w:num>
  <w:num w:numId="8" w16cid:durableId="362171045">
    <w:abstractNumId w:val="11"/>
  </w:num>
  <w:num w:numId="9" w16cid:durableId="668412567">
    <w:abstractNumId w:val="12"/>
  </w:num>
  <w:num w:numId="10" w16cid:durableId="1515537552">
    <w:abstractNumId w:val="4"/>
  </w:num>
  <w:num w:numId="11" w16cid:durableId="351302919">
    <w:abstractNumId w:val="0"/>
  </w:num>
  <w:num w:numId="12" w16cid:durableId="1265848195">
    <w:abstractNumId w:val="13"/>
  </w:num>
  <w:num w:numId="13" w16cid:durableId="140004900">
    <w:abstractNumId w:val="6"/>
  </w:num>
  <w:num w:numId="14" w16cid:durableId="1054741832">
    <w:abstractNumId w:val="1"/>
  </w:num>
  <w:num w:numId="15" w16cid:durableId="1064449797">
    <w:abstractNumId w:val="3"/>
  </w:num>
  <w:num w:numId="16" w16cid:durableId="139647077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328"/>
    <w:rsid w:val="00021D10"/>
    <w:rsid w:val="00024F22"/>
    <w:rsid w:val="00033D8E"/>
    <w:rsid w:val="00043D50"/>
    <w:rsid w:val="00053F1F"/>
    <w:rsid w:val="000554A7"/>
    <w:rsid w:val="0005675E"/>
    <w:rsid w:val="000571DF"/>
    <w:rsid w:val="00062059"/>
    <w:rsid w:val="00062115"/>
    <w:rsid w:val="00062BE0"/>
    <w:rsid w:val="00091E04"/>
    <w:rsid w:val="00097151"/>
    <w:rsid w:val="000A1862"/>
    <w:rsid w:val="000A5200"/>
    <w:rsid w:val="000C15D7"/>
    <w:rsid w:val="000D7D8C"/>
    <w:rsid w:val="000E12DD"/>
    <w:rsid w:val="000E6AB4"/>
    <w:rsid w:val="00107AC3"/>
    <w:rsid w:val="0011557F"/>
    <w:rsid w:val="001170AE"/>
    <w:rsid w:val="001313C6"/>
    <w:rsid w:val="00131DEF"/>
    <w:rsid w:val="001347AA"/>
    <w:rsid w:val="001357D8"/>
    <w:rsid w:val="00136313"/>
    <w:rsid w:val="00141F83"/>
    <w:rsid w:val="001576EB"/>
    <w:rsid w:val="00157EB4"/>
    <w:rsid w:val="00160048"/>
    <w:rsid w:val="0016356E"/>
    <w:rsid w:val="00164270"/>
    <w:rsid w:val="001711AE"/>
    <w:rsid w:val="00181B0E"/>
    <w:rsid w:val="00187902"/>
    <w:rsid w:val="00194014"/>
    <w:rsid w:val="00195595"/>
    <w:rsid w:val="001B50B6"/>
    <w:rsid w:val="00217083"/>
    <w:rsid w:val="002331B5"/>
    <w:rsid w:val="0023376A"/>
    <w:rsid w:val="00243195"/>
    <w:rsid w:val="002662E9"/>
    <w:rsid w:val="0028547C"/>
    <w:rsid w:val="0028674D"/>
    <w:rsid w:val="002A1458"/>
    <w:rsid w:val="002A1507"/>
    <w:rsid w:val="002A4B87"/>
    <w:rsid w:val="002A56FE"/>
    <w:rsid w:val="002C47F9"/>
    <w:rsid w:val="002C5000"/>
    <w:rsid w:val="002C658A"/>
    <w:rsid w:val="002F0416"/>
    <w:rsid w:val="002F1882"/>
    <w:rsid w:val="002F675E"/>
    <w:rsid w:val="00300B7F"/>
    <w:rsid w:val="00322DF6"/>
    <w:rsid w:val="00326551"/>
    <w:rsid w:val="00351587"/>
    <w:rsid w:val="00365A5B"/>
    <w:rsid w:val="00376B91"/>
    <w:rsid w:val="00397564"/>
    <w:rsid w:val="003A1744"/>
    <w:rsid w:val="003A18CB"/>
    <w:rsid w:val="003A6A02"/>
    <w:rsid w:val="003B1671"/>
    <w:rsid w:val="003B1C37"/>
    <w:rsid w:val="003C1106"/>
    <w:rsid w:val="003C427B"/>
    <w:rsid w:val="003D287B"/>
    <w:rsid w:val="003D5076"/>
    <w:rsid w:val="00404420"/>
    <w:rsid w:val="0040589A"/>
    <w:rsid w:val="00422CC0"/>
    <w:rsid w:val="00435F6B"/>
    <w:rsid w:val="004419B1"/>
    <w:rsid w:val="00467328"/>
    <w:rsid w:val="0047193B"/>
    <w:rsid w:val="00487A45"/>
    <w:rsid w:val="004926EA"/>
    <w:rsid w:val="004D0433"/>
    <w:rsid w:val="005122C0"/>
    <w:rsid w:val="005127EF"/>
    <w:rsid w:val="0052043D"/>
    <w:rsid w:val="0055016F"/>
    <w:rsid w:val="00550768"/>
    <w:rsid w:val="00556F4D"/>
    <w:rsid w:val="005578BC"/>
    <w:rsid w:val="00572B21"/>
    <w:rsid w:val="005901BA"/>
    <w:rsid w:val="00595A13"/>
    <w:rsid w:val="005A014D"/>
    <w:rsid w:val="005C342B"/>
    <w:rsid w:val="005D4B73"/>
    <w:rsid w:val="005E0362"/>
    <w:rsid w:val="006000FD"/>
    <w:rsid w:val="00601657"/>
    <w:rsid w:val="006025D9"/>
    <w:rsid w:val="00612CB7"/>
    <w:rsid w:val="00643CC1"/>
    <w:rsid w:val="00654B1A"/>
    <w:rsid w:val="00693F02"/>
    <w:rsid w:val="00696A6A"/>
    <w:rsid w:val="006A11D9"/>
    <w:rsid w:val="006B31D4"/>
    <w:rsid w:val="00726409"/>
    <w:rsid w:val="00744AA4"/>
    <w:rsid w:val="00790B3D"/>
    <w:rsid w:val="007A389E"/>
    <w:rsid w:val="007A38ED"/>
    <w:rsid w:val="007A55F4"/>
    <w:rsid w:val="007B0021"/>
    <w:rsid w:val="007B158F"/>
    <w:rsid w:val="007B7AD0"/>
    <w:rsid w:val="007C0F7F"/>
    <w:rsid w:val="007C5BF8"/>
    <w:rsid w:val="007C5CF4"/>
    <w:rsid w:val="007C5F11"/>
    <w:rsid w:val="007E5A9C"/>
    <w:rsid w:val="00801199"/>
    <w:rsid w:val="008040D8"/>
    <w:rsid w:val="00804E62"/>
    <w:rsid w:val="00810562"/>
    <w:rsid w:val="00812617"/>
    <w:rsid w:val="00822893"/>
    <w:rsid w:val="00830477"/>
    <w:rsid w:val="00844367"/>
    <w:rsid w:val="00845015"/>
    <w:rsid w:val="00846184"/>
    <w:rsid w:val="008665C0"/>
    <w:rsid w:val="008808E8"/>
    <w:rsid w:val="00893844"/>
    <w:rsid w:val="00893AFB"/>
    <w:rsid w:val="00894D10"/>
    <w:rsid w:val="008977D6"/>
    <w:rsid w:val="008C44B2"/>
    <w:rsid w:val="008C52C4"/>
    <w:rsid w:val="008D1DEC"/>
    <w:rsid w:val="008E3188"/>
    <w:rsid w:val="008E4922"/>
    <w:rsid w:val="00923D3F"/>
    <w:rsid w:val="0093027C"/>
    <w:rsid w:val="00936867"/>
    <w:rsid w:val="00941536"/>
    <w:rsid w:val="00945B58"/>
    <w:rsid w:val="00972893"/>
    <w:rsid w:val="00992CE9"/>
    <w:rsid w:val="009A246A"/>
    <w:rsid w:val="009D129B"/>
    <w:rsid w:val="009E681F"/>
    <w:rsid w:val="00A00511"/>
    <w:rsid w:val="00A02AB1"/>
    <w:rsid w:val="00A11D36"/>
    <w:rsid w:val="00A207BF"/>
    <w:rsid w:val="00A251AD"/>
    <w:rsid w:val="00A367D0"/>
    <w:rsid w:val="00A40EC8"/>
    <w:rsid w:val="00A52D7F"/>
    <w:rsid w:val="00A65815"/>
    <w:rsid w:val="00A80327"/>
    <w:rsid w:val="00A8400A"/>
    <w:rsid w:val="00A872BA"/>
    <w:rsid w:val="00A87863"/>
    <w:rsid w:val="00A90647"/>
    <w:rsid w:val="00AB09DE"/>
    <w:rsid w:val="00AB1934"/>
    <w:rsid w:val="00AC0BD1"/>
    <w:rsid w:val="00AD1ABD"/>
    <w:rsid w:val="00AD1E44"/>
    <w:rsid w:val="00AF3960"/>
    <w:rsid w:val="00B40336"/>
    <w:rsid w:val="00B45103"/>
    <w:rsid w:val="00B56302"/>
    <w:rsid w:val="00B741A9"/>
    <w:rsid w:val="00B83424"/>
    <w:rsid w:val="00B836AB"/>
    <w:rsid w:val="00B966B3"/>
    <w:rsid w:val="00BB6A80"/>
    <w:rsid w:val="00BC140F"/>
    <w:rsid w:val="00BD30DE"/>
    <w:rsid w:val="00BF5533"/>
    <w:rsid w:val="00C1050D"/>
    <w:rsid w:val="00C3070E"/>
    <w:rsid w:val="00C35CA6"/>
    <w:rsid w:val="00C369F8"/>
    <w:rsid w:val="00C44C1C"/>
    <w:rsid w:val="00C64A82"/>
    <w:rsid w:val="00C73C8F"/>
    <w:rsid w:val="00C84C0B"/>
    <w:rsid w:val="00C92EDD"/>
    <w:rsid w:val="00CA3A72"/>
    <w:rsid w:val="00CB6775"/>
    <w:rsid w:val="00CC22D0"/>
    <w:rsid w:val="00CD2000"/>
    <w:rsid w:val="00CD59D2"/>
    <w:rsid w:val="00CE3B02"/>
    <w:rsid w:val="00D0109D"/>
    <w:rsid w:val="00D05993"/>
    <w:rsid w:val="00D07AD2"/>
    <w:rsid w:val="00D10688"/>
    <w:rsid w:val="00D14444"/>
    <w:rsid w:val="00D14B97"/>
    <w:rsid w:val="00D27839"/>
    <w:rsid w:val="00D41754"/>
    <w:rsid w:val="00D52E47"/>
    <w:rsid w:val="00D63B39"/>
    <w:rsid w:val="00D85E85"/>
    <w:rsid w:val="00D85EF2"/>
    <w:rsid w:val="00D869D2"/>
    <w:rsid w:val="00D9105F"/>
    <w:rsid w:val="00D915E9"/>
    <w:rsid w:val="00D91F9C"/>
    <w:rsid w:val="00DD2AD1"/>
    <w:rsid w:val="00DF7E6C"/>
    <w:rsid w:val="00E05E52"/>
    <w:rsid w:val="00E24EE3"/>
    <w:rsid w:val="00E25A16"/>
    <w:rsid w:val="00E34CDE"/>
    <w:rsid w:val="00E449E6"/>
    <w:rsid w:val="00E5330A"/>
    <w:rsid w:val="00E63A71"/>
    <w:rsid w:val="00E73D5A"/>
    <w:rsid w:val="00E7668B"/>
    <w:rsid w:val="00E924A3"/>
    <w:rsid w:val="00E97877"/>
    <w:rsid w:val="00EA03EB"/>
    <w:rsid w:val="00EA2481"/>
    <w:rsid w:val="00EA5708"/>
    <w:rsid w:val="00EB30B0"/>
    <w:rsid w:val="00EB33F1"/>
    <w:rsid w:val="00EB7DC0"/>
    <w:rsid w:val="00EE39AC"/>
    <w:rsid w:val="00EF197B"/>
    <w:rsid w:val="00F01D36"/>
    <w:rsid w:val="00F214E9"/>
    <w:rsid w:val="00F4548D"/>
    <w:rsid w:val="00F46741"/>
    <w:rsid w:val="00F503FD"/>
    <w:rsid w:val="00F6537A"/>
    <w:rsid w:val="00F80897"/>
    <w:rsid w:val="00F86AF6"/>
    <w:rsid w:val="00F9125E"/>
    <w:rsid w:val="00F97CEA"/>
    <w:rsid w:val="00FA54E1"/>
    <w:rsid w:val="00FE3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3FDD89A7"/>
  <w15:chartTrackingRefBased/>
  <w15:docId w15:val="{F09D572E-4D88-4334-9EAB-E6A665F7C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4420"/>
  </w:style>
  <w:style w:type="paragraph" w:styleId="Heading1">
    <w:name w:val="heading 1"/>
    <w:basedOn w:val="Normal"/>
    <w:next w:val="Normal"/>
    <w:link w:val="Heading1Char"/>
    <w:uiPriority w:val="9"/>
    <w:qFormat/>
    <w:rsid w:val="004673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73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73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73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73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73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73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73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73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73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73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73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73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73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73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73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73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7328"/>
    <w:rPr>
      <w:rFonts w:eastAsiaTheme="majorEastAsia" w:cstheme="majorBidi"/>
      <w:color w:val="272727" w:themeColor="text1" w:themeTint="D8"/>
    </w:rPr>
  </w:style>
  <w:style w:type="paragraph" w:styleId="Title">
    <w:name w:val="Title"/>
    <w:basedOn w:val="Normal"/>
    <w:next w:val="Normal"/>
    <w:link w:val="TitleChar"/>
    <w:uiPriority w:val="10"/>
    <w:qFormat/>
    <w:rsid w:val="004673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73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73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73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7328"/>
    <w:pPr>
      <w:spacing w:before="160"/>
      <w:jc w:val="center"/>
    </w:pPr>
    <w:rPr>
      <w:i/>
      <w:iCs/>
      <w:color w:val="404040" w:themeColor="text1" w:themeTint="BF"/>
    </w:rPr>
  </w:style>
  <w:style w:type="character" w:customStyle="1" w:styleId="QuoteChar">
    <w:name w:val="Quote Char"/>
    <w:basedOn w:val="DefaultParagraphFont"/>
    <w:link w:val="Quote"/>
    <w:uiPriority w:val="29"/>
    <w:rsid w:val="00467328"/>
    <w:rPr>
      <w:i/>
      <w:iCs/>
      <w:color w:val="404040" w:themeColor="text1" w:themeTint="BF"/>
    </w:rPr>
  </w:style>
  <w:style w:type="paragraph" w:styleId="ListParagraph">
    <w:name w:val="List Paragraph"/>
    <w:basedOn w:val="Normal"/>
    <w:uiPriority w:val="34"/>
    <w:qFormat/>
    <w:rsid w:val="00467328"/>
    <w:pPr>
      <w:ind w:left="720"/>
      <w:contextualSpacing/>
    </w:pPr>
  </w:style>
  <w:style w:type="character" w:styleId="IntenseEmphasis">
    <w:name w:val="Intense Emphasis"/>
    <w:basedOn w:val="DefaultParagraphFont"/>
    <w:uiPriority w:val="21"/>
    <w:qFormat/>
    <w:rsid w:val="00467328"/>
    <w:rPr>
      <w:i/>
      <w:iCs/>
      <w:color w:val="0F4761" w:themeColor="accent1" w:themeShade="BF"/>
    </w:rPr>
  </w:style>
  <w:style w:type="paragraph" w:styleId="IntenseQuote">
    <w:name w:val="Intense Quote"/>
    <w:basedOn w:val="Normal"/>
    <w:next w:val="Normal"/>
    <w:link w:val="IntenseQuoteChar"/>
    <w:uiPriority w:val="30"/>
    <w:qFormat/>
    <w:rsid w:val="004673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7328"/>
    <w:rPr>
      <w:i/>
      <w:iCs/>
      <w:color w:val="0F4761" w:themeColor="accent1" w:themeShade="BF"/>
    </w:rPr>
  </w:style>
  <w:style w:type="character" w:styleId="IntenseReference">
    <w:name w:val="Intense Reference"/>
    <w:basedOn w:val="DefaultParagraphFont"/>
    <w:uiPriority w:val="32"/>
    <w:qFormat/>
    <w:rsid w:val="00467328"/>
    <w:rPr>
      <w:b/>
      <w:bCs/>
      <w:smallCaps/>
      <w:color w:val="0F4761" w:themeColor="accent1" w:themeShade="BF"/>
      <w:spacing w:val="5"/>
    </w:rPr>
  </w:style>
  <w:style w:type="paragraph" w:styleId="Header">
    <w:name w:val="header"/>
    <w:basedOn w:val="Normal"/>
    <w:link w:val="HeaderChar"/>
    <w:uiPriority w:val="99"/>
    <w:unhideWhenUsed/>
    <w:rsid w:val="00062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2BE0"/>
  </w:style>
  <w:style w:type="paragraph" w:styleId="Footer">
    <w:name w:val="footer"/>
    <w:basedOn w:val="Normal"/>
    <w:link w:val="FooterChar"/>
    <w:uiPriority w:val="99"/>
    <w:unhideWhenUsed/>
    <w:rsid w:val="00062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2BE0"/>
  </w:style>
  <w:style w:type="character" w:styleId="Hyperlink">
    <w:name w:val="Hyperlink"/>
    <w:basedOn w:val="DefaultParagraphFont"/>
    <w:uiPriority w:val="99"/>
    <w:unhideWhenUsed/>
    <w:rsid w:val="001B50B6"/>
    <w:rPr>
      <w:color w:val="467886" w:themeColor="hyperlink"/>
      <w:u w:val="single"/>
    </w:rPr>
  </w:style>
  <w:style w:type="character" w:styleId="UnresolvedMention">
    <w:name w:val="Unresolved Mention"/>
    <w:basedOn w:val="DefaultParagraphFont"/>
    <w:uiPriority w:val="99"/>
    <w:semiHidden/>
    <w:unhideWhenUsed/>
    <w:rsid w:val="001B50B6"/>
    <w:rPr>
      <w:color w:val="605E5C"/>
      <w:shd w:val="clear" w:color="auto" w:fill="E1DFDD"/>
    </w:rPr>
  </w:style>
  <w:style w:type="paragraph" w:styleId="TOC3">
    <w:name w:val="toc 3"/>
    <w:basedOn w:val="Normal"/>
    <w:next w:val="Normal"/>
    <w:autoRedefine/>
    <w:uiPriority w:val="39"/>
    <w:unhideWhenUsed/>
    <w:rsid w:val="00822893"/>
    <w:pPr>
      <w:spacing w:after="100"/>
      <w:ind w:left="440"/>
    </w:pPr>
  </w:style>
  <w:style w:type="paragraph" w:styleId="NoSpacing">
    <w:name w:val="No Spacing"/>
    <w:link w:val="NoSpacingChar"/>
    <w:uiPriority w:val="1"/>
    <w:qFormat/>
    <w:rsid w:val="00E05E5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05E52"/>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our-impact/policy-research/loneliness-research-and-resources/" TargetMode="External"/><Relationship Id="rId18" Type="http://schemas.openxmlformats.org/officeDocument/2006/relationships/hyperlink" Target="https://bmcgeriatr.biomedcentral.com/articles/10.1186/s12877-025-05846-4" TargetMode="External"/><Relationship Id="rId26" Type="http://schemas.openxmlformats.org/officeDocument/2006/relationships/hyperlink" Target="https://www.ons.gov.uk/peoplepopulationandcommunity/healthandsocialcare/healthinequalities/bulletins/riskfactorsforprediabetesandundiagnosedtype2diabetesinengland/2013to2019" TargetMode="External"/><Relationship Id="rId39" Type="http://schemas.openxmlformats.org/officeDocument/2006/relationships/hyperlink" Target="https://digital.nhs.uk/data-and-information/publications/statistical/national-diabetes-audit" TargetMode="External"/><Relationship Id="rId21" Type="http://schemas.openxmlformats.org/officeDocument/2006/relationships/hyperlink" Target="https://www.centreformentalhealth.org.uk/publications/the-big-mental-health-report-2025/" TargetMode="External"/><Relationship Id="rId34" Type="http://schemas.openxmlformats.org/officeDocument/2006/relationships/hyperlink" Target="https://www.england.nhs.uk/london/wp-content/uploads/sites/8/2019/07/dia-consensus-type2-27092018-FINAL.pdf" TargetMode="External"/><Relationship Id="rId42" Type="http://schemas.openxmlformats.org/officeDocument/2006/relationships/hyperlink" Target="https://www.priorygroup.com/mental-health/mental-health-statistics" TargetMode="External"/><Relationship Id="rId47" Type="http://schemas.openxmlformats.org/officeDocument/2006/relationships/hyperlink" Target="https://www.gov.uk/government/publications/health-inequalities-in-health-protection-report/health-inequalities-in-health-protection-report-2025" TargetMode="External"/><Relationship Id="rId50" Type="http://schemas.openxmlformats.org/officeDocument/2006/relationships/hyperlink" Target="https://www.who.int/news-room/fact-sheets/detail/diabetes"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bestpractice.bmj.com/topics/en-gb/24/aetiology" TargetMode="External"/><Relationship Id="rId29" Type="http://schemas.openxmlformats.org/officeDocument/2006/relationships/hyperlink" Target="https://www.gov.uk/government/statistics/diabetes-profile-update-march-2025" TargetMode="External"/><Relationship Id="rId11" Type="http://schemas.openxmlformats.org/officeDocument/2006/relationships/image" Target="media/image2.png"/><Relationship Id="rId24" Type="http://schemas.openxmlformats.org/officeDocument/2006/relationships/hyperlink" Target="https://www.diabetes.org.uk/type-2" TargetMode="External"/><Relationship Id="rId32" Type="http://schemas.openxmlformats.org/officeDocument/2006/relationships/hyperlink" Target="https://www.jrf.org.uk/uk-poverty-2025-the-essential-guide-to-understanding-poverty-in-the-uk" TargetMode="External"/><Relationship Id="rId37" Type="http://schemas.openxmlformats.org/officeDocument/2006/relationships/hyperlink" Target="https://www.nhs.uk/conditions/flash-glucose-monitoring" TargetMode="External"/><Relationship Id="rId40" Type="http://schemas.openxmlformats.org/officeDocument/2006/relationships/hyperlink" Target="https://www.england.nhs.uk/diabetes/dpp" TargetMode="External"/><Relationship Id="rId45" Type="http://schemas.openxmlformats.org/officeDocument/2006/relationships/hyperlink" Target="https://doi.org/10.1186/s12933-022-01675-6" TargetMode="External"/><Relationship Id="rId53"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hyperlink" Target="https://www.cqc.org.uk/sites/default/files/2025-02/20250602-ICS-improvement-framework.pdf" TargetMode="External"/><Relationship Id="rId31" Type="http://schemas.openxmlformats.org/officeDocument/2006/relationships/hyperlink" Target="https://idf.org/about-diabetes/diabetes-facts-figures" TargetMode="External"/><Relationship Id="rId44" Type="http://schemas.openxmlformats.org/officeDocument/2006/relationships/hyperlink" Target="https://doi.org/10.1136/bmjopen-2024-093798" TargetMode="External"/><Relationship Id="rId52"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geuk.org.uk/siteassets/documents/reports-and-publications/reports-and-briefings/safe-at-home/late-movers-how-the-shortage-of-suitable-housing-affects-our-ageing-population-october-2025..pdf" TargetMode="External"/><Relationship Id="rId22" Type="http://schemas.openxmlformats.org/officeDocument/2006/relationships/hyperlink" Target="https://www.crisis.org.uk/about-us/crisis-blog/the-hidden-housing-crisis-facing-older-people-in-britain/" TargetMode="External"/><Relationship Id="rId27" Type="http://schemas.openxmlformats.org/officeDocument/2006/relationships/hyperlink" Target="https://www.statista.com/chart/23491/share-of-adults-with-diabetes-world-region/?srsltid=AfmBOoqamqORtPdFbLOqtxvLMRw689dF_MFfjJAifwvqByjYg7t1DNL0" TargetMode="External"/><Relationship Id="rId30" Type="http://schemas.openxmlformats.org/officeDocument/2006/relationships/hyperlink" Target="https://www.gov.uk/government/statistics/mortality-profile-may-2025-update" TargetMode="External"/><Relationship Id="rId35" Type="http://schemas.openxmlformats.org/officeDocument/2006/relationships/hyperlink" Target="https://www.england.nhs.uk/ourwork/clinical-policy/older-people/improving-care-for-older-people/" TargetMode="External"/><Relationship Id="rId43" Type="http://schemas.openxmlformats.org/officeDocument/2006/relationships/hyperlink" Target="https://bmchealthservres.biomedcentral.com/articles/10.1186/s12913-022-08983-3" TargetMode="External"/><Relationship Id="rId48" Type="http://schemas.openxmlformats.org/officeDocument/2006/relationships/hyperlink" Target="https://www.york.ac.uk/news-and-events/news/2024/research/diabetes-cost-to-uk/" TargetMode="External"/><Relationship Id="rId8" Type="http://schemas.openxmlformats.org/officeDocument/2006/relationships/footnotes" Target="footnotes.xml"/><Relationship Id="rId51" Type="http://schemas.openxmlformats.org/officeDocument/2006/relationships/hyperlink" Target="https://bmcprimcare.biomedcentral.com/articles/10.1186/s12875-025-02930-x" TargetMode="External"/><Relationship Id="rId3" Type="http://schemas.openxmlformats.org/officeDocument/2006/relationships/customXml" Target="../customXml/item3.xml"/><Relationship Id="rId12" Type="http://schemas.openxmlformats.org/officeDocument/2006/relationships/hyperlink" Target="https://www.ageuk.org.uk/siteassets/documents/reports-and-publications/reports-and-briefings/health--wellbeing/state-of-health-care-of-older-people-in-england-2025.pdf" TargetMode="External"/><Relationship Id="rId17" Type="http://schemas.openxmlformats.org/officeDocument/2006/relationships/hyperlink" Target="https://bestpractice.bmj.com" TargetMode="External"/><Relationship Id="rId25" Type="http://schemas.openxmlformats.org/officeDocument/2006/relationships/hyperlink" Target="https://doi.org/10.1136/bmjdrc-2023-003873" TargetMode="External"/><Relationship Id="rId33" Type="http://schemas.openxmlformats.org/officeDocument/2006/relationships/hyperlink" Target="https://www.thelancet.com/journals/lancet/article/PIIS0140-6736%2823%2901301-6/fulltext" TargetMode="External"/><Relationship Id="rId38" Type="http://schemas.openxmlformats.org/officeDocument/2006/relationships/hyperlink" Target="https://www.nhs.uk/conditions/type-2-diabetes/what-is-type-2-diabetes" TargetMode="External"/><Relationship Id="rId46" Type="http://schemas.openxmlformats.org/officeDocument/2006/relationships/hyperlink" Target="https://link.springer.com/rwe/10.1007/978-3-031-32047-7_68-1" TargetMode="External"/><Relationship Id="rId20" Type="http://schemas.openxmlformats.org/officeDocument/2006/relationships/hyperlink" Target="https://ageing-better.org.uk/health-and-wellbeing-state-ageing-2025" TargetMode="External"/><Relationship Id="rId41" Type="http://schemas.openxmlformats.org/officeDocument/2006/relationships/hyperlink" Target="https://www.nice.org.uk/guidance/ng28"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bmcpublichealth.biomedcentral.com/articles/10.1186/s12889-025-21902-5" TargetMode="External"/><Relationship Id="rId23" Type="http://schemas.openxmlformats.org/officeDocument/2006/relationships/hyperlink" Target="https://www.diabetes.org.uk" TargetMode="External"/><Relationship Id="rId28" Type="http://schemas.openxmlformats.org/officeDocument/2006/relationships/hyperlink" Target="https://doi.org/10.1371/journal.pone.0242415" TargetMode="External"/><Relationship Id="rId36" Type="http://schemas.openxmlformats.org/officeDocument/2006/relationships/hyperlink" Target="https://www.nhs.uk/conditions/type-2-diabetes/treatment" TargetMode="External"/><Relationship Id="rId49" Type="http://schemas.openxmlformats.org/officeDocument/2006/relationships/hyperlink" Target="https://www.who.int/news-room/fact-sheets/detail/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3" ma:contentTypeDescription="Create a new document." ma:contentTypeScope="" ma:versionID="5e8066652ba608e95dab242c6db3e4b1">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b3d2e77f4dd58d79ff5e05a4ece13f4f"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AB2D100-0D9F-4834-9CC3-1CD6C8311C06}">
  <ds:schemaRefs>
    <ds:schemaRef ds:uri="http://schemas.microsoft.com/sharepoint/v3/contenttype/forms"/>
  </ds:schemaRefs>
</ds:datastoreItem>
</file>

<file path=customXml/itemProps2.xml><?xml version="1.0" encoding="utf-8"?>
<ds:datastoreItem xmlns:ds="http://schemas.openxmlformats.org/officeDocument/2006/customXml" ds:itemID="{377B3FD9-8FC7-4F39-B968-16129B00877A}">
  <ds:schemaRefs>
    <ds:schemaRef ds:uri="http://purl.org/dc/dcmitype/"/>
    <ds:schemaRef ds:uri="http://schemas.microsoft.com/office/2006/metadata/properties"/>
    <ds:schemaRef ds:uri="a450a3cc-050d-4aca-8a4e-543025a63de0"/>
    <ds:schemaRef ds:uri="http://schemas.microsoft.com/office/2006/documentManagement/types"/>
    <ds:schemaRef ds:uri="461f81f1-dbc4-4122-adb0-1c0e154b8134"/>
    <ds:schemaRef ds:uri="http://purl.org/dc/elements/1.1/"/>
    <ds:schemaRef ds:uri="http://schemas.openxmlformats.org/package/2006/metadata/core-properties"/>
    <ds:schemaRef ds:uri="http://purl.org/dc/terms/"/>
    <ds:schemaRef ds:uri="http://schemas.microsoft.com/office/infopath/2007/PartnerControls"/>
    <ds:schemaRef ds:uri="http://www.w3.org/XML/1998/namespace"/>
  </ds:schemaRefs>
</ds:datastoreItem>
</file>

<file path=customXml/itemProps3.xml><?xml version="1.0" encoding="utf-8"?>
<ds:datastoreItem xmlns:ds="http://schemas.openxmlformats.org/officeDocument/2006/customXml" ds:itemID="{BE38FE28-D694-44FA-9EF2-ED9EA32457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4935</TotalTime>
  <Pages>18</Pages>
  <Words>4373</Words>
  <Characters>30918</Characters>
  <Application>Microsoft Office Word</Application>
  <DocSecurity>0</DocSecurity>
  <Lines>594</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Razia Begum (2217307)</dc:creator>
  <cp:keywords/>
  <dc:description/>
  <cp:lastModifiedBy>Razia Begum (2217307)</cp:lastModifiedBy>
  <cp:revision>240</cp:revision>
  <dcterms:created xsi:type="dcterms:W3CDTF">2025-10-28T08:22:00Z</dcterms:created>
  <dcterms:modified xsi:type="dcterms:W3CDTF">2025-11-10T07:02:00Z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