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216EA4" w14:textId="77777777" w:rsidR="00367133" w:rsidRDefault="00367133" w:rsidP="00367133">
      <w:pPr>
        <w:spacing w:after="160" w:line="259" w:lineRule="auto"/>
        <w:jc w:val="left"/>
      </w:pPr>
      <w:r>
        <w:rPr>
          <w:noProof/>
          <w14:ligatures w14:val="standardContextual"/>
        </w:rPr>
        <w:drawing>
          <wp:inline distT="0" distB="0" distL="0" distR="0" wp14:anchorId="22EE5D42" wp14:editId="2D7C694C">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079E8C55" w14:textId="77777777" w:rsidR="00367133" w:rsidRPr="001E60F1" w:rsidRDefault="00367133" w:rsidP="00367133">
      <w:pPr>
        <w:spacing w:after="160" w:line="259" w:lineRule="auto"/>
        <w:jc w:val="center"/>
        <w:rPr>
          <w:b/>
          <w:sz w:val="48"/>
          <w:szCs w:val="48"/>
        </w:rPr>
      </w:pPr>
      <w:r w:rsidRPr="001E60F1">
        <w:rPr>
          <w:b/>
          <w:sz w:val="48"/>
          <w:szCs w:val="48"/>
        </w:rPr>
        <w:t>BSc Health and Social Care</w:t>
      </w:r>
    </w:p>
    <w:p w14:paraId="687A4B01" w14:textId="77777777" w:rsidR="00367133" w:rsidRPr="001E60F1" w:rsidRDefault="00367133" w:rsidP="00367133">
      <w:pPr>
        <w:spacing w:after="160" w:line="259" w:lineRule="auto"/>
        <w:jc w:val="center"/>
        <w:rPr>
          <w:b/>
          <w:sz w:val="48"/>
          <w:szCs w:val="48"/>
        </w:rPr>
      </w:pPr>
      <w:r w:rsidRPr="001E60F1">
        <w:rPr>
          <w:b/>
          <w:sz w:val="48"/>
          <w:szCs w:val="48"/>
        </w:rPr>
        <w:t>Principles of Health and Social Care Practice</w:t>
      </w:r>
    </w:p>
    <w:p w14:paraId="369C530F" w14:textId="77777777" w:rsidR="00367133" w:rsidRPr="001E60F1" w:rsidRDefault="00367133" w:rsidP="00367133">
      <w:pPr>
        <w:spacing w:after="160" w:line="259" w:lineRule="auto"/>
        <w:jc w:val="center"/>
        <w:rPr>
          <w:b/>
          <w:sz w:val="48"/>
          <w:szCs w:val="48"/>
        </w:rPr>
      </w:pPr>
      <w:r w:rsidRPr="001E60F1">
        <w:rPr>
          <w:b/>
          <w:sz w:val="48"/>
          <w:szCs w:val="48"/>
        </w:rPr>
        <w:t>BMHP5016</w:t>
      </w:r>
    </w:p>
    <w:p w14:paraId="262B3D4B" w14:textId="77777777" w:rsidR="00367133" w:rsidRPr="001E60F1" w:rsidRDefault="00367133" w:rsidP="00367133">
      <w:pPr>
        <w:spacing w:after="160" w:line="259" w:lineRule="auto"/>
        <w:jc w:val="center"/>
        <w:rPr>
          <w:b/>
          <w:sz w:val="48"/>
          <w:szCs w:val="48"/>
        </w:rPr>
      </w:pPr>
    </w:p>
    <w:p w14:paraId="63DB2DBA" w14:textId="77777777" w:rsidR="00367133" w:rsidRPr="001E60F1" w:rsidRDefault="00367133" w:rsidP="00367133">
      <w:pPr>
        <w:spacing w:after="160" w:line="259" w:lineRule="auto"/>
        <w:jc w:val="center"/>
        <w:rPr>
          <w:b/>
          <w:sz w:val="48"/>
          <w:szCs w:val="48"/>
        </w:rPr>
      </w:pPr>
    </w:p>
    <w:p w14:paraId="6A761D59" w14:textId="0C4A5B79" w:rsidR="00367133" w:rsidRPr="001E60F1" w:rsidRDefault="00367133" w:rsidP="00367133">
      <w:pPr>
        <w:spacing w:after="160" w:line="259" w:lineRule="auto"/>
        <w:jc w:val="center"/>
        <w:rPr>
          <w:b/>
          <w:sz w:val="48"/>
          <w:szCs w:val="48"/>
        </w:rPr>
      </w:pPr>
      <w:r w:rsidRPr="001E60F1">
        <w:rPr>
          <w:b/>
          <w:sz w:val="48"/>
          <w:szCs w:val="48"/>
        </w:rPr>
        <w:t xml:space="preserve">Component </w:t>
      </w:r>
      <w:r w:rsidR="00874B26">
        <w:rPr>
          <w:b/>
          <w:sz w:val="48"/>
          <w:szCs w:val="48"/>
        </w:rPr>
        <w:t>2</w:t>
      </w:r>
    </w:p>
    <w:p w14:paraId="32560EED" w14:textId="77777777" w:rsidR="00087B46" w:rsidRDefault="00087B46" w:rsidP="00367133">
      <w:pPr>
        <w:spacing w:after="160" w:line="259" w:lineRule="auto"/>
        <w:jc w:val="center"/>
        <w:rPr>
          <w:b/>
          <w:sz w:val="48"/>
          <w:szCs w:val="48"/>
        </w:rPr>
      </w:pPr>
      <w:r w:rsidRPr="00087B46">
        <w:rPr>
          <w:b/>
          <w:sz w:val="48"/>
          <w:szCs w:val="48"/>
        </w:rPr>
        <w:t xml:space="preserve">Written Assignment </w:t>
      </w:r>
    </w:p>
    <w:p w14:paraId="220957A8" w14:textId="71CBCBCB" w:rsidR="00367133" w:rsidRDefault="00087B46" w:rsidP="00367133">
      <w:pPr>
        <w:spacing w:after="160" w:line="259" w:lineRule="auto"/>
        <w:jc w:val="center"/>
        <w:rPr>
          <w:b/>
          <w:bCs/>
          <w:sz w:val="48"/>
          <w:szCs w:val="48"/>
        </w:rPr>
      </w:pPr>
      <w:r w:rsidRPr="00087B46">
        <w:rPr>
          <w:b/>
          <w:sz w:val="48"/>
          <w:szCs w:val="48"/>
        </w:rPr>
        <w:t>(Report)</w:t>
      </w:r>
    </w:p>
    <w:p w14:paraId="5730A79C" w14:textId="77777777" w:rsidR="00367133" w:rsidRDefault="00367133" w:rsidP="00367133">
      <w:pPr>
        <w:spacing w:after="160" w:line="259" w:lineRule="auto"/>
        <w:jc w:val="center"/>
        <w:rPr>
          <w:b/>
          <w:bCs/>
          <w:sz w:val="48"/>
          <w:szCs w:val="48"/>
        </w:rPr>
      </w:pPr>
    </w:p>
    <w:p w14:paraId="5AF2F317" w14:textId="15C761FB" w:rsidR="00367133" w:rsidRPr="001E60F1" w:rsidRDefault="00367133" w:rsidP="00367133">
      <w:pPr>
        <w:spacing w:after="160" w:line="259" w:lineRule="auto"/>
        <w:jc w:val="center"/>
        <w:rPr>
          <w:b/>
          <w:bCs/>
          <w:sz w:val="48"/>
          <w:szCs w:val="48"/>
        </w:rPr>
      </w:pPr>
      <w:r w:rsidRPr="001E60F1">
        <w:rPr>
          <w:b/>
          <w:bCs/>
          <w:sz w:val="48"/>
          <w:szCs w:val="48"/>
        </w:rPr>
        <w:t>Student ID:</w:t>
      </w:r>
      <w:r w:rsidR="000F3AF0">
        <w:rPr>
          <w:b/>
          <w:bCs/>
          <w:sz w:val="48"/>
          <w:szCs w:val="48"/>
        </w:rPr>
        <w:t xml:space="preserve"> 2409582</w:t>
      </w:r>
    </w:p>
    <w:p w14:paraId="3564AF85" w14:textId="4B745397" w:rsidR="00367133" w:rsidRPr="001E60F1" w:rsidRDefault="00367133" w:rsidP="00367133">
      <w:pPr>
        <w:spacing w:after="160" w:line="259" w:lineRule="auto"/>
        <w:jc w:val="center"/>
        <w:rPr>
          <w:b/>
          <w:bCs/>
          <w:sz w:val="48"/>
          <w:szCs w:val="48"/>
        </w:rPr>
      </w:pPr>
      <w:r w:rsidRPr="001E60F1">
        <w:rPr>
          <w:b/>
          <w:bCs/>
          <w:sz w:val="48"/>
          <w:szCs w:val="48"/>
        </w:rPr>
        <w:t>Student Name:</w:t>
      </w:r>
      <w:r w:rsidR="000F3AF0">
        <w:rPr>
          <w:b/>
          <w:bCs/>
          <w:sz w:val="48"/>
          <w:szCs w:val="48"/>
        </w:rPr>
        <w:t xml:space="preserve"> Alisa Ciure</w:t>
      </w:r>
    </w:p>
    <w:p w14:paraId="210BC0DF" w14:textId="65FD9B5D" w:rsidR="00367133" w:rsidRPr="001E60F1" w:rsidRDefault="00367133" w:rsidP="00367133">
      <w:pPr>
        <w:spacing w:after="160" w:line="259" w:lineRule="auto"/>
        <w:jc w:val="center"/>
        <w:rPr>
          <w:b/>
          <w:bCs/>
          <w:sz w:val="48"/>
          <w:szCs w:val="48"/>
        </w:rPr>
      </w:pPr>
    </w:p>
    <w:p w14:paraId="5CD00479" w14:textId="77777777" w:rsidR="00367133" w:rsidRDefault="00367133">
      <w:pPr>
        <w:spacing w:after="160" w:line="259" w:lineRule="auto"/>
        <w:jc w:val="left"/>
      </w:pPr>
      <w:r>
        <w:br w:type="page"/>
      </w:r>
    </w:p>
    <w:p w14:paraId="5F155477" w14:textId="77777777" w:rsidR="00367133" w:rsidRPr="0053758F" w:rsidRDefault="00367133" w:rsidP="0053758F">
      <w:pPr>
        <w:pStyle w:val="Heading1"/>
      </w:pPr>
      <w:bookmarkStart w:id="0" w:name="_Toc212380949"/>
      <w:r>
        <w:lastRenderedPageBreak/>
        <w:t>Abstract</w:t>
      </w:r>
      <w:bookmarkEnd w:id="0"/>
    </w:p>
    <w:p w14:paraId="7508CA1E" w14:textId="4D5812D1" w:rsidR="00367133" w:rsidRDefault="0053758F" w:rsidP="00367133">
      <w:r>
        <w:t>The report critically evaluates Person-Centred Care (PCC) and Partnership Working (PW) in the UK health and social care system. It describes the concept of PCC, which has its main advantages, including better health results and patient satisfaction and limitations, including the lack of resources. The report compares the key ethical concepts, namely autonomy, beneficence, non-maleficence, and justice, and their utilisation in care. Moreover, it regards the effectiveness of PW with the prism of the Integrated Care Systems (ICSs) introduced by the Health and Care Act 2022. The discussion will be based on a general examination of community-based support and how the concepts can be implemented in practice. Lastly, the recommendations on PCC and PW improvement in the future are suggested based on the evidence, which are related to the integration of technology, enhanced training, and strong evaluation frameworks</w:t>
      </w:r>
      <w:r w:rsidRPr="0053758F">
        <w:t>.</w:t>
      </w:r>
      <w:r w:rsidR="00367133">
        <w:br w:type="page"/>
      </w:r>
    </w:p>
    <w:sdt>
      <w:sdtPr>
        <w:rPr>
          <w:rFonts w:ascii="Times New Roman" w:eastAsiaTheme="minorHAnsi" w:hAnsi="Times New Roman" w:cstheme="minorBidi"/>
          <w:color w:val="000000" w:themeColor="text1"/>
          <w:sz w:val="24"/>
          <w:szCs w:val="22"/>
          <w:lang w:val="en-GB" w:bidi="ar-SA"/>
        </w:rPr>
        <w:id w:val="-2050063181"/>
        <w:docPartObj>
          <w:docPartGallery w:val="Table of Contents"/>
          <w:docPartUnique/>
        </w:docPartObj>
      </w:sdtPr>
      <w:sdtEndPr>
        <w:rPr>
          <w:b/>
          <w:bCs/>
        </w:rPr>
      </w:sdtEndPr>
      <w:sdtContent>
        <w:p w14:paraId="5D3597F2" w14:textId="51CD0FE3" w:rsidR="00367133" w:rsidRPr="00367133" w:rsidRDefault="00367133">
          <w:pPr>
            <w:pStyle w:val="TOCHeading"/>
            <w:rPr>
              <w:rFonts w:asciiTheme="majorBidi" w:hAnsiTheme="majorBidi"/>
              <w:b/>
              <w:bCs/>
              <w:color w:val="000000" w:themeColor="text1"/>
            </w:rPr>
          </w:pPr>
          <w:r w:rsidRPr="00367133">
            <w:rPr>
              <w:rFonts w:asciiTheme="majorBidi" w:hAnsiTheme="majorBidi"/>
              <w:b/>
              <w:bCs/>
              <w:color w:val="000000" w:themeColor="text1"/>
              <w:lang w:val="en-GB"/>
            </w:rPr>
            <w:t>Table of Contents</w:t>
          </w:r>
        </w:p>
        <w:p w14:paraId="5CD8F147" w14:textId="33429B41" w:rsidR="00C24893" w:rsidRDefault="00367133">
          <w:pPr>
            <w:pStyle w:val="TOC1"/>
            <w:tabs>
              <w:tab w:val="right" w:leader="dot" w:pos="9016"/>
            </w:tabs>
            <w:rPr>
              <w:rFonts w:asciiTheme="minorHAnsi" w:eastAsiaTheme="minorEastAsia" w:hAnsiTheme="minorHAnsi"/>
              <w:noProof/>
              <w:color w:val="auto"/>
              <w:kern w:val="2"/>
              <w:szCs w:val="24"/>
              <w:lang w:val="en-IN" w:eastAsia="en-IN"/>
              <w14:ligatures w14:val="standardContextual"/>
            </w:rPr>
          </w:pPr>
          <w:r>
            <w:fldChar w:fldCharType="begin"/>
          </w:r>
          <w:r>
            <w:instrText xml:space="preserve"> TOC \o "1-3" \h \z \u </w:instrText>
          </w:r>
          <w:r>
            <w:fldChar w:fldCharType="separate"/>
          </w:r>
          <w:hyperlink w:anchor="_Toc212380949" w:history="1">
            <w:r w:rsidR="00C24893" w:rsidRPr="00403BE6">
              <w:rPr>
                <w:rStyle w:val="Hyperlink"/>
                <w:noProof/>
              </w:rPr>
              <w:t>Abstract</w:t>
            </w:r>
            <w:r w:rsidR="00C24893">
              <w:rPr>
                <w:noProof/>
                <w:webHidden/>
              </w:rPr>
              <w:tab/>
            </w:r>
            <w:r w:rsidR="00C24893">
              <w:rPr>
                <w:noProof/>
                <w:webHidden/>
              </w:rPr>
              <w:fldChar w:fldCharType="begin"/>
            </w:r>
            <w:r w:rsidR="00C24893">
              <w:rPr>
                <w:noProof/>
                <w:webHidden/>
              </w:rPr>
              <w:instrText xml:space="preserve"> PAGEREF _Toc212380949 \h </w:instrText>
            </w:r>
            <w:r w:rsidR="00C24893">
              <w:rPr>
                <w:noProof/>
                <w:webHidden/>
              </w:rPr>
            </w:r>
            <w:r w:rsidR="00C24893">
              <w:rPr>
                <w:noProof/>
                <w:webHidden/>
              </w:rPr>
              <w:fldChar w:fldCharType="separate"/>
            </w:r>
            <w:r w:rsidR="00C24893">
              <w:rPr>
                <w:noProof/>
                <w:webHidden/>
              </w:rPr>
              <w:t>2</w:t>
            </w:r>
            <w:r w:rsidR="00C24893">
              <w:rPr>
                <w:noProof/>
                <w:webHidden/>
              </w:rPr>
              <w:fldChar w:fldCharType="end"/>
            </w:r>
          </w:hyperlink>
        </w:p>
        <w:p w14:paraId="09AD1ABF" w14:textId="5CAE8ADD" w:rsidR="00C24893" w:rsidRDefault="00C24893">
          <w:pPr>
            <w:pStyle w:val="TOC1"/>
            <w:tabs>
              <w:tab w:val="right" w:leader="dot" w:pos="9016"/>
            </w:tabs>
            <w:rPr>
              <w:rFonts w:asciiTheme="minorHAnsi" w:eastAsiaTheme="minorEastAsia" w:hAnsiTheme="minorHAnsi"/>
              <w:noProof/>
              <w:color w:val="auto"/>
              <w:kern w:val="2"/>
              <w:szCs w:val="24"/>
              <w:lang w:val="en-IN" w:eastAsia="en-IN"/>
              <w14:ligatures w14:val="standardContextual"/>
            </w:rPr>
          </w:pPr>
          <w:hyperlink w:anchor="_Toc212380950" w:history="1">
            <w:r w:rsidRPr="00403BE6">
              <w:rPr>
                <w:rStyle w:val="Hyperlink"/>
                <w:noProof/>
              </w:rPr>
              <w:t>Introduction</w:t>
            </w:r>
            <w:r>
              <w:rPr>
                <w:noProof/>
                <w:webHidden/>
              </w:rPr>
              <w:tab/>
            </w:r>
            <w:r>
              <w:rPr>
                <w:noProof/>
                <w:webHidden/>
              </w:rPr>
              <w:fldChar w:fldCharType="begin"/>
            </w:r>
            <w:r>
              <w:rPr>
                <w:noProof/>
                <w:webHidden/>
              </w:rPr>
              <w:instrText xml:space="preserve"> PAGEREF _Toc212380950 \h </w:instrText>
            </w:r>
            <w:r>
              <w:rPr>
                <w:noProof/>
                <w:webHidden/>
              </w:rPr>
            </w:r>
            <w:r>
              <w:rPr>
                <w:noProof/>
                <w:webHidden/>
              </w:rPr>
              <w:fldChar w:fldCharType="separate"/>
            </w:r>
            <w:r>
              <w:rPr>
                <w:noProof/>
                <w:webHidden/>
              </w:rPr>
              <w:t>4</w:t>
            </w:r>
            <w:r>
              <w:rPr>
                <w:noProof/>
                <w:webHidden/>
              </w:rPr>
              <w:fldChar w:fldCharType="end"/>
            </w:r>
          </w:hyperlink>
        </w:p>
        <w:p w14:paraId="50E7BEB8" w14:textId="676C6DAC" w:rsidR="00C24893" w:rsidRDefault="00C24893">
          <w:pPr>
            <w:pStyle w:val="TOC1"/>
            <w:tabs>
              <w:tab w:val="right" w:leader="dot" w:pos="9016"/>
            </w:tabs>
            <w:rPr>
              <w:rFonts w:asciiTheme="minorHAnsi" w:eastAsiaTheme="minorEastAsia" w:hAnsiTheme="minorHAnsi"/>
              <w:noProof/>
              <w:color w:val="auto"/>
              <w:kern w:val="2"/>
              <w:szCs w:val="24"/>
              <w:lang w:val="en-IN" w:eastAsia="en-IN"/>
              <w14:ligatures w14:val="standardContextual"/>
            </w:rPr>
          </w:pPr>
          <w:hyperlink w:anchor="_Toc212380951" w:history="1">
            <w:r w:rsidRPr="00403BE6">
              <w:rPr>
                <w:rStyle w:val="Hyperlink"/>
                <w:noProof/>
              </w:rPr>
              <w:t>Definition and Analysis of Person-Centred Care</w:t>
            </w:r>
            <w:r>
              <w:rPr>
                <w:noProof/>
                <w:webHidden/>
              </w:rPr>
              <w:tab/>
            </w:r>
            <w:r>
              <w:rPr>
                <w:noProof/>
                <w:webHidden/>
              </w:rPr>
              <w:fldChar w:fldCharType="begin"/>
            </w:r>
            <w:r>
              <w:rPr>
                <w:noProof/>
                <w:webHidden/>
              </w:rPr>
              <w:instrText xml:space="preserve"> PAGEREF _Toc212380951 \h </w:instrText>
            </w:r>
            <w:r>
              <w:rPr>
                <w:noProof/>
                <w:webHidden/>
              </w:rPr>
            </w:r>
            <w:r>
              <w:rPr>
                <w:noProof/>
                <w:webHidden/>
              </w:rPr>
              <w:fldChar w:fldCharType="separate"/>
            </w:r>
            <w:r>
              <w:rPr>
                <w:noProof/>
                <w:webHidden/>
              </w:rPr>
              <w:t>4</w:t>
            </w:r>
            <w:r>
              <w:rPr>
                <w:noProof/>
                <w:webHidden/>
              </w:rPr>
              <w:fldChar w:fldCharType="end"/>
            </w:r>
          </w:hyperlink>
        </w:p>
        <w:p w14:paraId="658C6E8F" w14:textId="47D232F2" w:rsidR="00C24893" w:rsidRDefault="00C24893">
          <w:pPr>
            <w:pStyle w:val="TOC1"/>
            <w:tabs>
              <w:tab w:val="right" w:leader="dot" w:pos="9016"/>
            </w:tabs>
            <w:rPr>
              <w:rFonts w:asciiTheme="minorHAnsi" w:eastAsiaTheme="minorEastAsia" w:hAnsiTheme="minorHAnsi"/>
              <w:noProof/>
              <w:color w:val="auto"/>
              <w:kern w:val="2"/>
              <w:szCs w:val="24"/>
              <w:lang w:val="en-IN" w:eastAsia="en-IN"/>
              <w14:ligatures w14:val="standardContextual"/>
            </w:rPr>
          </w:pPr>
          <w:hyperlink w:anchor="_Toc212380952" w:history="1">
            <w:r w:rsidRPr="00403BE6">
              <w:rPr>
                <w:rStyle w:val="Hyperlink"/>
                <w:noProof/>
              </w:rPr>
              <w:t>A Relevant Theory Underpinning Person-Centred Care</w:t>
            </w:r>
            <w:r>
              <w:rPr>
                <w:noProof/>
                <w:webHidden/>
              </w:rPr>
              <w:tab/>
            </w:r>
            <w:r>
              <w:rPr>
                <w:noProof/>
                <w:webHidden/>
              </w:rPr>
              <w:fldChar w:fldCharType="begin"/>
            </w:r>
            <w:r>
              <w:rPr>
                <w:noProof/>
                <w:webHidden/>
              </w:rPr>
              <w:instrText xml:space="preserve"> PAGEREF _Toc212380952 \h </w:instrText>
            </w:r>
            <w:r>
              <w:rPr>
                <w:noProof/>
                <w:webHidden/>
              </w:rPr>
            </w:r>
            <w:r>
              <w:rPr>
                <w:noProof/>
                <w:webHidden/>
              </w:rPr>
              <w:fldChar w:fldCharType="separate"/>
            </w:r>
            <w:r>
              <w:rPr>
                <w:noProof/>
                <w:webHidden/>
              </w:rPr>
              <w:t>5</w:t>
            </w:r>
            <w:r>
              <w:rPr>
                <w:noProof/>
                <w:webHidden/>
              </w:rPr>
              <w:fldChar w:fldCharType="end"/>
            </w:r>
          </w:hyperlink>
        </w:p>
        <w:p w14:paraId="577A5C5C" w14:textId="25E9984E" w:rsidR="00C24893" w:rsidRDefault="00C24893">
          <w:pPr>
            <w:pStyle w:val="TOC1"/>
            <w:tabs>
              <w:tab w:val="right" w:leader="dot" w:pos="9016"/>
            </w:tabs>
            <w:rPr>
              <w:rFonts w:asciiTheme="minorHAnsi" w:eastAsiaTheme="minorEastAsia" w:hAnsiTheme="minorHAnsi"/>
              <w:noProof/>
              <w:color w:val="auto"/>
              <w:kern w:val="2"/>
              <w:szCs w:val="24"/>
              <w:lang w:val="en-IN" w:eastAsia="en-IN"/>
              <w14:ligatures w14:val="standardContextual"/>
            </w:rPr>
          </w:pPr>
          <w:hyperlink w:anchor="_Toc212380953" w:history="1">
            <w:r w:rsidRPr="00403BE6">
              <w:rPr>
                <w:rStyle w:val="Hyperlink"/>
                <w:noProof/>
              </w:rPr>
              <w:t>Analysis of Ethical Fundamentals</w:t>
            </w:r>
            <w:r>
              <w:rPr>
                <w:noProof/>
                <w:webHidden/>
              </w:rPr>
              <w:tab/>
            </w:r>
            <w:r>
              <w:rPr>
                <w:noProof/>
                <w:webHidden/>
              </w:rPr>
              <w:fldChar w:fldCharType="begin"/>
            </w:r>
            <w:r>
              <w:rPr>
                <w:noProof/>
                <w:webHidden/>
              </w:rPr>
              <w:instrText xml:space="preserve"> PAGEREF _Toc212380953 \h </w:instrText>
            </w:r>
            <w:r>
              <w:rPr>
                <w:noProof/>
                <w:webHidden/>
              </w:rPr>
            </w:r>
            <w:r>
              <w:rPr>
                <w:noProof/>
                <w:webHidden/>
              </w:rPr>
              <w:fldChar w:fldCharType="separate"/>
            </w:r>
            <w:r>
              <w:rPr>
                <w:noProof/>
                <w:webHidden/>
              </w:rPr>
              <w:t>6</w:t>
            </w:r>
            <w:r>
              <w:rPr>
                <w:noProof/>
                <w:webHidden/>
              </w:rPr>
              <w:fldChar w:fldCharType="end"/>
            </w:r>
          </w:hyperlink>
        </w:p>
        <w:p w14:paraId="0C360B4B" w14:textId="3867D20A" w:rsidR="00C24893" w:rsidRDefault="00C24893">
          <w:pPr>
            <w:pStyle w:val="TOC1"/>
            <w:tabs>
              <w:tab w:val="right" w:leader="dot" w:pos="9016"/>
            </w:tabs>
            <w:rPr>
              <w:rFonts w:asciiTheme="minorHAnsi" w:eastAsiaTheme="minorEastAsia" w:hAnsiTheme="minorHAnsi"/>
              <w:noProof/>
              <w:color w:val="auto"/>
              <w:kern w:val="2"/>
              <w:szCs w:val="24"/>
              <w:lang w:val="en-IN" w:eastAsia="en-IN"/>
              <w14:ligatures w14:val="standardContextual"/>
            </w:rPr>
          </w:pPr>
          <w:hyperlink w:anchor="_Toc212380954" w:history="1">
            <w:r w:rsidRPr="00403BE6">
              <w:rPr>
                <w:rStyle w:val="Hyperlink"/>
                <w:noProof/>
              </w:rPr>
              <w:t>Evaluation of Partnership Working</w:t>
            </w:r>
            <w:r>
              <w:rPr>
                <w:noProof/>
                <w:webHidden/>
              </w:rPr>
              <w:tab/>
            </w:r>
            <w:r>
              <w:rPr>
                <w:noProof/>
                <w:webHidden/>
              </w:rPr>
              <w:fldChar w:fldCharType="begin"/>
            </w:r>
            <w:r>
              <w:rPr>
                <w:noProof/>
                <w:webHidden/>
              </w:rPr>
              <w:instrText xml:space="preserve"> PAGEREF _Toc212380954 \h </w:instrText>
            </w:r>
            <w:r>
              <w:rPr>
                <w:noProof/>
                <w:webHidden/>
              </w:rPr>
            </w:r>
            <w:r>
              <w:rPr>
                <w:noProof/>
                <w:webHidden/>
              </w:rPr>
              <w:fldChar w:fldCharType="separate"/>
            </w:r>
            <w:r>
              <w:rPr>
                <w:noProof/>
                <w:webHidden/>
              </w:rPr>
              <w:t>7</w:t>
            </w:r>
            <w:r>
              <w:rPr>
                <w:noProof/>
                <w:webHidden/>
              </w:rPr>
              <w:fldChar w:fldCharType="end"/>
            </w:r>
          </w:hyperlink>
        </w:p>
        <w:p w14:paraId="105BF5DF" w14:textId="2C13C1E9" w:rsidR="00C24893" w:rsidRDefault="00C24893">
          <w:pPr>
            <w:pStyle w:val="TOC1"/>
            <w:tabs>
              <w:tab w:val="right" w:leader="dot" w:pos="9016"/>
            </w:tabs>
            <w:rPr>
              <w:rFonts w:asciiTheme="minorHAnsi" w:eastAsiaTheme="minorEastAsia" w:hAnsiTheme="minorHAnsi"/>
              <w:noProof/>
              <w:color w:val="auto"/>
              <w:kern w:val="2"/>
              <w:szCs w:val="24"/>
              <w:lang w:val="en-IN" w:eastAsia="en-IN"/>
              <w14:ligatures w14:val="standardContextual"/>
            </w:rPr>
          </w:pPr>
          <w:hyperlink w:anchor="_Toc212380955" w:history="1">
            <w:r w:rsidRPr="00403BE6">
              <w:rPr>
                <w:rStyle w:val="Hyperlink"/>
                <w:noProof/>
              </w:rPr>
              <w:t>Application of Partnership Working: Mrs C's Case Study</w:t>
            </w:r>
            <w:r>
              <w:rPr>
                <w:noProof/>
                <w:webHidden/>
              </w:rPr>
              <w:tab/>
            </w:r>
            <w:r>
              <w:rPr>
                <w:noProof/>
                <w:webHidden/>
              </w:rPr>
              <w:fldChar w:fldCharType="begin"/>
            </w:r>
            <w:r>
              <w:rPr>
                <w:noProof/>
                <w:webHidden/>
              </w:rPr>
              <w:instrText xml:space="preserve"> PAGEREF _Toc212380955 \h </w:instrText>
            </w:r>
            <w:r>
              <w:rPr>
                <w:noProof/>
                <w:webHidden/>
              </w:rPr>
            </w:r>
            <w:r>
              <w:rPr>
                <w:noProof/>
                <w:webHidden/>
              </w:rPr>
              <w:fldChar w:fldCharType="separate"/>
            </w:r>
            <w:r>
              <w:rPr>
                <w:noProof/>
                <w:webHidden/>
              </w:rPr>
              <w:t>8</w:t>
            </w:r>
            <w:r>
              <w:rPr>
                <w:noProof/>
                <w:webHidden/>
              </w:rPr>
              <w:fldChar w:fldCharType="end"/>
            </w:r>
          </w:hyperlink>
        </w:p>
        <w:p w14:paraId="32F41346" w14:textId="3EAEA778" w:rsidR="00C24893" w:rsidRDefault="00C24893">
          <w:pPr>
            <w:pStyle w:val="TOC1"/>
            <w:tabs>
              <w:tab w:val="right" w:leader="dot" w:pos="9016"/>
            </w:tabs>
            <w:rPr>
              <w:rFonts w:asciiTheme="minorHAnsi" w:eastAsiaTheme="minorEastAsia" w:hAnsiTheme="minorHAnsi"/>
              <w:noProof/>
              <w:color w:val="auto"/>
              <w:kern w:val="2"/>
              <w:szCs w:val="24"/>
              <w:lang w:val="en-IN" w:eastAsia="en-IN"/>
              <w14:ligatures w14:val="standardContextual"/>
            </w:rPr>
          </w:pPr>
          <w:hyperlink w:anchor="_Toc212380956" w:history="1">
            <w:r w:rsidRPr="00403BE6">
              <w:rPr>
                <w:rStyle w:val="Hyperlink"/>
                <w:noProof/>
              </w:rPr>
              <w:t>Policy and Legislation Framework</w:t>
            </w:r>
            <w:r>
              <w:rPr>
                <w:noProof/>
                <w:webHidden/>
              </w:rPr>
              <w:tab/>
            </w:r>
            <w:r>
              <w:rPr>
                <w:noProof/>
                <w:webHidden/>
              </w:rPr>
              <w:fldChar w:fldCharType="begin"/>
            </w:r>
            <w:r>
              <w:rPr>
                <w:noProof/>
                <w:webHidden/>
              </w:rPr>
              <w:instrText xml:space="preserve"> PAGEREF _Toc212380956 \h </w:instrText>
            </w:r>
            <w:r>
              <w:rPr>
                <w:noProof/>
                <w:webHidden/>
              </w:rPr>
            </w:r>
            <w:r>
              <w:rPr>
                <w:noProof/>
                <w:webHidden/>
              </w:rPr>
              <w:fldChar w:fldCharType="separate"/>
            </w:r>
            <w:r>
              <w:rPr>
                <w:noProof/>
                <w:webHidden/>
              </w:rPr>
              <w:t>9</w:t>
            </w:r>
            <w:r>
              <w:rPr>
                <w:noProof/>
                <w:webHidden/>
              </w:rPr>
              <w:fldChar w:fldCharType="end"/>
            </w:r>
          </w:hyperlink>
        </w:p>
        <w:p w14:paraId="58944529" w14:textId="49E5194C" w:rsidR="00C24893" w:rsidRDefault="00C24893">
          <w:pPr>
            <w:pStyle w:val="TOC1"/>
            <w:tabs>
              <w:tab w:val="right" w:leader="dot" w:pos="9016"/>
            </w:tabs>
            <w:rPr>
              <w:rFonts w:asciiTheme="minorHAnsi" w:eastAsiaTheme="minorEastAsia" w:hAnsiTheme="minorHAnsi"/>
              <w:noProof/>
              <w:color w:val="auto"/>
              <w:kern w:val="2"/>
              <w:szCs w:val="24"/>
              <w:lang w:val="en-IN" w:eastAsia="en-IN"/>
              <w14:ligatures w14:val="standardContextual"/>
            </w:rPr>
          </w:pPr>
          <w:hyperlink w:anchor="_Toc212380957" w:history="1">
            <w:r w:rsidRPr="00403BE6">
              <w:rPr>
                <w:rStyle w:val="Hyperlink"/>
                <w:noProof/>
              </w:rPr>
              <w:t>Recommendations for Future Development</w:t>
            </w:r>
            <w:r>
              <w:rPr>
                <w:noProof/>
                <w:webHidden/>
              </w:rPr>
              <w:tab/>
            </w:r>
            <w:r>
              <w:rPr>
                <w:noProof/>
                <w:webHidden/>
              </w:rPr>
              <w:fldChar w:fldCharType="begin"/>
            </w:r>
            <w:r>
              <w:rPr>
                <w:noProof/>
                <w:webHidden/>
              </w:rPr>
              <w:instrText xml:space="preserve"> PAGEREF _Toc212380957 \h </w:instrText>
            </w:r>
            <w:r>
              <w:rPr>
                <w:noProof/>
                <w:webHidden/>
              </w:rPr>
            </w:r>
            <w:r>
              <w:rPr>
                <w:noProof/>
                <w:webHidden/>
              </w:rPr>
              <w:fldChar w:fldCharType="separate"/>
            </w:r>
            <w:r>
              <w:rPr>
                <w:noProof/>
                <w:webHidden/>
              </w:rPr>
              <w:t>10</w:t>
            </w:r>
            <w:r>
              <w:rPr>
                <w:noProof/>
                <w:webHidden/>
              </w:rPr>
              <w:fldChar w:fldCharType="end"/>
            </w:r>
          </w:hyperlink>
        </w:p>
        <w:p w14:paraId="4B2E22D7" w14:textId="5D919D74" w:rsidR="00C24893" w:rsidRDefault="00C24893">
          <w:pPr>
            <w:pStyle w:val="TOC1"/>
            <w:tabs>
              <w:tab w:val="right" w:leader="dot" w:pos="9016"/>
            </w:tabs>
            <w:rPr>
              <w:rFonts w:asciiTheme="minorHAnsi" w:eastAsiaTheme="minorEastAsia" w:hAnsiTheme="minorHAnsi"/>
              <w:noProof/>
              <w:color w:val="auto"/>
              <w:kern w:val="2"/>
              <w:szCs w:val="24"/>
              <w:lang w:val="en-IN" w:eastAsia="en-IN"/>
              <w14:ligatures w14:val="standardContextual"/>
            </w:rPr>
          </w:pPr>
          <w:hyperlink w:anchor="_Toc212380958" w:history="1">
            <w:r w:rsidRPr="00403BE6">
              <w:rPr>
                <w:rStyle w:val="Hyperlink"/>
                <w:noProof/>
              </w:rPr>
              <w:t>Conclusion</w:t>
            </w:r>
            <w:r>
              <w:rPr>
                <w:noProof/>
                <w:webHidden/>
              </w:rPr>
              <w:tab/>
            </w:r>
            <w:r>
              <w:rPr>
                <w:noProof/>
                <w:webHidden/>
              </w:rPr>
              <w:fldChar w:fldCharType="begin"/>
            </w:r>
            <w:r>
              <w:rPr>
                <w:noProof/>
                <w:webHidden/>
              </w:rPr>
              <w:instrText xml:space="preserve"> PAGEREF _Toc212380958 \h </w:instrText>
            </w:r>
            <w:r>
              <w:rPr>
                <w:noProof/>
                <w:webHidden/>
              </w:rPr>
            </w:r>
            <w:r>
              <w:rPr>
                <w:noProof/>
                <w:webHidden/>
              </w:rPr>
              <w:fldChar w:fldCharType="separate"/>
            </w:r>
            <w:r>
              <w:rPr>
                <w:noProof/>
                <w:webHidden/>
              </w:rPr>
              <w:t>12</w:t>
            </w:r>
            <w:r>
              <w:rPr>
                <w:noProof/>
                <w:webHidden/>
              </w:rPr>
              <w:fldChar w:fldCharType="end"/>
            </w:r>
          </w:hyperlink>
        </w:p>
        <w:p w14:paraId="43FB6FFE" w14:textId="0F77887A" w:rsidR="00C24893" w:rsidRDefault="00C24893">
          <w:pPr>
            <w:pStyle w:val="TOC1"/>
            <w:tabs>
              <w:tab w:val="right" w:leader="dot" w:pos="9016"/>
            </w:tabs>
            <w:rPr>
              <w:rFonts w:asciiTheme="minorHAnsi" w:eastAsiaTheme="minorEastAsia" w:hAnsiTheme="minorHAnsi"/>
              <w:noProof/>
              <w:color w:val="auto"/>
              <w:kern w:val="2"/>
              <w:szCs w:val="24"/>
              <w:lang w:val="en-IN" w:eastAsia="en-IN"/>
              <w14:ligatures w14:val="standardContextual"/>
            </w:rPr>
          </w:pPr>
          <w:hyperlink w:anchor="_Toc212380959" w:history="1">
            <w:r w:rsidRPr="00403BE6">
              <w:rPr>
                <w:rStyle w:val="Hyperlink"/>
                <w:noProof/>
              </w:rPr>
              <w:t>References</w:t>
            </w:r>
            <w:r>
              <w:rPr>
                <w:noProof/>
                <w:webHidden/>
              </w:rPr>
              <w:tab/>
            </w:r>
            <w:r>
              <w:rPr>
                <w:noProof/>
                <w:webHidden/>
              </w:rPr>
              <w:fldChar w:fldCharType="begin"/>
            </w:r>
            <w:r>
              <w:rPr>
                <w:noProof/>
                <w:webHidden/>
              </w:rPr>
              <w:instrText xml:space="preserve"> PAGEREF _Toc212380959 \h </w:instrText>
            </w:r>
            <w:r>
              <w:rPr>
                <w:noProof/>
                <w:webHidden/>
              </w:rPr>
            </w:r>
            <w:r>
              <w:rPr>
                <w:noProof/>
                <w:webHidden/>
              </w:rPr>
              <w:fldChar w:fldCharType="separate"/>
            </w:r>
            <w:r>
              <w:rPr>
                <w:noProof/>
                <w:webHidden/>
              </w:rPr>
              <w:t>13</w:t>
            </w:r>
            <w:r>
              <w:rPr>
                <w:noProof/>
                <w:webHidden/>
              </w:rPr>
              <w:fldChar w:fldCharType="end"/>
            </w:r>
          </w:hyperlink>
        </w:p>
        <w:p w14:paraId="6C1311DA" w14:textId="20042D9B" w:rsidR="00367133" w:rsidRDefault="00367133">
          <w:r>
            <w:rPr>
              <w:b/>
              <w:bCs/>
            </w:rPr>
            <w:fldChar w:fldCharType="end"/>
          </w:r>
        </w:p>
      </w:sdtContent>
    </w:sdt>
    <w:p w14:paraId="53912747" w14:textId="029CA963" w:rsidR="00367133" w:rsidRDefault="00367133">
      <w:pPr>
        <w:spacing w:after="160" w:line="259" w:lineRule="auto"/>
        <w:jc w:val="left"/>
      </w:pPr>
      <w:r>
        <w:br w:type="page"/>
      </w:r>
    </w:p>
    <w:p w14:paraId="4F5DDAF8" w14:textId="1DE76717" w:rsidR="0053758F" w:rsidRPr="0053758F" w:rsidRDefault="0053758F" w:rsidP="0053758F">
      <w:pPr>
        <w:pStyle w:val="Heading1"/>
      </w:pPr>
      <w:bookmarkStart w:id="1" w:name="_Toc212380950"/>
      <w:r w:rsidRPr="0053758F">
        <w:lastRenderedPageBreak/>
        <w:t>Introduction</w:t>
      </w:r>
      <w:bookmarkEnd w:id="1"/>
      <w:r w:rsidR="004D341E">
        <w:t xml:space="preserve"> </w:t>
      </w:r>
    </w:p>
    <w:p w14:paraId="5EA6442B" w14:textId="1609B247" w:rsidR="0053758F" w:rsidRPr="0053758F" w:rsidRDefault="0053758F" w:rsidP="0053758F">
      <w:pPr>
        <w:rPr>
          <w:lang w:val="en-US"/>
        </w:rPr>
      </w:pPr>
      <w:r>
        <w:rPr>
          <w:lang w:val="en-IN"/>
        </w:rPr>
        <w:t xml:space="preserve">This introduction gives a brief overview of </w:t>
      </w:r>
      <w:r>
        <w:t>two of the principles of modern health and social care policy and practice in the UK are Partnership Working (PW) and Person-Centred Care (PCC). PCC puts the person at the centre as an active participant in their own care and concerns themselves with the personal preferences, values, and needs (Ekman, Ebrahimi and Olaya Contreras, 2021). At the same time, PW understands that multiple agencies and professionals should respond to complex health and social needs as one (Aveyard, 2023). This report will offer a critical evaluation of the theory, practice, and assessment of these concepts. It will describe PCC, talk about ethical principles that support high-quality care and appraise PW, paying particular attention to its use in the Integrated Care Systems (ICSs). The report will end with evidence-based recommendations for the future improvement of PCC and PW in the UK</w:t>
      </w:r>
      <w:r w:rsidRPr="0053758F">
        <w:rPr>
          <w:lang w:val="en-US"/>
        </w:rPr>
        <w:t>.</w:t>
      </w:r>
    </w:p>
    <w:p w14:paraId="2B920AED" w14:textId="77777777" w:rsidR="0053758F" w:rsidRPr="0053758F" w:rsidRDefault="0053758F" w:rsidP="0053758F">
      <w:pPr>
        <w:pStyle w:val="Heading1"/>
      </w:pPr>
      <w:bookmarkStart w:id="2" w:name="_Toc212380951"/>
      <w:r w:rsidRPr="0053758F">
        <w:t>Definition and Analysis of Person-Centred Care</w:t>
      </w:r>
      <w:bookmarkEnd w:id="2"/>
    </w:p>
    <w:p w14:paraId="07AE835D" w14:textId="4D1D9AAB" w:rsidR="0053758F" w:rsidRDefault="0053758F" w:rsidP="0053758F">
      <w:r>
        <w:t>Person-Centred Care (PCC) is a practice that focuses on the person at the centre of their care and support. It is based on the principles of respect, dignity, and collaboration, making sure that the care is aligned with the unique needs, values, and circumstances of a person (Ekman, Ebrahimi and Olaya Contreras, 2021). This is a break with a traditional, paternalistic approach where the professionals control the treatment decision, to a partnership in which the voice of the individual is supreme.</w:t>
      </w:r>
    </w:p>
    <w:p w14:paraId="4CF23C82" w14:textId="0E2AB58D" w:rsidR="0053758F" w:rsidRDefault="0053758F" w:rsidP="0053758F">
      <w:r>
        <w:t>The advantages of PCC are well-known. It contributes to patient satisfaction, better adherence to treatment, and health care outcomes (Canais and Nunes, 2024). With long-term conditions, PCC helps people to become more proactive in their health care and thus achieve health independence and an increased sense of wellbeing. Additionally, as the individual becomes the subject of the planning of care, the chances of unnecessary interventions that do not align with the individual's goals caused by the need to do this become higher, which may result in a more adequate allocation of resources.</w:t>
      </w:r>
    </w:p>
    <w:p w14:paraId="4E7957ED" w14:textId="111BF798" w:rsidR="0053758F" w:rsidRPr="0053758F" w:rsidRDefault="0053758F" w:rsidP="0053758F">
      <w:pPr>
        <w:rPr>
          <w:lang w:val="en-US"/>
        </w:rPr>
      </w:pPr>
      <w:r>
        <w:t xml:space="preserve">There are, however, major limitations on its implementation. One of the main limitations is resources; limited staff and excessive workloads might restrict the time to have in-depth and individual discussions, which are core to PCC. Also, the transition to more medically-oriented models of care can be difficult, both at the organisational level and within the ranks of certain professionals. The inconsistent application of PCC may also be caused by the lack of a </w:t>
      </w:r>
      <w:r>
        <w:lastRenderedPageBreak/>
        <w:t xml:space="preserve">consistent understanding of this issue within the multidisciplinary teams and the </w:t>
      </w:r>
      <w:r w:rsidR="00DB50B4">
        <w:t>compromise</w:t>
      </w:r>
      <w:r>
        <w:t xml:space="preserve"> of its core principles</w:t>
      </w:r>
      <w:r w:rsidRPr="0053758F">
        <w:rPr>
          <w:lang w:val="en-US"/>
        </w:rPr>
        <w:t>.</w:t>
      </w:r>
    </w:p>
    <w:p w14:paraId="202F0F7E" w14:textId="77777777" w:rsidR="0053758F" w:rsidRPr="0053758F" w:rsidRDefault="0053758F" w:rsidP="0053758F">
      <w:pPr>
        <w:rPr>
          <w:lang w:val="en-US"/>
        </w:rPr>
      </w:pPr>
      <w:r w:rsidRPr="0053758F">
        <w:rPr>
          <w:b/>
          <w:bCs/>
          <w:lang w:val="en-US"/>
        </w:rPr>
        <w:t>Table 1: Benefits and Limitations of Person-Centred Care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970"/>
        <w:gridCol w:w="5046"/>
      </w:tblGrid>
      <w:tr w:rsidR="0053758F" w:rsidRPr="0053758F" w14:paraId="781DE551" w14:textId="77777777" w:rsidTr="0053758F">
        <w:trPr>
          <w:tblHeader/>
        </w:trPr>
        <w:tc>
          <w:tcPr>
            <w:tcW w:w="0" w:type="auto"/>
            <w:shd w:val="clear" w:color="auto" w:fill="A6A6A6" w:themeFill="background1" w:themeFillShade="A6"/>
            <w:tcMar>
              <w:top w:w="150" w:type="dxa"/>
              <w:left w:w="0" w:type="dxa"/>
              <w:bottom w:w="150" w:type="dxa"/>
              <w:right w:w="240" w:type="dxa"/>
            </w:tcMar>
            <w:vAlign w:val="center"/>
            <w:hideMark/>
          </w:tcPr>
          <w:p w14:paraId="487219EF" w14:textId="77777777" w:rsidR="0053758F" w:rsidRPr="0053758F" w:rsidRDefault="0053758F" w:rsidP="0053758F">
            <w:pPr>
              <w:rPr>
                <w:lang w:val="en-US"/>
              </w:rPr>
            </w:pPr>
            <w:r w:rsidRPr="0053758F">
              <w:rPr>
                <w:b/>
                <w:bCs/>
                <w:lang w:val="en-US"/>
              </w:rPr>
              <w:t>Benefits of PCC</w:t>
            </w:r>
          </w:p>
        </w:tc>
        <w:tc>
          <w:tcPr>
            <w:tcW w:w="0" w:type="auto"/>
            <w:shd w:val="clear" w:color="auto" w:fill="A6A6A6" w:themeFill="background1" w:themeFillShade="A6"/>
            <w:tcMar>
              <w:top w:w="150" w:type="dxa"/>
              <w:left w:w="240" w:type="dxa"/>
              <w:bottom w:w="150" w:type="dxa"/>
              <w:right w:w="240" w:type="dxa"/>
            </w:tcMar>
            <w:vAlign w:val="center"/>
            <w:hideMark/>
          </w:tcPr>
          <w:p w14:paraId="5C59B266" w14:textId="77777777" w:rsidR="0053758F" w:rsidRPr="0053758F" w:rsidRDefault="0053758F" w:rsidP="0053758F">
            <w:pPr>
              <w:rPr>
                <w:lang w:val="en-US"/>
              </w:rPr>
            </w:pPr>
            <w:r w:rsidRPr="0053758F">
              <w:rPr>
                <w:b/>
                <w:bCs/>
                <w:lang w:val="en-US"/>
              </w:rPr>
              <w:t>Limitations of PCC</w:t>
            </w:r>
          </w:p>
        </w:tc>
      </w:tr>
      <w:tr w:rsidR="0053758F" w:rsidRPr="0053758F" w14:paraId="46C2462D" w14:textId="77777777" w:rsidTr="0053758F">
        <w:tc>
          <w:tcPr>
            <w:tcW w:w="0" w:type="auto"/>
            <w:tcMar>
              <w:top w:w="150" w:type="dxa"/>
              <w:left w:w="0" w:type="dxa"/>
              <w:bottom w:w="150" w:type="dxa"/>
              <w:right w:w="240" w:type="dxa"/>
            </w:tcMar>
            <w:vAlign w:val="center"/>
            <w:hideMark/>
          </w:tcPr>
          <w:p w14:paraId="2DF354B4" w14:textId="77777777" w:rsidR="0053758F" w:rsidRPr="0053758F" w:rsidRDefault="0053758F" w:rsidP="0053758F">
            <w:pPr>
              <w:rPr>
                <w:lang w:val="en-US"/>
              </w:rPr>
            </w:pPr>
            <w:r w:rsidRPr="0053758F">
              <w:rPr>
                <w:lang w:val="en-US"/>
              </w:rPr>
              <w:t>Improved patient satisfaction and experience</w:t>
            </w:r>
          </w:p>
        </w:tc>
        <w:tc>
          <w:tcPr>
            <w:tcW w:w="0" w:type="auto"/>
            <w:tcMar>
              <w:top w:w="150" w:type="dxa"/>
              <w:left w:w="240" w:type="dxa"/>
              <w:bottom w:w="150" w:type="dxa"/>
              <w:right w:w="0" w:type="dxa"/>
            </w:tcMar>
            <w:vAlign w:val="center"/>
            <w:hideMark/>
          </w:tcPr>
          <w:p w14:paraId="6B055607" w14:textId="77777777" w:rsidR="0053758F" w:rsidRPr="0053758F" w:rsidRDefault="0053758F" w:rsidP="0053758F">
            <w:pPr>
              <w:rPr>
                <w:lang w:val="en-US"/>
              </w:rPr>
            </w:pPr>
            <w:r w:rsidRPr="0053758F">
              <w:rPr>
                <w:lang w:val="en-US"/>
              </w:rPr>
              <w:t>Resource constraints (time, staffing, funding)</w:t>
            </w:r>
          </w:p>
        </w:tc>
      </w:tr>
      <w:tr w:rsidR="0053758F" w:rsidRPr="0053758F" w14:paraId="2528A0BF" w14:textId="77777777" w:rsidTr="0053758F">
        <w:tc>
          <w:tcPr>
            <w:tcW w:w="0" w:type="auto"/>
            <w:tcMar>
              <w:top w:w="150" w:type="dxa"/>
              <w:left w:w="0" w:type="dxa"/>
              <w:bottom w:w="150" w:type="dxa"/>
              <w:right w:w="240" w:type="dxa"/>
            </w:tcMar>
            <w:vAlign w:val="center"/>
            <w:hideMark/>
          </w:tcPr>
          <w:p w14:paraId="260AFB19" w14:textId="77777777" w:rsidR="0053758F" w:rsidRPr="0053758F" w:rsidRDefault="0053758F" w:rsidP="0053758F">
            <w:pPr>
              <w:rPr>
                <w:lang w:val="en-US"/>
              </w:rPr>
            </w:pPr>
            <w:r w:rsidRPr="0053758F">
              <w:rPr>
                <w:lang w:val="en-US"/>
              </w:rPr>
              <w:t>Enhanced health outcomes and wellbeing</w:t>
            </w:r>
          </w:p>
        </w:tc>
        <w:tc>
          <w:tcPr>
            <w:tcW w:w="0" w:type="auto"/>
            <w:tcMar>
              <w:top w:w="150" w:type="dxa"/>
              <w:left w:w="240" w:type="dxa"/>
              <w:bottom w:w="150" w:type="dxa"/>
              <w:right w:w="0" w:type="dxa"/>
            </w:tcMar>
            <w:vAlign w:val="center"/>
            <w:hideMark/>
          </w:tcPr>
          <w:p w14:paraId="0E4FC441" w14:textId="77777777" w:rsidR="0053758F" w:rsidRPr="0053758F" w:rsidRDefault="0053758F" w:rsidP="0053758F">
            <w:pPr>
              <w:rPr>
                <w:lang w:val="en-US"/>
              </w:rPr>
            </w:pPr>
            <w:r w:rsidRPr="0053758F">
              <w:rPr>
                <w:lang w:val="en-US"/>
              </w:rPr>
              <w:t>Resistance to cultural and procedural change</w:t>
            </w:r>
          </w:p>
        </w:tc>
      </w:tr>
      <w:tr w:rsidR="0053758F" w:rsidRPr="0053758F" w14:paraId="379D414A" w14:textId="77777777" w:rsidTr="0053758F">
        <w:tc>
          <w:tcPr>
            <w:tcW w:w="0" w:type="auto"/>
            <w:tcMar>
              <w:top w:w="150" w:type="dxa"/>
              <w:left w:w="0" w:type="dxa"/>
              <w:bottom w:w="150" w:type="dxa"/>
              <w:right w:w="240" w:type="dxa"/>
            </w:tcMar>
            <w:vAlign w:val="center"/>
            <w:hideMark/>
          </w:tcPr>
          <w:p w14:paraId="22AB7C88" w14:textId="77777777" w:rsidR="0053758F" w:rsidRPr="0053758F" w:rsidRDefault="0053758F" w:rsidP="0053758F">
            <w:pPr>
              <w:rPr>
                <w:lang w:val="en-US"/>
              </w:rPr>
            </w:pPr>
            <w:r w:rsidRPr="0053758F">
              <w:rPr>
                <w:lang w:val="en-US"/>
              </w:rPr>
              <w:t>Increased patient empowerment and autonomy</w:t>
            </w:r>
          </w:p>
        </w:tc>
        <w:tc>
          <w:tcPr>
            <w:tcW w:w="0" w:type="auto"/>
            <w:tcMar>
              <w:top w:w="150" w:type="dxa"/>
              <w:left w:w="240" w:type="dxa"/>
              <w:bottom w:w="150" w:type="dxa"/>
              <w:right w:w="0" w:type="dxa"/>
            </w:tcMar>
            <w:vAlign w:val="center"/>
            <w:hideMark/>
          </w:tcPr>
          <w:p w14:paraId="27D52947" w14:textId="77777777" w:rsidR="0053758F" w:rsidRPr="0053758F" w:rsidRDefault="0053758F" w:rsidP="0053758F">
            <w:pPr>
              <w:rPr>
                <w:lang w:val="en-US"/>
              </w:rPr>
            </w:pPr>
            <w:r w:rsidRPr="0053758F">
              <w:rPr>
                <w:lang w:val="en-US"/>
              </w:rPr>
              <w:t>Variable understanding and application by staff</w:t>
            </w:r>
          </w:p>
        </w:tc>
      </w:tr>
      <w:tr w:rsidR="0053758F" w:rsidRPr="0053758F" w14:paraId="092D4E89" w14:textId="77777777" w:rsidTr="0053758F">
        <w:tc>
          <w:tcPr>
            <w:tcW w:w="0" w:type="auto"/>
            <w:tcMar>
              <w:top w:w="150" w:type="dxa"/>
              <w:left w:w="0" w:type="dxa"/>
              <w:bottom w:w="150" w:type="dxa"/>
              <w:right w:w="240" w:type="dxa"/>
            </w:tcMar>
            <w:vAlign w:val="center"/>
            <w:hideMark/>
          </w:tcPr>
          <w:p w14:paraId="26DE8C13" w14:textId="77777777" w:rsidR="0053758F" w:rsidRPr="0053758F" w:rsidRDefault="0053758F" w:rsidP="0053758F">
            <w:pPr>
              <w:rPr>
                <w:lang w:val="en-US"/>
              </w:rPr>
            </w:pPr>
            <w:r w:rsidRPr="0053758F">
              <w:rPr>
                <w:lang w:val="en-US"/>
              </w:rPr>
              <w:t>More efficient and appropriate care planning</w:t>
            </w:r>
          </w:p>
        </w:tc>
        <w:tc>
          <w:tcPr>
            <w:tcW w:w="0" w:type="auto"/>
            <w:tcMar>
              <w:top w:w="150" w:type="dxa"/>
              <w:left w:w="240" w:type="dxa"/>
              <w:bottom w:w="150" w:type="dxa"/>
              <w:right w:w="0" w:type="dxa"/>
            </w:tcMar>
            <w:vAlign w:val="center"/>
            <w:hideMark/>
          </w:tcPr>
          <w:p w14:paraId="42B086B9" w14:textId="77777777" w:rsidR="0053758F" w:rsidRPr="0053758F" w:rsidRDefault="0053758F" w:rsidP="0053758F">
            <w:pPr>
              <w:rPr>
                <w:lang w:val="en-US"/>
              </w:rPr>
            </w:pPr>
            <w:r w:rsidRPr="0053758F">
              <w:rPr>
                <w:lang w:val="en-US"/>
              </w:rPr>
              <w:t>Challenges in balancing patient choice with risk management</w:t>
            </w:r>
          </w:p>
        </w:tc>
      </w:tr>
    </w:tbl>
    <w:p w14:paraId="5584D4BF" w14:textId="77777777" w:rsidR="00DB50B4" w:rsidRDefault="00DB50B4" w:rsidP="00DB50B4"/>
    <w:p w14:paraId="0EDFE843" w14:textId="77777777" w:rsidR="00DB50B4" w:rsidRPr="00DB50B4" w:rsidRDefault="00DB50B4" w:rsidP="00DB50B4">
      <w:pPr>
        <w:pStyle w:val="Heading1"/>
      </w:pPr>
      <w:bookmarkStart w:id="3" w:name="_Toc212309604"/>
      <w:bookmarkStart w:id="4" w:name="_Toc212380952"/>
      <w:r w:rsidRPr="00DB50B4">
        <w:t>A Relevant Theory Underpinning Person-Centred Care</w:t>
      </w:r>
      <w:bookmarkEnd w:id="3"/>
      <w:bookmarkEnd w:id="4"/>
    </w:p>
    <w:p w14:paraId="3EDE0451" w14:textId="77777777" w:rsidR="00DB50B4" w:rsidRPr="00DB50B4" w:rsidRDefault="00DB50B4" w:rsidP="00DB50B4">
      <w:r w:rsidRPr="00DB50B4">
        <w:t xml:space="preserve">The Social Model of Disability offers a critical theoretical foundation on the basis of which the principles of PCC are supported and justified. This model, created by the disability rights activists, separates the notions of impairment (a physical, sensory, or cognitive difference) and disability (social and environmental exclusion of people with an impairment) (Retief and </w:t>
      </w:r>
      <w:proofErr w:type="spellStart"/>
      <w:r w:rsidRPr="00DB50B4">
        <w:t>Letšosa</w:t>
      </w:r>
      <w:proofErr w:type="spellEnd"/>
      <w:r w:rsidRPr="00DB50B4">
        <w:t>, 2018). It is opposite to the Medical Model, according to which the problem of disability is identified in the person, and its diagnosis, treatment, and cure are discussed.</w:t>
      </w:r>
    </w:p>
    <w:p w14:paraId="6658772F" w14:textId="77777777" w:rsidR="00DB50B4" w:rsidRPr="00DB50B4" w:rsidRDefault="00DB50B4" w:rsidP="00DB50B4">
      <w:r w:rsidRPr="00DB50B4">
        <w:t xml:space="preserve">The Social Model favours PCC as it essentially changes the perspective of curing the person, but eliminates the disabling barriers. Practically, this could be translated to the fact that care does not aim at putting an individual into an existing service structure, but at modifying the support and environment so as to help the person live a complete and independent life. As an illustration, considering a person with mobility problems, the Medical Model may only be </w:t>
      </w:r>
      <w:r w:rsidRPr="00DB50B4">
        <w:lastRenderedPageBreak/>
        <w:t>interested in medicine or physiotherapy. Inaccessible housing, absence of appropriate transport, and negative attitudes in the society would also be considered through the Social Model and consequently the PCC to make sure that the environment of the person is adjusted to their needs.</w:t>
      </w:r>
    </w:p>
    <w:p w14:paraId="678138B8" w14:textId="276F6D46" w:rsidR="00DB50B4" w:rsidRPr="00DB50B4" w:rsidRDefault="00DB50B4" w:rsidP="00DB50B4">
      <w:pPr>
        <w:rPr>
          <w:lang w:val="en-US"/>
        </w:rPr>
      </w:pPr>
      <w:r w:rsidRPr="00DB50B4">
        <w:t>As it is shown in a critical analysis, on the one hand, the Social Model is emancipatory and perfectly fits into the empowerment ethos of PCC; however, on the other hand, its implementation may prove to be problematic. The Medical Model is still deep-rooted in health and social care systems, funding streams, and even certain professional trainings (Thinley, 2021). Hence, the actual realisation of PCC entails a systemic and cultural transformation and not an individual practice change to break the institutional perception that the Social Model presents</w:t>
      </w:r>
      <w:r w:rsidRPr="00DB50B4">
        <w:rPr>
          <w:lang w:val="en-US"/>
        </w:rPr>
        <w:t>.</w:t>
      </w:r>
    </w:p>
    <w:p w14:paraId="2A2AA3C1" w14:textId="55CA8608" w:rsidR="0053758F" w:rsidRPr="0053758F" w:rsidRDefault="0053758F" w:rsidP="0053758F">
      <w:pPr>
        <w:pStyle w:val="Heading1"/>
      </w:pPr>
      <w:bookmarkStart w:id="5" w:name="_Toc212380953"/>
      <w:r w:rsidRPr="0053758F">
        <w:t>Analysis of Ethical Fundamentals</w:t>
      </w:r>
      <w:bookmarkEnd w:id="5"/>
    </w:p>
    <w:p w14:paraId="2489B295" w14:textId="77777777" w:rsidR="0053758F" w:rsidRDefault="0053758F" w:rsidP="0053758F">
      <w:r>
        <w:t>Ethical health and social care delivery is informed by four principles, namely, autonomy, beneficence, non-maleficence, and justice (Beauchamp and Childress, 2019). Both PCC and PW are based on these principles.</w:t>
      </w:r>
    </w:p>
    <w:p w14:paraId="5194D6D8" w14:textId="06417B06" w:rsidR="0053758F" w:rsidRDefault="0053758F" w:rsidP="0053758F">
      <w:r w:rsidRPr="0053758F">
        <w:rPr>
          <w:b/>
          <w:bCs/>
        </w:rPr>
        <w:t xml:space="preserve">Autonomy </w:t>
      </w:r>
      <w:r>
        <w:t>means the right to self-determination and the right to make personal choices by an individual. It is an important pillar of PCC which involves informed consent, shared decision-making and respecting decisions made despite conflicting with clinical advice. As an example, one can reject a drug because of its side effects, and this decision should not be rejected under the pretext that they are capable of making such decisions.</w:t>
      </w:r>
    </w:p>
    <w:p w14:paraId="5602F8B4" w14:textId="3736F070" w:rsidR="0053758F" w:rsidRDefault="0053758F" w:rsidP="0053758F">
      <w:r w:rsidRPr="0053758F">
        <w:rPr>
          <w:b/>
          <w:bCs/>
        </w:rPr>
        <w:t>Beneficence</w:t>
      </w:r>
      <w:r>
        <w:t xml:space="preserve"> is an obligation to act in good faith for the subject to enhance his or her well-being. This can be illustrated in PW, where different professionals can combine their efforts to produce a comprehensive care plan where the medical, social, and psychological needs of an individual are met, and this would have a greater effect than any single agency could have.</w:t>
      </w:r>
    </w:p>
    <w:p w14:paraId="4B0C023B" w14:textId="1CF8E5CD" w:rsidR="0053758F" w:rsidRDefault="0053758F" w:rsidP="0053758F">
      <w:r w:rsidRPr="0053758F">
        <w:rPr>
          <w:b/>
          <w:bCs/>
        </w:rPr>
        <w:t xml:space="preserve">Non-maleficence </w:t>
      </w:r>
      <w:r>
        <w:t xml:space="preserve">or </w:t>
      </w:r>
      <w:r w:rsidR="00DB50B4">
        <w:t>not harming</w:t>
      </w:r>
      <w:r>
        <w:t xml:space="preserve"> involves the professional not causing harm or suffering. This is not limited to the physical but the psychological damage which may be caused by disrespect or violation of confidentiality, or failure to manage transitions between services.</w:t>
      </w:r>
    </w:p>
    <w:p w14:paraId="3BEB3E38" w14:textId="500D15A5" w:rsidR="0053758F" w:rsidRPr="0053758F" w:rsidRDefault="0053758F" w:rsidP="0053758F">
      <w:pPr>
        <w:rPr>
          <w:lang w:val="en-US"/>
        </w:rPr>
      </w:pPr>
      <w:r w:rsidRPr="0053758F">
        <w:rPr>
          <w:b/>
          <w:bCs/>
        </w:rPr>
        <w:t xml:space="preserve">Justice </w:t>
      </w:r>
      <w:r>
        <w:t xml:space="preserve">may be the fairness and equity in the sharing of resources and access. It requires equal access to care by people with similar needs and equitable distribution of resources. Finite </w:t>
      </w:r>
      <w:r>
        <w:lastRenderedPageBreak/>
        <w:t>resource reality may present ethical conflicts, in which an optimal PCC is unavailable to all and clear, fair decision-making needs to take place</w:t>
      </w:r>
      <w:r w:rsidRPr="0053758F">
        <w:rPr>
          <w:lang w:val="en-US"/>
        </w:rPr>
        <w:t>.</w:t>
      </w:r>
    </w:p>
    <w:p w14:paraId="4ABECD8C" w14:textId="77777777" w:rsidR="0053758F" w:rsidRPr="0053758F" w:rsidRDefault="0053758F" w:rsidP="0053758F">
      <w:pPr>
        <w:rPr>
          <w:lang w:val="en-US"/>
        </w:rPr>
      </w:pPr>
      <w:r w:rsidRPr="0053758F">
        <w:rPr>
          <w:b/>
          <w:bCs/>
          <w:lang w:val="en-US"/>
        </w:rPr>
        <w:t>Table 2: Application of Ethical Principles in PCC and PW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13"/>
        <w:gridCol w:w="3675"/>
        <w:gridCol w:w="3728"/>
      </w:tblGrid>
      <w:tr w:rsidR="0053758F" w:rsidRPr="0053758F" w14:paraId="28EA8B45" w14:textId="77777777" w:rsidTr="0053758F">
        <w:trPr>
          <w:tblHeader/>
        </w:trPr>
        <w:tc>
          <w:tcPr>
            <w:tcW w:w="0" w:type="auto"/>
            <w:shd w:val="clear" w:color="auto" w:fill="A6A6A6" w:themeFill="background1" w:themeFillShade="A6"/>
            <w:tcMar>
              <w:top w:w="150" w:type="dxa"/>
              <w:left w:w="0" w:type="dxa"/>
              <w:bottom w:w="150" w:type="dxa"/>
              <w:right w:w="240" w:type="dxa"/>
            </w:tcMar>
            <w:vAlign w:val="center"/>
            <w:hideMark/>
          </w:tcPr>
          <w:p w14:paraId="14E06095" w14:textId="77777777" w:rsidR="0053758F" w:rsidRPr="0053758F" w:rsidRDefault="0053758F" w:rsidP="0053758F">
            <w:pPr>
              <w:rPr>
                <w:lang w:val="en-US"/>
              </w:rPr>
            </w:pPr>
            <w:r w:rsidRPr="0053758F">
              <w:rPr>
                <w:b/>
                <w:bCs/>
                <w:lang w:val="en-US"/>
              </w:rPr>
              <w:t>Ethical Principle</w:t>
            </w:r>
          </w:p>
        </w:tc>
        <w:tc>
          <w:tcPr>
            <w:tcW w:w="0" w:type="auto"/>
            <w:shd w:val="clear" w:color="auto" w:fill="A6A6A6" w:themeFill="background1" w:themeFillShade="A6"/>
            <w:tcMar>
              <w:top w:w="150" w:type="dxa"/>
              <w:left w:w="240" w:type="dxa"/>
              <w:bottom w:w="150" w:type="dxa"/>
              <w:right w:w="240" w:type="dxa"/>
            </w:tcMar>
            <w:vAlign w:val="center"/>
            <w:hideMark/>
          </w:tcPr>
          <w:p w14:paraId="7EE5FD1B" w14:textId="77777777" w:rsidR="0053758F" w:rsidRPr="0053758F" w:rsidRDefault="0053758F" w:rsidP="0053758F">
            <w:pPr>
              <w:rPr>
                <w:lang w:val="en-US"/>
              </w:rPr>
            </w:pPr>
            <w:r w:rsidRPr="0053758F">
              <w:rPr>
                <w:b/>
                <w:bCs/>
                <w:lang w:val="en-US"/>
              </w:rPr>
              <w:t>Application in PCC</w:t>
            </w:r>
          </w:p>
        </w:tc>
        <w:tc>
          <w:tcPr>
            <w:tcW w:w="0" w:type="auto"/>
            <w:shd w:val="clear" w:color="auto" w:fill="A6A6A6" w:themeFill="background1" w:themeFillShade="A6"/>
            <w:tcMar>
              <w:top w:w="150" w:type="dxa"/>
              <w:left w:w="240" w:type="dxa"/>
              <w:bottom w:w="150" w:type="dxa"/>
              <w:right w:w="240" w:type="dxa"/>
            </w:tcMar>
            <w:vAlign w:val="center"/>
            <w:hideMark/>
          </w:tcPr>
          <w:p w14:paraId="582BF1DD" w14:textId="77777777" w:rsidR="0053758F" w:rsidRPr="0053758F" w:rsidRDefault="0053758F" w:rsidP="0053758F">
            <w:pPr>
              <w:rPr>
                <w:lang w:val="en-US"/>
              </w:rPr>
            </w:pPr>
            <w:r w:rsidRPr="0053758F">
              <w:rPr>
                <w:b/>
                <w:bCs/>
                <w:lang w:val="en-US"/>
              </w:rPr>
              <w:t>Application in PW</w:t>
            </w:r>
          </w:p>
        </w:tc>
      </w:tr>
      <w:tr w:rsidR="0053758F" w:rsidRPr="0053758F" w14:paraId="36DFDA15" w14:textId="77777777" w:rsidTr="0053758F">
        <w:tc>
          <w:tcPr>
            <w:tcW w:w="0" w:type="auto"/>
            <w:tcMar>
              <w:top w:w="150" w:type="dxa"/>
              <w:left w:w="0" w:type="dxa"/>
              <w:bottom w:w="150" w:type="dxa"/>
              <w:right w:w="240" w:type="dxa"/>
            </w:tcMar>
            <w:vAlign w:val="center"/>
            <w:hideMark/>
          </w:tcPr>
          <w:p w14:paraId="48EDA3B1" w14:textId="77777777" w:rsidR="0053758F" w:rsidRPr="0053758F" w:rsidRDefault="0053758F" w:rsidP="0053758F">
            <w:pPr>
              <w:rPr>
                <w:lang w:val="en-US"/>
              </w:rPr>
            </w:pPr>
            <w:r w:rsidRPr="0053758F">
              <w:rPr>
                <w:b/>
                <w:bCs/>
                <w:lang w:val="en-US"/>
              </w:rPr>
              <w:t>Autonomy</w:t>
            </w:r>
          </w:p>
        </w:tc>
        <w:tc>
          <w:tcPr>
            <w:tcW w:w="0" w:type="auto"/>
            <w:tcMar>
              <w:top w:w="150" w:type="dxa"/>
              <w:left w:w="240" w:type="dxa"/>
              <w:bottom w:w="150" w:type="dxa"/>
              <w:right w:w="240" w:type="dxa"/>
            </w:tcMar>
            <w:vAlign w:val="center"/>
            <w:hideMark/>
          </w:tcPr>
          <w:p w14:paraId="5FAD9E08" w14:textId="77777777" w:rsidR="0053758F" w:rsidRPr="0053758F" w:rsidRDefault="0053758F" w:rsidP="0053758F">
            <w:pPr>
              <w:rPr>
                <w:lang w:val="en-US"/>
              </w:rPr>
            </w:pPr>
            <w:r w:rsidRPr="0053758F">
              <w:rPr>
                <w:lang w:val="en-US"/>
              </w:rPr>
              <w:t>Involving the individual in care planning, respecting their choices.</w:t>
            </w:r>
          </w:p>
        </w:tc>
        <w:tc>
          <w:tcPr>
            <w:tcW w:w="0" w:type="auto"/>
            <w:tcMar>
              <w:top w:w="150" w:type="dxa"/>
              <w:left w:w="240" w:type="dxa"/>
              <w:bottom w:w="150" w:type="dxa"/>
              <w:right w:w="0" w:type="dxa"/>
            </w:tcMar>
            <w:vAlign w:val="center"/>
            <w:hideMark/>
          </w:tcPr>
          <w:p w14:paraId="229485DB" w14:textId="77777777" w:rsidR="0053758F" w:rsidRPr="0053758F" w:rsidRDefault="0053758F" w:rsidP="0053758F">
            <w:pPr>
              <w:rPr>
                <w:lang w:val="en-US"/>
              </w:rPr>
            </w:pPr>
            <w:r w:rsidRPr="0053758F">
              <w:rPr>
                <w:lang w:val="en-US"/>
              </w:rPr>
              <w:t>Ensuring the service user's voice is central in multi-agency meetings.</w:t>
            </w:r>
          </w:p>
        </w:tc>
      </w:tr>
      <w:tr w:rsidR="0053758F" w:rsidRPr="0053758F" w14:paraId="7FBD18F8" w14:textId="77777777" w:rsidTr="0053758F">
        <w:tc>
          <w:tcPr>
            <w:tcW w:w="0" w:type="auto"/>
            <w:tcMar>
              <w:top w:w="150" w:type="dxa"/>
              <w:left w:w="0" w:type="dxa"/>
              <w:bottom w:w="150" w:type="dxa"/>
              <w:right w:w="240" w:type="dxa"/>
            </w:tcMar>
            <w:vAlign w:val="center"/>
            <w:hideMark/>
          </w:tcPr>
          <w:p w14:paraId="44BE21F5" w14:textId="77777777" w:rsidR="0053758F" w:rsidRPr="0053758F" w:rsidRDefault="0053758F" w:rsidP="0053758F">
            <w:pPr>
              <w:rPr>
                <w:lang w:val="en-US"/>
              </w:rPr>
            </w:pPr>
            <w:r w:rsidRPr="0053758F">
              <w:rPr>
                <w:b/>
                <w:bCs/>
                <w:lang w:val="en-US"/>
              </w:rPr>
              <w:t>Beneficence</w:t>
            </w:r>
          </w:p>
        </w:tc>
        <w:tc>
          <w:tcPr>
            <w:tcW w:w="0" w:type="auto"/>
            <w:tcMar>
              <w:top w:w="150" w:type="dxa"/>
              <w:left w:w="240" w:type="dxa"/>
              <w:bottom w:w="150" w:type="dxa"/>
              <w:right w:w="240" w:type="dxa"/>
            </w:tcMar>
            <w:vAlign w:val="center"/>
            <w:hideMark/>
          </w:tcPr>
          <w:p w14:paraId="4D299509" w14:textId="77777777" w:rsidR="0053758F" w:rsidRPr="0053758F" w:rsidRDefault="0053758F" w:rsidP="0053758F">
            <w:pPr>
              <w:rPr>
                <w:lang w:val="en-US"/>
              </w:rPr>
            </w:pPr>
            <w:r w:rsidRPr="0053758F">
              <w:rPr>
                <w:lang w:val="en-US"/>
              </w:rPr>
              <w:t>Developing a care plan that aligns with the person's goals for well-being.</w:t>
            </w:r>
          </w:p>
        </w:tc>
        <w:tc>
          <w:tcPr>
            <w:tcW w:w="0" w:type="auto"/>
            <w:tcMar>
              <w:top w:w="150" w:type="dxa"/>
              <w:left w:w="240" w:type="dxa"/>
              <w:bottom w:w="150" w:type="dxa"/>
              <w:right w:w="0" w:type="dxa"/>
            </w:tcMar>
            <w:vAlign w:val="center"/>
            <w:hideMark/>
          </w:tcPr>
          <w:p w14:paraId="4F475CBA" w14:textId="77777777" w:rsidR="0053758F" w:rsidRPr="0053758F" w:rsidRDefault="0053758F" w:rsidP="0053758F">
            <w:pPr>
              <w:rPr>
                <w:lang w:val="en-US"/>
              </w:rPr>
            </w:pPr>
            <w:r w:rsidRPr="0053758F">
              <w:rPr>
                <w:lang w:val="en-US"/>
              </w:rPr>
              <w:t>Coordinating support from health and social care to maximise positive outcomes.</w:t>
            </w:r>
          </w:p>
        </w:tc>
      </w:tr>
      <w:tr w:rsidR="0053758F" w:rsidRPr="0053758F" w14:paraId="7121712A" w14:textId="77777777" w:rsidTr="0053758F">
        <w:tc>
          <w:tcPr>
            <w:tcW w:w="0" w:type="auto"/>
            <w:tcMar>
              <w:top w:w="150" w:type="dxa"/>
              <w:left w:w="0" w:type="dxa"/>
              <w:bottom w:w="150" w:type="dxa"/>
              <w:right w:w="240" w:type="dxa"/>
            </w:tcMar>
            <w:vAlign w:val="center"/>
            <w:hideMark/>
          </w:tcPr>
          <w:p w14:paraId="1473D44A" w14:textId="77777777" w:rsidR="0053758F" w:rsidRPr="0053758F" w:rsidRDefault="0053758F" w:rsidP="0053758F">
            <w:pPr>
              <w:rPr>
                <w:lang w:val="en-US"/>
              </w:rPr>
            </w:pPr>
            <w:r w:rsidRPr="0053758F">
              <w:rPr>
                <w:b/>
                <w:bCs/>
                <w:lang w:val="en-US"/>
              </w:rPr>
              <w:t>Non-maleficence</w:t>
            </w:r>
          </w:p>
        </w:tc>
        <w:tc>
          <w:tcPr>
            <w:tcW w:w="0" w:type="auto"/>
            <w:tcMar>
              <w:top w:w="150" w:type="dxa"/>
              <w:left w:w="240" w:type="dxa"/>
              <w:bottom w:w="150" w:type="dxa"/>
              <w:right w:w="240" w:type="dxa"/>
            </w:tcMar>
            <w:vAlign w:val="center"/>
            <w:hideMark/>
          </w:tcPr>
          <w:p w14:paraId="3AA3C777" w14:textId="77777777" w:rsidR="0053758F" w:rsidRPr="0053758F" w:rsidRDefault="0053758F" w:rsidP="0053758F">
            <w:pPr>
              <w:rPr>
                <w:lang w:val="en-US"/>
              </w:rPr>
            </w:pPr>
            <w:r w:rsidRPr="0053758F">
              <w:rPr>
                <w:lang w:val="en-US"/>
              </w:rPr>
              <w:t>Protecting confidentiality; ensuring safe medication management.</w:t>
            </w:r>
          </w:p>
        </w:tc>
        <w:tc>
          <w:tcPr>
            <w:tcW w:w="0" w:type="auto"/>
            <w:tcMar>
              <w:top w:w="150" w:type="dxa"/>
              <w:left w:w="240" w:type="dxa"/>
              <w:bottom w:w="150" w:type="dxa"/>
              <w:right w:w="0" w:type="dxa"/>
            </w:tcMar>
            <w:vAlign w:val="center"/>
            <w:hideMark/>
          </w:tcPr>
          <w:p w14:paraId="3827FCFE" w14:textId="77777777" w:rsidR="0053758F" w:rsidRPr="0053758F" w:rsidRDefault="0053758F" w:rsidP="0053758F">
            <w:pPr>
              <w:rPr>
                <w:lang w:val="en-US"/>
              </w:rPr>
            </w:pPr>
            <w:r w:rsidRPr="0053758F">
              <w:rPr>
                <w:lang w:val="en-US"/>
              </w:rPr>
              <w:t>Preventing communication failures that could lead to clinical errors.</w:t>
            </w:r>
          </w:p>
        </w:tc>
      </w:tr>
      <w:tr w:rsidR="0053758F" w:rsidRPr="0053758F" w14:paraId="47D3E105" w14:textId="77777777" w:rsidTr="0053758F">
        <w:tc>
          <w:tcPr>
            <w:tcW w:w="0" w:type="auto"/>
            <w:tcMar>
              <w:top w:w="150" w:type="dxa"/>
              <w:left w:w="0" w:type="dxa"/>
              <w:bottom w:w="150" w:type="dxa"/>
              <w:right w:w="240" w:type="dxa"/>
            </w:tcMar>
            <w:vAlign w:val="center"/>
            <w:hideMark/>
          </w:tcPr>
          <w:p w14:paraId="2AFF50BE" w14:textId="77777777" w:rsidR="0053758F" w:rsidRPr="0053758F" w:rsidRDefault="0053758F" w:rsidP="0053758F">
            <w:pPr>
              <w:rPr>
                <w:lang w:val="en-US"/>
              </w:rPr>
            </w:pPr>
            <w:r w:rsidRPr="0053758F">
              <w:rPr>
                <w:b/>
                <w:bCs/>
                <w:lang w:val="en-US"/>
              </w:rPr>
              <w:t>Justice</w:t>
            </w:r>
          </w:p>
        </w:tc>
        <w:tc>
          <w:tcPr>
            <w:tcW w:w="0" w:type="auto"/>
            <w:tcMar>
              <w:top w:w="150" w:type="dxa"/>
              <w:left w:w="240" w:type="dxa"/>
              <w:bottom w:w="150" w:type="dxa"/>
              <w:right w:w="240" w:type="dxa"/>
            </w:tcMar>
            <w:vAlign w:val="center"/>
            <w:hideMark/>
          </w:tcPr>
          <w:p w14:paraId="1FC965DD" w14:textId="77777777" w:rsidR="0053758F" w:rsidRPr="0053758F" w:rsidRDefault="0053758F" w:rsidP="0053758F">
            <w:pPr>
              <w:rPr>
                <w:lang w:val="en-US"/>
              </w:rPr>
            </w:pPr>
            <w:r w:rsidRPr="0053758F">
              <w:rPr>
                <w:lang w:val="en-US"/>
              </w:rPr>
              <w:t>Advocating for a service user to receive a service they are entitled to.</w:t>
            </w:r>
          </w:p>
        </w:tc>
        <w:tc>
          <w:tcPr>
            <w:tcW w:w="0" w:type="auto"/>
            <w:tcMar>
              <w:top w:w="150" w:type="dxa"/>
              <w:left w:w="240" w:type="dxa"/>
              <w:bottom w:w="150" w:type="dxa"/>
              <w:right w:w="0" w:type="dxa"/>
            </w:tcMar>
            <w:vAlign w:val="center"/>
            <w:hideMark/>
          </w:tcPr>
          <w:p w14:paraId="0C5584CA" w14:textId="77777777" w:rsidR="0053758F" w:rsidRPr="0053758F" w:rsidRDefault="0053758F" w:rsidP="0053758F">
            <w:pPr>
              <w:rPr>
                <w:lang w:val="en-US"/>
              </w:rPr>
            </w:pPr>
            <w:r w:rsidRPr="0053758F">
              <w:rPr>
                <w:lang w:val="en-US"/>
              </w:rPr>
              <w:t>Ensuring partnership initiatives reduce, rather than exacerbate, health inequalities.</w:t>
            </w:r>
          </w:p>
        </w:tc>
      </w:tr>
    </w:tbl>
    <w:p w14:paraId="266C5A07" w14:textId="77777777" w:rsidR="0053758F" w:rsidRPr="0053758F" w:rsidRDefault="0053758F" w:rsidP="0053758F">
      <w:pPr>
        <w:pStyle w:val="Heading1"/>
      </w:pPr>
      <w:bookmarkStart w:id="6" w:name="_Toc212380954"/>
      <w:r w:rsidRPr="0053758F">
        <w:t>Evaluation of Partnership Working</w:t>
      </w:r>
      <w:bookmarkEnd w:id="6"/>
    </w:p>
    <w:p w14:paraId="1C4B5F00" w14:textId="2DD530E5" w:rsidR="0053758F" w:rsidRDefault="0053758F" w:rsidP="0053758F">
      <w:r>
        <w:t xml:space="preserve">Partnership Working (PW) refers to the method of joint work that requires various organisations and professionals to provide quality care that is seamless. It has now become an integral part of UK policy, and the introduction of Integrated Care Systems (ICSs) by the Health and Care Act (2022). The main benefit of successful PW is that coordinated care pathways between service users can be built, and it can positively affect patient experience, decrease unnecessary hospital stays, and result in more efficient utilisation of system-wide resources (The King's Fund, 2021). In complicated cases, PW makes sure that every facet of </w:t>
      </w:r>
      <w:r>
        <w:lastRenderedPageBreak/>
        <w:t>the life of the person, health, social care, housing and employment are considered in an integrated way.</w:t>
      </w:r>
    </w:p>
    <w:p w14:paraId="4E973BDC" w14:textId="16D6541F" w:rsidR="0053758F" w:rsidRPr="0053758F" w:rsidRDefault="0053758F" w:rsidP="0053758F">
      <w:pPr>
        <w:rPr>
          <w:lang w:val="en-US"/>
        </w:rPr>
      </w:pPr>
      <w:r>
        <w:t xml:space="preserve">In spite of these benefits, there are still great challenges. The </w:t>
      </w:r>
      <w:r w:rsidR="00DB50B4">
        <w:t>communication barriers</w:t>
      </w:r>
      <w:r>
        <w:t xml:space="preserve"> are also more likely to occur due to the differences in organisational cultures, professional language, and the inability of IT systems to match each other between organisations such as the NHS and the local authorities (Morgan and Yaskey, 2025). Financial responsibility may be an issue of contention, especially when there is a budget constraint, which culminates in cost-shunting where the organisations are trying to shift the costs to other organisations. Moreover, the existence of power disparities between the large NHS organisations and the smaller ones in the voluntary sector can, at times, marginalise the worthwhile input provided by the community-based organisations</w:t>
      </w:r>
      <w:r w:rsidRPr="0053758F">
        <w:rPr>
          <w:lang w:val="en-US"/>
        </w:rPr>
        <w:t>.</w:t>
      </w:r>
    </w:p>
    <w:p w14:paraId="68B6FC5A" w14:textId="77777777" w:rsidR="00DB50B4" w:rsidRPr="00DB50B4" w:rsidRDefault="00DB50B4" w:rsidP="00DB50B4">
      <w:pPr>
        <w:pStyle w:val="Heading1"/>
      </w:pPr>
      <w:bookmarkStart w:id="7" w:name="_Toc212309607"/>
      <w:bookmarkStart w:id="8" w:name="_Toc212380955"/>
      <w:r w:rsidRPr="00DB50B4">
        <w:t>Application of Partnership Working: Mrs C's Case Study</w:t>
      </w:r>
      <w:bookmarkEnd w:id="7"/>
      <w:bookmarkEnd w:id="8"/>
    </w:p>
    <w:p w14:paraId="4EFBF438" w14:textId="77777777" w:rsidR="00DB50B4" w:rsidRPr="00DB50B4" w:rsidRDefault="00DB50B4" w:rsidP="00DB50B4">
      <w:pPr>
        <w:rPr>
          <w:lang w:val="en-US"/>
        </w:rPr>
      </w:pPr>
      <w:r w:rsidRPr="00DB50B4">
        <w:t>The practice of effective PW in a community mental health setting is a powerful example of the case of Mrs C. Mrs C used to have anxiety and depression, and this affected her in her interactions with her community. A partnership approach that was person-centred was critical to her recovery</w:t>
      </w:r>
      <w:r w:rsidRPr="00DB50B4">
        <w:rPr>
          <w:lang w:val="en-US"/>
        </w:rPr>
        <w:t>.</w:t>
      </w:r>
    </w:p>
    <w:p w14:paraId="32D4D4EC" w14:textId="77777777" w:rsidR="00DB50B4" w:rsidRPr="00DB50B4" w:rsidRDefault="00DB50B4" w:rsidP="00DB50B4">
      <w:pPr>
        <w:rPr>
          <w:lang w:val="en-US"/>
        </w:rPr>
      </w:pPr>
      <w:r w:rsidRPr="00DB50B4">
        <w:rPr>
          <w:lang w:val="en-US"/>
        </w:rPr>
        <w:t>The PW involved several key partners:</w:t>
      </w:r>
    </w:p>
    <w:p w14:paraId="29F92DA3" w14:textId="77777777" w:rsidR="00DB50B4" w:rsidRPr="00DB50B4" w:rsidRDefault="00DB50B4" w:rsidP="00DB50B4">
      <w:pPr>
        <w:numPr>
          <w:ilvl w:val="0"/>
          <w:numId w:val="3"/>
        </w:numPr>
        <w:rPr>
          <w:lang w:val="en-US"/>
        </w:rPr>
      </w:pPr>
      <w:r w:rsidRPr="00DB50B4">
        <w:rPr>
          <w:b/>
          <w:bCs/>
          <w:lang w:val="en-US"/>
        </w:rPr>
        <w:t>Primary Care (GP):</w:t>
      </w:r>
      <w:r w:rsidRPr="00DB50B4">
        <w:rPr>
          <w:lang w:val="en-US"/>
        </w:rPr>
        <w:t> Acted as the initial referrer and continued to manage physical health.</w:t>
      </w:r>
    </w:p>
    <w:p w14:paraId="5758A021" w14:textId="77777777" w:rsidR="00DB50B4" w:rsidRPr="00DB50B4" w:rsidRDefault="00DB50B4" w:rsidP="00DB50B4">
      <w:pPr>
        <w:numPr>
          <w:ilvl w:val="0"/>
          <w:numId w:val="3"/>
        </w:numPr>
        <w:rPr>
          <w:lang w:val="en-US"/>
        </w:rPr>
      </w:pPr>
      <w:r w:rsidRPr="00DB50B4">
        <w:rPr>
          <w:b/>
          <w:bCs/>
          <w:lang w:val="en-US"/>
        </w:rPr>
        <w:t>Community Mental Health Team:</w:t>
      </w:r>
      <w:r w:rsidRPr="00DB50B4">
        <w:rPr>
          <w:lang w:val="en-US"/>
        </w:rPr>
        <w:t> Provided specialist psychological support and care coordination.</w:t>
      </w:r>
    </w:p>
    <w:p w14:paraId="7E03EAA0" w14:textId="77777777" w:rsidR="00DB50B4" w:rsidRPr="00DB50B4" w:rsidRDefault="00DB50B4" w:rsidP="00DB50B4">
      <w:pPr>
        <w:numPr>
          <w:ilvl w:val="0"/>
          <w:numId w:val="3"/>
        </w:numPr>
        <w:rPr>
          <w:lang w:val="en-US"/>
        </w:rPr>
      </w:pPr>
      <w:r w:rsidRPr="00DB50B4">
        <w:rPr>
          <w:b/>
          <w:bCs/>
          <w:lang w:val="en-US"/>
        </w:rPr>
        <w:t>Social Prescribing Link Worker:</w:t>
      </w:r>
      <w:r w:rsidRPr="00DB50B4">
        <w:rPr>
          <w:lang w:val="en-US"/>
        </w:rPr>
        <w:t xml:space="preserve"> A crucial partner who connected </w:t>
      </w:r>
      <w:proofErr w:type="spellStart"/>
      <w:r w:rsidRPr="00DB50B4">
        <w:rPr>
          <w:lang w:val="en-US"/>
        </w:rPr>
        <w:t>Mrs</w:t>
      </w:r>
      <w:proofErr w:type="spellEnd"/>
      <w:r w:rsidRPr="00DB50B4">
        <w:rPr>
          <w:lang w:val="en-US"/>
        </w:rPr>
        <w:t xml:space="preserve"> C to community-based, non-medical support.</w:t>
      </w:r>
    </w:p>
    <w:p w14:paraId="774CF7C1" w14:textId="77777777" w:rsidR="00DB50B4" w:rsidRPr="00DB50B4" w:rsidRDefault="00DB50B4" w:rsidP="00DB50B4">
      <w:pPr>
        <w:numPr>
          <w:ilvl w:val="0"/>
          <w:numId w:val="3"/>
        </w:numPr>
        <w:rPr>
          <w:lang w:val="en-US"/>
        </w:rPr>
      </w:pPr>
      <w:r w:rsidRPr="00DB50B4">
        <w:rPr>
          <w:b/>
          <w:bCs/>
          <w:lang w:val="en-US"/>
        </w:rPr>
        <w:t xml:space="preserve">Voluntary Sector </w:t>
      </w:r>
      <w:proofErr w:type="spellStart"/>
      <w:r w:rsidRPr="00DB50B4">
        <w:rPr>
          <w:b/>
          <w:bCs/>
          <w:lang w:val="en-US"/>
        </w:rPr>
        <w:t>Organisation</w:t>
      </w:r>
      <w:proofErr w:type="spellEnd"/>
      <w:r w:rsidRPr="00DB50B4">
        <w:rPr>
          <w:b/>
          <w:bCs/>
          <w:lang w:val="en-US"/>
        </w:rPr>
        <w:t xml:space="preserve"> (Arts &amp; Crafts Group):</w:t>
      </w:r>
      <w:r w:rsidRPr="00DB50B4">
        <w:rPr>
          <w:lang w:val="en-US"/>
        </w:rPr>
        <w:t> Provided a community-based activity to reduce social isolation.</w:t>
      </w:r>
    </w:p>
    <w:p w14:paraId="3831804E" w14:textId="3936B010" w:rsidR="00DB50B4" w:rsidRPr="0053758F" w:rsidRDefault="00DB50B4" w:rsidP="0053758F">
      <w:pPr>
        <w:rPr>
          <w:lang w:val="en-US"/>
        </w:rPr>
      </w:pPr>
      <w:r w:rsidRPr="00DB50B4">
        <w:t xml:space="preserve">This collaboration was successful since it was planned based on the personal interests of Mrs C, which included gaining confidence and becoming less lonely and not merely addressing her symptoms. The social prescribing link worker was the conduit between the clinical and community services that providing a holistic approach. This is in line with the provisions of </w:t>
      </w:r>
      <w:r w:rsidRPr="00DB50B4">
        <w:lastRenderedPageBreak/>
        <w:t>ICSs, which strive to dissolve organisational silos. It was evident that the gains to Mrs C were in enhanced mental health and social engagement, and control over her life. The case shows that the key to successful PW is not just in the presence of multiple agencies, but in their integration and focus on the needs and preferences of an individual</w:t>
      </w:r>
      <w:r w:rsidRPr="00DB50B4">
        <w:rPr>
          <w:lang w:val="en-US"/>
        </w:rPr>
        <w:t>.</w:t>
      </w:r>
    </w:p>
    <w:p w14:paraId="315635F9" w14:textId="2373C376" w:rsidR="0053758F" w:rsidRPr="0053758F" w:rsidRDefault="0053758F" w:rsidP="0053758F">
      <w:pPr>
        <w:pStyle w:val="Heading1"/>
      </w:pPr>
      <w:bookmarkStart w:id="9" w:name="_Toc212380956"/>
      <w:r w:rsidRPr="0053758F">
        <w:t>Policy and Legislation Framework</w:t>
      </w:r>
      <w:bookmarkEnd w:id="9"/>
    </w:p>
    <w:p w14:paraId="53615CE9" w14:textId="77777777" w:rsidR="0053758F" w:rsidRPr="0053758F" w:rsidRDefault="0053758F" w:rsidP="0053758F">
      <w:pPr>
        <w:rPr>
          <w:lang w:val="en-US"/>
        </w:rPr>
      </w:pPr>
      <w:r w:rsidRPr="0053758F">
        <w:rPr>
          <w:lang w:val="en-US"/>
        </w:rPr>
        <w:t>PCC and PW are supported and mandated by a robust policy and legislative framework in the UK.</w:t>
      </w:r>
    </w:p>
    <w:p w14:paraId="3F469AEA" w14:textId="04F88969" w:rsidR="0053758F" w:rsidRDefault="0053758F" w:rsidP="0053758F">
      <w:r>
        <w:t xml:space="preserve">The </w:t>
      </w:r>
      <w:r w:rsidRPr="003F7577">
        <w:rPr>
          <w:b/>
          <w:bCs/>
        </w:rPr>
        <w:t>Care Act (2014)</w:t>
      </w:r>
      <w:r>
        <w:t xml:space="preserve"> is a pillar of adult social care because it has made the principles of wellbeing and personalisation into law. It involves local authorities in the process of engaging individuals in their care and support planning, which makes it person-centred in nature. The local authorities also have a responsibility in encouraging care integration with health services in the Act, which in turn directly facilitates PW.</w:t>
      </w:r>
    </w:p>
    <w:p w14:paraId="12B1D4D5" w14:textId="77777777" w:rsidR="0053758F" w:rsidRDefault="0053758F" w:rsidP="0053758F">
      <w:r>
        <w:t xml:space="preserve">The </w:t>
      </w:r>
      <w:r w:rsidRPr="003F7577">
        <w:rPr>
          <w:b/>
          <w:bCs/>
        </w:rPr>
        <w:t>Health and Care Act (2022)</w:t>
      </w:r>
      <w:r>
        <w:t xml:space="preserve"> placed Integrated Care Systems (ICSs) on a statutory basis. This act is a strategic move towards PW because it legally obliges NHS institutions, localities and other partners to plan and provide services to their populations jointly in Integrated Care Boards (ICBs) and Integrated Care Partnerships (ICPs).</w:t>
      </w:r>
    </w:p>
    <w:p w14:paraId="4B3EB057" w14:textId="41BA40A8" w:rsidR="0053758F" w:rsidRDefault="0053758F" w:rsidP="0053758F">
      <w:r>
        <w:t xml:space="preserve">The </w:t>
      </w:r>
      <w:r w:rsidRPr="003F7577">
        <w:rPr>
          <w:b/>
          <w:bCs/>
        </w:rPr>
        <w:t>Mental Capacity Act (2005)</w:t>
      </w:r>
      <w:r>
        <w:t xml:space="preserve"> gives a legal basis for how to promote autonomy, as well as how individuals may be assisted to make their own decisions wherever feasible, and how a decision made on their behalf, should they lack capacity, should be made in their best interests (Harding, 2018).</w:t>
      </w:r>
    </w:p>
    <w:p w14:paraId="1BE6F4E6" w14:textId="32B45A67" w:rsidR="0053758F" w:rsidRPr="0053758F" w:rsidRDefault="0053758F" w:rsidP="0053758F">
      <w:pPr>
        <w:rPr>
          <w:lang w:val="en-US"/>
        </w:rPr>
      </w:pPr>
      <w:r>
        <w:t xml:space="preserve">The </w:t>
      </w:r>
      <w:r w:rsidRPr="003F7577">
        <w:rPr>
          <w:b/>
          <w:bCs/>
        </w:rPr>
        <w:t>Equality Act (2010)</w:t>
      </w:r>
      <w:r>
        <w:t xml:space="preserve"> is an important regulation that provides equitable access to PCC because it prohibits the discrimination of persons with disabilities and enforces the obligation of making reasonable adjustments to the services (Lui and Lamb, 2018)</w:t>
      </w:r>
      <w:r w:rsidRPr="0053758F">
        <w:rPr>
          <w:lang w:val="en-US"/>
        </w:rPr>
        <w:t>.</w:t>
      </w:r>
    </w:p>
    <w:p w14:paraId="064DEC55" w14:textId="665A342E" w:rsidR="0053758F" w:rsidRDefault="0053758F" w:rsidP="0053758F">
      <w:pPr>
        <w:rPr>
          <w:lang w:val="en-US"/>
        </w:rPr>
      </w:pPr>
      <w:r w:rsidRPr="0053758F">
        <w:rPr>
          <w:lang w:val="en-US"/>
        </w:rPr>
        <w:t>Collectively, this legislation creates a legal imperative for services to be both person-centred and collaborative, elevating these concepts from optional best practice to a statutory requirement.</w:t>
      </w:r>
    </w:p>
    <w:p w14:paraId="2D90B9B4" w14:textId="77777777" w:rsidR="0053758F" w:rsidRDefault="0053758F">
      <w:pPr>
        <w:spacing w:after="160" w:line="259" w:lineRule="auto"/>
        <w:jc w:val="left"/>
        <w:rPr>
          <w:lang w:val="en-US"/>
        </w:rPr>
      </w:pPr>
      <w:r>
        <w:rPr>
          <w:lang w:val="en-US"/>
        </w:rPr>
        <w:br w:type="page"/>
      </w:r>
    </w:p>
    <w:p w14:paraId="5DF6F678" w14:textId="77777777" w:rsidR="0053758F" w:rsidRPr="0053758F" w:rsidRDefault="0053758F" w:rsidP="0053758F">
      <w:pPr>
        <w:rPr>
          <w:lang w:val="en-US"/>
        </w:rPr>
      </w:pPr>
    </w:p>
    <w:p w14:paraId="76702502" w14:textId="77777777" w:rsidR="0053758F" w:rsidRPr="0053758F" w:rsidRDefault="0053758F" w:rsidP="0053758F">
      <w:pPr>
        <w:pStyle w:val="Heading1"/>
      </w:pPr>
      <w:bookmarkStart w:id="10" w:name="_Toc212380957"/>
      <w:r w:rsidRPr="0053758F">
        <w:t>Recommendations for Future Development</w:t>
      </w:r>
      <w:bookmarkEnd w:id="10"/>
    </w:p>
    <w:p w14:paraId="4748BD67" w14:textId="1057B96D" w:rsidR="0053758F" w:rsidRPr="0053758F" w:rsidRDefault="0053758F" w:rsidP="0053758F">
      <w:pPr>
        <w:rPr>
          <w:lang w:val="en-US"/>
        </w:rPr>
      </w:pPr>
      <w:r>
        <w:t>The following evidence-based recommendations can be offered to improve the implementation of PCC and PW in the UK</w:t>
      </w:r>
      <w:r w:rsidRPr="0053758F">
        <w:rPr>
          <w:lang w:val="en-US"/>
        </w:rPr>
        <w:t>:</w:t>
      </w:r>
    </w:p>
    <w:p w14:paraId="4C97060A" w14:textId="62A9AA51" w:rsidR="0053758F" w:rsidRPr="0053758F" w:rsidRDefault="0053758F" w:rsidP="0053758F">
      <w:pPr>
        <w:rPr>
          <w:lang w:val="en-US"/>
        </w:rPr>
      </w:pPr>
      <w:r w:rsidRPr="0053758F">
        <w:rPr>
          <w:b/>
          <w:bCs/>
          <w:lang w:val="en-US"/>
        </w:rPr>
        <w:t>1. Embed Co-Production in Service Design:</w:t>
      </w:r>
      <w:r w:rsidRPr="0053758F">
        <w:rPr>
          <w:lang w:val="en-US"/>
        </w:rPr>
        <w:t> </w:t>
      </w:r>
      <w:r>
        <w:t xml:space="preserve">Services should no longer be consultative, but actively work towards co-production of care pathways and service models with service users and carers. This guarantees that the lived experience is taken into account in the process of service design and results in more applicable and beneficial support (NHS England, 2023). One of the challenges is the resource that is needed in the process of genuine co-production, which is difficult to </w:t>
      </w:r>
      <w:r w:rsidR="00DB50B4">
        <w:t>negotiate</w:t>
      </w:r>
      <w:r>
        <w:t xml:space="preserve"> with the conventional power relations between professionals and service users</w:t>
      </w:r>
      <w:r w:rsidRPr="0053758F">
        <w:rPr>
          <w:lang w:val="en-US"/>
        </w:rPr>
        <w:t>.</w:t>
      </w:r>
      <w:r w:rsidR="00B57B5A">
        <w:rPr>
          <w:lang w:val="en-US"/>
        </w:rPr>
        <w:t xml:space="preserve"> </w:t>
      </w:r>
    </w:p>
    <w:p w14:paraId="58CF7D81" w14:textId="7DD9E017" w:rsidR="0053758F" w:rsidRPr="0053758F" w:rsidRDefault="0053758F" w:rsidP="0053758F">
      <w:pPr>
        <w:rPr>
          <w:lang w:val="en-US"/>
        </w:rPr>
      </w:pPr>
      <w:r w:rsidRPr="0053758F">
        <w:rPr>
          <w:b/>
          <w:bCs/>
          <w:lang w:val="en-US"/>
        </w:rPr>
        <w:t>2. Invest in Integrated Digital Solutions:</w:t>
      </w:r>
      <w:r w:rsidRPr="0053758F">
        <w:rPr>
          <w:lang w:val="en-US"/>
        </w:rPr>
        <w:t> </w:t>
      </w:r>
      <w:r>
        <w:t>ICSs must focus on investment in joint digital health and care records (that are available, with the necessary consent, to partner organisations). This would transform PW because it would give the holistic picture of the individual and eliminate duplication and safety concerns. The major challenges are the high cost, the inability of various IT systems to work with each other, and a strong guarantee of data management and citizen trust</w:t>
      </w:r>
      <w:r w:rsidRPr="0053758F">
        <w:rPr>
          <w:lang w:val="en-US"/>
        </w:rPr>
        <w:t>.</w:t>
      </w:r>
    </w:p>
    <w:p w14:paraId="2B0EAFD5" w14:textId="57CC5DFA" w:rsidR="0053758F" w:rsidRDefault="0053758F" w:rsidP="0053758F">
      <w:pPr>
        <w:rPr>
          <w:lang w:val="en-US"/>
        </w:rPr>
      </w:pPr>
      <w:r w:rsidRPr="0053758F">
        <w:rPr>
          <w:b/>
          <w:bCs/>
          <w:lang w:val="en-US"/>
        </w:rPr>
        <w:t>3. Mandate Interprofessional Education and Training:</w:t>
      </w:r>
      <w:r w:rsidRPr="0053758F">
        <w:rPr>
          <w:lang w:val="en-US"/>
        </w:rPr>
        <w:t> </w:t>
      </w:r>
      <w:r>
        <w:t>A core curriculum based on PCC, PW, and care ethics ought to be created and provided to personnel in the NHS, social care, and the voluntary sector. This would aid in creating a shared language, comprehension, and culture, and breaking professional silos (Morgan and Yaskey, 2025). The possible obstacles are opposition on the part of professional organisations and logistical and financial hurdles to releasing the personnel to train</w:t>
      </w:r>
      <w:r w:rsidRPr="0053758F">
        <w:rPr>
          <w:lang w:val="en-US"/>
        </w:rPr>
        <w:t>.</w:t>
      </w:r>
    </w:p>
    <w:p w14:paraId="5513B3D4" w14:textId="77777777" w:rsidR="0053758F" w:rsidRDefault="0053758F">
      <w:pPr>
        <w:spacing w:after="160" w:line="259" w:lineRule="auto"/>
        <w:jc w:val="left"/>
        <w:rPr>
          <w:lang w:val="en-US"/>
        </w:rPr>
      </w:pPr>
      <w:r>
        <w:rPr>
          <w:lang w:val="en-US"/>
        </w:rPr>
        <w:br w:type="page"/>
      </w:r>
    </w:p>
    <w:p w14:paraId="6D7C3C6B" w14:textId="77777777" w:rsidR="0053758F" w:rsidRPr="0053758F" w:rsidRDefault="0053758F" w:rsidP="0053758F">
      <w:pPr>
        <w:rPr>
          <w:lang w:val="en-US"/>
        </w:rPr>
      </w:pPr>
      <w:r w:rsidRPr="0053758F">
        <w:rPr>
          <w:b/>
          <w:bCs/>
          <w:lang w:val="en-US"/>
        </w:rPr>
        <w:lastRenderedPageBreak/>
        <w:t>Table 3: Recommendations, Rationale and Potential Barriers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37"/>
        <w:gridCol w:w="3633"/>
        <w:gridCol w:w="2946"/>
      </w:tblGrid>
      <w:tr w:rsidR="0053758F" w:rsidRPr="0053758F" w14:paraId="40852869" w14:textId="77777777" w:rsidTr="0053758F">
        <w:trPr>
          <w:tblHeader/>
        </w:trPr>
        <w:tc>
          <w:tcPr>
            <w:tcW w:w="0" w:type="auto"/>
            <w:shd w:val="clear" w:color="auto" w:fill="A6A6A6" w:themeFill="background1" w:themeFillShade="A6"/>
            <w:tcMar>
              <w:top w:w="150" w:type="dxa"/>
              <w:left w:w="0" w:type="dxa"/>
              <w:bottom w:w="150" w:type="dxa"/>
              <w:right w:w="240" w:type="dxa"/>
            </w:tcMar>
            <w:vAlign w:val="center"/>
            <w:hideMark/>
          </w:tcPr>
          <w:p w14:paraId="5226BDFF" w14:textId="77777777" w:rsidR="0053758F" w:rsidRPr="0053758F" w:rsidRDefault="0053758F" w:rsidP="0053758F">
            <w:pPr>
              <w:rPr>
                <w:lang w:val="en-US"/>
              </w:rPr>
            </w:pPr>
            <w:r w:rsidRPr="0053758F">
              <w:rPr>
                <w:b/>
                <w:bCs/>
                <w:lang w:val="en-US"/>
              </w:rPr>
              <w:t>Recommendation</w:t>
            </w:r>
          </w:p>
        </w:tc>
        <w:tc>
          <w:tcPr>
            <w:tcW w:w="0" w:type="auto"/>
            <w:shd w:val="clear" w:color="auto" w:fill="A6A6A6" w:themeFill="background1" w:themeFillShade="A6"/>
            <w:tcMar>
              <w:top w:w="150" w:type="dxa"/>
              <w:left w:w="240" w:type="dxa"/>
              <w:bottom w:w="150" w:type="dxa"/>
              <w:right w:w="240" w:type="dxa"/>
            </w:tcMar>
            <w:vAlign w:val="center"/>
            <w:hideMark/>
          </w:tcPr>
          <w:p w14:paraId="3353B37C" w14:textId="77777777" w:rsidR="0053758F" w:rsidRPr="0053758F" w:rsidRDefault="0053758F" w:rsidP="0053758F">
            <w:pPr>
              <w:rPr>
                <w:lang w:val="en-US"/>
              </w:rPr>
            </w:pPr>
            <w:r w:rsidRPr="0053758F">
              <w:rPr>
                <w:b/>
                <w:bCs/>
                <w:lang w:val="en-US"/>
              </w:rPr>
              <w:t>Rationale and Supporting Evidence</w:t>
            </w:r>
          </w:p>
        </w:tc>
        <w:tc>
          <w:tcPr>
            <w:tcW w:w="0" w:type="auto"/>
            <w:shd w:val="clear" w:color="auto" w:fill="A6A6A6" w:themeFill="background1" w:themeFillShade="A6"/>
            <w:tcMar>
              <w:top w:w="150" w:type="dxa"/>
              <w:left w:w="240" w:type="dxa"/>
              <w:bottom w:w="150" w:type="dxa"/>
              <w:right w:w="240" w:type="dxa"/>
            </w:tcMar>
            <w:vAlign w:val="center"/>
            <w:hideMark/>
          </w:tcPr>
          <w:p w14:paraId="2D195957" w14:textId="77777777" w:rsidR="0053758F" w:rsidRPr="0053758F" w:rsidRDefault="0053758F" w:rsidP="0053758F">
            <w:pPr>
              <w:rPr>
                <w:lang w:val="en-US"/>
              </w:rPr>
            </w:pPr>
            <w:r w:rsidRPr="0053758F">
              <w:rPr>
                <w:b/>
                <w:bCs/>
                <w:lang w:val="en-US"/>
              </w:rPr>
              <w:t>Potential Barriers</w:t>
            </w:r>
          </w:p>
        </w:tc>
      </w:tr>
      <w:tr w:rsidR="0053758F" w:rsidRPr="0053758F" w14:paraId="539938CE" w14:textId="77777777" w:rsidTr="0053758F">
        <w:tc>
          <w:tcPr>
            <w:tcW w:w="0" w:type="auto"/>
            <w:tcMar>
              <w:top w:w="150" w:type="dxa"/>
              <w:left w:w="0" w:type="dxa"/>
              <w:bottom w:w="150" w:type="dxa"/>
              <w:right w:w="240" w:type="dxa"/>
            </w:tcMar>
            <w:vAlign w:val="center"/>
            <w:hideMark/>
          </w:tcPr>
          <w:p w14:paraId="4F6C1AC3" w14:textId="77777777" w:rsidR="0053758F" w:rsidRPr="0053758F" w:rsidRDefault="0053758F" w:rsidP="0053758F">
            <w:pPr>
              <w:rPr>
                <w:lang w:val="en-US"/>
              </w:rPr>
            </w:pPr>
            <w:r w:rsidRPr="0053758F">
              <w:rPr>
                <w:b/>
                <w:bCs/>
                <w:lang w:val="en-US"/>
              </w:rPr>
              <w:t>Embed Co-Production</w:t>
            </w:r>
          </w:p>
        </w:tc>
        <w:tc>
          <w:tcPr>
            <w:tcW w:w="0" w:type="auto"/>
            <w:tcMar>
              <w:top w:w="150" w:type="dxa"/>
              <w:left w:w="240" w:type="dxa"/>
              <w:bottom w:w="150" w:type="dxa"/>
              <w:right w:w="240" w:type="dxa"/>
            </w:tcMar>
            <w:vAlign w:val="center"/>
            <w:hideMark/>
          </w:tcPr>
          <w:p w14:paraId="014B83C9" w14:textId="77777777" w:rsidR="0053758F" w:rsidRPr="0053758F" w:rsidRDefault="0053758F" w:rsidP="0053758F">
            <w:pPr>
              <w:rPr>
                <w:lang w:val="en-US"/>
              </w:rPr>
            </w:pPr>
            <w:r w:rsidRPr="0053758F">
              <w:rPr>
                <w:lang w:val="en-US"/>
              </w:rPr>
              <w:t>Increases service relevance and effectiveness; empowers users (NHS England, 2023).</w:t>
            </w:r>
          </w:p>
        </w:tc>
        <w:tc>
          <w:tcPr>
            <w:tcW w:w="0" w:type="auto"/>
            <w:tcMar>
              <w:top w:w="150" w:type="dxa"/>
              <w:left w:w="240" w:type="dxa"/>
              <w:bottom w:w="150" w:type="dxa"/>
              <w:right w:w="0" w:type="dxa"/>
            </w:tcMar>
            <w:vAlign w:val="center"/>
            <w:hideMark/>
          </w:tcPr>
          <w:p w14:paraId="490B5A6F" w14:textId="77777777" w:rsidR="0053758F" w:rsidRPr="0053758F" w:rsidRDefault="0053758F" w:rsidP="0053758F">
            <w:pPr>
              <w:rPr>
                <w:lang w:val="en-US"/>
              </w:rPr>
            </w:pPr>
            <w:r w:rsidRPr="0053758F">
              <w:rPr>
                <w:lang w:val="en-US"/>
              </w:rPr>
              <w:t>Tokenism, resource intensity, and challenging professional power dynamics.</w:t>
            </w:r>
          </w:p>
        </w:tc>
      </w:tr>
      <w:tr w:rsidR="0053758F" w:rsidRPr="0053758F" w14:paraId="72094A68" w14:textId="77777777" w:rsidTr="0053758F">
        <w:tc>
          <w:tcPr>
            <w:tcW w:w="0" w:type="auto"/>
            <w:tcMar>
              <w:top w:w="150" w:type="dxa"/>
              <w:left w:w="0" w:type="dxa"/>
              <w:bottom w:w="150" w:type="dxa"/>
              <w:right w:w="240" w:type="dxa"/>
            </w:tcMar>
            <w:vAlign w:val="center"/>
            <w:hideMark/>
          </w:tcPr>
          <w:p w14:paraId="38250C08" w14:textId="77777777" w:rsidR="0053758F" w:rsidRPr="0053758F" w:rsidRDefault="0053758F" w:rsidP="0053758F">
            <w:pPr>
              <w:rPr>
                <w:lang w:val="en-US"/>
              </w:rPr>
            </w:pPr>
            <w:r w:rsidRPr="0053758F">
              <w:rPr>
                <w:b/>
                <w:bCs/>
                <w:lang w:val="en-US"/>
              </w:rPr>
              <w:t>Invest in Digital Solutions</w:t>
            </w:r>
          </w:p>
        </w:tc>
        <w:tc>
          <w:tcPr>
            <w:tcW w:w="0" w:type="auto"/>
            <w:tcMar>
              <w:top w:w="150" w:type="dxa"/>
              <w:left w:w="240" w:type="dxa"/>
              <w:bottom w:w="150" w:type="dxa"/>
              <w:right w:w="240" w:type="dxa"/>
            </w:tcMar>
            <w:vAlign w:val="center"/>
            <w:hideMark/>
          </w:tcPr>
          <w:p w14:paraId="004B568B" w14:textId="77777777" w:rsidR="0053758F" w:rsidRPr="0053758F" w:rsidRDefault="0053758F" w:rsidP="0053758F">
            <w:pPr>
              <w:rPr>
                <w:lang w:val="en-US"/>
              </w:rPr>
            </w:pPr>
            <w:r w:rsidRPr="0053758F">
              <w:rPr>
                <w:lang w:val="en-US"/>
              </w:rPr>
              <w:t>Improves information sharing, safety, and care coordination.</w:t>
            </w:r>
          </w:p>
        </w:tc>
        <w:tc>
          <w:tcPr>
            <w:tcW w:w="0" w:type="auto"/>
            <w:tcMar>
              <w:top w:w="150" w:type="dxa"/>
              <w:left w:w="240" w:type="dxa"/>
              <w:bottom w:w="150" w:type="dxa"/>
              <w:right w:w="0" w:type="dxa"/>
            </w:tcMar>
            <w:vAlign w:val="center"/>
            <w:hideMark/>
          </w:tcPr>
          <w:p w14:paraId="6543B87C" w14:textId="77777777" w:rsidR="0053758F" w:rsidRPr="0053758F" w:rsidRDefault="0053758F" w:rsidP="0053758F">
            <w:pPr>
              <w:rPr>
                <w:lang w:val="en-US"/>
              </w:rPr>
            </w:pPr>
            <w:r w:rsidRPr="0053758F">
              <w:rPr>
                <w:lang w:val="en-US"/>
              </w:rPr>
              <w:t>High cost; interoperability issues; data security concerns.</w:t>
            </w:r>
          </w:p>
        </w:tc>
      </w:tr>
      <w:tr w:rsidR="0053758F" w:rsidRPr="0053758F" w14:paraId="2A569E30" w14:textId="77777777" w:rsidTr="0053758F">
        <w:tc>
          <w:tcPr>
            <w:tcW w:w="0" w:type="auto"/>
            <w:tcMar>
              <w:top w:w="150" w:type="dxa"/>
              <w:left w:w="0" w:type="dxa"/>
              <w:bottom w:w="150" w:type="dxa"/>
              <w:right w:w="240" w:type="dxa"/>
            </w:tcMar>
            <w:vAlign w:val="center"/>
            <w:hideMark/>
          </w:tcPr>
          <w:p w14:paraId="69786C71" w14:textId="77777777" w:rsidR="0053758F" w:rsidRPr="0053758F" w:rsidRDefault="0053758F" w:rsidP="0053758F">
            <w:pPr>
              <w:rPr>
                <w:lang w:val="en-US"/>
              </w:rPr>
            </w:pPr>
            <w:r w:rsidRPr="0053758F">
              <w:rPr>
                <w:b/>
                <w:bCs/>
                <w:lang w:val="en-US"/>
              </w:rPr>
              <w:t>Mandate Interprofessional Training</w:t>
            </w:r>
          </w:p>
        </w:tc>
        <w:tc>
          <w:tcPr>
            <w:tcW w:w="0" w:type="auto"/>
            <w:tcMar>
              <w:top w:w="150" w:type="dxa"/>
              <w:left w:w="240" w:type="dxa"/>
              <w:bottom w:w="150" w:type="dxa"/>
              <w:right w:w="240" w:type="dxa"/>
            </w:tcMar>
            <w:vAlign w:val="center"/>
            <w:hideMark/>
          </w:tcPr>
          <w:p w14:paraId="4BE52436" w14:textId="77777777" w:rsidR="0053758F" w:rsidRPr="0053758F" w:rsidRDefault="0053758F" w:rsidP="0053758F">
            <w:pPr>
              <w:rPr>
                <w:lang w:val="en-US"/>
              </w:rPr>
            </w:pPr>
            <w:r w:rsidRPr="0053758F">
              <w:rPr>
                <w:lang w:val="en-US"/>
              </w:rPr>
              <w:t>Builds shared values and understanding, facilitating better collaboration (Morgan and Yaskey, 2025).</w:t>
            </w:r>
          </w:p>
        </w:tc>
        <w:tc>
          <w:tcPr>
            <w:tcW w:w="0" w:type="auto"/>
            <w:tcMar>
              <w:top w:w="150" w:type="dxa"/>
              <w:left w:w="240" w:type="dxa"/>
              <w:bottom w:w="150" w:type="dxa"/>
              <w:right w:w="0" w:type="dxa"/>
            </w:tcMar>
            <w:vAlign w:val="center"/>
            <w:hideMark/>
          </w:tcPr>
          <w:p w14:paraId="30AAFA71" w14:textId="77777777" w:rsidR="0053758F" w:rsidRPr="0053758F" w:rsidRDefault="0053758F" w:rsidP="0053758F">
            <w:pPr>
              <w:rPr>
                <w:lang w:val="en-US"/>
              </w:rPr>
            </w:pPr>
            <w:r w:rsidRPr="0053758F">
              <w:rPr>
                <w:lang w:val="en-US"/>
              </w:rPr>
              <w:t>Funding for training, professional resistance, and logistical challenges.</w:t>
            </w:r>
          </w:p>
        </w:tc>
      </w:tr>
    </w:tbl>
    <w:p w14:paraId="3F9F1F34" w14:textId="77777777" w:rsidR="0053758F" w:rsidRDefault="0053758F" w:rsidP="0053758F">
      <w:pPr>
        <w:rPr>
          <w:b/>
          <w:bCs/>
          <w:lang w:val="en-US"/>
        </w:rPr>
      </w:pPr>
    </w:p>
    <w:p w14:paraId="18655110" w14:textId="77777777" w:rsidR="0053758F" w:rsidRDefault="0053758F">
      <w:pPr>
        <w:spacing w:after="160" w:line="259" w:lineRule="auto"/>
        <w:jc w:val="left"/>
        <w:rPr>
          <w:rFonts w:eastAsiaTheme="majorEastAsia" w:cstheme="majorBidi"/>
          <w:b/>
          <w:sz w:val="36"/>
          <w:szCs w:val="32"/>
          <w:lang w:val="en-IN"/>
        </w:rPr>
      </w:pPr>
      <w:r>
        <w:br w:type="page"/>
      </w:r>
    </w:p>
    <w:p w14:paraId="57FF68CF" w14:textId="25B47E7D" w:rsidR="0053758F" w:rsidRPr="0053758F" w:rsidRDefault="0053758F" w:rsidP="0053758F">
      <w:pPr>
        <w:pStyle w:val="Heading1"/>
      </w:pPr>
      <w:bookmarkStart w:id="11" w:name="_Toc212380958"/>
      <w:r w:rsidRPr="0053758F">
        <w:lastRenderedPageBreak/>
        <w:t>Conclusion</w:t>
      </w:r>
      <w:bookmarkEnd w:id="11"/>
    </w:p>
    <w:p w14:paraId="7C64B113" w14:textId="642CFC0B" w:rsidR="0053758F" w:rsidRPr="0053758F" w:rsidRDefault="0053758F" w:rsidP="0053758F">
      <w:pPr>
        <w:rPr>
          <w:lang w:val="en-US"/>
        </w:rPr>
      </w:pPr>
      <w:r>
        <w:t>Partnership Working and Person-Centred Care were two concepts discussed critically in this report since they are interdependent. It has been shown that PCC, based on the fundamental set of ethical principles, is a key to providing dignified and effective care. The PW analysis, especially relying on the paradigm of ICSs, demonstrates that the tool can establish seamless, holistic care experiences. Nonetheless, a lot of challenges persist, such as cultural resistance, resource constraints and systemic barriers. A good legislative base gives a good platform to work on. The suggestions made, namely co-production, integration of digital, and interprofessional education, are a strategic move that will allow the UK to achieve the full potential of a genuinely people-centred and collaborative system of health and social care, which will eventually deliver superior outcomes and experiences to everyone</w:t>
      </w:r>
      <w:r w:rsidRPr="0053758F">
        <w:rPr>
          <w:lang w:val="en-US"/>
        </w:rPr>
        <w:t>.</w:t>
      </w:r>
    </w:p>
    <w:p w14:paraId="6AD33D09" w14:textId="44D96EFE" w:rsidR="00432342" w:rsidRDefault="00432342" w:rsidP="0053758F">
      <w:pPr>
        <w:rPr>
          <w:lang w:val="en-US"/>
        </w:rPr>
      </w:pPr>
      <w:r>
        <w:rPr>
          <w:lang w:val="en-US"/>
        </w:rPr>
        <w:br w:type="page"/>
      </w:r>
    </w:p>
    <w:p w14:paraId="6483CF54" w14:textId="43BFDC5B" w:rsidR="00432342" w:rsidRPr="00367133" w:rsidRDefault="00432342" w:rsidP="00432342">
      <w:pPr>
        <w:pStyle w:val="Heading1"/>
      </w:pPr>
      <w:bookmarkStart w:id="12" w:name="_Toc212380959"/>
      <w:r>
        <w:lastRenderedPageBreak/>
        <w:t>References</w:t>
      </w:r>
      <w:bookmarkEnd w:id="12"/>
    </w:p>
    <w:p w14:paraId="78DB1B09" w14:textId="77777777" w:rsidR="00BA69FB" w:rsidRPr="00DB7B44" w:rsidRDefault="00BA69FB" w:rsidP="00DB7B44">
      <w:pPr>
        <w:rPr>
          <w:lang w:val="en-US"/>
        </w:rPr>
      </w:pPr>
      <w:r w:rsidRPr="000C4F68">
        <w:t>Aveyard, H., 2023. Ebook: Doing a Literature Review in Health and Social Care: A Practical Guide 5e.</w:t>
      </w:r>
      <w:r w:rsidRPr="00DB7B44">
        <w:rPr>
          <w:lang w:val="en-US"/>
        </w:rPr>
        <w:t>.</w:t>
      </w:r>
    </w:p>
    <w:p w14:paraId="08A91A8A" w14:textId="752237C5" w:rsidR="00BA69FB" w:rsidRPr="00DB7B44" w:rsidRDefault="00BA69FB" w:rsidP="00DB7B44">
      <w:pPr>
        <w:rPr>
          <w:lang w:val="en-US"/>
        </w:rPr>
      </w:pPr>
      <w:r w:rsidRPr="00532215">
        <w:t xml:space="preserve">Beauchamp, T. and Childress, J. </w:t>
      </w:r>
      <w:r>
        <w:t>(</w:t>
      </w:r>
      <w:r w:rsidRPr="00532215">
        <w:t>2019</w:t>
      </w:r>
      <w:r>
        <w:t>)</w:t>
      </w:r>
      <w:r w:rsidRPr="00532215">
        <w:t>. Principles of biomedical ethics: marking its fortieth anniversary. </w:t>
      </w:r>
      <w:r w:rsidRPr="00532215">
        <w:rPr>
          <w:i/>
          <w:iCs/>
        </w:rPr>
        <w:t>The American journal of bioethics</w:t>
      </w:r>
      <w:r w:rsidRPr="00532215">
        <w:t>, </w:t>
      </w:r>
      <w:r w:rsidRPr="00532215">
        <w:rPr>
          <w:i/>
          <w:iCs/>
        </w:rPr>
        <w:t>19</w:t>
      </w:r>
      <w:r w:rsidRPr="00532215">
        <w:t>(11), pp.9-12.</w:t>
      </w:r>
      <w:r w:rsidRPr="00DB7B44">
        <w:rPr>
          <w:lang w:val="en-US"/>
        </w:rPr>
        <w:t>.</w:t>
      </w:r>
    </w:p>
    <w:p w14:paraId="5A6BD3C2" w14:textId="32F3C91A" w:rsidR="00BA69FB" w:rsidRPr="00DB7B44" w:rsidRDefault="00BA69FB" w:rsidP="00DB7B44">
      <w:pPr>
        <w:rPr>
          <w:lang w:val="en-US"/>
        </w:rPr>
      </w:pPr>
      <w:r w:rsidRPr="00FA196C">
        <w:t xml:space="preserve">Canais, E. and Nunes, L. </w:t>
      </w:r>
      <w:r>
        <w:t>(</w:t>
      </w:r>
      <w:r w:rsidRPr="00FA196C">
        <w:t>2024</w:t>
      </w:r>
      <w:r>
        <w:t>)</w:t>
      </w:r>
      <w:r w:rsidRPr="00FA196C">
        <w:t xml:space="preserve">. People with multiple long-term health problems: </w:t>
      </w:r>
      <w:r>
        <w:t>personalised</w:t>
      </w:r>
      <w:r w:rsidRPr="00FA196C">
        <w:t xml:space="preserve"> care planning. </w:t>
      </w:r>
      <w:r w:rsidRPr="00FA196C">
        <w:rPr>
          <w:i/>
          <w:iCs/>
        </w:rPr>
        <w:t>Portuguese Journal of Public Health</w:t>
      </w:r>
      <w:r w:rsidRPr="00FA196C">
        <w:t>, </w:t>
      </w:r>
      <w:r w:rsidRPr="00FA196C">
        <w:rPr>
          <w:i/>
          <w:iCs/>
        </w:rPr>
        <w:t>42</w:t>
      </w:r>
      <w:r w:rsidRPr="00FA196C">
        <w:t>(1), pp.63-73.</w:t>
      </w:r>
      <w:r w:rsidRPr="00DB7B44">
        <w:rPr>
          <w:lang w:val="en-US"/>
        </w:rPr>
        <w:t>.</w:t>
      </w:r>
    </w:p>
    <w:p w14:paraId="75A79915" w14:textId="77777777" w:rsidR="00BA69FB" w:rsidRDefault="00BA69FB" w:rsidP="00DB7B44">
      <w:pPr>
        <w:rPr>
          <w:lang w:val="en-US"/>
        </w:rPr>
      </w:pPr>
      <w:r w:rsidRPr="002050E2">
        <w:rPr>
          <w:lang w:val="en-US"/>
        </w:rPr>
        <w:t>Care Act (2025)</w:t>
      </w:r>
      <w:r>
        <w:rPr>
          <w:lang w:val="en-US"/>
        </w:rPr>
        <w:t>,</w:t>
      </w:r>
      <w:r w:rsidRPr="002050E2">
        <w:rPr>
          <w:lang w:val="en-US"/>
        </w:rPr>
        <w:t xml:space="preserve"> </w:t>
      </w:r>
      <w:r w:rsidRPr="002050E2">
        <w:rPr>
          <w:i/>
          <w:iCs/>
          <w:lang w:val="en-US"/>
        </w:rPr>
        <w:t xml:space="preserve">Care </w:t>
      </w:r>
      <w:r>
        <w:rPr>
          <w:i/>
          <w:iCs/>
          <w:lang w:val="en-US"/>
        </w:rPr>
        <w:t>Act</w:t>
      </w:r>
      <w:r w:rsidRPr="002050E2">
        <w:rPr>
          <w:i/>
          <w:iCs/>
          <w:lang w:val="en-US"/>
        </w:rPr>
        <w:t xml:space="preserve"> 2014</w:t>
      </w:r>
      <w:r w:rsidRPr="002050E2">
        <w:rPr>
          <w:lang w:val="en-US"/>
        </w:rPr>
        <w:t xml:space="preserve">, </w:t>
      </w:r>
      <w:r w:rsidRPr="002050E2">
        <w:rPr>
          <w:i/>
          <w:iCs/>
          <w:lang w:val="en-US"/>
        </w:rPr>
        <w:t>GOV.UK</w:t>
      </w:r>
      <w:r w:rsidRPr="002050E2">
        <w:rPr>
          <w:lang w:val="en-US"/>
        </w:rPr>
        <w:t>. Available at: https://www.gov.uk/government/publications/care-act-2014-part-1-factsheets/care-act-factsheets (Accessed: 25 October 2025)</w:t>
      </w:r>
    </w:p>
    <w:p w14:paraId="39A8B224" w14:textId="49DB6FC7" w:rsidR="00BA69FB" w:rsidRPr="00DB7B44" w:rsidRDefault="00BA69FB" w:rsidP="00DB7B44">
      <w:pPr>
        <w:rPr>
          <w:lang w:val="en-US"/>
        </w:rPr>
      </w:pPr>
      <w:r w:rsidRPr="007F61DE">
        <w:t xml:space="preserve">Ekman, I., Ebrahimi, Z. and Olaya Contreras, P. </w:t>
      </w:r>
      <w:r>
        <w:t>(</w:t>
      </w:r>
      <w:r w:rsidRPr="007F61DE">
        <w:t>2021</w:t>
      </w:r>
      <w:r>
        <w:t>)</w:t>
      </w:r>
      <w:r w:rsidRPr="007F61DE">
        <w:t>. Person-centred care: looking back, looking forward. </w:t>
      </w:r>
      <w:r w:rsidRPr="007F61DE">
        <w:rPr>
          <w:i/>
          <w:iCs/>
        </w:rPr>
        <w:t>European journal of cardiovascular nursing</w:t>
      </w:r>
      <w:r w:rsidRPr="007F61DE">
        <w:t>, </w:t>
      </w:r>
      <w:r w:rsidRPr="007F61DE">
        <w:rPr>
          <w:i/>
          <w:iCs/>
        </w:rPr>
        <w:t>20</w:t>
      </w:r>
      <w:r w:rsidRPr="007F61DE">
        <w:t>(2), pp.93-95.</w:t>
      </w:r>
    </w:p>
    <w:p w14:paraId="17C6DE21" w14:textId="188C0312" w:rsidR="00BA69FB" w:rsidRPr="00DB7B44" w:rsidRDefault="00BA69FB" w:rsidP="00DB7B44">
      <w:pPr>
        <w:rPr>
          <w:lang w:val="en-US"/>
        </w:rPr>
      </w:pPr>
      <w:bookmarkStart w:id="13" w:name="_Hlk212312368"/>
      <w:r w:rsidRPr="000C4F68">
        <w:t xml:space="preserve">Harding, R. </w:t>
      </w:r>
      <w:r>
        <w:t>(</w:t>
      </w:r>
      <w:r w:rsidRPr="000C4F68">
        <w:t>2018</w:t>
      </w:r>
      <w:r>
        <w:t>)</w:t>
      </w:r>
      <w:r w:rsidRPr="000C4F68">
        <w:t>. Mental Capacity Act 2005. In </w:t>
      </w:r>
      <w:r w:rsidRPr="000C4F68">
        <w:rPr>
          <w:i/>
          <w:iCs/>
        </w:rPr>
        <w:t>Women's Legal Landmarks: Celebrating the history of women and law in the UK and Ireland</w:t>
      </w:r>
      <w:r w:rsidRPr="000C4F68">
        <w:t> (pp. 533-538). Hart Publishing.</w:t>
      </w:r>
    </w:p>
    <w:bookmarkEnd w:id="13"/>
    <w:p w14:paraId="434463AA" w14:textId="77777777" w:rsidR="00BA69FB" w:rsidRPr="00DB7B44" w:rsidRDefault="00BA69FB" w:rsidP="00DB7B44">
      <w:pPr>
        <w:rPr>
          <w:lang w:val="en-US"/>
        </w:rPr>
      </w:pPr>
      <w:r w:rsidRPr="000C4F68">
        <w:rPr>
          <w:lang w:val="en-US"/>
        </w:rPr>
        <w:t xml:space="preserve">Health and Care Act (2022) </w:t>
      </w:r>
      <w:r w:rsidRPr="000C4F68">
        <w:rPr>
          <w:i/>
          <w:iCs/>
          <w:lang w:val="en-US"/>
        </w:rPr>
        <w:t>Health and Care Act 2022</w:t>
      </w:r>
      <w:r w:rsidRPr="000C4F68">
        <w:rPr>
          <w:lang w:val="en-US"/>
        </w:rPr>
        <w:t xml:space="preserve">, </w:t>
      </w:r>
      <w:r w:rsidRPr="000C4F68">
        <w:rPr>
          <w:i/>
          <w:iCs/>
          <w:lang w:val="en-US"/>
        </w:rPr>
        <w:t>GOV.UK</w:t>
      </w:r>
      <w:r w:rsidRPr="000C4F68">
        <w:rPr>
          <w:lang w:val="en-US"/>
        </w:rPr>
        <w:t xml:space="preserve">. Available at: https://www.gov.uk/government/collections/health-and-care-act-2022 (Accessed: 25 October 2025). </w:t>
      </w:r>
    </w:p>
    <w:p w14:paraId="31B05C22" w14:textId="2D928A25" w:rsidR="00BA69FB" w:rsidRPr="00DB7B44" w:rsidRDefault="00BA69FB" w:rsidP="00DB7B44">
      <w:pPr>
        <w:rPr>
          <w:lang w:val="en-US"/>
        </w:rPr>
      </w:pPr>
      <w:bookmarkStart w:id="14" w:name="_Hlk212311999"/>
      <w:r w:rsidRPr="00FA196C">
        <w:t xml:space="preserve">Lui, A. and Lamb, G.W. </w:t>
      </w:r>
      <w:r>
        <w:t>(</w:t>
      </w:r>
      <w:r w:rsidRPr="00FA196C">
        <w:t>2018</w:t>
      </w:r>
      <w:r>
        <w:t>)</w:t>
      </w:r>
      <w:r w:rsidRPr="00FA196C">
        <w:t>. Artificial intelligence and augmented intelligence collaboration: regaining trust and confidence in the financial sector. </w:t>
      </w:r>
      <w:r w:rsidRPr="00FA196C">
        <w:rPr>
          <w:i/>
          <w:iCs/>
        </w:rPr>
        <w:t>Information &amp; Communications Technology Law</w:t>
      </w:r>
      <w:r w:rsidRPr="00FA196C">
        <w:t>, </w:t>
      </w:r>
      <w:r w:rsidRPr="00FA196C">
        <w:rPr>
          <w:i/>
          <w:iCs/>
        </w:rPr>
        <w:t>27</w:t>
      </w:r>
      <w:r w:rsidRPr="00FA196C">
        <w:t>(3), pp.267-283.</w:t>
      </w:r>
    </w:p>
    <w:bookmarkEnd w:id="14"/>
    <w:p w14:paraId="55CB42FE" w14:textId="71507F29" w:rsidR="00BA69FB" w:rsidRPr="00DB7B44" w:rsidRDefault="00BA69FB" w:rsidP="00DB7B44">
      <w:pPr>
        <w:rPr>
          <w:lang w:val="en-US"/>
        </w:rPr>
      </w:pPr>
      <w:r w:rsidRPr="000C4F68">
        <w:t xml:space="preserve">Morgan, J. and Yaskey, J. </w:t>
      </w:r>
      <w:r>
        <w:t>(</w:t>
      </w:r>
      <w:r w:rsidRPr="000C4F68">
        <w:t>2025</w:t>
      </w:r>
      <w:r>
        <w:t>)</w:t>
      </w:r>
      <w:r w:rsidRPr="000C4F68">
        <w:t>. Partnership working in health and social care. In </w:t>
      </w:r>
      <w:r w:rsidRPr="000C4F68">
        <w:rPr>
          <w:i/>
          <w:iCs/>
        </w:rPr>
        <w:t>Contemporary Issues in Health and Social Care Policy and Practice</w:t>
      </w:r>
      <w:r w:rsidRPr="000C4F68">
        <w:t> (pp. 68-82). Routledge.</w:t>
      </w:r>
    </w:p>
    <w:p w14:paraId="71D5DE6A" w14:textId="77777777" w:rsidR="00BA69FB" w:rsidRPr="00DB7B44" w:rsidRDefault="00BA69FB" w:rsidP="00DB7B44">
      <w:pPr>
        <w:rPr>
          <w:lang w:val="en-US"/>
        </w:rPr>
      </w:pPr>
      <w:r w:rsidRPr="00DB7B44">
        <w:rPr>
          <w:lang w:val="en-US"/>
        </w:rPr>
        <w:t>NHS England (2023). </w:t>
      </w:r>
      <w:r w:rsidRPr="00DB7B44">
        <w:rPr>
          <w:i/>
          <w:iCs/>
          <w:lang w:val="en-US"/>
        </w:rPr>
        <w:t>The NHS Constitution for England</w:t>
      </w:r>
      <w:r w:rsidRPr="00DB7B44">
        <w:rPr>
          <w:lang w:val="en-US"/>
        </w:rPr>
        <w:t>. Available at: </w:t>
      </w:r>
      <w:hyperlink r:id="rId10" w:tgtFrame="_blank" w:history="1">
        <w:r w:rsidRPr="00DB7B44">
          <w:rPr>
            <w:rStyle w:val="Hyperlink"/>
            <w:lang w:val="en-US"/>
          </w:rPr>
          <w:t>https://www.gov.uk/government/publications/the-nhs-constitution-for-england</w:t>
        </w:r>
      </w:hyperlink>
      <w:r w:rsidRPr="00DB7B44">
        <w:rPr>
          <w:lang w:val="en-US"/>
        </w:rPr>
        <w:t> (Accessed: 10 October 2025).</w:t>
      </w:r>
    </w:p>
    <w:p w14:paraId="34C28809" w14:textId="77777777" w:rsidR="00BA69FB" w:rsidRPr="00DB7B44" w:rsidRDefault="00BA69FB" w:rsidP="00DB7B44">
      <w:pPr>
        <w:rPr>
          <w:lang w:val="en-US"/>
        </w:rPr>
      </w:pPr>
      <w:r w:rsidRPr="007F61DE">
        <w:t xml:space="preserve">Retief, M. and Letšosa, R., </w:t>
      </w:r>
      <w:r>
        <w:t>(</w:t>
      </w:r>
      <w:r w:rsidRPr="007F61DE">
        <w:t>2018</w:t>
      </w:r>
      <w:r>
        <w:t>)</w:t>
      </w:r>
      <w:r w:rsidRPr="007F61DE">
        <w:t>. Models of disability: A brief overview. </w:t>
      </w:r>
      <w:r w:rsidRPr="007F61DE">
        <w:rPr>
          <w:i/>
          <w:iCs/>
        </w:rPr>
        <w:t>HTS Teologiese Studies/Theological Studies</w:t>
      </w:r>
      <w:r w:rsidRPr="007F61DE">
        <w:t>, </w:t>
      </w:r>
      <w:r w:rsidRPr="007F61DE">
        <w:rPr>
          <w:i/>
          <w:iCs/>
        </w:rPr>
        <w:t>74</w:t>
      </w:r>
      <w:r w:rsidRPr="007F61DE">
        <w:t>(1).</w:t>
      </w:r>
      <w:r w:rsidRPr="00DB7B44">
        <w:rPr>
          <w:lang w:val="en-US"/>
        </w:rPr>
        <w:t>.</w:t>
      </w:r>
    </w:p>
    <w:p w14:paraId="25E9A11B" w14:textId="77777777" w:rsidR="00BA69FB" w:rsidRPr="00DB7B44" w:rsidRDefault="00BA69FB" w:rsidP="00DB7B44">
      <w:pPr>
        <w:rPr>
          <w:lang w:val="en-US"/>
        </w:rPr>
      </w:pPr>
      <w:r w:rsidRPr="00DB7B44">
        <w:rPr>
          <w:lang w:val="en-US"/>
        </w:rPr>
        <w:lastRenderedPageBreak/>
        <w:t>The King's Fund (2021). </w:t>
      </w:r>
      <w:r w:rsidRPr="00DB7B44">
        <w:rPr>
          <w:i/>
          <w:iCs/>
          <w:lang w:val="en-US"/>
        </w:rPr>
        <w:t>Integrated care systems explained: making sense of the new health and care landscape</w:t>
      </w:r>
      <w:r w:rsidRPr="00DB7B44">
        <w:rPr>
          <w:lang w:val="en-US"/>
        </w:rPr>
        <w:t>. Available at: </w:t>
      </w:r>
      <w:hyperlink r:id="rId11" w:tgtFrame="_blank" w:history="1">
        <w:r w:rsidRPr="00DB7B44">
          <w:rPr>
            <w:rStyle w:val="Hyperlink"/>
            <w:lang w:val="en-US"/>
          </w:rPr>
          <w:t>https://www.kingsfund.org.uk/publications/integrated-care-systems-explained</w:t>
        </w:r>
      </w:hyperlink>
      <w:r w:rsidRPr="00DB7B44">
        <w:rPr>
          <w:lang w:val="en-US"/>
        </w:rPr>
        <w:t> (Accessed: 10 October 2025).</w:t>
      </w:r>
    </w:p>
    <w:p w14:paraId="0ED64880" w14:textId="32B1D4B0" w:rsidR="00BA69FB" w:rsidRPr="00DB7B44" w:rsidRDefault="00BA69FB" w:rsidP="00DB7B44">
      <w:pPr>
        <w:rPr>
          <w:lang w:val="en-US"/>
        </w:rPr>
      </w:pPr>
      <w:r w:rsidRPr="00BA69FB">
        <w:t xml:space="preserve">Thinley, S. </w:t>
      </w:r>
      <w:r>
        <w:t>(</w:t>
      </w:r>
      <w:r w:rsidRPr="00BA69FB">
        <w:t>2021</w:t>
      </w:r>
      <w:r>
        <w:t>)</w:t>
      </w:r>
      <w:r w:rsidRPr="00BA69FB">
        <w:t>. Health and care of an ageing population: Alignment of health and social systems to address the need. </w:t>
      </w:r>
      <w:r w:rsidRPr="00BA69FB">
        <w:rPr>
          <w:i/>
          <w:iCs/>
        </w:rPr>
        <w:t>Journal of Health Management</w:t>
      </w:r>
      <w:r w:rsidRPr="00BA69FB">
        <w:t>, </w:t>
      </w:r>
      <w:r w:rsidRPr="00BA69FB">
        <w:rPr>
          <w:i/>
          <w:iCs/>
        </w:rPr>
        <w:t>23</w:t>
      </w:r>
      <w:r w:rsidRPr="00BA69FB">
        <w:t>(1), pp.109-118.</w:t>
      </w:r>
      <w:r w:rsidRPr="00DB7B44">
        <w:rPr>
          <w:lang w:val="en-US"/>
        </w:rPr>
        <w:t>.</w:t>
      </w:r>
    </w:p>
    <w:p w14:paraId="4DA8191C" w14:textId="77777777" w:rsidR="00BA69FB" w:rsidRPr="00DB7B44" w:rsidRDefault="00BA69FB" w:rsidP="00DB7B44">
      <w:pPr>
        <w:rPr>
          <w:lang w:val="en-US"/>
        </w:rPr>
      </w:pPr>
      <w:r w:rsidRPr="00DB7B44">
        <w:rPr>
          <w:lang w:val="en-US"/>
        </w:rPr>
        <w:t>Tucker, S. and Speirs, D. (2021). 'The impact of integrated care teams on adult community mental health services in England', </w:t>
      </w:r>
      <w:r w:rsidRPr="00DB7B44">
        <w:rPr>
          <w:i/>
          <w:iCs/>
          <w:lang w:val="en-US"/>
        </w:rPr>
        <w:t>Journal of Integrated Care</w:t>
      </w:r>
      <w:r w:rsidRPr="00DB7B44">
        <w:rPr>
          <w:lang w:val="en-US"/>
        </w:rPr>
        <w:t>, 29(3), pp. 289-302.</w:t>
      </w:r>
    </w:p>
    <w:p w14:paraId="4F1ADF3B" w14:textId="77777777" w:rsidR="00AD70A6" w:rsidRPr="00DB7B44" w:rsidRDefault="00AD70A6">
      <w:pPr>
        <w:rPr>
          <w:lang w:val="en-US"/>
        </w:rPr>
      </w:pPr>
    </w:p>
    <w:sectPr w:rsidR="00AD70A6" w:rsidRPr="00DB7B44" w:rsidSect="004F600B">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635DE5" w14:textId="77777777" w:rsidR="0060650C" w:rsidRDefault="0060650C" w:rsidP="00432342">
      <w:pPr>
        <w:spacing w:after="0" w:line="240" w:lineRule="auto"/>
      </w:pPr>
      <w:r>
        <w:separator/>
      </w:r>
    </w:p>
  </w:endnote>
  <w:endnote w:type="continuationSeparator" w:id="0">
    <w:p w14:paraId="0F1D8127" w14:textId="77777777" w:rsidR="0060650C" w:rsidRDefault="0060650C" w:rsidP="004323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0387142"/>
      <w:docPartObj>
        <w:docPartGallery w:val="Page Numbers (Bottom of Page)"/>
        <w:docPartUnique/>
      </w:docPartObj>
    </w:sdtPr>
    <w:sdtEndPr>
      <w:rPr>
        <w:noProof/>
      </w:rPr>
    </w:sdtEndPr>
    <w:sdtContent>
      <w:p w14:paraId="6CFE5748" w14:textId="2DEB08A4" w:rsidR="00432342" w:rsidRDefault="0043234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9A91C1A" w14:textId="77777777" w:rsidR="00432342" w:rsidRDefault="004323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C43247" w14:textId="77777777" w:rsidR="0060650C" w:rsidRDefault="0060650C" w:rsidP="00432342">
      <w:pPr>
        <w:spacing w:after="0" w:line="240" w:lineRule="auto"/>
      </w:pPr>
      <w:r>
        <w:separator/>
      </w:r>
    </w:p>
  </w:footnote>
  <w:footnote w:type="continuationSeparator" w:id="0">
    <w:p w14:paraId="47171032" w14:textId="77777777" w:rsidR="0060650C" w:rsidRDefault="0060650C" w:rsidP="004323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74075"/>
    <w:multiLevelType w:val="multilevel"/>
    <w:tmpl w:val="F54AD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88D38C4"/>
    <w:multiLevelType w:val="multilevel"/>
    <w:tmpl w:val="E0DE3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6414034">
    <w:abstractNumId w:val="0"/>
  </w:num>
  <w:num w:numId="2" w16cid:durableId="1144203691">
    <w:abstractNumId w:val="1"/>
  </w:num>
  <w:num w:numId="3" w16cid:durableId="1410444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33"/>
    <w:rsid w:val="00015856"/>
    <w:rsid w:val="00030CD6"/>
    <w:rsid w:val="00035372"/>
    <w:rsid w:val="00056292"/>
    <w:rsid w:val="00087B46"/>
    <w:rsid w:val="00091804"/>
    <w:rsid w:val="000C4F68"/>
    <w:rsid w:val="000D3DE5"/>
    <w:rsid w:val="000D53F7"/>
    <w:rsid w:val="000E57F2"/>
    <w:rsid w:val="000F3AF0"/>
    <w:rsid w:val="00166918"/>
    <w:rsid w:val="001C476E"/>
    <w:rsid w:val="001E290F"/>
    <w:rsid w:val="001F1167"/>
    <w:rsid w:val="001F1B13"/>
    <w:rsid w:val="001F1D2C"/>
    <w:rsid w:val="00214B2F"/>
    <w:rsid w:val="00225792"/>
    <w:rsid w:val="00231CC1"/>
    <w:rsid w:val="00243ED5"/>
    <w:rsid w:val="002563FE"/>
    <w:rsid w:val="002D411F"/>
    <w:rsid w:val="002D7055"/>
    <w:rsid w:val="002E1FF9"/>
    <w:rsid w:val="002E5865"/>
    <w:rsid w:val="002F7C7F"/>
    <w:rsid w:val="00337F9E"/>
    <w:rsid w:val="00367133"/>
    <w:rsid w:val="00393932"/>
    <w:rsid w:val="00425DF3"/>
    <w:rsid w:val="0042620C"/>
    <w:rsid w:val="0043220E"/>
    <w:rsid w:val="00432342"/>
    <w:rsid w:val="004346A2"/>
    <w:rsid w:val="00435508"/>
    <w:rsid w:val="0046124B"/>
    <w:rsid w:val="00466C33"/>
    <w:rsid w:val="00476775"/>
    <w:rsid w:val="0049221B"/>
    <w:rsid w:val="004D2024"/>
    <w:rsid w:val="004D341E"/>
    <w:rsid w:val="004D3A34"/>
    <w:rsid w:val="004F600B"/>
    <w:rsid w:val="00532215"/>
    <w:rsid w:val="0053758F"/>
    <w:rsid w:val="0055499E"/>
    <w:rsid w:val="005D47FE"/>
    <w:rsid w:val="005D548A"/>
    <w:rsid w:val="005E5DF6"/>
    <w:rsid w:val="005E77EA"/>
    <w:rsid w:val="005F4AE2"/>
    <w:rsid w:val="006038ED"/>
    <w:rsid w:val="0060650C"/>
    <w:rsid w:val="00661E9F"/>
    <w:rsid w:val="00671713"/>
    <w:rsid w:val="00682108"/>
    <w:rsid w:val="0069665D"/>
    <w:rsid w:val="006C5708"/>
    <w:rsid w:val="006D2B9F"/>
    <w:rsid w:val="006E7C63"/>
    <w:rsid w:val="00733FF7"/>
    <w:rsid w:val="007529E4"/>
    <w:rsid w:val="00756791"/>
    <w:rsid w:val="007626AA"/>
    <w:rsid w:val="00782FDA"/>
    <w:rsid w:val="007A476E"/>
    <w:rsid w:val="007E0D79"/>
    <w:rsid w:val="007E51D8"/>
    <w:rsid w:val="007F61DE"/>
    <w:rsid w:val="007F6C7D"/>
    <w:rsid w:val="0081770C"/>
    <w:rsid w:val="00854339"/>
    <w:rsid w:val="00874B26"/>
    <w:rsid w:val="008867A1"/>
    <w:rsid w:val="008D1441"/>
    <w:rsid w:val="008D468F"/>
    <w:rsid w:val="008E2525"/>
    <w:rsid w:val="00922B62"/>
    <w:rsid w:val="009267E2"/>
    <w:rsid w:val="00943D6A"/>
    <w:rsid w:val="00946C87"/>
    <w:rsid w:val="009716B3"/>
    <w:rsid w:val="00971CF7"/>
    <w:rsid w:val="00975DF2"/>
    <w:rsid w:val="009776DD"/>
    <w:rsid w:val="0099479D"/>
    <w:rsid w:val="009B67AF"/>
    <w:rsid w:val="00A03AB3"/>
    <w:rsid w:val="00A56D71"/>
    <w:rsid w:val="00A9560E"/>
    <w:rsid w:val="00AA3D6A"/>
    <w:rsid w:val="00AB7900"/>
    <w:rsid w:val="00AB7E4F"/>
    <w:rsid w:val="00AC687E"/>
    <w:rsid w:val="00AD48A4"/>
    <w:rsid w:val="00AD70A6"/>
    <w:rsid w:val="00AE6BC9"/>
    <w:rsid w:val="00B4269A"/>
    <w:rsid w:val="00B502A8"/>
    <w:rsid w:val="00B57B5A"/>
    <w:rsid w:val="00B62F0B"/>
    <w:rsid w:val="00B72ABA"/>
    <w:rsid w:val="00B76A8D"/>
    <w:rsid w:val="00B92E00"/>
    <w:rsid w:val="00BA1FDF"/>
    <w:rsid w:val="00BA69FB"/>
    <w:rsid w:val="00BB3841"/>
    <w:rsid w:val="00BD1C36"/>
    <w:rsid w:val="00BE2FCB"/>
    <w:rsid w:val="00BF4858"/>
    <w:rsid w:val="00C24893"/>
    <w:rsid w:val="00C302BF"/>
    <w:rsid w:val="00C63DD2"/>
    <w:rsid w:val="00C72DB1"/>
    <w:rsid w:val="00C93E69"/>
    <w:rsid w:val="00CB5B2F"/>
    <w:rsid w:val="00CB7176"/>
    <w:rsid w:val="00CD1E59"/>
    <w:rsid w:val="00CE2DE5"/>
    <w:rsid w:val="00D0052D"/>
    <w:rsid w:val="00D047CA"/>
    <w:rsid w:val="00D06968"/>
    <w:rsid w:val="00D11DA5"/>
    <w:rsid w:val="00D26575"/>
    <w:rsid w:val="00D415C6"/>
    <w:rsid w:val="00D4305B"/>
    <w:rsid w:val="00D512F0"/>
    <w:rsid w:val="00D62EC4"/>
    <w:rsid w:val="00DA7BF8"/>
    <w:rsid w:val="00DB50B4"/>
    <w:rsid w:val="00DB7B44"/>
    <w:rsid w:val="00DD7313"/>
    <w:rsid w:val="00DE3FFB"/>
    <w:rsid w:val="00E24B28"/>
    <w:rsid w:val="00E94539"/>
    <w:rsid w:val="00EC13F8"/>
    <w:rsid w:val="00EC76AA"/>
    <w:rsid w:val="00ED1F62"/>
    <w:rsid w:val="00EF3B38"/>
    <w:rsid w:val="00F01FBA"/>
    <w:rsid w:val="00F04874"/>
    <w:rsid w:val="00F1325E"/>
    <w:rsid w:val="00F1631F"/>
    <w:rsid w:val="00F34E4F"/>
    <w:rsid w:val="00F51659"/>
    <w:rsid w:val="00F65FB4"/>
    <w:rsid w:val="00F74783"/>
    <w:rsid w:val="00FA196C"/>
    <w:rsid w:val="00FB7C72"/>
    <w:rsid w:val="00FC059A"/>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0461B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7C63"/>
    <w:pPr>
      <w:spacing w:after="200" w:line="360" w:lineRule="auto"/>
      <w:jc w:val="both"/>
    </w:pPr>
    <w:rPr>
      <w:rFonts w:ascii="Times New Roman" w:hAnsi="Times New Roman"/>
      <w:color w:val="000000" w:themeColor="text1"/>
      <w:sz w:val="24"/>
      <w:lang w:val="en-GB"/>
      <w14:ligatures w14:val="none"/>
    </w:rPr>
  </w:style>
  <w:style w:type="paragraph" w:styleId="Heading1">
    <w:name w:val="heading 1"/>
    <w:basedOn w:val="Normal"/>
    <w:next w:val="Normal"/>
    <w:link w:val="Heading1Char"/>
    <w:autoRedefine/>
    <w:uiPriority w:val="9"/>
    <w:qFormat/>
    <w:rsid w:val="0053758F"/>
    <w:pPr>
      <w:keepNext/>
      <w:keepLines/>
      <w:spacing w:before="240" w:after="0"/>
      <w:outlineLvl w:val="0"/>
    </w:pPr>
    <w:rPr>
      <w:rFonts w:eastAsiaTheme="majorEastAsia" w:cstheme="majorBidi"/>
      <w:b/>
      <w:sz w:val="36"/>
      <w:szCs w:val="32"/>
      <w:lang w:val="en-IN"/>
    </w:rPr>
  </w:style>
  <w:style w:type="paragraph" w:styleId="Heading2">
    <w:name w:val="heading 2"/>
    <w:basedOn w:val="Normal"/>
    <w:next w:val="Normal"/>
    <w:link w:val="Heading2Char"/>
    <w:autoRedefine/>
    <w:uiPriority w:val="9"/>
    <w:unhideWhenUsed/>
    <w:qFormat/>
    <w:rsid w:val="00F34E4F"/>
    <w:pPr>
      <w:keepNext/>
      <w:keepLines/>
      <w:spacing w:before="40" w:after="0"/>
      <w:outlineLvl w:val="1"/>
    </w:pPr>
    <w:rPr>
      <w:rFonts w:eastAsiaTheme="majorEastAsia" w:cstheme="majorBidi"/>
      <w:b/>
      <w:kern w:val="2"/>
      <w:sz w:val="32"/>
      <w:szCs w:val="26"/>
      <w:lang w:val="en-IN"/>
      <w14:ligatures w14:val="standardContextual"/>
    </w:rPr>
  </w:style>
  <w:style w:type="paragraph" w:styleId="Heading3">
    <w:name w:val="heading 3"/>
    <w:basedOn w:val="Normal"/>
    <w:next w:val="Normal"/>
    <w:link w:val="Heading3Char"/>
    <w:uiPriority w:val="9"/>
    <w:unhideWhenUsed/>
    <w:qFormat/>
    <w:rsid w:val="00B72ABA"/>
    <w:pPr>
      <w:keepNext/>
      <w:keepLines/>
      <w:suppressAutoHyphens/>
      <w:autoSpaceDN w:val="0"/>
      <w:spacing w:before="40" w:after="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367133"/>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67133"/>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36713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6713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6713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6713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758F"/>
    <w:rPr>
      <w:rFonts w:ascii="Times New Roman" w:eastAsiaTheme="majorEastAsia" w:hAnsi="Times New Roman" w:cstheme="majorBidi"/>
      <w:b/>
      <w:color w:val="000000" w:themeColor="text1"/>
      <w:sz w:val="36"/>
      <w:szCs w:val="32"/>
      <w:lang w:val="en-IN"/>
      <w14:ligatures w14:val="none"/>
    </w:rPr>
  </w:style>
  <w:style w:type="character" w:customStyle="1" w:styleId="Heading2Char">
    <w:name w:val="Heading 2 Char"/>
    <w:basedOn w:val="DefaultParagraphFont"/>
    <w:link w:val="Heading2"/>
    <w:uiPriority w:val="9"/>
    <w:rsid w:val="00F34E4F"/>
    <w:rPr>
      <w:rFonts w:ascii="Times New Roman" w:eastAsiaTheme="majorEastAsia" w:hAnsi="Times New Roman" w:cstheme="majorBidi"/>
      <w:b/>
      <w:color w:val="000000" w:themeColor="text1"/>
      <w:kern w:val="2"/>
      <w:sz w:val="32"/>
      <w:szCs w:val="26"/>
      <w:lang w:val="en-IN"/>
    </w:rPr>
  </w:style>
  <w:style w:type="character" w:customStyle="1" w:styleId="Heading3Char">
    <w:name w:val="Heading 3 Char"/>
    <w:basedOn w:val="DefaultParagraphFont"/>
    <w:link w:val="Heading3"/>
    <w:uiPriority w:val="9"/>
    <w:rsid w:val="00B72ABA"/>
    <w:rPr>
      <w:rFonts w:ascii="Times New Roman" w:eastAsiaTheme="majorEastAsia" w:hAnsi="Times New Roman" w:cstheme="majorBidi"/>
      <w:b/>
      <w:color w:val="000000" w:themeColor="text1"/>
      <w:kern w:val="0"/>
      <w:sz w:val="24"/>
      <w:szCs w:val="24"/>
      <w:lang w:val="en-GB"/>
    </w:rPr>
  </w:style>
  <w:style w:type="character" w:customStyle="1" w:styleId="Heading4Char">
    <w:name w:val="Heading 4 Char"/>
    <w:basedOn w:val="DefaultParagraphFont"/>
    <w:link w:val="Heading4"/>
    <w:uiPriority w:val="9"/>
    <w:semiHidden/>
    <w:rsid w:val="00367133"/>
    <w:rPr>
      <w:rFonts w:eastAsiaTheme="majorEastAsia" w:cstheme="majorBidi"/>
      <w:i/>
      <w:iCs/>
      <w:color w:val="2F5496" w:themeColor="accent1" w:themeShade="BF"/>
      <w:sz w:val="24"/>
      <w:lang w:val="en-GB"/>
      <w14:ligatures w14:val="none"/>
    </w:rPr>
  </w:style>
  <w:style w:type="character" w:customStyle="1" w:styleId="Heading5Char">
    <w:name w:val="Heading 5 Char"/>
    <w:basedOn w:val="DefaultParagraphFont"/>
    <w:link w:val="Heading5"/>
    <w:uiPriority w:val="9"/>
    <w:semiHidden/>
    <w:rsid w:val="00367133"/>
    <w:rPr>
      <w:rFonts w:eastAsiaTheme="majorEastAsia" w:cstheme="majorBidi"/>
      <w:color w:val="2F5496" w:themeColor="accent1" w:themeShade="BF"/>
      <w:sz w:val="24"/>
      <w:lang w:val="en-GB"/>
      <w14:ligatures w14:val="none"/>
    </w:rPr>
  </w:style>
  <w:style w:type="character" w:customStyle="1" w:styleId="Heading6Char">
    <w:name w:val="Heading 6 Char"/>
    <w:basedOn w:val="DefaultParagraphFont"/>
    <w:link w:val="Heading6"/>
    <w:uiPriority w:val="9"/>
    <w:semiHidden/>
    <w:rsid w:val="00367133"/>
    <w:rPr>
      <w:rFonts w:eastAsiaTheme="majorEastAsia" w:cstheme="majorBidi"/>
      <w:i/>
      <w:iCs/>
      <w:color w:val="595959" w:themeColor="text1" w:themeTint="A6"/>
      <w:sz w:val="24"/>
      <w:lang w:val="en-GB"/>
      <w14:ligatures w14:val="none"/>
    </w:rPr>
  </w:style>
  <w:style w:type="character" w:customStyle="1" w:styleId="Heading7Char">
    <w:name w:val="Heading 7 Char"/>
    <w:basedOn w:val="DefaultParagraphFont"/>
    <w:link w:val="Heading7"/>
    <w:uiPriority w:val="9"/>
    <w:semiHidden/>
    <w:rsid w:val="00367133"/>
    <w:rPr>
      <w:rFonts w:eastAsiaTheme="majorEastAsia" w:cstheme="majorBidi"/>
      <w:color w:val="595959" w:themeColor="text1" w:themeTint="A6"/>
      <w:sz w:val="24"/>
      <w:lang w:val="en-GB"/>
      <w14:ligatures w14:val="none"/>
    </w:rPr>
  </w:style>
  <w:style w:type="character" w:customStyle="1" w:styleId="Heading8Char">
    <w:name w:val="Heading 8 Char"/>
    <w:basedOn w:val="DefaultParagraphFont"/>
    <w:link w:val="Heading8"/>
    <w:uiPriority w:val="9"/>
    <w:semiHidden/>
    <w:rsid w:val="00367133"/>
    <w:rPr>
      <w:rFonts w:eastAsiaTheme="majorEastAsia" w:cstheme="majorBidi"/>
      <w:i/>
      <w:iCs/>
      <w:color w:val="272727" w:themeColor="text1" w:themeTint="D8"/>
      <w:sz w:val="24"/>
      <w:lang w:val="en-GB"/>
      <w14:ligatures w14:val="none"/>
    </w:rPr>
  </w:style>
  <w:style w:type="character" w:customStyle="1" w:styleId="Heading9Char">
    <w:name w:val="Heading 9 Char"/>
    <w:basedOn w:val="DefaultParagraphFont"/>
    <w:link w:val="Heading9"/>
    <w:uiPriority w:val="9"/>
    <w:semiHidden/>
    <w:rsid w:val="00367133"/>
    <w:rPr>
      <w:rFonts w:eastAsiaTheme="majorEastAsia" w:cstheme="majorBidi"/>
      <w:color w:val="272727" w:themeColor="text1" w:themeTint="D8"/>
      <w:sz w:val="24"/>
      <w:lang w:val="en-GB"/>
      <w14:ligatures w14:val="none"/>
    </w:rPr>
  </w:style>
  <w:style w:type="paragraph" w:styleId="Title">
    <w:name w:val="Title"/>
    <w:basedOn w:val="Normal"/>
    <w:next w:val="Normal"/>
    <w:link w:val="TitleChar"/>
    <w:uiPriority w:val="10"/>
    <w:qFormat/>
    <w:rsid w:val="00367133"/>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367133"/>
    <w:rPr>
      <w:rFonts w:asciiTheme="majorHAnsi" w:eastAsiaTheme="majorEastAsia" w:hAnsiTheme="majorHAnsi" w:cstheme="majorBidi"/>
      <w:spacing w:val="-10"/>
      <w:kern w:val="28"/>
      <w:sz w:val="56"/>
      <w:szCs w:val="56"/>
      <w:lang w:val="en-GB"/>
      <w14:ligatures w14:val="none"/>
    </w:rPr>
  </w:style>
  <w:style w:type="paragraph" w:styleId="Subtitle">
    <w:name w:val="Subtitle"/>
    <w:basedOn w:val="Normal"/>
    <w:next w:val="Normal"/>
    <w:link w:val="SubtitleChar"/>
    <w:uiPriority w:val="11"/>
    <w:qFormat/>
    <w:rsid w:val="0036713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7133"/>
    <w:rPr>
      <w:rFonts w:eastAsiaTheme="majorEastAsia" w:cstheme="majorBidi"/>
      <w:color w:val="595959" w:themeColor="text1" w:themeTint="A6"/>
      <w:spacing w:val="15"/>
      <w:sz w:val="28"/>
      <w:szCs w:val="28"/>
      <w:lang w:val="en-GB"/>
      <w14:ligatures w14:val="none"/>
    </w:rPr>
  </w:style>
  <w:style w:type="paragraph" w:styleId="Quote">
    <w:name w:val="Quote"/>
    <w:basedOn w:val="Normal"/>
    <w:next w:val="Normal"/>
    <w:link w:val="QuoteChar"/>
    <w:uiPriority w:val="29"/>
    <w:qFormat/>
    <w:rsid w:val="0036713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67133"/>
    <w:rPr>
      <w:rFonts w:ascii="Times New Roman" w:hAnsi="Times New Roman"/>
      <w:i/>
      <w:iCs/>
      <w:color w:val="404040" w:themeColor="text1" w:themeTint="BF"/>
      <w:sz w:val="24"/>
      <w:lang w:val="en-GB"/>
      <w14:ligatures w14:val="none"/>
    </w:rPr>
  </w:style>
  <w:style w:type="paragraph" w:styleId="ListParagraph">
    <w:name w:val="List Paragraph"/>
    <w:basedOn w:val="Normal"/>
    <w:uiPriority w:val="34"/>
    <w:qFormat/>
    <w:rsid w:val="00367133"/>
    <w:pPr>
      <w:ind w:left="720"/>
      <w:contextualSpacing/>
    </w:pPr>
  </w:style>
  <w:style w:type="character" w:styleId="IntenseEmphasis">
    <w:name w:val="Intense Emphasis"/>
    <w:basedOn w:val="DefaultParagraphFont"/>
    <w:uiPriority w:val="21"/>
    <w:qFormat/>
    <w:rsid w:val="00367133"/>
    <w:rPr>
      <w:i/>
      <w:iCs/>
      <w:color w:val="2F5496" w:themeColor="accent1" w:themeShade="BF"/>
    </w:rPr>
  </w:style>
  <w:style w:type="paragraph" w:styleId="IntenseQuote">
    <w:name w:val="Intense Quote"/>
    <w:basedOn w:val="Normal"/>
    <w:next w:val="Normal"/>
    <w:link w:val="IntenseQuoteChar"/>
    <w:uiPriority w:val="30"/>
    <w:qFormat/>
    <w:rsid w:val="0036713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67133"/>
    <w:rPr>
      <w:rFonts w:ascii="Times New Roman" w:hAnsi="Times New Roman"/>
      <w:i/>
      <w:iCs/>
      <w:color w:val="2F5496" w:themeColor="accent1" w:themeShade="BF"/>
      <w:sz w:val="24"/>
      <w:lang w:val="en-GB"/>
      <w14:ligatures w14:val="none"/>
    </w:rPr>
  </w:style>
  <w:style w:type="character" w:styleId="IntenseReference">
    <w:name w:val="Intense Reference"/>
    <w:basedOn w:val="DefaultParagraphFont"/>
    <w:uiPriority w:val="32"/>
    <w:qFormat/>
    <w:rsid w:val="00367133"/>
    <w:rPr>
      <w:b/>
      <w:bCs/>
      <w:smallCaps/>
      <w:color w:val="2F5496" w:themeColor="accent1" w:themeShade="BF"/>
      <w:spacing w:val="5"/>
    </w:rPr>
  </w:style>
  <w:style w:type="paragraph" w:styleId="TOCHeading">
    <w:name w:val="TOC Heading"/>
    <w:basedOn w:val="Heading1"/>
    <w:next w:val="Normal"/>
    <w:uiPriority w:val="39"/>
    <w:unhideWhenUsed/>
    <w:qFormat/>
    <w:rsid w:val="00367133"/>
    <w:pPr>
      <w:spacing w:line="259" w:lineRule="auto"/>
      <w:jc w:val="left"/>
      <w:outlineLvl w:val="9"/>
    </w:pPr>
    <w:rPr>
      <w:rFonts w:asciiTheme="majorHAnsi" w:hAnsiTheme="majorHAnsi"/>
      <w:b w:val="0"/>
      <w:color w:val="2F5496" w:themeColor="accent1" w:themeShade="BF"/>
      <w:sz w:val="32"/>
      <w:lang w:val="en-US" w:bidi="hi-IN"/>
    </w:rPr>
  </w:style>
  <w:style w:type="paragraph" w:styleId="TOC1">
    <w:name w:val="toc 1"/>
    <w:basedOn w:val="Normal"/>
    <w:next w:val="Normal"/>
    <w:autoRedefine/>
    <w:uiPriority w:val="39"/>
    <w:unhideWhenUsed/>
    <w:rsid w:val="00367133"/>
    <w:pPr>
      <w:spacing w:after="100"/>
    </w:pPr>
  </w:style>
  <w:style w:type="character" w:styleId="Hyperlink">
    <w:name w:val="Hyperlink"/>
    <w:basedOn w:val="DefaultParagraphFont"/>
    <w:uiPriority w:val="99"/>
    <w:unhideWhenUsed/>
    <w:rsid w:val="00367133"/>
    <w:rPr>
      <w:color w:val="0563C1" w:themeColor="hyperlink"/>
      <w:u w:val="single"/>
    </w:rPr>
  </w:style>
  <w:style w:type="paragraph" w:styleId="Header">
    <w:name w:val="header"/>
    <w:basedOn w:val="Normal"/>
    <w:link w:val="HeaderChar"/>
    <w:uiPriority w:val="99"/>
    <w:unhideWhenUsed/>
    <w:rsid w:val="004323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2342"/>
    <w:rPr>
      <w:rFonts w:ascii="Times New Roman" w:hAnsi="Times New Roman"/>
      <w:color w:val="000000" w:themeColor="text1"/>
      <w:sz w:val="24"/>
      <w:lang w:val="en-GB"/>
      <w14:ligatures w14:val="none"/>
    </w:rPr>
  </w:style>
  <w:style w:type="paragraph" w:styleId="Footer">
    <w:name w:val="footer"/>
    <w:basedOn w:val="Normal"/>
    <w:link w:val="FooterChar"/>
    <w:uiPriority w:val="99"/>
    <w:unhideWhenUsed/>
    <w:rsid w:val="004323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2342"/>
    <w:rPr>
      <w:rFonts w:ascii="Times New Roman" w:hAnsi="Times New Roman"/>
      <w:color w:val="000000" w:themeColor="text1"/>
      <w:sz w:val="24"/>
      <w:lang w:val="en-GB"/>
      <w14:ligatures w14:val="none"/>
    </w:rPr>
  </w:style>
  <w:style w:type="paragraph" w:styleId="NoSpacing">
    <w:name w:val="No Spacing"/>
    <w:uiPriority w:val="1"/>
    <w:qFormat/>
    <w:rsid w:val="00432342"/>
    <w:pPr>
      <w:spacing w:after="0" w:line="240" w:lineRule="auto"/>
      <w:jc w:val="both"/>
    </w:pPr>
    <w:rPr>
      <w:rFonts w:ascii="Times New Roman" w:hAnsi="Times New Roman"/>
      <w:color w:val="000000" w:themeColor="text1"/>
      <w:sz w:val="24"/>
      <w:lang w:val="en-GB"/>
      <w14:ligatures w14:val="none"/>
    </w:rPr>
  </w:style>
  <w:style w:type="character" w:styleId="UnresolvedMention">
    <w:name w:val="Unresolved Mention"/>
    <w:basedOn w:val="DefaultParagraphFont"/>
    <w:uiPriority w:val="99"/>
    <w:semiHidden/>
    <w:unhideWhenUsed/>
    <w:rsid w:val="00DB7B44"/>
    <w:rPr>
      <w:color w:val="605E5C"/>
      <w:shd w:val="clear" w:color="auto" w:fill="E1DFDD"/>
    </w:rPr>
  </w:style>
  <w:style w:type="character" w:styleId="FollowedHyperlink">
    <w:name w:val="FollowedHyperlink"/>
    <w:basedOn w:val="DefaultParagraphFont"/>
    <w:uiPriority w:val="99"/>
    <w:semiHidden/>
    <w:unhideWhenUsed/>
    <w:rsid w:val="007F61D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kingsfund.org.uk/publications/integrated-care-systems-explained" TargetMode="External"/><Relationship Id="rId5" Type="http://schemas.openxmlformats.org/officeDocument/2006/relationships/webSettings" Target="webSettings.xml"/><Relationship Id="rId10" Type="http://schemas.openxmlformats.org/officeDocument/2006/relationships/hyperlink" Target="https://www.gov.uk/government/publications/the-nhs-constitution-for-england"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76A534-9872-4587-9FE0-44FE5EE292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2847</Words>
  <Characters>17412</Characters>
  <Application>Microsoft Office Word</Application>
  <DocSecurity>0</DocSecurity>
  <Lines>145</Lines>
  <Paragraphs>40</Paragraphs>
  <ScaleCrop>false</ScaleCrop>
  <Company/>
  <LinksUpToDate>false</LinksUpToDate>
  <CharactersWithSpaces>20219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2025-10-26T08:42:00Z</dcterms:created>
  <dcterms:modified xsi:type="dcterms:W3CDTF">2025-11-16T22:10:00Z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8a1be7b9-a3e6-47d5-b02b-8630cb5908d9</vt:lpwstr>
  </property>
</Properties>
</file>