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003" w:rsidRDefault="003A1003" w:rsidP="00DB54E2">
      <w:pPr>
        <w:rPr>
          <w:noProof/>
          <w:lang w:eastAsia="en-GB"/>
        </w:rPr>
      </w:pPr>
    </w:p>
    <w:p w:rsidR="003A1003" w:rsidRDefault="003A1003" w:rsidP="003A1003">
      <w:pPr>
        <w:jc w:val="center"/>
      </w:pPr>
      <w:r>
        <w:rPr>
          <w:noProof/>
          <w:lang w:eastAsia="en-GB"/>
        </w:rPr>
        <w:drawing>
          <wp:inline distT="0" distB="0" distL="0" distR="0">
            <wp:extent cx="2936240" cy="1200108"/>
            <wp:effectExtent l="0" t="0" r="0" b="635"/>
            <wp:docPr id="1" name="Picture 1"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University of Wales Trinity Saint David Logo Vector - (.SVG + .PNG) -  Tukuz.Com"/>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820" b="16332"/>
                    <a:stretch/>
                  </pic:blipFill>
                  <pic:spPr bwMode="auto">
                    <a:xfrm>
                      <a:off x="0" y="0"/>
                      <a:ext cx="2962603" cy="1210883"/>
                    </a:xfrm>
                    <a:prstGeom prst="rect">
                      <a:avLst/>
                    </a:prstGeom>
                    <a:noFill/>
                    <a:ln>
                      <a:noFill/>
                    </a:ln>
                    <a:extLst>
                      <a:ext uri="{53640926-AAD7-44D8-BBD7-CCE9431645EC}">
                        <a14:shadowObscured xmlns:a14="http://schemas.microsoft.com/office/drawing/2010/main"/>
                      </a:ext>
                    </a:extLst>
                  </pic:spPr>
                </pic:pic>
              </a:graphicData>
            </a:graphic>
          </wp:inline>
        </w:drawing>
      </w:r>
    </w:p>
    <w:p w:rsidR="003A1003" w:rsidRDefault="003A1003" w:rsidP="00DB54E2"/>
    <w:p w:rsidR="003A1003" w:rsidRDefault="003A1003" w:rsidP="00DB54E2"/>
    <w:p w:rsidR="003A1003" w:rsidRDefault="003A1003" w:rsidP="00DB54E2"/>
    <w:p w:rsidR="003A1003" w:rsidRDefault="003A1003" w:rsidP="00DB54E2"/>
    <w:p w:rsidR="00DB54E2" w:rsidRDefault="00DB54E2" w:rsidP="003A1003">
      <w:pPr>
        <w:jc w:val="center"/>
      </w:pPr>
      <w:r>
        <w:t>Master o</w:t>
      </w:r>
      <w:r w:rsidR="003A1003">
        <w:t>f Business Administration (MBA)</w:t>
      </w:r>
    </w:p>
    <w:p w:rsidR="00DB54E2" w:rsidRDefault="00DB54E2" w:rsidP="003A1003">
      <w:pPr>
        <w:jc w:val="center"/>
      </w:pPr>
      <w:r>
        <w:t>Module Name: International Business Concepts</w:t>
      </w:r>
    </w:p>
    <w:p w:rsidR="00DB54E2" w:rsidRDefault="003A1003" w:rsidP="003A1003">
      <w:pPr>
        <w:jc w:val="center"/>
      </w:pPr>
      <w:r>
        <w:t>Module Code: LCMB7034</w:t>
      </w:r>
    </w:p>
    <w:p w:rsidR="00DB54E2" w:rsidRDefault="00DB54E2" w:rsidP="003A1003">
      <w:pPr>
        <w:jc w:val="center"/>
      </w:pPr>
      <w:r>
        <w:t>Assignment Title:</w:t>
      </w:r>
    </w:p>
    <w:p w:rsidR="00DB54E2" w:rsidRDefault="00DB54E2" w:rsidP="003A1003">
      <w:pPr>
        <w:jc w:val="center"/>
      </w:pPr>
      <w:r>
        <w:t>A Critical Evaluation of the Global Competitiveness of the UK Electric Vehicle Industry and the</w:t>
      </w:r>
      <w:r w:rsidR="003A1003">
        <w:t xml:space="preserve"> Market Entry Strategy of Tesla</w:t>
      </w:r>
    </w:p>
    <w:p w:rsidR="001D2C76" w:rsidRDefault="001D2C76" w:rsidP="003A1003">
      <w:pPr>
        <w:jc w:val="center"/>
      </w:pPr>
      <w:r>
        <w:t xml:space="preserve">Student Name: </w:t>
      </w:r>
      <w:r w:rsidRPr="001D2C76">
        <w:t xml:space="preserve">Haroon Ahmad </w:t>
      </w:r>
    </w:p>
    <w:p w:rsidR="001D2C76" w:rsidRDefault="001D2C76" w:rsidP="003A1003">
      <w:pPr>
        <w:jc w:val="center"/>
      </w:pPr>
      <w:r>
        <w:t xml:space="preserve">Student ID:  </w:t>
      </w:r>
      <w:r w:rsidRPr="001D2C76">
        <w:t>2437163</w:t>
      </w:r>
    </w:p>
    <w:p w:rsidR="00DB54E2" w:rsidRDefault="003A1003" w:rsidP="003A1003">
      <w:pPr>
        <w:jc w:val="center"/>
      </w:pPr>
      <w:r>
        <w:t xml:space="preserve">Lecturer: </w:t>
      </w:r>
      <w:proofErr w:type="spellStart"/>
      <w:r>
        <w:t>Akshay</w:t>
      </w:r>
      <w:proofErr w:type="spellEnd"/>
      <w:r>
        <w:t xml:space="preserve"> Narayanan</w:t>
      </w:r>
    </w:p>
    <w:p w:rsidR="00DB54E2" w:rsidRDefault="003A1003" w:rsidP="003A1003">
      <w:pPr>
        <w:jc w:val="center"/>
      </w:pPr>
      <w:r>
        <w:t>Word Count: 5,000 words</w:t>
      </w:r>
    </w:p>
    <w:p w:rsidR="00DF2A5F" w:rsidRDefault="00DB54E2" w:rsidP="003A1003">
      <w:pPr>
        <w:jc w:val="center"/>
      </w:pPr>
      <w:r>
        <w:t>Submission Date: 27 April 2026</w:t>
      </w:r>
    </w:p>
    <w:p w:rsidR="00257382" w:rsidRDefault="00257382">
      <w:pPr>
        <w:spacing w:line="278" w:lineRule="auto"/>
        <w:jc w:val="left"/>
      </w:pPr>
      <w:r>
        <w:br w:type="page"/>
      </w:r>
    </w:p>
    <w:sdt>
      <w:sdtPr>
        <w:id w:val="-1168938308"/>
        <w:docPartObj>
          <w:docPartGallery w:val="Table of Contents"/>
          <w:docPartUnique/>
        </w:docPartObj>
      </w:sdtPr>
      <w:sdtEndPr>
        <w:rPr>
          <w:rFonts w:ascii="Arial" w:eastAsiaTheme="minorHAnsi" w:hAnsi="Arial" w:cstheme="minorBidi"/>
          <w:b/>
          <w:bCs/>
          <w:noProof/>
          <w:color w:val="auto"/>
          <w:kern w:val="2"/>
          <w:sz w:val="24"/>
          <w:szCs w:val="24"/>
          <w:lang w:val="en-GB"/>
          <w14:ligatures w14:val="standardContextual"/>
        </w:rPr>
      </w:sdtEndPr>
      <w:sdtContent>
        <w:p w:rsidR="00257382" w:rsidRPr="00257382" w:rsidRDefault="00257382" w:rsidP="00257382">
          <w:pPr>
            <w:pStyle w:val="TOCHeading"/>
            <w:jc w:val="center"/>
            <w:rPr>
              <w:b/>
            </w:rPr>
          </w:pPr>
          <w:r w:rsidRPr="00257382">
            <w:rPr>
              <w:b/>
            </w:rPr>
            <w:t>Table of Contents</w:t>
          </w:r>
        </w:p>
        <w:p w:rsidR="00257382" w:rsidRDefault="00257382">
          <w:pPr>
            <w:pStyle w:val="TOC1"/>
            <w:tabs>
              <w:tab w:val="right" w:leader="dot" w:pos="9016"/>
            </w:tabs>
            <w:rPr>
              <w:noProof/>
            </w:rPr>
          </w:pPr>
          <w:r>
            <w:fldChar w:fldCharType="begin"/>
          </w:r>
          <w:r>
            <w:instrText xml:space="preserve"> TOC \o "1-3" \h \z \u </w:instrText>
          </w:r>
          <w:r>
            <w:fldChar w:fldCharType="separate"/>
          </w:r>
          <w:hyperlink w:anchor="_Toc228095197" w:history="1">
            <w:r w:rsidRPr="00487432">
              <w:rPr>
                <w:rStyle w:val="Hyperlink"/>
                <w:noProof/>
              </w:rPr>
              <w:t>SECTION 1 — REPORT</w:t>
            </w:r>
            <w:r>
              <w:rPr>
                <w:noProof/>
                <w:webHidden/>
              </w:rPr>
              <w:tab/>
            </w:r>
            <w:r>
              <w:rPr>
                <w:noProof/>
                <w:webHidden/>
              </w:rPr>
              <w:fldChar w:fldCharType="begin"/>
            </w:r>
            <w:r>
              <w:rPr>
                <w:noProof/>
                <w:webHidden/>
              </w:rPr>
              <w:instrText xml:space="preserve"> PAGEREF _Toc228095197 \h </w:instrText>
            </w:r>
            <w:r>
              <w:rPr>
                <w:noProof/>
                <w:webHidden/>
              </w:rPr>
            </w:r>
            <w:r>
              <w:rPr>
                <w:noProof/>
                <w:webHidden/>
              </w:rPr>
              <w:fldChar w:fldCharType="separate"/>
            </w:r>
            <w:r>
              <w:rPr>
                <w:noProof/>
                <w:webHidden/>
              </w:rPr>
              <w:t>3</w:t>
            </w:r>
            <w:r>
              <w:rPr>
                <w:noProof/>
                <w:webHidden/>
              </w:rPr>
              <w:fldChar w:fldCharType="end"/>
            </w:r>
          </w:hyperlink>
        </w:p>
        <w:p w:rsidR="00257382" w:rsidRDefault="00257382">
          <w:pPr>
            <w:pStyle w:val="TOC1"/>
            <w:tabs>
              <w:tab w:val="right" w:leader="dot" w:pos="9016"/>
            </w:tabs>
            <w:rPr>
              <w:noProof/>
            </w:rPr>
          </w:pPr>
          <w:hyperlink w:anchor="_Toc228095198" w:history="1">
            <w:r w:rsidRPr="00487432">
              <w:rPr>
                <w:rStyle w:val="Hyperlink"/>
                <w:noProof/>
              </w:rPr>
              <w:t>1. Introduction</w:t>
            </w:r>
            <w:r>
              <w:rPr>
                <w:noProof/>
                <w:webHidden/>
              </w:rPr>
              <w:tab/>
            </w:r>
            <w:r>
              <w:rPr>
                <w:noProof/>
                <w:webHidden/>
              </w:rPr>
              <w:fldChar w:fldCharType="begin"/>
            </w:r>
            <w:r>
              <w:rPr>
                <w:noProof/>
                <w:webHidden/>
              </w:rPr>
              <w:instrText xml:space="preserve"> PAGEREF _Toc228095198 \h </w:instrText>
            </w:r>
            <w:r>
              <w:rPr>
                <w:noProof/>
                <w:webHidden/>
              </w:rPr>
            </w:r>
            <w:r>
              <w:rPr>
                <w:noProof/>
                <w:webHidden/>
              </w:rPr>
              <w:fldChar w:fldCharType="separate"/>
            </w:r>
            <w:r>
              <w:rPr>
                <w:noProof/>
                <w:webHidden/>
              </w:rPr>
              <w:t>3</w:t>
            </w:r>
            <w:r>
              <w:rPr>
                <w:noProof/>
                <w:webHidden/>
              </w:rPr>
              <w:fldChar w:fldCharType="end"/>
            </w:r>
          </w:hyperlink>
        </w:p>
        <w:p w:rsidR="00257382" w:rsidRDefault="00257382">
          <w:pPr>
            <w:pStyle w:val="TOC1"/>
            <w:tabs>
              <w:tab w:val="right" w:leader="dot" w:pos="9016"/>
            </w:tabs>
            <w:rPr>
              <w:noProof/>
            </w:rPr>
          </w:pPr>
          <w:hyperlink w:anchor="_Toc228095199" w:history="1">
            <w:r w:rsidRPr="00487432">
              <w:rPr>
                <w:rStyle w:val="Hyperlink"/>
                <w:noProof/>
              </w:rPr>
              <w:t>2. Industry &amp; Country Overview</w:t>
            </w:r>
            <w:r>
              <w:rPr>
                <w:noProof/>
                <w:webHidden/>
              </w:rPr>
              <w:tab/>
            </w:r>
            <w:r>
              <w:rPr>
                <w:noProof/>
                <w:webHidden/>
              </w:rPr>
              <w:fldChar w:fldCharType="begin"/>
            </w:r>
            <w:r>
              <w:rPr>
                <w:noProof/>
                <w:webHidden/>
              </w:rPr>
              <w:instrText xml:space="preserve"> PAGEREF _Toc228095199 \h </w:instrText>
            </w:r>
            <w:r>
              <w:rPr>
                <w:noProof/>
                <w:webHidden/>
              </w:rPr>
            </w:r>
            <w:r>
              <w:rPr>
                <w:noProof/>
                <w:webHidden/>
              </w:rPr>
              <w:fldChar w:fldCharType="separate"/>
            </w:r>
            <w:r>
              <w:rPr>
                <w:noProof/>
                <w:webHidden/>
              </w:rPr>
              <w:t>4</w:t>
            </w:r>
            <w:r>
              <w:rPr>
                <w:noProof/>
                <w:webHidden/>
              </w:rPr>
              <w:fldChar w:fldCharType="end"/>
            </w:r>
          </w:hyperlink>
        </w:p>
        <w:p w:rsidR="00257382" w:rsidRDefault="00257382">
          <w:pPr>
            <w:pStyle w:val="TOC2"/>
            <w:tabs>
              <w:tab w:val="right" w:leader="dot" w:pos="9016"/>
            </w:tabs>
            <w:rPr>
              <w:noProof/>
            </w:rPr>
          </w:pPr>
          <w:hyperlink w:anchor="_Toc228095200" w:history="1">
            <w:r w:rsidRPr="00487432">
              <w:rPr>
                <w:rStyle w:val="Hyperlink"/>
                <w:noProof/>
              </w:rPr>
              <w:t>2.1 UK EV Industry Overview</w:t>
            </w:r>
            <w:r>
              <w:rPr>
                <w:noProof/>
                <w:webHidden/>
              </w:rPr>
              <w:tab/>
            </w:r>
            <w:r>
              <w:rPr>
                <w:noProof/>
                <w:webHidden/>
              </w:rPr>
              <w:fldChar w:fldCharType="begin"/>
            </w:r>
            <w:r>
              <w:rPr>
                <w:noProof/>
                <w:webHidden/>
              </w:rPr>
              <w:instrText xml:space="preserve"> PAGEREF _Toc228095200 \h </w:instrText>
            </w:r>
            <w:r>
              <w:rPr>
                <w:noProof/>
                <w:webHidden/>
              </w:rPr>
            </w:r>
            <w:r>
              <w:rPr>
                <w:noProof/>
                <w:webHidden/>
              </w:rPr>
              <w:fldChar w:fldCharType="separate"/>
            </w:r>
            <w:r>
              <w:rPr>
                <w:noProof/>
                <w:webHidden/>
              </w:rPr>
              <w:t>4</w:t>
            </w:r>
            <w:r>
              <w:rPr>
                <w:noProof/>
                <w:webHidden/>
              </w:rPr>
              <w:fldChar w:fldCharType="end"/>
            </w:r>
          </w:hyperlink>
        </w:p>
        <w:p w:rsidR="00257382" w:rsidRDefault="00257382">
          <w:pPr>
            <w:pStyle w:val="TOC2"/>
            <w:tabs>
              <w:tab w:val="right" w:leader="dot" w:pos="9016"/>
            </w:tabs>
            <w:rPr>
              <w:noProof/>
            </w:rPr>
          </w:pPr>
          <w:hyperlink w:anchor="_Toc228095201" w:history="1">
            <w:r w:rsidRPr="00487432">
              <w:rPr>
                <w:rStyle w:val="Hyperlink"/>
                <w:noProof/>
              </w:rPr>
              <w:t>2.2 Firms &amp; Market Structure</w:t>
            </w:r>
            <w:r>
              <w:rPr>
                <w:noProof/>
                <w:webHidden/>
              </w:rPr>
              <w:tab/>
            </w:r>
            <w:r>
              <w:rPr>
                <w:noProof/>
                <w:webHidden/>
              </w:rPr>
              <w:fldChar w:fldCharType="begin"/>
            </w:r>
            <w:r>
              <w:rPr>
                <w:noProof/>
                <w:webHidden/>
              </w:rPr>
              <w:instrText xml:space="preserve"> PAGEREF _Toc228095201 \h </w:instrText>
            </w:r>
            <w:r>
              <w:rPr>
                <w:noProof/>
                <w:webHidden/>
              </w:rPr>
            </w:r>
            <w:r>
              <w:rPr>
                <w:noProof/>
                <w:webHidden/>
              </w:rPr>
              <w:fldChar w:fldCharType="separate"/>
            </w:r>
            <w:r>
              <w:rPr>
                <w:noProof/>
                <w:webHidden/>
              </w:rPr>
              <w:t>5</w:t>
            </w:r>
            <w:r>
              <w:rPr>
                <w:noProof/>
                <w:webHidden/>
              </w:rPr>
              <w:fldChar w:fldCharType="end"/>
            </w:r>
          </w:hyperlink>
        </w:p>
        <w:p w:rsidR="00257382" w:rsidRDefault="00257382">
          <w:pPr>
            <w:pStyle w:val="TOC2"/>
            <w:tabs>
              <w:tab w:val="right" w:leader="dot" w:pos="9016"/>
            </w:tabs>
            <w:rPr>
              <w:noProof/>
            </w:rPr>
          </w:pPr>
          <w:hyperlink w:anchor="_Toc228095202" w:history="1">
            <w:r w:rsidRPr="00487432">
              <w:rPr>
                <w:rStyle w:val="Hyperlink"/>
                <w:noProof/>
              </w:rPr>
              <w:t>2.3 Competitive Dynamics</w:t>
            </w:r>
            <w:r>
              <w:rPr>
                <w:noProof/>
                <w:webHidden/>
              </w:rPr>
              <w:tab/>
            </w:r>
            <w:r>
              <w:rPr>
                <w:noProof/>
                <w:webHidden/>
              </w:rPr>
              <w:fldChar w:fldCharType="begin"/>
            </w:r>
            <w:r>
              <w:rPr>
                <w:noProof/>
                <w:webHidden/>
              </w:rPr>
              <w:instrText xml:space="preserve"> PAGEREF _Toc228095202 \h </w:instrText>
            </w:r>
            <w:r>
              <w:rPr>
                <w:noProof/>
                <w:webHidden/>
              </w:rPr>
            </w:r>
            <w:r>
              <w:rPr>
                <w:noProof/>
                <w:webHidden/>
              </w:rPr>
              <w:fldChar w:fldCharType="separate"/>
            </w:r>
            <w:r>
              <w:rPr>
                <w:noProof/>
                <w:webHidden/>
              </w:rPr>
              <w:t>6</w:t>
            </w:r>
            <w:r>
              <w:rPr>
                <w:noProof/>
                <w:webHidden/>
              </w:rPr>
              <w:fldChar w:fldCharType="end"/>
            </w:r>
          </w:hyperlink>
        </w:p>
        <w:p w:rsidR="00257382" w:rsidRDefault="00257382">
          <w:pPr>
            <w:pStyle w:val="TOC1"/>
            <w:tabs>
              <w:tab w:val="right" w:leader="dot" w:pos="9016"/>
            </w:tabs>
            <w:rPr>
              <w:noProof/>
            </w:rPr>
          </w:pPr>
          <w:hyperlink w:anchor="_Toc228095203" w:history="1">
            <w:r w:rsidRPr="00487432">
              <w:rPr>
                <w:rStyle w:val="Hyperlink"/>
                <w:noProof/>
              </w:rPr>
              <w:t>3. Porter’s Diamond Model of National Advantage</w:t>
            </w:r>
            <w:r>
              <w:rPr>
                <w:noProof/>
                <w:webHidden/>
              </w:rPr>
              <w:tab/>
            </w:r>
            <w:r>
              <w:rPr>
                <w:noProof/>
                <w:webHidden/>
              </w:rPr>
              <w:fldChar w:fldCharType="begin"/>
            </w:r>
            <w:r>
              <w:rPr>
                <w:noProof/>
                <w:webHidden/>
              </w:rPr>
              <w:instrText xml:space="preserve"> PAGEREF _Toc228095203 \h </w:instrText>
            </w:r>
            <w:r>
              <w:rPr>
                <w:noProof/>
                <w:webHidden/>
              </w:rPr>
            </w:r>
            <w:r>
              <w:rPr>
                <w:noProof/>
                <w:webHidden/>
              </w:rPr>
              <w:fldChar w:fldCharType="separate"/>
            </w:r>
            <w:r>
              <w:rPr>
                <w:noProof/>
                <w:webHidden/>
              </w:rPr>
              <w:t>7</w:t>
            </w:r>
            <w:r>
              <w:rPr>
                <w:noProof/>
                <w:webHidden/>
              </w:rPr>
              <w:fldChar w:fldCharType="end"/>
            </w:r>
          </w:hyperlink>
        </w:p>
        <w:p w:rsidR="00257382" w:rsidRDefault="00257382">
          <w:pPr>
            <w:pStyle w:val="TOC2"/>
            <w:tabs>
              <w:tab w:val="right" w:leader="dot" w:pos="9016"/>
            </w:tabs>
            <w:rPr>
              <w:noProof/>
            </w:rPr>
          </w:pPr>
          <w:hyperlink w:anchor="_Toc228095204" w:history="1">
            <w:r w:rsidRPr="00487432">
              <w:rPr>
                <w:rStyle w:val="Hyperlink"/>
                <w:noProof/>
              </w:rPr>
              <w:t>3.1 Factor Conditions</w:t>
            </w:r>
            <w:r>
              <w:rPr>
                <w:noProof/>
                <w:webHidden/>
              </w:rPr>
              <w:tab/>
            </w:r>
            <w:r>
              <w:rPr>
                <w:noProof/>
                <w:webHidden/>
              </w:rPr>
              <w:fldChar w:fldCharType="begin"/>
            </w:r>
            <w:r>
              <w:rPr>
                <w:noProof/>
                <w:webHidden/>
              </w:rPr>
              <w:instrText xml:space="preserve"> PAGEREF _Toc228095204 \h </w:instrText>
            </w:r>
            <w:r>
              <w:rPr>
                <w:noProof/>
                <w:webHidden/>
              </w:rPr>
            </w:r>
            <w:r>
              <w:rPr>
                <w:noProof/>
                <w:webHidden/>
              </w:rPr>
              <w:fldChar w:fldCharType="separate"/>
            </w:r>
            <w:r>
              <w:rPr>
                <w:noProof/>
                <w:webHidden/>
              </w:rPr>
              <w:t>7</w:t>
            </w:r>
            <w:r>
              <w:rPr>
                <w:noProof/>
                <w:webHidden/>
              </w:rPr>
              <w:fldChar w:fldCharType="end"/>
            </w:r>
          </w:hyperlink>
        </w:p>
        <w:p w:rsidR="00257382" w:rsidRDefault="00257382">
          <w:pPr>
            <w:pStyle w:val="TOC2"/>
            <w:tabs>
              <w:tab w:val="right" w:leader="dot" w:pos="9016"/>
            </w:tabs>
            <w:rPr>
              <w:noProof/>
            </w:rPr>
          </w:pPr>
          <w:hyperlink w:anchor="_Toc228095205" w:history="1">
            <w:r w:rsidRPr="00487432">
              <w:rPr>
                <w:rStyle w:val="Hyperlink"/>
                <w:noProof/>
              </w:rPr>
              <w:t>3.2 Demand Conditions</w:t>
            </w:r>
            <w:r>
              <w:rPr>
                <w:noProof/>
                <w:webHidden/>
              </w:rPr>
              <w:tab/>
            </w:r>
            <w:r>
              <w:rPr>
                <w:noProof/>
                <w:webHidden/>
              </w:rPr>
              <w:fldChar w:fldCharType="begin"/>
            </w:r>
            <w:r>
              <w:rPr>
                <w:noProof/>
                <w:webHidden/>
              </w:rPr>
              <w:instrText xml:space="preserve"> PAGEREF _Toc228095205 \h </w:instrText>
            </w:r>
            <w:r>
              <w:rPr>
                <w:noProof/>
                <w:webHidden/>
              </w:rPr>
            </w:r>
            <w:r>
              <w:rPr>
                <w:noProof/>
                <w:webHidden/>
              </w:rPr>
              <w:fldChar w:fldCharType="separate"/>
            </w:r>
            <w:r>
              <w:rPr>
                <w:noProof/>
                <w:webHidden/>
              </w:rPr>
              <w:t>8</w:t>
            </w:r>
            <w:r>
              <w:rPr>
                <w:noProof/>
                <w:webHidden/>
              </w:rPr>
              <w:fldChar w:fldCharType="end"/>
            </w:r>
          </w:hyperlink>
        </w:p>
        <w:p w:rsidR="00257382" w:rsidRDefault="00257382">
          <w:pPr>
            <w:pStyle w:val="TOC2"/>
            <w:tabs>
              <w:tab w:val="right" w:leader="dot" w:pos="9016"/>
            </w:tabs>
            <w:rPr>
              <w:noProof/>
            </w:rPr>
          </w:pPr>
          <w:hyperlink w:anchor="_Toc228095206" w:history="1">
            <w:r w:rsidRPr="00487432">
              <w:rPr>
                <w:rStyle w:val="Hyperlink"/>
                <w:noProof/>
              </w:rPr>
              <w:t>3.3 Related and Supporting Industries</w:t>
            </w:r>
            <w:r>
              <w:rPr>
                <w:noProof/>
                <w:webHidden/>
              </w:rPr>
              <w:tab/>
            </w:r>
            <w:r>
              <w:rPr>
                <w:noProof/>
                <w:webHidden/>
              </w:rPr>
              <w:fldChar w:fldCharType="begin"/>
            </w:r>
            <w:r>
              <w:rPr>
                <w:noProof/>
                <w:webHidden/>
              </w:rPr>
              <w:instrText xml:space="preserve"> PAGEREF _Toc228095206 \h </w:instrText>
            </w:r>
            <w:r>
              <w:rPr>
                <w:noProof/>
                <w:webHidden/>
              </w:rPr>
            </w:r>
            <w:r>
              <w:rPr>
                <w:noProof/>
                <w:webHidden/>
              </w:rPr>
              <w:fldChar w:fldCharType="separate"/>
            </w:r>
            <w:r>
              <w:rPr>
                <w:noProof/>
                <w:webHidden/>
              </w:rPr>
              <w:t>8</w:t>
            </w:r>
            <w:r>
              <w:rPr>
                <w:noProof/>
                <w:webHidden/>
              </w:rPr>
              <w:fldChar w:fldCharType="end"/>
            </w:r>
          </w:hyperlink>
        </w:p>
        <w:p w:rsidR="00257382" w:rsidRDefault="00257382">
          <w:pPr>
            <w:pStyle w:val="TOC2"/>
            <w:tabs>
              <w:tab w:val="right" w:leader="dot" w:pos="9016"/>
            </w:tabs>
            <w:rPr>
              <w:noProof/>
            </w:rPr>
          </w:pPr>
          <w:hyperlink w:anchor="_Toc228095207" w:history="1">
            <w:r w:rsidRPr="00487432">
              <w:rPr>
                <w:rStyle w:val="Hyperlink"/>
                <w:noProof/>
              </w:rPr>
              <w:t>3.4 Firm Strategy, Structure and Rivalry</w:t>
            </w:r>
            <w:r>
              <w:rPr>
                <w:noProof/>
                <w:webHidden/>
              </w:rPr>
              <w:tab/>
            </w:r>
            <w:r>
              <w:rPr>
                <w:noProof/>
                <w:webHidden/>
              </w:rPr>
              <w:fldChar w:fldCharType="begin"/>
            </w:r>
            <w:r>
              <w:rPr>
                <w:noProof/>
                <w:webHidden/>
              </w:rPr>
              <w:instrText xml:space="preserve"> PAGEREF _Toc228095207 \h </w:instrText>
            </w:r>
            <w:r>
              <w:rPr>
                <w:noProof/>
                <w:webHidden/>
              </w:rPr>
            </w:r>
            <w:r>
              <w:rPr>
                <w:noProof/>
                <w:webHidden/>
              </w:rPr>
              <w:fldChar w:fldCharType="separate"/>
            </w:r>
            <w:r>
              <w:rPr>
                <w:noProof/>
                <w:webHidden/>
              </w:rPr>
              <w:t>9</w:t>
            </w:r>
            <w:r>
              <w:rPr>
                <w:noProof/>
                <w:webHidden/>
              </w:rPr>
              <w:fldChar w:fldCharType="end"/>
            </w:r>
          </w:hyperlink>
        </w:p>
        <w:p w:rsidR="00257382" w:rsidRDefault="00257382">
          <w:pPr>
            <w:pStyle w:val="TOC2"/>
            <w:tabs>
              <w:tab w:val="right" w:leader="dot" w:pos="9016"/>
            </w:tabs>
            <w:rPr>
              <w:noProof/>
            </w:rPr>
          </w:pPr>
          <w:hyperlink w:anchor="_Toc228095208" w:history="1">
            <w:r w:rsidRPr="00487432">
              <w:rPr>
                <w:rStyle w:val="Hyperlink"/>
                <w:noProof/>
              </w:rPr>
              <w:t>3.5 Government and Chance</w:t>
            </w:r>
            <w:r>
              <w:rPr>
                <w:noProof/>
                <w:webHidden/>
              </w:rPr>
              <w:tab/>
            </w:r>
            <w:r>
              <w:rPr>
                <w:noProof/>
                <w:webHidden/>
              </w:rPr>
              <w:fldChar w:fldCharType="begin"/>
            </w:r>
            <w:r>
              <w:rPr>
                <w:noProof/>
                <w:webHidden/>
              </w:rPr>
              <w:instrText xml:space="preserve"> PAGEREF _Toc228095208 \h </w:instrText>
            </w:r>
            <w:r>
              <w:rPr>
                <w:noProof/>
                <w:webHidden/>
              </w:rPr>
            </w:r>
            <w:r>
              <w:rPr>
                <w:noProof/>
                <w:webHidden/>
              </w:rPr>
              <w:fldChar w:fldCharType="separate"/>
            </w:r>
            <w:r>
              <w:rPr>
                <w:noProof/>
                <w:webHidden/>
              </w:rPr>
              <w:t>10</w:t>
            </w:r>
            <w:r>
              <w:rPr>
                <w:noProof/>
                <w:webHidden/>
              </w:rPr>
              <w:fldChar w:fldCharType="end"/>
            </w:r>
          </w:hyperlink>
        </w:p>
        <w:p w:rsidR="00257382" w:rsidRDefault="00257382">
          <w:pPr>
            <w:pStyle w:val="TOC1"/>
            <w:tabs>
              <w:tab w:val="right" w:leader="dot" w:pos="9016"/>
            </w:tabs>
            <w:rPr>
              <w:noProof/>
            </w:rPr>
          </w:pPr>
          <w:hyperlink w:anchor="_Toc228095209" w:history="1">
            <w:r w:rsidRPr="00487432">
              <w:rPr>
                <w:rStyle w:val="Hyperlink"/>
                <w:noProof/>
              </w:rPr>
              <w:t>4. TESLA MARKET ENTRY &amp; SUCCESS</w:t>
            </w:r>
            <w:r>
              <w:rPr>
                <w:noProof/>
                <w:webHidden/>
              </w:rPr>
              <w:tab/>
            </w:r>
            <w:r>
              <w:rPr>
                <w:noProof/>
                <w:webHidden/>
              </w:rPr>
              <w:fldChar w:fldCharType="begin"/>
            </w:r>
            <w:r>
              <w:rPr>
                <w:noProof/>
                <w:webHidden/>
              </w:rPr>
              <w:instrText xml:space="preserve"> PAGEREF _Toc228095209 \h </w:instrText>
            </w:r>
            <w:r>
              <w:rPr>
                <w:noProof/>
                <w:webHidden/>
              </w:rPr>
            </w:r>
            <w:r>
              <w:rPr>
                <w:noProof/>
                <w:webHidden/>
              </w:rPr>
              <w:fldChar w:fldCharType="separate"/>
            </w:r>
            <w:r>
              <w:rPr>
                <w:noProof/>
                <w:webHidden/>
              </w:rPr>
              <w:t>12</w:t>
            </w:r>
            <w:r>
              <w:rPr>
                <w:noProof/>
                <w:webHidden/>
              </w:rPr>
              <w:fldChar w:fldCharType="end"/>
            </w:r>
          </w:hyperlink>
        </w:p>
        <w:p w:rsidR="00257382" w:rsidRDefault="00257382">
          <w:pPr>
            <w:pStyle w:val="TOC2"/>
            <w:tabs>
              <w:tab w:val="right" w:leader="dot" w:pos="9016"/>
            </w:tabs>
            <w:rPr>
              <w:noProof/>
            </w:rPr>
          </w:pPr>
          <w:hyperlink w:anchor="_Toc228095210" w:history="1">
            <w:r w:rsidRPr="00487432">
              <w:rPr>
                <w:rStyle w:val="Hyperlink"/>
                <w:noProof/>
              </w:rPr>
              <w:t>4.1 Overview of Tesla</w:t>
            </w:r>
            <w:r>
              <w:rPr>
                <w:noProof/>
                <w:webHidden/>
              </w:rPr>
              <w:tab/>
            </w:r>
            <w:r>
              <w:rPr>
                <w:noProof/>
                <w:webHidden/>
              </w:rPr>
              <w:fldChar w:fldCharType="begin"/>
            </w:r>
            <w:r>
              <w:rPr>
                <w:noProof/>
                <w:webHidden/>
              </w:rPr>
              <w:instrText xml:space="preserve"> PAGEREF _Toc228095210 \h </w:instrText>
            </w:r>
            <w:r>
              <w:rPr>
                <w:noProof/>
                <w:webHidden/>
              </w:rPr>
            </w:r>
            <w:r>
              <w:rPr>
                <w:noProof/>
                <w:webHidden/>
              </w:rPr>
              <w:fldChar w:fldCharType="separate"/>
            </w:r>
            <w:r>
              <w:rPr>
                <w:noProof/>
                <w:webHidden/>
              </w:rPr>
              <w:t>12</w:t>
            </w:r>
            <w:r>
              <w:rPr>
                <w:noProof/>
                <w:webHidden/>
              </w:rPr>
              <w:fldChar w:fldCharType="end"/>
            </w:r>
          </w:hyperlink>
        </w:p>
        <w:p w:rsidR="00257382" w:rsidRDefault="00257382">
          <w:pPr>
            <w:pStyle w:val="TOC2"/>
            <w:tabs>
              <w:tab w:val="right" w:leader="dot" w:pos="9016"/>
            </w:tabs>
            <w:rPr>
              <w:noProof/>
            </w:rPr>
          </w:pPr>
          <w:hyperlink w:anchor="_Toc228095211" w:history="1">
            <w:r w:rsidRPr="00487432">
              <w:rPr>
                <w:rStyle w:val="Hyperlink"/>
                <w:noProof/>
              </w:rPr>
              <w:t>4.2 Market Attractiveness: PESTLE Analysis</w:t>
            </w:r>
            <w:r>
              <w:rPr>
                <w:noProof/>
                <w:webHidden/>
              </w:rPr>
              <w:tab/>
            </w:r>
            <w:r>
              <w:rPr>
                <w:noProof/>
                <w:webHidden/>
              </w:rPr>
              <w:fldChar w:fldCharType="begin"/>
            </w:r>
            <w:r>
              <w:rPr>
                <w:noProof/>
                <w:webHidden/>
              </w:rPr>
              <w:instrText xml:space="preserve"> PAGEREF _Toc228095211 \h </w:instrText>
            </w:r>
            <w:r>
              <w:rPr>
                <w:noProof/>
                <w:webHidden/>
              </w:rPr>
            </w:r>
            <w:r>
              <w:rPr>
                <w:noProof/>
                <w:webHidden/>
              </w:rPr>
              <w:fldChar w:fldCharType="separate"/>
            </w:r>
            <w:r>
              <w:rPr>
                <w:noProof/>
                <w:webHidden/>
              </w:rPr>
              <w:t>12</w:t>
            </w:r>
            <w:r>
              <w:rPr>
                <w:noProof/>
                <w:webHidden/>
              </w:rPr>
              <w:fldChar w:fldCharType="end"/>
            </w:r>
          </w:hyperlink>
        </w:p>
        <w:p w:rsidR="00257382" w:rsidRDefault="00257382">
          <w:pPr>
            <w:pStyle w:val="TOC2"/>
            <w:tabs>
              <w:tab w:val="right" w:leader="dot" w:pos="9016"/>
            </w:tabs>
            <w:rPr>
              <w:noProof/>
            </w:rPr>
          </w:pPr>
          <w:hyperlink w:anchor="_Toc228095212" w:history="1">
            <w:r w:rsidRPr="00487432">
              <w:rPr>
                <w:rStyle w:val="Hyperlink"/>
                <w:noProof/>
              </w:rPr>
              <w:t>4.3 Strategic Fit and Mode of Entry Assessment</w:t>
            </w:r>
            <w:r>
              <w:rPr>
                <w:noProof/>
                <w:webHidden/>
              </w:rPr>
              <w:tab/>
            </w:r>
            <w:r>
              <w:rPr>
                <w:noProof/>
                <w:webHidden/>
              </w:rPr>
              <w:fldChar w:fldCharType="begin"/>
            </w:r>
            <w:r>
              <w:rPr>
                <w:noProof/>
                <w:webHidden/>
              </w:rPr>
              <w:instrText xml:space="preserve"> PAGEREF _Toc228095212 \h </w:instrText>
            </w:r>
            <w:r>
              <w:rPr>
                <w:noProof/>
                <w:webHidden/>
              </w:rPr>
            </w:r>
            <w:r>
              <w:rPr>
                <w:noProof/>
                <w:webHidden/>
              </w:rPr>
              <w:fldChar w:fldCharType="separate"/>
            </w:r>
            <w:r>
              <w:rPr>
                <w:noProof/>
                <w:webHidden/>
              </w:rPr>
              <w:t>14</w:t>
            </w:r>
            <w:r>
              <w:rPr>
                <w:noProof/>
                <w:webHidden/>
              </w:rPr>
              <w:fldChar w:fldCharType="end"/>
            </w:r>
          </w:hyperlink>
        </w:p>
        <w:p w:rsidR="00257382" w:rsidRDefault="00257382">
          <w:pPr>
            <w:pStyle w:val="TOC2"/>
            <w:tabs>
              <w:tab w:val="right" w:leader="dot" w:pos="9016"/>
            </w:tabs>
            <w:rPr>
              <w:noProof/>
            </w:rPr>
          </w:pPr>
          <w:hyperlink w:anchor="_Toc228095213" w:history="1">
            <w:r w:rsidRPr="00487432">
              <w:rPr>
                <w:rStyle w:val="Hyperlink"/>
                <w:noProof/>
              </w:rPr>
              <w:t>4.4 Risks and Challenges</w:t>
            </w:r>
            <w:r>
              <w:rPr>
                <w:noProof/>
                <w:webHidden/>
              </w:rPr>
              <w:tab/>
            </w:r>
            <w:r>
              <w:rPr>
                <w:noProof/>
                <w:webHidden/>
              </w:rPr>
              <w:fldChar w:fldCharType="begin"/>
            </w:r>
            <w:r>
              <w:rPr>
                <w:noProof/>
                <w:webHidden/>
              </w:rPr>
              <w:instrText xml:space="preserve"> PAGEREF _Toc228095213 \h </w:instrText>
            </w:r>
            <w:r>
              <w:rPr>
                <w:noProof/>
                <w:webHidden/>
              </w:rPr>
            </w:r>
            <w:r>
              <w:rPr>
                <w:noProof/>
                <w:webHidden/>
              </w:rPr>
              <w:fldChar w:fldCharType="separate"/>
            </w:r>
            <w:r>
              <w:rPr>
                <w:noProof/>
                <w:webHidden/>
              </w:rPr>
              <w:t>16</w:t>
            </w:r>
            <w:r>
              <w:rPr>
                <w:noProof/>
                <w:webHidden/>
              </w:rPr>
              <w:fldChar w:fldCharType="end"/>
            </w:r>
          </w:hyperlink>
        </w:p>
        <w:p w:rsidR="00257382" w:rsidRDefault="00257382">
          <w:pPr>
            <w:pStyle w:val="TOC2"/>
            <w:tabs>
              <w:tab w:val="right" w:leader="dot" w:pos="9016"/>
            </w:tabs>
            <w:rPr>
              <w:noProof/>
            </w:rPr>
          </w:pPr>
          <w:hyperlink w:anchor="_Toc228095214" w:history="1">
            <w:r w:rsidRPr="00487432">
              <w:rPr>
                <w:rStyle w:val="Hyperlink"/>
                <w:noProof/>
              </w:rPr>
              <w:t>4.5 CRITICAL EVALUATION</w:t>
            </w:r>
            <w:r>
              <w:rPr>
                <w:noProof/>
                <w:webHidden/>
              </w:rPr>
              <w:tab/>
            </w:r>
            <w:r>
              <w:rPr>
                <w:noProof/>
                <w:webHidden/>
              </w:rPr>
              <w:fldChar w:fldCharType="begin"/>
            </w:r>
            <w:r>
              <w:rPr>
                <w:noProof/>
                <w:webHidden/>
              </w:rPr>
              <w:instrText xml:space="preserve"> PAGEREF _Toc228095214 \h </w:instrText>
            </w:r>
            <w:r>
              <w:rPr>
                <w:noProof/>
                <w:webHidden/>
              </w:rPr>
            </w:r>
            <w:r>
              <w:rPr>
                <w:noProof/>
                <w:webHidden/>
              </w:rPr>
              <w:fldChar w:fldCharType="separate"/>
            </w:r>
            <w:r>
              <w:rPr>
                <w:noProof/>
                <w:webHidden/>
              </w:rPr>
              <w:t>16</w:t>
            </w:r>
            <w:r>
              <w:rPr>
                <w:noProof/>
                <w:webHidden/>
              </w:rPr>
              <w:fldChar w:fldCharType="end"/>
            </w:r>
          </w:hyperlink>
        </w:p>
        <w:p w:rsidR="00257382" w:rsidRDefault="00257382">
          <w:pPr>
            <w:pStyle w:val="TOC1"/>
            <w:tabs>
              <w:tab w:val="right" w:leader="dot" w:pos="9016"/>
            </w:tabs>
            <w:rPr>
              <w:noProof/>
            </w:rPr>
          </w:pPr>
          <w:hyperlink w:anchor="_Toc228095215" w:history="1">
            <w:r w:rsidRPr="00487432">
              <w:rPr>
                <w:rStyle w:val="Hyperlink"/>
                <w:noProof/>
              </w:rPr>
              <w:t>5. Conclusion</w:t>
            </w:r>
            <w:r>
              <w:rPr>
                <w:noProof/>
                <w:webHidden/>
              </w:rPr>
              <w:tab/>
            </w:r>
            <w:r>
              <w:rPr>
                <w:noProof/>
                <w:webHidden/>
              </w:rPr>
              <w:fldChar w:fldCharType="begin"/>
            </w:r>
            <w:r>
              <w:rPr>
                <w:noProof/>
                <w:webHidden/>
              </w:rPr>
              <w:instrText xml:space="preserve"> PAGEREF _Toc228095215 \h </w:instrText>
            </w:r>
            <w:r>
              <w:rPr>
                <w:noProof/>
                <w:webHidden/>
              </w:rPr>
            </w:r>
            <w:r>
              <w:rPr>
                <w:noProof/>
                <w:webHidden/>
              </w:rPr>
              <w:fldChar w:fldCharType="separate"/>
            </w:r>
            <w:r>
              <w:rPr>
                <w:noProof/>
                <w:webHidden/>
              </w:rPr>
              <w:t>17</w:t>
            </w:r>
            <w:r>
              <w:rPr>
                <w:noProof/>
                <w:webHidden/>
              </w:rPr>
              <w:fldChar w:fldCharType="end"/>
            </w:r>
          </w:hyperlink>
        </w:p>
        <w:p w:rsidR="00257382" w:rsidRDefault="00257382">
          <w:pPr>
            <w:pStyle w:val="TOC1"/>
            <w:tabs>
              <w:tab w:val="right" w:leader="dot" w:pos="9016"/>
            </w:tabs>
            <w:rPr>
              <w:noProof/>
            </w:rPr>
          </w:pPr>
          <w:hyperlink w:anchor="_Toc228095216" w:history="1">
            <w:r w:rsidRPr="00487432">
              <w:rPr>
                <w:rStyle w:val="Hyperlink"/>
                <w:noProof/>
              </w:rPr>
              <w:t>SECTION 2 — REFLECTION</w:t>
            </w:r>
            <w:r>
              <w:rPr>
                <w:noProof/>
                <w:webHidden/>
              </w:rPr>
              <w:tab/>
            </w:r>
            <w:r>
              <w:rPr>
                <w:noProof/>
                <w:webHidden/>
              </w:rPr>
              <w:fldChar w:fldCharType="begin"/>
            </w:r>
            <w:r>
              <w:rPr>
                <w:noProof/>
                <w:webHidden/>
              </w:rPr>
              <w:instrText xml:space="preserve"> PAGEREF _Toc228095216 \h </w:instrText>
            </w:r>
            <w:r>
              <w:rPr>
                <w:noProof/>
                <w:webHidden/>
              </w:rPr>
            </w:r>
            <w:r>
              <w:rPr>
                <w:noProof/>
                <w:webHidden/>
              </w:rPr>
              <w:fldChar w:fldCharType="separate"/>
            </w:r>
            <w:r>
              <w:rPr>
                <w:noProof/>
                <w:webHidden/>
              </w:rPr>
              <w:t>18</w:t>
            </w:r>
            <w:r>
              <w:rPr>
                <w:noProof/>
                <w:webHidden/>
              </w:rPr>
              <w:fldChar w:fldCharType="end"/>
            </w:r>
          </w:hyperlink>
        </w:p>
        <w:p w:rsidR="00257382" w:rsidRDefault="00257382">
          <w:pPr>
            <w:pStyle w:val="TOC1"/>
            <w:tabs>
              <w:tab w:val="right" w:leader="dot" w:pos="9016"/>
            </w:tabs>
            <w:rPr>
              <w:noProof/>
            </w:rPr>
          </w:pPr>
          <w:hyperlink w:anchor="_Toc228095217" w:history="1">
            <w:r w:rsidRPr="00487432">
              <w:rPr>
                <w:rStyle w:val="Hyperlink"/>
                <w:noProof/>
              </w:rPr>
              <w:t>GIBBS REFLECTIVE MODEL</w:t>
            </w:r>
            <w:r>
              <w:rPr>
                <w:noProof/>
                <w:webHidden/>
              </w:rPr>
              <w:tab/>
            </w:r>
            <w:r>
              <w:rPr>
                <w:noProof/>
                <w:webHidden/>
              </w:rPr>
              <w:fldChar w:fldCharType="begin"/>
            </w:r>
            <w:r>
              <w:rPr>
                <w:noProof/>
                <w:webHidden/>
              </w:rPr>
              <w:instrText xml:space="preserve"> PAGEREF _Toc228095217 \h </w:instrText>
            </w:r>
            <w:r>
              <w:rPr>
                <w:noProof/>
                <w:webHidden/>
              </w:rPr>
            </w:r>
            <w:r>
              <w:rPr>
                <w:noProof/>
                <w:webHidden/>
              </w:rPr>
              <w:fldChar w:fldCharType="separate"/>
            </w:r>
            <w:r>
              <w:rPr>
                <w:noProof/>
                <w:webHidden/>
              </w:rPr>
              <w:t>18</w:t>
            </w:r>
            <w:r>
              <w:rPr>
                <w:noProof/>
                <w:webHidden/>
              </w:rPr>
              <w:fldChar w:fldCharType="end"/>
            </w:r>
          </w:hyperlink>
        </w:p>
        <w:p w:rsidR="00257382" w:rsidRDefault="00257382">
          <w:pPr>
            <w:pStyle w:val="TOC1"/>
            <w:tabs>
              <w:tab w:val="right" w:leader="dot" w:pos="9016"/>
            </w:tabs>
            <w:rPr>
              <w:noProof/>
            </w:rPr>
          </w:pPr>
          <w:hyperlink w:anchor="_Toc228095218" w:history="1">
            <w:r w:rsidRPr="00487432">
              <w:rPr>
                <w:rStyle w:val="Hyperlink"/>
                <w:noProof/>
              </w:rPr>
              <w:t>References</w:t>
            </w:r>
            <w:r>
              <w:rPr>
                <w:noProof/>
                <w:webHidden/>
              </w:rPr>
              <w:tab/>
            </w:r>
            <w:r>
              <w:rPr>
                <w:noProof/>
                <w:webHidden/>
              </w:rPr>
              <w:fldChar w:fldCharType="begin"/>
            </w:r>
            <w:r>
              <w:rPr>
                <w:noProof/>
                <w:webHidden/>
              </w:rPr>
              <w:instrText xml:space="preserve"> PAGEREF _Toc228095218 \h </w:instrText>
            </w:r>
            <w:r>
              <w:rPr>
                <w:noProof/>
                <w:webHidden/>
              </w:rPr>
            </w:r>
            <w:r>
              <w:rPr>
                <w:noProof/>
                <w:webHidden/>
              </w:rPr>
              <w:fldChar w:fldCharType="separate"/>
            </w:r>
            <w:r>
              <w:rPr>
                <w:noProof/>
                <w:webHidden/>
              </w:rPr>
              <w:t>21</w:t>
            </w:r>
            <w:r>
              <w:rPr>
                <w:noProof/>
                <w:webHidden/>
              </w:rPr>
              <w:fldChar w:fldCharType="end"/>
            </w:r>
          </w:hyperlink>
        </w:p>
        <w:p w:rsidR="00257382" w:rsidRDefault="00257382">
          <w:r>
            <w:rPr>
              <w:b/>
              <w:bCs/>
              <w:noProof/>
            </w:rPr>
            <w:fldChar w:fldCharType="end"/>
          </w:r>
        </w:p>
      </w:sdtContent>
    </w:sdt>
    <w:p w:rsidR="00257382" w:rsidRDefault="00257382" w:rsidP="00257382"/>
    <w:p w:rsidR="00D81C29" w:rsidRDefault="00D81C29" w:rsidP="003A1003">
      <w:pPr>
        <w:jc w:val="center"/>
      </w:pPr>
    </w:p>
    <w:p w:rsidR="00D81C29" w:rsidRDefault="00D81C29">
      <w:pPr>
        <w:spacing w:line="278" w:lineRule="auto"/>
        <w:jc w:val="left"/>
      </w:pPr>
      <w:r>
        <w:br w:type="page"/>
      </w:r>
    </w:p>
    <w:p w:rsidR="00D81C29" w:rsidRDefault="00D81C29" w:rsidP="00D81C29">
      <w:pPr>
        <w:pStyle w:val="Heading1"/>
        <w:jc w:val="center"/>
      </w:pPr>
      <w:bookmarkStart w:id="0" w:name="_Toc228095197"/>
      <w:r>
        <w:lastRenderedPageBreak/>
        <w:t>SECTION 1 — REPORT</w:t>
      </w:r>
      <w:bookmarkEnd w:id="0"/>
    </w:p>
    <w:p w:rsidR="00E566F2" w:rsidRDefault="00E566F2" w:rsidP="00E566F2">
      <w:pPr>
        <w:pStyle w:val="Heading1"/>
      </w:pPr>
      <w:bookmarkStart w:id="1" w:name="_Toc228095198"/>
      <w:r>
        <w:t>1. Introduction</w:t>
      </w:r>
      <w:bookmarkEnd w:id="1"/>
    </w:p>
    <w:p w:rsidR="001204A2" w:rsidRDefault="001204A2" w:rsidP="001204A2">
      <w:r>
        <w:t>The shift towards sustainable transportation has rapidly boosted the expansion of the electric vehicle (EV) industry in the United Kingdom (UK), with more than 16% of new car registrations in 2023 being electric, compared to less than 2% in 2019 (Department for Transport, 2024). The expansion is fuelled by robust policy frameworks, such as a proposed ban on new petrol and diesel cars by 2035, and consumer concern for the environment. Despite this growth, global competitiveness in the EV industry remains inconsistent, as it is constrained by factors including a lack of charging infrastructure, the high cost of electric vehicles and the importation of battery components (International Energy Agency, 2023).</w:t>
      </w:r>
    </w:p>
    <w:p w:rsidR="004364CC" w:rsidRDefault="004364CC" w:rsidP="001204A2">
      <w:r w:rsidRPr="004364CC">
        <w:rPr>
          <w:noProof/>
          <w:lang w:eastAsia="en-GB"/>
        </w:rPr>
        <w:drawing>
          <wp:inline distT="0" distB="0" distL="0" distR="0" wp14:anchorId="20005A77" wp14:editId="677F6FDD">
            <wp:extent cx="5639587" cy="2924583"/>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39587" cy="2924583"/>
                    </a:xfrm>
                    <a:prstGeom prst="rect">
                      <a:avLst/>
                    </a:prstGeom>
                  </pic:spPr>
                </pic:pic>
              </a:graphicData>
            </a:graphic>
          </wp:inline>
        </w:drawing>
      </w:r>
    </w:p>
    <w:p w:rsidR="004364CC" w:rsidRDefault="004364CC" w:rsidP="001204A2"/>
    <w:p w:rsidR="004364CC" w:rsidRPr="004364CC" w:rsidRDefault="004364CC" w:rsidP="004364CC">
      <w:pPr>
        <w:jc w:val="center"/>
        <w:rPr>
          <w:b/>
        </w:rPr>
      </w:pPr>
      <w:r w:rsidRPr="004364CC">
        <w:rPr>
          <w:b/>
        </w:rPr>
        <w:t>Figure 1: Global Electric Vehicles Market Revenue Forecast (2023–2034, USD Billion)</w:t>
      </w:r>
    </w:p>
    <w:p w:rsidR="004364CC" w:rsidRDefault="004364CC" w:rsidP="001204A2"/>
    <w:p w:rsidR="001204A2" w:rsidRDefault="001204A2" w:rsidP="001204A2">
      <w:r>
        <w:t xml:space="preserve">This report critically analyses the role of national competitiveness and institutional factors in driving strategy of multinational companies in the UK electric vehicle sector. It assesses the UK's competitiveness using Porter's Diamond Model and examines </w:t>
      </w:r>
      <w:r>
        <w:lastRenderedPageBreak/>
        <w:t>Tesla's entry strategy. Through industry- and firm-level perspectives, this report critically evaluates whether the UK provides a competitive advantage for international EV firms</w:t>
      </w:r>
      <w:r w:rsidR="00C33B6A">
        <w:t xml:space="preserve"> (Upward et al., 2021)</w:t>
      </w:r>
      <w:r>
        <w:t>.</w:t>
      </w:r>
    </w:p>
    <w:p w:rsidR="00D951AA" w:rsidRDefault="00D951AA" w:rsidP="00D951AA">
      <w:pPr>
        <w:pStyle w:val="Heading1"/>
      </w:pPr>
      <w:bookmarkStart w:id="2" w:name="_Toc228095199"/>
      <w:r>
        <w:t>2. Industry &amp; Country Overview</w:t>
      </w:r>
      <w:bookmarkEnd w:id="2"/>
    </w:p>
    <w:p w:rsidR="00A87524" w:rsidRDefault="00A87524" w:rsidP="007E57F6">
      <w:pPr>
        <w:pStyle w:val="Heading2"/>
      </w:pPr>
      <w:bookmarkStart w:id="3" w:name="_Toc228095200"/>
      <w:r>
        <w:t>2.1 UK EV Industry Overview</w:t>
      </w:r>
      <w:bookmarkEnd w:id="3"/>
      <w:r>
        <w:t xml:space="preserve"> </w:t>
      </w:r>
    </w:p>
    <w:p w:rsidR="00F93382" w:rsidRDefault="00F93382" w:rsidP="00F93382">
      <w:r>
        <w:t>The UK's electric vehicle (EV) market has seen strong growth with 16.5% of new car registrations being battery electric vehicles (BEVs) in 2023, up from 1.6% in 2019 (Department for Transport, 2024). The UK is one of Europe's largest EV markets, with more than 300,000 sold in 2023 (SMMT, 2024). Cars are a key sector of the economy, worth £67 billion a year and supporting over 800,000 jobs (SMMT, 2024).</w:t>
      </w:r>
    </w:p>
    <w:p w:rsidR="00F93382" w:rsidRDefault="00F93382" w:rsidP="00F93382">
      <w:r>
        <w:t>But the growth is more than consumer-led; it's policy-led structural change. With the UK government's commitment to phase out sales of new combustion engine vehicles from 2035, alongside tax credits and emissions controls, firm and consumer adoption has accelerated (Department for Transport, 2024). And fuel price instability and increasing environmental awareness have changed consumer preferences to low-emission vehicles (International Energy Agency, 2023).</w:t>
      </w:r>
    </w:p>
    <w:p w:rsidR="00CA71EB" w:rsidRDefault="00F93382" w:rsidP="00F93382">
      <w:r>
        <w:t>Amongst these positive market drivers, industry competitiveness is mixed. Although charging points are growing, they remain insufficient to support the growth in EV uptake (there are 53,000 public charging points in the UK) with localised variations (Zap-Map, 2024). Further, dependence on imported battery components means the UK could face supply chain disruptions (IEA, 2023). As such, while consumer preferences for EVs are clearly being shaped by policy and environmental factors, the future competitiveness of the industry is constrained by infrastructure and supply chain factors, which means that this growth does not translate into competitiveness.</w:t>
      </w:r>
    </w:p>
    <w:p w:rsidR="00CA71EB" w:rsidRDefault="00CA71EB" w:rsidP="00A87524">
      <w:r w:rsidRPr="00CA71EB">
        <w:rPr>
          <w:noProof/>
          <w:lang w:eastAsia="en-GB"/>
        </w:rPr>
        <w:lastRenderedPageBreak/>
        <w:drawing>
          <wp:inline distT="0" distB="0" distL="0" distR="0" wp14:anchorId="4E900333" wp14:editId="575D55A0">
            <wp:extent cx="5730707" cy="3123590"/>
            <wp:effectExtent l="0" t="0" r="381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0034"/>
                    <a:stretch/>
                  </pic:blipFill>
                  <pic:spPr bwMode="auto">
                    <a:xfrm>
                      <a:off x="0" y="0"/>
                      <a:ext cx="5735970" cy="3126459"/>
                    </a:xfrm>
                    <a:prstGeom prst="rect">
                      <a:avLst/>
                    </a:prstGeom>
                    <a:ln>
                      <a:noFill/>
                    </a:ln>
                    <a:extLst>
                      <a:ext uri="{53640926-AAD7-44D8-BBD7-CCE9431645EC}">
                        <a14:shadowObscured xmlns:a14="http://schemas.microsoft.com/office/drawing/2010/main"/>
                      </a:ext>
                    </a:extLst>
                  </pic:spPr>
                </pic:pic>
              </a:graphicData>
            </a:graphic>
          </wp:inline>
        </w:drawing>
      </w:r>
    </w:p>
    <w:p w:rsidR="00CA71EB" w:rsidRDefault="001842BD" w:rsidP="00CA71EB">
      <w:pPr>
        <w:jc w:val="center"/>
        <w:rPr>
          <w:b/>
        </w:rPr>
      </w:pPr>
      <w:r>
        <w:rPr>
          <w:b/>
        </w:rPr>
        <w:t>Figure 2</w:t>
      </w:r>
      <w:r w:rsidR="00A87524" w:rsidRPr="007E57F6">
        <w:rPr>
          <w:b/>
        </w:rPr>
        <w:t>: Growth of EV Market Share in the UK (2019–2023)</w:t>
      </w:r>
    </w:p>
    <w:p w:rsidR="00D63D79" w:rsidRDefault="00D63D79" w:rsidP="00D63D79">
      <w:r>
        <w:t>Growing EV uptake is indicative of high demand but not sufficient to indicate structural competitiveness.</w:t>
      </w:r>
    </w:p>
    <w:p w:rsidR="00D63D79" w:rsidRDefault="00D63D79" w:rsidP="00950B89">
      <w:pPr>
        <w:pStyle w:val="Heading2"/>
      </w:pPr>
      <w:r>
        <w:t xml:space="preserve"> </w:t>
      </w:r>
      <w:bookmarkStart w:id="4" w:name="_Toc228095201"/>
      <w:r>
        <w:t>2.2 Firms &amp; Market Structure</w:t>
      </w:r>
      <w:bookmarkEnd w:id="4"/>
      <w:r>
        <w:t xml:space="preserve"> </w:t>
      </w:r>
    </w:p>
    <w:p w:rsidR="00D63D79" w:rsidRPr="00CA71EB" w:rsidRDefault="00D63D79" w:rsidP="00D63D79">
      <w:r>
        <w:t>The UK electric vehicle (EV) market is characterised by a hodgepodge of competition between new market competitors and incumbents in different segments. Tesla, Nissan, BMW and Volkswagen are the key firms adopting various strategies (Warnock, 2022). Tesla adopts a differentiation strategy through high price, battery technology and brand. In contrast, old firms such as Volkswagen and Nissan adopt economies of scale and scope to serve mid- to low-end segments (Volkswagen Group, 2023). BMW adopts a hybrid strategy of differentiation and "green" evolution.</w:t>
      </w:r>
    </w:p>
    <w:p w:rsidR="00A87524" w:rsidRPr="007E57F6" w:rsidRDefault="00A87524" w:rsidP="00A87524">
      <w:pPr>
        <w:rPr>
          <w:b/>
        </w:rPr>
      </w:pPr>
      <w:r w:rsidRPr="007E57F6">
        <w:rPr>
          <w:b/>
        </w:rPr>
        <w:t>Table 1: Strategic Positioning of Key EV Firms in the UK</w:t>
      </w:r>
    </w:p>
    <w:tbl>
      <w:tblPr>
        <w:tblStyle w:val="GridTable4-Accent5"/>
        <w:tblW w:w="0" w:type="auto"/>
        <w:tblLook w:val="04A0" w:firstRow="1" w:lastRow="0" w:firstColumn="1" w:lastColumn="0" w:noHBand="0" w:noVBand="1"/>
      </w:tblPr>
      <w:tblGrid>
        <w:gridCol w:w="1803"/>
        <w:gridCol w:w="1803"/>
        <w:gridCol w:w="1803"/>
        <w:gridCol w:w="1803"/>
        <w:gridCol w:w="1804"/>
      </w:tblGrid>
      <w:tr w:rsidR="007E57F6" w:rsidRPr="007E57F6" w:rsidTr="007A3B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7E57F6" w:rsidRPr="007E57F6" w:rsidRDefault="007E57F6" w:rsidP="00170B31">
            <w:r w:rsidRPr="007E57F6">
              <w:t>Firm</w:t>
            </w:r>
          </w:p>
        </w:tc>
        <w:tc>
          <w:tcPr>
            <w:tcW w:w="1803" w:type="dxa"/>
          </w:tcPr>
          <w:p w:rsidR="007E57F6" w:rsidRPr="007E57F6" w:rsidRDefault="007E57F6" w:rsidP="00170B31">
            <w:pPr>
              <w:cnfStyle w:val="100000000000" w:firstRow="1" w:lastRow="0" w:firstColumn="0" w:lastColumn="0" w:oddVBand="0" w:evenVBand="0" w:oddHBand="0" w:evenHBand="0" w:firstRowFirstColumn="0" w:firstRowLastColumn="0" w:lastRowFirstColumn="0" w:lastRowLastColumn="0"/>
            </w:pPr>
            <w:r w:rsidRPr="007E57F6">
              <w:t>Strategy Type</w:t>
            </w:r>
          </w:p>
        </w:tc>
        <w:tc>
          <w:tcPr>
            <w:tcW w:w="1803" w:type="dxa"/>
          </w:tcPr>
          <w:p w:rsidR="007E57F6" w:rsidRPr="007E57F6" w:rsidRDefault="007E57F6" w:rsidP="00170B31">
            <w:pPr>
              <w:cnfStyle w:val="100000000000" w:firstRow="1" w:lastRow="0" w:firstColumn="0" w:lastColumn="0" w:oddVBand="0" w:evenVBand="0" w:oddHBand="0" w:evenHBand="0" w:firstRowFirstColumn="0" w:firstRowLastColumn="0" w:lastRowFirstColumn="0" w:lastRowLastColumn="0"/>
            </w:pPr>
            <w:r w:rsidRPr="007E57F6">
              <w:t>Market Segment</w:t>
            </w:r>
          </w:p>
        </w:tc>
        <w:tc>
          <w:tcPr>
            <w:tcW w:w="1803" w:type="dxa"/>
          </w:tcPr>
          <w:p w:rsidR="007E57F6" w:rsidRPr="007E57F6" w:rsidRDefault="007E57F6" w:rsidP="00170B31">
            <w:pPr>
              <w:cnfStyle w:val="100000000000" w:firstRow="1" w:lastRow="0" w:firstColumn="0" w:lastColumn="0" w:oddVBand="0" w:evenVBand="0" w:oddHBand="0" w:evenHBand="0" w:firstRowFirstColumn="0" w:firstRowLastColumn="0" w:lastRowFirstColumn="0" w:lastRowLastColumn="0"/>
            </w:pPr>
            <w:r w:rsidRPr="007E57F6">
              <w:t>Key Advantage</w:t>
            </w:r>
          </w:p>
        </w:tc>
        <w:tc>
          <w:tcPr>
            <w:tcW w:w="1804" w:type="dxa"/>
          </w:tcPr>
          <w:p w:rsidR="007E57F6" w:rsidRPr="007E57F6" w:rsidRDefault="007E57F6" w:rsidP="00170B31">
            <w:pPr>
              <w:cnfStyle w:val="100000000000" w:firstRow="1" w:lastRow="0" w:firstColumn="0" w:lastColumn="0" w:oddVBand="0" w:evenVBand="0" w:oddHBand="0" w:evenHBand="0" w:firstRowFirstColumn="0" w:firstRowLastColumn="0" w:lastRowFirstColumn="0" w:lastRowLastColumn="0"/>
            </w:pPr>
            <w:r w:rsidRPr="007E57F6">
              <w:t>Key Limitation</w:t>
            </w:r>
          </w:p>
        </w:tc>
      </w:tr>
      <w:tr w:rsidR="007E57F6" w:rsidRPr="007E57F6" w:rsidTr="007A3B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7E57F6" w:rsidRPr="007E57F6" w:rsidRDefault="007E57F6" w:rsidP="00170B31">
            <w:r w:rsidRPr="007E57F6">
              <w:t>Tesla</w:t>
            </w:r>
          </w:p>
        </w:tc>
        <w:tc>
          <w:tcPr>
            <w:tcW w:w="1803"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Differentiation</w:t>
            </w:r>
          </w:p>
        </w:tc>
        <w:tc>
          <w:tcPr>
            <w:tcW w:w="1803"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Premium</w:t>
            </w:r>
          </w:p>
        </w:tc>
        <w:tc>
          <w:tcPr>
            <w:tcW w:w="1803"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Innovation, brand strength</w:t>
            </w:r>
          </w:p>
        </w:tc>
        <w:tc>
          <w:tcPr>
            <w:tcW w:w="1804"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High price limits accessibility</w:t>
            </w:r>
          </w:p>
        </w:tc>
      </w:tr>
      <w:tr w:rsidR="007E57F6" w:rsidRPr="007E57F6" w:rsidTr="007A3B70">
        <w:tc>
          <w:tcPr>
            <w:cnfStyle w:val="001000000000" w:firstRow="0" w:lastRow="0" w:firstColumn="1" w:lastColumn="0" w:oddVBand="0" w:evenVBand="0" w:oddHBand="0" w:evenHBand="0" w:firstRowFirstColumn="0" w:firstRowLastColumn="0" w:lastRowFirstColumn="0" w:lastRowLastColumn="0"/>
            <w:tcW w:w="1803" w:type="dxa"/>
          </w:tcPr>
          <w:p w:rsidR="007E57F6" w:rsidRPr="007E57F6" w:rsidRDefault="007E57F6" w:rsidP="00170B31">
            <w:r w:rsidRPr="007E57F6">
              <w:lastRenderedPageBreak/>
              <w:t>Nissan</w:t>
            </w:r>
          </w:p>
        </w:tc>
        <w:tc>
          <w:tcPr>
            <w:tcW w:w="1803"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Cost leadership</w:t>
            </w:r>
          </w:p>
        </w:tc>
        <w:tc>
          <w:tcPr>
            <w:tcW w:w="1803"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Mass</w:t>
            </w:r>
          </w:p>
        </w:tc>
        <w:tc>
          <w:tcPr>
            <w:tcW w:w="1803"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Early EV entry (Leaf)</w:t>
            </w:r>
          </w:p>
        </w:tc>
        <w:tc>
          <w:tcPr>
            <w:tcW w:w="1804"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Limited innovation pace</w:t>
            </w:r>
          </w:p>
        </w:tc>
      </w:tr>
      <w:tr w:rsidR="007E57F6" w:rsidRPr="007E57F6" w:rsidTr="007A3B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7E57F6" w:rsidRPr="007E57F6" w:rsidRDefault="007E57F6" w:rsidP="00170B31">
            <w:r w:rsidRPr="007E57F6">
              <w:t>BMW</w:t>
            </w:r>
          </w:p>
        </w:tc>
        <w:tc>
          <w:tcPr>
            <w:tcW w:w="1803"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Hybrid strategy</w:t>
            </w:r>
          </w:p>
        </w:tc>
        <w:tc>
          <w:tcPr>
            <w:tcW w:w="1803"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Premium/Mid</w:t>
            </w:r>
          </w:p>
        </w:tc>
        <w:tc>
          <w:tcPr>
            <w:tcW w:w="1803"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Brand + technology</w:t>
            </w:r>
          </w:p>
        </w:tc>
        <w:tc>
          <w:tcPr>
            <w:tcW w:w="1804" w:type="dxa"/>
          </w:tcPr>
          <w:p w:rsidR="007E57F6" w:rsidRPr="007E57F6" w:rsidRDefault="007E57F6" w:rsidP="00170B31">
            <w:pPr>
              <w:cnfStyle w:val="000000100000" w:firstRow="0" w:lastRow="0" w:firstColumn="0" w:lastColumn="0" w:oddVBand="0" w:evenVBand="0" w:oddHBand="1" w:evenHBand="0" w:firstRowFirstColumn="0" w:firstRowLastColumn="0" w:lastRowFirstColumn="0" w:lastRowLastColumn="0"/>
            </w:pPr>
            <w:r w:rsidRPr="007E57F6">
              <w:t>Higher production cost</w:t>
            </w:r>
          </w:p>
        </w:tc>
      </w:tr>
      <w:tr w:rsidR="007E57F6" w:rsidRPr="007E57F6" w:rsidTr="007A3B70">
        <w:tc>
          <w:tcPr>
            <w:cnfStyle w:val="001000000000" w:firstRow="0" w:lastRow="0" w:firstColumn="1" w:lastColumn="0" w:oddVBand="0" w:evenVBand="0" w:oddHBand="0" w:evenHBand="0" w:firstRowFirstColumn="0" w:firstRowLastColumn="0" w:lastRowFirstColumn="0" w:lastRowLastColumn="0"/>
            <w:tcW w:w="1803" w:type="dxa"/>
          </w:tcPr>
          <w:p w:rsidR="007E57F6" w:rsidRPr="007E57F6" w:rsidRDefault="007E57F6" w:rsidP="00170B31">
            <w:r w:rsidRPr="007E57F6">
              <w:t>Volkswagen</w:t>
            </w:r>
          </w:p>
        </w:tc>
        <w:tc>
          <w:tcPr>
            <w:tcW w:w="1803"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Scale-based</w:t>
            </w:r>
          </w:p>
        </w:tc>
        <w:tc>
          <w:tcPr>
            <w:tcW w:w="1803"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Mid/Mass</w:t>
            </w:r>
          </w:p>
        </w:tc>
        <w:tc>
          <w:tcPr>
            <w:tcW w:w="1803"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Manufacturing efficiency</w:t>
            </w:r>
          </w:p>
        </w:tc>
        <w:tc>
          <w:tcPr>
            <w:tcW w:w="1804" w:type="dxa"/>
          </w:tcPr>
          <w:p w:rsidR="007E57F6" w:rsidRPr="007E57F6" w:rsidRDefault="007E57F6" w:rsidP="00170B31">
            <w:pPr>
              <w:cnfStyle w:val="000000000000" w:firstRow="0" w:lastRow="0" w:firstColumn="0" w:lastColumn="0" w:oddVBand="0" w:evenVBand="0" w:oddHBand="0" w:evenHBand="0" w:firstRowFirstColumn="0" w:firstRowLastColumn="0" w:lastRowFirstColumn="0" w:lastRowLastColumn="0"/>
            </w:pPr>
            <w:r w:rsidRPr="007E57F6">
              <w:t>Slower strategic transition</w:t>
            </w:r>
          </w:p>
        </w:tc>
      </w:tr>
    </w:tbl>
    <w:p w:rsidR="00A87524" w:rsidRDefault="00A87524" w:rsidP="00A87524"/>
    <w:p w:rsidR="00A87524" w:rsidRDefault="00A87524" w:rsidP="00A87524">
      <w:r>
        <w:t>This comparative structure highlights a strategic divergence: Tesla dominates the premium EV segment through technological leadership, while traditional firms exploit manufacturing scale to penetrate broader markets</w:t>
      </w:r>
      <w:r w:rsidR="00C33B6A">
        <w:t xml:space="preserve"> (</w:t>
      </w:r>
      <w:proofErr w:type="spellStart"/>
      <w:r w:rsidR="00C33B6A">
        <w:t>Cabigiosu</w:t>
      </w:r>
      <w:proofErr w:type="spellEnd"/>
      <w:r w:rsidR="00C33B6A">
        <w:t>, 2022)</w:t>
      </w:r>
      <w:r>
        <w:t>. However, this competition is not purely price-based; it is shaped by innovation capabilities, regulatory</w:t>
      </w:r>
      <w:r w:rsidR="00F579C9">
        <w:t xml:space="preserve"> compliance and consumer trust. </w:t>
      </w:r>
      <w:r>
        <w:t>Critically, the coexistence of these strategies reflects a transitional industry structure, where incumbents are adapting to disruptive technological change</w:t>
      </w:r>
      <w:r w:rsidR="007B63A0">
        <w:t xml:space="preserve"> (</w:t>
      </w:r>
      <w:proofErr w:type="spellStart"/>
      <w:r w:rsidR="007B63A0">
        <w:t>Otte</w:t>
      </w:r>
      <w:proofErr w:type="spellEnd"/>
      <w:r w:rsidR="007B63A0">
        <w:t xml:space="preserve"> </w:t>
      </w:r>
      <w:r w:rsidR="007B63A0">
        <w:rPr>
          <w:rStyle w:val="Emphasis"/>
        </w:rPr>
        <w:t>et al.</w:t>
      </w:r>
      <w:r w:rsidR="007B63A0">
        <w:t>, 2023)</w:t>
      </w:r>
      <w:r>
        <w:t>. While Tesla benefits from first-mover advantages and strong brand equity, legacy firms possess resource-based advantages such as established supply chains and production capacity. Consequently, competitive positioning is dynamic rather than fixed, suggesting that long-term leadership will depend on the ability to balance innovation with scalability</w:t>
      </w:r>
      <w:r w:rsidR="00D90932">
        <w:t xml:space="preserve"> (Bogue, 2022)</w:t>
      </w:r>
      <w:r>
        <w:t>.</w:t>
      </w:r>
    </w:p>
    <w:p w:rsidR="00A87524" w:rsidRDefault="00A87524" w:rsidP="00653E42">
      <w:pPr>
        <w:pStyle w:val="Heading2"/>
      </w:pPr>
      <w:bookmarkStart w:id="5" w:name="_Toc228095202"/>
      <w:r>
        <w:t>2.3 Competitive Dynamics</w:t>
      </w:r>
      <w:bookmarkEnd w:id="5"/>
      <w:r>
        <w:t xml:space="preserve"> </w:t>
      </w:r>
    </w:p>
    <w:p w:rsidR="00A87524" w:rsidRDefault="00A87524" w:rsidP="00A87524">
      <w:r>
        <w:t>The UK EV industry is characterised by high entry barriers, including substantial capital investment, technological complexity and regulatory compliance. Battery production alone represents a significant cost component, accounting for up to 40% of total EV cost, limiting new entrants (IEA, 2023). Additionally, intellectual property and technological expertise furth</w:t>
      </w:r>
      <w:r w:rsidR="00653E42">
        <w:t xml:space="preserve">er reinforce barriers to entry. </w:t>
      </w:r>
      <w:r>
        <w:t>Infrastructure remains a critical constraint. Although public charging points have increased by over 40% annually, their distribution is uneven, with urban concentration creating accessibility issues in rural areas (Zap-Map, 2024). This imbalance directly affects consumer adoption, reinforcing range anxiety and limiting market expansion.</w:t>
      </w:r>
    </w:p>
    <w:p w:rsidR="00A87524" w:rsidRDefault="00A87524" w:rsidP="00A87524">
      <w:r>
        <w:lastRenderedPageBreak/>
        <w:t>Consumer behaviour is also evolving. While environmental awareness is increasing, purchasing decisions remain highly price-sensitive, particularly in the context of inflation and economic uncertainty (McKinsey, 2023). This creates a paradox: strong environmental demand exists, yet affordability restricts widespread adoption.</w:t>
      </w:r>
    </w:p>
    <w:p w:rsidR="001D2BC9" w:rsidRDefault="001D2BC9" w:rsidP="001D2BC9">
      <w:pPr>
        <w:jc w:val="center"/>
      </w:pPr>
      <w:r w:rsidRPr="001D2BC9">
        <w:drawing>
          <wp:inline distT="0" distB="0" distL="0" distR="0" wp14:anchorId="30569D34" wp14:editId="095E0275">
            <wp:extent cx="3982006" cy="29055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82006" cy="2905530"/>
                    </a:xfrm>
                    <a:prstGeom prst="rect">
                      <a:avLst/>
                    </a:prstGeom>
                  </pic:spPr>
                </pic:pic>
              </a:graphicData>
            </a:graphic>
          </wp:inline>
        </w:drawing>
      </w:r>
    </w:p>
    <w:p w:rsidR="00A87524" w:rsidRPr="00E063F7" w:rsidRDefault="001842BD" w:rsidP="001D2BC9">
      <w:pPr>
        <w:jc w:val="center"/>
        <w:rPr>
          <w:b/>
        </w:rPr>
      </w:pPr>
      <w:r>
        <w:rPr>
          <w:b/>
        </w:rPr>
        <w:t>Figure 3</w:t>
      </w:r>
      <w:r w:rsidR="00A87524" w:rsidRPr="00653E42">
        <w:rPr>
          <w:b/>
        </w:rPr>
        <w:t>: Key Co</w:t>
      </w:r>
      <w:r w:rsidR="00E063F7">
        <w:rPr>
          <w:b/>
        </w:rPr>
        <w:t>nstraints in the UK EV Industry</w:t>
      </w:r>
    </w:p>
    <w:p w:rsidR="00D951AA" w:rsidRDefault="00A87524" w:rsidP="00A87524">
      <w:r>
        <w:t xml:space="preserve">The UK EV industry reflects strong demand-side growth driven by policy and sustainability transitions; however, structural supply-side </w:t>
      </w:r>
      <w:r w:rsidR="0095757D">
        <w:t xml:space="preserve">constraints </w:t>
      </w:r>
      <w:r>
        <w:t>including infrastructure limitations, high production costs and g</w:t>
      </w:r>
      <w:r w:rsidR="0078095F">
        <w:t xml:space="preserve">lobal supply chain dependencies </w:t>
      </w:r>
      <w:r>
        <w:t>significantly restrict its full competitive potential</w:t>
      </w:r>
      <w:r w:rsidR="007A3B70">
        <w:t xml:space="preserve"> </w:t>
      </w:r>
      <w:r w:rsidR="00170B31">
        <w:t xml:space="preserve">Nazareth </w:t>
      </w:r>
      <w:r w:rsidR="00170B31">
        <w:rPr>
          <w:rStyle w:val="Emphasis"/>
        </w:rPr>
        <w:t>et al.</w:t>
      </w:r>
      <w:r w:rsidR="00170B31">
        <w:t xml:space="preserve"> (2024)</w:t>
      </w:r>
      <w:r>
        <w:t>. As a result, competitiveness is not determined solely by market expansion but by the alignment between institutional support, industrial capacity and firm-level strategy, highlighting the complexity of achieving sustainable advantage in the global EV landscape</w:t>
      </w:r>
      <w:r w:rsidR="0095757D">
        <w:t xml:space="preserve"> (</w:t>
      </w:r>
      <w:proofErr w:type="spellStart"/>
      <w:r w:rsidR="0095757D">
        <w:t>Arslangulova</w:t>
      </w:r>
      <w:proofErr w:type="spellEnd"/>
      <w:r w:rsidR="0095757D">
        <w:t xml:space="preserve"> &amp; </w:t>
      </w:r>
      <w:proofErr w:type="spellStart"/>
      <w:r w:rsidR="0095757D">
        <w:t>Galanakis</w:t>
      </w:r>
      <w:proofErr w:type="spellEnd"/>
      <w:r w:rsidR="0095757D">
        <w:t>, 2024)</w:t>
      </w:r>
      <w:r>
        <w:t>.</w:t>
      </w:r>
    </w:p>
    <w:p w:rsidR="0006159B" w:rsidRDefault="0006159B" w:rsidP="00E063F7">
      <w:pPr>
        <w:pStyle w:val="Heading1"/>
      </w:pPr>
      <w:bookmarkStart w:id="6" w:name="_Toc228095203"/>
      <w:r>
        <w:t>3. Porter’s Diamond Model of National Advantage</w:t>
      </w:r>
      <w:bookmarkEnd w:id="6"/>
      <w:r>
        <w:t xml:space="preserve"> </w:t>
      </w:r>
    </w:p>
    <w:p w:rsidR="0006159B" w:rsidRDefault="0006159B" w:rsidP="00E063F7">
      <w:pPr>
        <w:pStyle w:val="Heading2"/>
      </w:pPr>
      <w:bookmarkStart w:id="7" w:name="_Toc228095204"/>
      <w:r>
        <w:t>3.1 Factor Conditions</w:t>
      </w:r>
      <w:bookmarkEnd w:id="7"/>
      <w:r>
        <w:t xml:space="preserve"> </w:t>
      </w:r>
    </w:p>
    <w:p w:rsidR="0006159B" w:rsidRDefault="0006159B" w:rsidP="0006159B">
      <w:r>
        <w:t xml:space="preserve">The UK demonstrates relatively strong advanced factor conditions, particularly in terms of skilled labour, research capability and innovation ecosystems. The presence of leading universities, automotive R&amp;D centres and technology clusters supports the development of high-value EV technologies (SMMT, 2024). Furthermore, firms such </w:t>
      </w:r>
      <w:r>
        <w:lastRenderedPageBreak/>
        <w:t>as Tesla benefit from access to a highly skilled workforce and digital infrastructure, enhancing inn</w:t>
      </w:r>
      <w:r w:rsidR="00CE57A9">
        <w:t>ovation-driven competitiveness.</w:t>
      </w:r>
    </w:p>
    <w:p w:rsidR="0006159B" w:rsidRDefault="0006159B" w:rsidP="0006159B">
      <w:r>
        <w:t xml:space="preserve">However, these advantages are offset by significant weaknesses in physical infrastructure, particularly in EV charging networks. Although public charging points have expanded to over 53,000 units, infrastructure growth has not kept pace with rising EV adoption, resulting in regional disparities and capacity constraints (Zap-Map, 2024). This imbalance limits consumer confidence </w:t>
      </w:r>
      <w:r w:rsidR="00E063F7">
        <w:t xml:space="preserve">and restricts market expansion. </w:t>
      </w:r>
      <w:r>
        <w:t>Critically, while innovation capacity strengthens the UK’s position in high-value activities, inadequate infrastructure undermines the practical usability of EVs, indicating that factor conditions are unevenly developed, thereby constraining sustained competitive advantage</w:t>
      </w:r>
      <w:r w:rsidR="0078095F">
        <w:t xml:space="preserve"> (Mo et al., 2022)</w:t>
      </w:r>
      <w:r>
        <w:t>.</w:t>
      </w:r>
    </w:p>
    <w:p w:rsidR="0006159B" w:rsidRDefault="0006159B" w:rsidP="00E063F7">
      <w:pPr>
        <w:pStyle w:val="Heading2"/>
      </w:pPr>
      <w:bookmarkStart w:id="8" w:name="_Toc228095205"/>
      <w:r>
        <w:t>3.2 Demand Conditions</w:t>
      </w:r>
      <w:bookmarkEnd w:id="8"/>
      <w:r>
        <w:t xml:space="preserve"> </w:t>
      </w:r>
    </w:p>
    <w:p w:rsidR="0006159B" w:rsidRDefault="0006159B" w:rsidP="0006159B">
      <w:r>
        <w:t>Demand conditions in the UK are a key driver of EV industry growth, characterised by increasing environmental awareness and strong regulatory pressure</w:t>
      </w:r>
      <w:r w:rsidR="00170B31">
        <w:t xml:space="preserve"> </w:t>
      </w:r>
      <w:proofErr w:type="spellStart"/>
      <w:r w:rsidR="00170B31">
        <w:t>Negahbani</w:t>
      </w:r>
      <w:proofErr w:type="spellEnd"/>
      <w:r w:rsidR="00170B31">
        <w:t xml:space="preserve"> </w:t>
      </w:r>
      <w:r w:rsidR="00170B31">
        <w:rPr>
          <w:rStyle w:val="Emphasis"/>
        </w:rPr>
        <w:t>et al.</w:t>
      </w:r>
      <w:r w:rsidR="00170B31">
        <w:t xml:space="preserve"> (2025)</w:t>
      </w:r>
      <w:r>
        <w:t>. EVs accounted for over 16% of new vehicle registrations in 2023, reflecting a significant shift in consumer preferences towards low-emission alternatives (Department for Transport, 2024). This demand is further reinforced by societal emphasis on sustainabil</w:t>
      </w:r>
      <w:r w:rsidR="00E063F7">
        <w:t xml:space="preserve">ity and climate responsibility. </w:t>
      </w:r>
      <w:r>
        <w:t>However, demand remains structurally constrained by affordability challenges. EVs continue to carry a price premium compared to internal combustion vehicles, limiting accessibility for middle-income consumers (McKinsey, 2023). As a result, demand is concentrated within higher-income segments, reducing the poten</w:t>
      </w:r>
      <w:r w:rsidR="00E063F7">
        <w:t>tial for mass-market diffusion.</w:t>
      </w:r>
    </w:p>
    <w:p w:rsidR="0006159B" w:rsidRDefault="0006159B" w:rsidP="0006159B">
      <w:r>
        <w:t>Critically, while the UK exhibits sophisticated and e</w:t>
      </w:r>
      <w:r w:rsidR="00702F9E">
        <w:t xml:space="preserve">nvironmentally conscious demand </w:t>
      </w:r>
      <w:r>
        <w:t>typically associat</w:t>
      </w:r>
      <w:r w:rsidR="00702F9E">
        <w:t xml:space="preserve">ed with competitive advantage </w:t>
      </w:r>
      <w:r>
        <w:t>this demand is not fully inclusive</w:t>
      </w:r>
      <w:r w:rsidR="00170B31">
        <w:t xml:space="preserve"> Roy and Law (2022)</w:t>
      </w:r>
      <w:r>
        <w:t>. The tension between environmental preference and economic affordability highlights that demand conditions, although strong, are not sufficient to ensure long-term competitiveness without broader accessibility</w:t>
      </w:r>
      <w:r w:rsidR="00702F9E">
        <w:t xml:space="preserve"> (</w:t>
      </w:r>
      <w:proofErr w:type="spellStart"/>
      <w:r w:rsidR="00702F9E">
        <w:t>Rajper</w:t>
      </w:r>
      <w:proofErr w:type="spellEnd"/>
      <w:r w:rsidR="00702F9E">
        <w:t xml:space="preserve"> &amp; Albrecht, 2020)</w:t>
      </w:r>
      <w:r>
        <w:t>.</w:t>
      </w:r>
    </w:p>
    <w:p w:rsidR="0006159B" w:rsidRDefault="0006159B" w:rsidP="00E063F7">
      <w:pPr>
        <w:pStyle w:val="Heading2"/>
      </w:pPr>
      <w:bookmarkStart w:id="9" w:name="_Toc228095206"/>
      <w:r>
        <w:t>3.3 Related and Supporting Industries</w:t>
      </w:r>
      <w:bookmarkEnd w:id="9"/>
      <w:r>
        <w:t xml:space="preserve"> </w:t>
      </w:r>
    </w:p>
    <w:p w:rsidR="0006159B" w:rsidRDefault="0006159B" w:rsidP="0006159B">
      <w:r>
        <w:t xml:space="preserve">The UK EV industry is supported by a growing network of related industries, including charging infrastructure providers, software developers and renewable energy firms. </w:t>
      </w:r>
      <w:r>
        <w:lastRenderedPageBreak/>
        <w:t>These sectors contribute to the development of an integrated EV ecosystem, enhancing overall industry efficiency and innovation</w:t>
      </w:r>
      <w:r w:rsidR="0010453E">
        <w:t xml:space="preserve"> </w:t>
      </w:r>
      <w:r w:rsidR="00997D3B">
        <w:t>(Mendoza et al., 2023)</w:t>
      </w:r>
      <w:r>
        <w:t>.</w:t>
      </w:r>
    </w:p>
    <w:p w:rsidR="0006159B" w:rsidRDefault="0006159B" w:rsidP="0006159B">
      <w:r>
        <w:t>Nevertheless, a major structural limitation lies in the UK’s dependence on imported battery components and raw materials. Battery production, a critical element of EV manufacturing, is largely concentrated in Asia, exposing UK firms to supply chain disruptions and geopolitical risks (International Energy Agency, 2023). This reliance reduces domestic value creation and limits the UK’s ability to control key inputs.</w:t>
      </w:r>
    </w:p>
    <w:p w:rsidR="00723208" w:rsidRPr="00E063F7" w:rsidRDefault="00723208" w:rsidP="00723208">
      <w:pPr>
        <w:rPr>
          <w:b/>
        </w:rPr>
      </w:pPr>
      <w:r w:rsidRPr="00E063F7">
        <w:rPr>
          <w:b/>
        </w:rPr>
        <w:t>TABLE 2: Strategic Positioning of Key Firms</w:t>
      </w:r>
    </w:p>
    <w:tbl>
      <w:tblPr>
        <w:tblStyle w:val="GridTable4-Accent5"/>
        <w:tblW w:w="0" w:type="auto"/>
        <w:tblLook w:val="04A0" w:firstRow="1" w:lastRow="0" w:firstColumn="1" w:lastColumn="0" w:noHBand="0" w:noVBand="1"/>
      </w:tblPr>
      <w:tblGrid>
        <w:gridCol w:w="1803"/>
        <w:gridCol w:w="1803"/>
        <w:gridCol w:w="1803"/>
        <w:gridCol w:w="1803"/>
        <w:gridCol w:w="1804"/>
      </w:tblGrid>
      <w:tr w:rsidR="00723208" w:rsidRPr="00723208" w:rsidTr="007232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723208" w:rsidRPr="00723208" w:rsidRDefault="00723208" w:rsidP="00743C46">
            <w:r w:rsidRPr="00723208">
              <w:t>Firm</w:t>
            </w:r>
          </w:p>
        </w:tc>
        <w:tc>
          <w:tcPr>
            <w:tcW w:w="1803" w:type="dxa"/>
          </w:tcPr>
          <w:p w:rsidR="00723208" w:rsidRPr="00723208" w:rsidRDefault="00723208" w:rsidP="00743C46">
            <w:pPr>
              <w:cnfStyle w:val="100000000000" w:firstRow="1" w:lastRow="0" w:firstColumn="0" w:lastColumn="0" w:oddVBand="0" w:evenVBand="0" w:oddHBand="0" w:evenHBand="0" w:firstRowFirstColumn="0" w:firstRowLastColumn="0" w:lastRowFirstColumn="0" w:lastRowLastColumn="0"/>
            </w:pPr>
            <w:r w:rsidRPr="00723208">
              <w:t>Strategy Type</w:t>
            </w:r>
          </w:p>
        </w:tc>
        <w:tc>
          <w:tcPr>
            <w:tcW w:w="1803" w:type="dxa"/>
          </w:tcPr>
          <w:p w:rsidR="00723208" w:rsidRPr="00723208" w:rsidRDefault="00723208" w:rsidP="00743C46">
            <w:pPr>
              <w:cnfStyle w:val="100000000000" w:firstRow="1" w:lastRow="0" w:firstColumn="0" w:lastColumn="0" w:oddVBand="0" w:evenVBand="0" w:oddHBand="0" w:evenHBand="0" w:firstRowFirstColumn="0" w:firstRowLastColumn="0" w:lastRowFirstColumn="0" w:lastRowLastColumn="0"/>
            </w:pPr>
            <w:r w:rsidRPr="00723208">
              <w:t>Segment</w:t>
            </w:r>
          </w:p>
        </w:tc>
        <w:tc>
          <w:tcPr>
            <w:tcW w:w="1803" w:type="dxa"/>
          </w:tcPr>
          <w:p w:rsidR="00723208" w:rsidRPr="00723208" w:rsidRDefault="00723208" w:rsidP="00743C46">
            <w:pPr>
              <w:cnfStyle w:val="100000000000" w:firstRow="1" w:lastRow="0" w:firstColumn="0" w:lastColumn="0" w:oddVBand="0" w:evenVBand="0" w:oddHBand="0" w:evenHBand="0" w:firstRowFirstColumn="0" w:firstRowLastColumn="0" w:lastRowFirstColumn="0" w:lastRowLastColumn="0"/>
            </w:pPr>
            <w:r w:rsidRPr="00723208">
              <w:t>Competitive Advantage</w:t>
            </w:r>
          </w:p>
        </w:tc>
        <w:tc>
          <w:tcPr>
            <w:tcW w:w="1804" w:type="dxa"/>
          </w:tcPr>
          <w:p w:rsidR="00723208" w:rsidRPr="00723208" w:rsidRDefault="00723208" w:rsidP="00743C46">
            <w:pPr>
              <w:cnfStyle w:val="100000000000" w:firstRow="1" w:lastRow="0" w:firstColumn="0" w:lastColumn="0" w:oddVBand="0" w:evenVBand="0" w:oddHBand="0" w:evenHBand="0" w:firstRowFirstColumn="0" w:firstRowLastColumn="0" w:lastRowFirstColumn="0" w:lastRowLastColumn="0"/>
            </w:pPr>
            <w:r w:rsidRPr="00723208">
              <w:t>Strategic Limitation</w:t>
            </w:r>
          </w:p>
        </w:tc>
      </w:tr>
      <w:tr w:rsidR="00723208" w:rsidRPr="00723208" w:rsidTr="007232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723208" w:rsidRPr="00723208" w:rsidRDefault="00723208" w:rsidP="00743C46">
            <w:r w:rsidRPr="00723208">
              <w:t>Tesla</w:t>
            </w:r>
          </w:p>
        </w:tc>
        <w:tc>
          <w:tcPr>
            <w:tcW w:w="1803"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Differentiation</w:t>
            </w:r>
          </w:p>
        </w:tc>
        <w:tc>
          <w:tcPr>
            <w:tcW w:w="1803"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Premium</w:t>
            </w:r>
          </w:p>
        </w:tc>
        <w:tc>
          <w:tcPr>
            <w:tcW w:w="1803"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Innovation, brand leadership</w:t>
            </w:r>
          </w:p>
        </w:tc>
        <w:tc>
          <w:tcPr>
            <w:tcW w:w="1804"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High cost restricts mass adoption</w:t>
            </w:r>
          </w:p>
        </w:tc>
      </w:tr>
      <w:tr w:rsidR="00723208" w:rsidRPr="00723208" w:rsidTr="00723208">
        <w:tc>
          <w:tcPr>
            <w:cnfStyle w:val="001000000000" w:firstRow="0" w:lastRow="0" w:firstColumn="1" w:lastColumn="0" w:oddVBand="0" w:evenVBand="0" w:oddHBand="0" w:evenHBand="0" w:firstRowFirstColumn="0" w:firstRowLastColumn="0" w:lastRowFirstColumn="0" w:lastRowLastColumn="0"/>
            <w:tcW w:w="1803" w:type="dxa"/>
          </w:tcPr>
          <w:p w:rsidR="00723208" w:rsidRPr="00723208" w:rsidRDefault="00723208" w:rsidP="00743C46">
            <w:r w:rsidRPr="00723208">
              <w:t>Nissan</w:t>
            </w:r>
          </w:p>
        </w:tc>
        <w:tc>
          <w:tcPr>
            <w:tcW w:w="1803"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Cost leadership</w:t>
            </w:r>
          </w:p>
        </w:tc>
        <w:tc>
          <w:tcPr>
            <w:tcW w:w="1803"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Mass</w:t>
            </w:r>
          </w:p>
        </w:tc>
        <w:tc>
          <w:tcPr>
            <w:tcW w:w="1803"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Early EV mover (Leaf)</w:t>
            </w:r>
          </w:p>
        </w:tc>
        <w:tc>
          <w:tcPr>
            <w:tcW w:w="1804"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Slower innovation</w:t>
            </w:r>
          </w:p>
        </w:tc>
      </w:tr>
      <w:tr w:rsidR="00723208" w:rsidRPr="00723208" w:rsidTr="007232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723208" w:rsidRPr="00723208" w:rsidRDefault="00723208" w:rsidP="00743C46">
            <w:r w:rsidRPr="00723208">
              <w:t>BMW</w:t>
            </w:r>
          </w:p>
        </w:tc>
        <w:tc>
          <w:tcPr>
            <w:tcW w:w="1803"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Hybrid</w:t>
            </w:r>
          </w:p>
        </w:tc>
        <w:tc>
          <w:tcPr>
            <w:tcW w:w="1803"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Premium/Mid</w:t>
            </w:r>
          </w:p>
        </w:tc>
        <w:tc>
          <w:tcPr>
            <w:tcW w:w="1803"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Brand + technology integration</w:t>
            </w:r>
          </w:p>
        </w:tc>
        <w:tc>
          <w:tcPr>
            <w:tcW w:w="1804" w:type="dxa"/>
          </w:tcPr>
          <w:p w:rsidR="00723208" w:rsidRPr="00723208" w:rsidRDefault="00723208" w:rsidP="00743C46">
            <w:pPr>
              <w:cnfStyle w:val="000000100000" w:firstRow="0" w:lastRow="0" w:firstColumn="0" w:lastColumn="0" w:oddVBand="0" w:evenVBand="0" w:oddHBand="1" w:evenHBand="0" w:firstRowFirstColumn="0" w:firstRowLastColumn="0" w:lastRowFirstColumn="0" w:lastRowLastColumn="0"/>
            </w:pPr>
            <w:r w:rsidRPr="00723208">
              <w:t>Higher production cost</w:t>
            </w:r>
          </w:p>
        </w:tc>
      </w:tr>
      <w:tr w:rsidR="00723208" w:rsidRPr="00723208" w:rsidTr="00723208">
        <w:tc>
          <w:tcPr>
            <w:cnfStyle w:val="001000000000" w:firstRow="0" w:lastRow="0" w:firstColumn="1" w:lastColumn="0" w:oddVBand="0" w:evenVBand="0" w:oddHBand="0" w:evenHBand="0" w:firstRowFirstColumn="0" w:firstRowLastColumn="0" w:lastRowFirstColumn="0" w:lastRowLastColumn="0"/>
            <w:tcW w:w="1803" w:type="dxa"/>
          </w:tcPr>
          <w:p w:rsidR="00723208" w:rsidRPr="00723208" w:rsidRDefault="00723208" w:rsidP="00743C46">
            <w:r w:rsidRPr="00723208">
              <w:t>Volkswagen</w:t>
            </w:r>
          </w:p>
        </w:tc>
        <w:tc>
          <w:tcPr>
            <w:tcW w:w="1803"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Scale-driven</w:t>
            </w:r>
          </w:p>
        </w:tc>
        <w:tc>
          <w:tcPr>
            <w:tcW w:w="1803"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Mid/Mass</w:t>
            </w:r>
          </w:p>
        </w:tc>
        <w:tc>
          <w:tcPr>
            <w:tcW w:w="1803"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Manufacturing efficiency</w:t>
            </w:r>
          </w:p>
        </w:tc>
        <w:tc>
          <w:tcPr>
            <w:tcW w:w="1804" w:type="dxa"/>
          </w:tcPr>
          <w:p w:rsidR="00723208" w:rsidRPr="00723208" w:rsidRDefault="00723208" w:rsidP="00743C46">
            <w:pPr>
              <w:cnfStyle w:val="000000000000" w:firstRow="0" w:lastRow="0" w:firstColumn="0" w:lastColumn="0" w:oddVBand="0" w:evenVBand="0" w:oddHBand="0" w:evenHBand="0" w:firstRowFirstColumn="0" w:firstRowLastColumn="0" w:lastRowFirstColumn="0" w:lastRowLastColumn="0"/>
            </w:pPr>
            <w:r w:rsidRPr="00723208">
              <w:t>Transition challenges</w:t>
            </w:r>
          </w:p>
        </w:tc>
      </w:tr>
    </w:tbl>
    <w:p w:rsidR="0006159B" w:rsidRDefault="0006159B" w:rsidP="0006159B"/>
    <w:p w:rsidR="0006159B" w:rsidRDefault="0006159B" w:rsidP="0006159B">
      <w:r>
        <w:t>From a critical perspective, while supporting industries are developing, they remain incomplete and externally dependent</w:t>
      </w:r>
      <w:r w:rsidR="00170B31">
        <w:t xml:space="preserve"> Santos and </w:t>
      </w:r>
      <w:proofErr w:type="spellStart"/>
      <w:r w:rsidR="00170B31">
        <w:t>Rembalski</w:t>
      </w:r>
      <w:proofErr w:type="spellEnd"/>
      <w:r w:rsidR="00170B31">
        <w:t xml:space="preserve"> (2021)</w:t>
      </w:r>
      <w:r>
        <w:t>. The absence of a fully localised supply chain weakens industrial resilience and constrains competitiveness, particularly in comparison to countries with vertically integrated EV ecosystems such as China and Germany</w:t>
      </w:r>
      <w:r w:rsidR="00997D3B">
        <w:t xml:space="preserve"> (Allan &amp; </w:t>
      </w:r>
      <w:proofErr w:type="spellStart"/>
      <w:r w:rsidR="00997D3B">
        <w:t>Nahm</w:t>
      </w:r>
      <w:proofErr w:type="spellEnd"/>
      <w:r w:rsidR="00997D3B">
        <w:t>, 2024)</w:t>
      </w:r>
      <w:r>
        <w:t>.</w:t>
      </w:r>
    </w:p>
    <w:p w:rsidR="0006159B" w:rsidRDefault="0006159B" w:rsidP="00E063F7">
      <w:pPr>
        <w:pStyle w:val="Heading2"/>
      </w:pPr>
      <w:bookmarkStart w:id="10" w:name="_Toc228095207"/>
      <w:r>
        <w:t>3.4 Firm Strategy, Structure and Rivalry</w:t>
      </w:r>
      <w:bookmarkEnd w:id="10"/>
      <w:r>
        <w:t xml:space="preserve"> </w:t>
      </w:r>
    </w:p>
    <w:p w:rsidR="0006159B" w:rsidRDefault="0006159B" w:rsidP="0006159B">
      <w:r>
        <w:t xml:space="preserve">The UK EV market is characterised by intense competitive rivalry, with both new entrants and established automakers competing across multiple segments. Firms such as Tesla pursue differentiation strategies based on innovation and brand </w:t>
      </w:r>
      <w:r>
        <w:lastRenderedPageBreak/>
        <w:t>strength, while companies like Volkswagen and Nissan leverage economies of scale and diversified product offerings (Volkswagen Group, 2023).</w:t>
      </w:r>
    </w:p>
    <w:p w:rsidR="0006159B" w:rsidRDefault="0006159B" w:rsidP="0006159B">
      <w:r>
        <w:t>This competitive environment fosters continuous innovation, as firms are compelled to improve battery efficiency, reduce costs and enhance product features. However, rivalry also intensifies pressure on margins and increases strategic risk, particularly for firms unable to achieve sca</w:t>
      </w:r>
      <w:r w:rsidR="00E063F7">
        <w:t>le or technological leadership</w:t>
      </w:r>
      <w:r w:rsidR="00997D3B">
        <w:t xml:space="preserve"> (Park &amp; Melendez, 2024)</w:t>
      </w:r>
      <w:r w:rsidR="00E063F7">
        <w:t xml:space="preserve">. </w:t>
      </w:r>
      <w:r>
        <w:t>Critically, while strong rivalry is generally associated with enhanced competitiveness, it may also lead to market fragmentation and uneven performance outcomes, suggesting that competition alone does not guarantee sustained advantage without complementary structural support</w:t>
      </w:r>
      <w:r w:rsidR="00997D3B">
        <w:t xml:space="preserve"> (Midler &amp; </w:t>
      </w:r>
      <w:proofErr w:type="spellStart"/>
      <w:r w:rsidR="00997D3B">
        <w:t>Alochet</w:t>
      </w:r>
      <w:proofErr w:type="spellEnd"/>
      <w:r w:rsidR="00997D3B">
        <w:t>, 2023)</w:t>
      </w:r>
      <w:r>
        <w:t>.</w:t>
      </w:r>
    </w:p>
    <w:p w:rsidR="0006159B" w:rsidRDefault="0006159B" w:rsidP="00E063F7">
      <w:pPr>
        <w:pStyle w:val="Heading2"/>
      </w:pPr>
      <w:bookmarkStart w:id="11" w:name="_Toc228095208"/>
      <w:r>
        <w:t>3.5 Government and Chance</w:t>
      </w:r>
      <w:bookmarkEnd w:id="11"/>
      <w:r>
        <w:t xml:space="preserve"> </w:t>
      </w:r>
    </w:p>
    <w:p w:rsidR="0006159B" w:rsidRDefault="0006159B" w:rsidP="0006159B">
      <w:r>
        <w:t>Government intervention plays a central role in shaping the UK EV industry’s competitiveness. Policies such as subsidies for EV purchases, investment in charging infrastructure and the planned ban on petrol and diesel vehicles by 2035 have significantly accelerated market growth (Department for Transport, 2024). These measures create a favourable institutional environment, encouraging both consume</w:t>
      </w:r>
      <w:r w:rsidR="00E063F7">
        <w:t xml:space="preserve">r adoption and firm investment. </w:t>
      </w:r>
      <w:r>
        <w:t>However, the effectiveness of government support is moderated by policy inconsistency and external uncertainties. For instance, changes in subsidy schemes and delays in infrastructure development can create strategic uncertainty for firms</w:t>
      </w:r>
      <w:r w:rsidR="008F7D32">
        <w:t xml:space="preserve"> (</w:t>
      </w:r>
      <w:proofErr w:type="spellStart"/>
      <w:r w:rsidR="008F7D32">
        <w:t>Butollo</w:t>
      </w:r>
      <w:proofErr w:type="spellEnd"/>
      <w:r w:rsidR="008F7D32">
        <w:t xml:space="preserve"> et al., 2024)</w:t>
      </w:r>
      <w:r>
        <w:t xml:space="preserve">. Additionally, Brexit has introduced trade barriers and supply chain disruptions, increasing operational costs </w:t>
      </w:r>
      <w:r w:rsidR="00E063F7">
        <w:t>and reducing market efficiency.</w:t>
      </w:r>
    </w:p>
    <w:p w:rsidR="0006159B" w:rsidRDefault="0006159B" w:rsidP="0006159B">
      <w:r>
        <w:t>External “chance” factors, such as global supply chain shocks and fluctuations in raw material prices, further complicate the industry environment (IEA, 2023). These unpredictable elements highlight the vulnerability of the UK EV sector to external pre</w:t>
      </w:r>
      <w:r w:rsidR="00E063F7">
        <w:t xml:space="preserve">ssures beyond domestic control. </w:t>
      </w:r>
      <w:r>
        <w:t>Critically, while government intervention provides a strong foundation for industry growth, its impact is contingent on policy stability and effective implementation. External shocks continue to pose significant risks, limiting the extent to which government support can translate into long-term global competitiveness</w:t>
      </w:r>
      <w:r w:rsidR="008F7D32">
        <w:t xml:space="preserve"> (Li &amp; Woods, 2025)</w:t>
      </w:r>
      <w:r>
        <w:t>.</w:t>
      </w:r>
    </w:p>
    <w:p w:rsidR="00EA4DCF" w:rsidRPr="00E063F7" w:rsidRDefault="00257C3E" w:rsidP="00EA4DCF">
      <w:pPr>
        <w:rPr>
          <w:b/>
        </w:rPr>
      </w:pPr>
      <w:r>
        <w:rPr>
          <w:b/>
        </w:rPr>
        <w:t>TABLE 3</w:t>
      </w:r>
      <w:r w:rsidR="00EA4DCF" w:rsidRPr="00E063F7">
        <w:rPr>
          <w:b/>
        </w:rPr>
        <w:t>: UK EV Market Growth &amp; Economic Contribution</w:t>
      </w:r>
    </w:p>
    <w:tbl>
      <w:tblPr>
        <w:tblStyle w:val="GridTable4-Accent5"/>
        <w:tblW w:w="0" w:type="auto"/>
        <w:tblLook w:val="04A0" w:firstRow="1" w:lastRow="0" w:firstColumn="1" w:lastColumn="0" w:noHBand="0" w:noVBand="1"/>
      </w:tblPr>
      <w:tblGrid>
        <w:gridCol w:w="1803"/>
        <w:gridCol w:w="1803"/>
        <w:gridCol w:w="1803"/>
        <w:gridCol w:w="1803"/>
        <w:gridCol w:w="1804"/>
      </w:tblGrid>
      <w:tr w:rsidR="00EA4DCF" w:rsidRPr="00EA4DCF" w:rsidTr="00EA4D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EA4DCF" w:rsidRPr="00EA4DCF" w:rsidRDefault="00EA4DCF" w:rsidP="00743C46">
            <w:r w:rsidRPr="00EA4DCF">
              <w:lastRenderedPageBreak/>
              <w:t>Indicator</w:t>
            </w:r>
          </w:p>
        </w:tc>
        <w:tc>
          <w:tcPr>
            <w:tcW w:w="1803" w:type="dxa"/>
          </w:tcPr>
          <w:p w:rsidR="00EA4DCF" w:rsidRPr="00EA4DCF" w:rsidRDefault="00EA4DCF" w:rsidP="00743C46">
            <w:pPr>
              <w:cnfStyle w:val="100000000000" w:firstRow="1" w:lastRow="0" w:firstColumn="0" w:lastColumn="0" w:oddVBand="0" w:evenVBand="0" w:oddHBand="0" w:evenHBand="0" w:firstRowFirstColumn="0" w:firstRowLastColumn="0" w:lastRowFirstColumn="0" w:lastRowLastColumn="0"/>
            </w:pPr>
            <w:r w:rsidRPr="00EA4DCF">
              <w:t>2019</w:t>
            </w:r>
          </w:p>
        </w:tc>
        <w:tc>
          <w:tcPr>
            <w:tcW w:w="1803" w:type="dxa"/>
          </w:tcPr>
          <w:p w:rsidR="00EA4DCF" w:rsidRPr="00EA4DCF" w:rsidRDefault="00EA4DCF" w:rsidP="00743C46">
            <w:pPr>
              <w:cnfStyle w:val="100000000000" w:firstRow="1" w:lastRow="0" w:firstColumn="0" w:lastColumn="0" w:oddVBand="0" w:evenVBand="0" w:oddHBand="0" w:evenHBand="0" w:firstRowFirstColumn="0" w:firstRowLastColumn="0" w:lastRowFirstColumn="0" w:lastRowLastColumn="0"/>
            </w:pPr>
            <w:r w:rsidRPr="00EA4DCF">
              <w:t>2023</w:t>
            </w:r>
          </w:p>
        </w:tc>
        <w:tc>
          <w:tcPr>
            <w:tcW w:w="1803" w:type="dxa"/>
          </w:tcPr>
          <w:p w:rsidR="00EA4DCF" w:rsidRPr="00EA4DCF" w:rsidRDefault="00EA4DCF" w:rsidP="00743C46">
            <w:pPr>
              <w:cnfStyle w:val="100000000000" w:firstRow="1" w:lastRow="0" w:firstColumn="0" w:lastColumn="0" w:oddVBand="0" w:evenVBand="0" w:oddHBand="0" w:evenHBand="0" w:firstRowFirstColumn="0" w:firstRowLastColumn="0" w:lastRowFirstColumn="0" w:lastRowLastColumn="0"/>
            </w:pPr>
            <w:r w:rsidRPr="00EA4DCF">
              <w:t>Change (%)</w:t>
            </w:r>
          </w:p>
        </w:tc>
        <w:tc>
          <w:tcPr>
            <w:tcW w:w="1804" w:type="dxa"/>
          </w:tcPr>
          <w:p w:rsidR="00EA4DCF" w:rsidRPr="00EA4DCF" w:rsidRDefault="00EA4DCF" w:rsidP="00743C46">
            <w:pPr>
              <w:cnfStyle w:val="100000000000" w:firstRow="1" w:lastRow="0" w:firstColumn="0" w:lastColumn="0" w:oddVBand="0" w:evenVBand="0" w:oddHBand="0" w:evenHBand="0" w:firstRowFirstColumn="0" w:firstRowLastColumn="0" w:lastRowFirstColumn="0" w:lastRowLastColumn="0"/>
            </w:pPr>
            <w:r w:rsidRPr="00EA4DCF">
              <w:t>Critical Insight</w:t>
            </w:r>
          </w:p>
        </w:tc>
      </w:tr>
      <w:tr w:rsidR="00EA4DCF" w:rsidRPr="00EA4DCF" w:rsidTr="00EA4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EA4DCF" w:rsidRPr="00EA4DCF" w:rsidRDefault="00EA4DCF" w:rsidP="00743C46">
            <w:r w:rsidRPr="00EA4DCF">
              <w:t>EV Market Share (%)</w:t>
            </w:r>
          </w:p>
        </w:tc>
        <w:tc>
          <w:tcPr>
            <w:tcW w:w="1803"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1.6%</w:t>
            </w:r>
          </w:p>
        </w:tc>
        <w:tc>
          <w:tcPr>
            <w:tcW w:w="1803"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16.5%</w:t>
            </w:r>
          </w:p>
        </w:tc>
        <w:tc>
          <w:tcPr>
            <w:tcW w:w="1803"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+930% growth</w:t>
            </w:r>
          </w:p>
        </w:tc>
        <w:tc>
          <w:tcPr>
            <w:tcW w:w="1804"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Rapid demand expansion driven by policy</w:t>
            </w:r>
          </w:p>
        </w:tc>
      </w:tr>
      <w:tr w:rsidR="00EA4DCF" w:rsidRPr="00EA4DCF" w:rsidTr="00EA4DCF">
        <w:tc>
          <w:tcPr>
            <w:cnfStyle w:val="001000000000" w:firstRow="0" w:lastRow="0" w:firstColumn="1" w:lastColumn="0" w:oddVBand="0" w:evenVBand="0" w:oddHBand="0" w:evenHBand="0" w:firstRowFirstColumn="0" w:firstRowLastColumn="0" w:lastRowFirstColumn="0" w:lastRowLastColumn="0"/>
            <w:tcW w:w="1803" w:type="dxa"/>
          </w:tcPr>
          <w:p w:rsidR="00EA4DCF" w:rsidRPr="00EA4DCF" w:rsidRDefault="00EA4DCF" w:rsidP="00743C46">
            <w:r w:rsidRPr="00EA4DCF">
              <w:t>EV Sales Volume</w:t>
            </w:r>
          </w:p>
        </w:tc>
        <w:tc>
          <w:tcPr>
            <w:tcW w:w="1803" w:type="dxa"/>
          </w:tcPr>
          <w:p w:rsidR="00EA4DCF" w:rsidRPr="00EA4DCF" w:rsidRDefault="00EA4DCF" w:rsidP="00743C46">
            <w:pPr>
              <w:cnfStyle w:val="000000000000" w:firstRow="0" w:lastRow="0" w:firstColumn="0" w:lastColumn="0" w:oddVBand="0" w:evenVBand="0" w:oddHBand="0" w:evenHBand="0" w:firstRowFirstColumn="0" w:firstRowLastColumn="0" w:lastRowFirstColumn="0" w:lastRowLastColumn="0"/>
            </w:pPr>
            <w:r w:rsidRPr="00EA4DCF">
              <w:t>~37,000</w:t>
            </w:r>
          </w:p>
        </w:tc>
        <w:tc>
          <w:tcPr>
            <w:tcW w:w="1803" w:type="dxa"/>
          </w:tcPr>
          <w:p w:rsidR="00EA4DCF" w:rsidRPr="00EA4DCF" w:rsidRDefault="00EA4DCF" w:rsidP="00743C46">
            <w:pPr>
              <w:cnfStyle w:val="000000000000" w:firstRow="0" w:lastRow="0" w:firstColumn="0" w:lastColumn="0" w:oddVBand="0" w:evenVBand="0" w:oddHBand="0" w:evenHBand="0" w:firstRowFirstColumn="0" w:firstRowLastColumn="0" w:lastRowFirstColumn="0" w:lastRowLastColumn="0"/>
            </w:pPr>
            <w:r w:rsidRPr="00EA4DCF">
              <w:t>300,000+</w:t>
            </w:r>
          </w:p>
        </w:tc>
        <w:tc>
          <w:tcPr>
            <w:tcW w:w="1803" w:type="dxa"/>
          </w:tcPr>
          <w:p w:rsidR="00EA4DCF" w:rsidRPr="00EA4DCF" w:rsidRDefault="00EA4DCF" w:rsidP="00743C46">
            <w:pPr>
              <w:cnfStyle w:val="000000000000" w:firstRow="0" w:lastRow="0" w:firstColumn="0" w:lastColumn="0" w:oddVBand="0" w:evenVBand="0" w:oddHBand="0" w:evenHBand="0" w:firstRowFirstColumn="0" w:firstRowLastColumn="0" w:lastRowFirstColumn="0" w:lastRowLastColumn="0"/>
            </w:pPr>
            <w:r w:rsidRPr="00EA4DCF">
              <w:t>Significant rise</w:t>
            </w:r>
          </w:p>
        </w:tc>
        <w:tc>
          <w:tcPr>
            <w:tcW w:w="1804" w:type="dxa"/>
          </w:tcPr>
          <w:p w:rsidR="00EA4DCF" w:rsidRPr="00EA4DCF" w:rsidRDefault="00EA4DCF" w:rsidP="00743C46">
            <w:pPr>
              <w:cnfStyle w:val="000000000000" w:firstRow="0" w:lastRow="0" w:firstColumn="0" w:lastColumn="0" w:oddVBand="0" w:evenVBand="0" w:oddHBand="0" w:evenHBand="0" w:firstRowFirstColumn="0" w:firstRowLastColumn="0" w:lastRowFirstColumn="0" w:lastRowLastColumn="0"/>
            </w:pPr>
            <w:r w:rsidRPr="00EA4DCF">
              <w:t>Market scaling but not yet mature</w:t>
            </w:r>
          </w:p>
        </w:tc>
      </w:tr>
      <w:tr w:rsidR="00EA4DCF" w:rsidRPr="00EA4DCF" w:rsidTr="00EA4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EA4DCF" w:rsidRPr="00EA4DCF" w:rsidRDefault="00EA4DCF" w:rsidP="00743C46">
            <w:r w:rsidRPr="00EA4DCF">
              <w:t>Public Charging Points</w:t>
            </w:r>
          </w:p>
        </w:tc>
        <w:tc>
          <w:tcPr>
            <w:tcW w:w="1803"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~19,000</w:t>
            </w:r>
          </w:p>
        </w:tc>
        <w:tc>
          <w:tcPr>
            <w:tcW w:w="1803"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53,000+</w:t>
            </w:r>
          </w:p>
        </w:tc>
        <w:tc>
          <w:tcPr>
            <w:tcW w:w="1803"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+180% growth</w:t>
            </w:r>
          </w:p>
        </w:tc>
        <w:tc>
          <w:tcPr>
            <w:tcW w:w="1804" w:type="dxa"/>
          </w:tcPr>
          <w:p w:rsidR="00EA4DCF" w:rsidRPr="00EA4DCF" w:rsidRDefault="00EA4DCF" w:rsidP="00743C46">
            <w:pPr>
              <w:cnfStyle w:val="000000100000" w:firstRow="0" w:lastRow="0" w:firstColumn="0" w:lastColumn="0" w:oddVBand="0" w:evenVBand="0" w:oddHBand="1" w:evenHBand="0" w:firstRowFirstColumn="0" w:firstRowLastColumn="0" w:lastRowFirstColumn="0" w:lastRowLastColumn="0"/>
            </w:pPr>
            <w:r w:rsidRPr="00EA4DCF">
              <w:t>Growth exists but still insufficient</w:t>
            </w:r>
          </w:p>
        </w:tc>
      </w:tr>
      <w:tr w:rsidR="00EA4DCF" w:rsidRPr="00D951AA" w:rsidTr="00EA4DCF">
        <w:tc>
          <w:tcPr>
            <w:cnfStyle w:val="001000000000" w:firstRow="0" w:lastRow="0" w:firstColumn="1" w:lastColumn="0" w:oddVBand="0" w:evenVBand="0" w:oddHBand="0" w:evenHBand="0" w:firstRowFirstColumn="0" w:firstRowLastColumn="0" w:lastRowFirstColumn="0" w:lastRowLastColumn="0"/>
            <w:tcW w:w="1803" w:type="dxa"/>
          </w:tcPr>
          <w:p w:rsidR="00EA4DCF" w:rsidRPr="00EA4DCF" w:rsidRDefault="00EA4DCF" w:rsidP="00743C46">
            <w:r w:rsidRPr="00EA4DCF">
              <w:t>Automotive Industry Contribution</w:t>
            </w:r>
          </w:p>
        </w:tc>
        <w:tc>
          <w:tcPr>
            <w:tcW w:w="1803" w:type="dxa"/>
          </w:tcPr>
          <w:p w:rsidR="00EA4DCF" w:rsidRPr="00EA4DCF" w:rsidRDefault="00EA4DCF" w:rsidP="00743C46">
            <w:pPr>
              <w:cnfStyle w:val="000000000000" w:firstRow="0" w:lastRow="0" w:firstColumn="0" w:lastColumn="0" w:oddVBand="0" w:evenVBand="0" w:oddHBand="0" w:evenHBand="0" w:firstRowFirstColumn="0" w:firstRowLastColumn="0" w:lastRowFirstColumn="0" w:lastRowLastColumn="0"/>
            </w:pPr>
            <w:r w:rsidRPr="00EA4DCF">
              <w:t>£60bn</w:t>
            </w:r>
          </w:p>
        </w:tc>
        <w:tc>
          <w:tcPr>
            <w:tcW w:w="1803" w:type="dxa"/>
          </w:tcPr>
          <w:p w:rsidR="00EA4DCF" w:rsidRPr="00EA4DCF" w:rsidRDefault="00EA4DCF" w:rsidP="00743C46">
            <w:pPr>
              <w:cnfStyle w:val="000000000000" w:firstRow="0" w:lastRow="0" w:firstColumn="0" w:lastColumn="0" w:oddVBand="0" w:evenVBand="0" w:oddHBand="0" w:evenHBand="0" w:firstRowFirstColumn="0" w:firstRowLastColumn="0" w:lastRowFirstColumn="0" w:lastRowLastColumn="0"/>
            </w:pPr>
            <w:r w:rsidRPr="00EA4DCF">
              <w:t>£67bn</w:t>
            </w:r>
          </w:p>
        </w:tc>
        <w:tc>
          <w:tcPr>
            <w:tcW w:w="1803" w:type="dxa"/>
          </w:tcPr>
          <w:p w:rsidR="00EA4DCF" w:rsidRPr="00EA4DCF" w:rsidRDefault="00EA4DCF" w:rsidP="00743C46">
            <w:pPr>
              <w:cnfStyle w:val="000000000000" w:firstRow="0" w:lastRow="0" w:firstColumn="0" w:lastColumn="0" w:oddVBand="0" w:evenVBand="0" w:oddHBand="0" w:evenHBand="0" w:firstRowFirstColumn="0" w:firstRowLastColumn="0" w:lastRowFirstColumn="0" w:lastRowLastColumn="0"/>
            </w:pPr>
            <w:r w:rsidRPr="00EA4DCF">
              <w:t>Moderate growth</w:t>
            </w:r>
          </w:p>
        </w:tc>
        <w:tc>
          <w:tcPr>
            <w:tcW w:w="1804" w:type="dxa"/>
          </w:tcPr>
          <w:p w:rsidR="00EA4DCF" w:rsidRPr="00D951AA" w:rsidRDefault="00EA4DCF" w:rsidP="00743C46">
            <w:pPr>
              <w:cnfStyle w:val="000000000000" w:firstRow="0" w:lastRow="0" w:firstColumn="0" w:lastColumn="0" w:oddVBand="0" w:evenVBand="0" w:oddHBand="0" w:evenHBand="0" w:firstRowFirstColumn="0" w:firstRowLastColumn="0" w:lastRowFirstColumn="0" w:lastRowLastColumn="0"/>
            </w:pPr>
            <w:r w:rsidRPr="00EA4DCF">
              <w:t>EV transition reshaping economy</w:t>
            </w:r>
          </w:p>
        </w:tc>
      </w:tr>
    </w:tbl>
    <w:p w:rsidR="00EA4DCF" w:rsidRDefault="00EA4DCF" w:rsidP="00EA4DCF">
      <w:pPr>
        <w:rPr>
          <w:noProof/>
          <w:lang w:eastAsia="en-GB"/>
        </w:rPr>
      </w:pPr>
    </w:p>
    <w:p w:rsidR="001842BD" w:rsidRDefault="001842BD" w:rsidP="001842BD">
      <w:pPr>
        <w:jc w:val="center"/>
      </w:pPr>
      <w:r>
        <w:rPr>
          <w:noProof/>
          <w:lang w:eastAsia="en-GB"/>
        </w:rPr>
        <w:drawing>
          <wp:inline distT="0" distB="0" distL="0" distR="0">
            <wp:extent cx="4572000" cy="2813050"/>
            <wp:effectExtent l="0" t="0" r="0" b="6350"/>
            <wp:docPr id="7" name="Picture 7"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rter's Diamond Model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813050"/>
                    </a:xfrm>
                    <a:prstGeom prst="rect">
                      <a:avLst/>
                    </a:prstGeom>
                    <a:noFill/>
                    <a:ln>
                      <a:noFill/>
                    </a:ln>
                  </pic:spPr>
                </pic:pic>
              </a:graphicData>
            </a:graphic>
          </wp:inline>
        </w:drawing>
      </w:r>
    </w:p>
    <w:p w:rsidR="001842BD" w:rsidRDefault="001842BD" w:rsidP="001842BD">
      <w:pPr>
        <w:jc w:val="center"/>
      </w:pPr>
    </w:p>
    <w:p w:rsidR="001842BD" w:rsidRPr="001842BD" w:rsidRDefault="001842BD" w:rsidP="001842BD">
      <w:pPr>
        <w:jc w:val="center"/>
        <w:rPr>
          <w:b/>
        </w:rPr>
      </w:pPr>
      <w:r w:rsidRPr="001842BD">
        <w:rPr>
          <w:b/>
        </w:rPr>
        <w:t>Figure 4: Porter Diamond Model</w:t>
      </w:r>
    </w:p>
    <w:p w:rsidR="00E063F7" w:rsidRDefault="00E063F7" w:rsidP="00E063F7">
      <w:pPr>
        <w:pStyle w:val="Heading1"/>
      </w:pPr>
      <w:bookmarkStart w:id="12" w:name="_Toc228095209"/>
      <w:r>
        <w:lastRenderedPageBreak/>
        <w:t>4. TESLA MARKET ENTRY &amp; SUCCESS</w:t>
      </w:r>
      <w:bookmarkEnd w:id="12"/>
    </w:p>
    <w:p w:rsidR="00566DA9" w:rsidRDefault="00566DA9" w:rsidP="00E063F7">
      <w:pPr>
        <w:pStyle w:val="Heading2"/>
      </w:pPr>
      <w:bookmarkStart w:id="13" w:name="_Toc228095210"/>
      <w:r>
        <w:t>4.1 Overview of Tesla</w:t>
      </w:r>
      <w:bookmarkEnd w:id="13"/>
    </w:p>
    <w:p w:rsidR="00566DA9" w:rsidRDefault="00566DA9" w:rsidP="00566DA9">
      <w:r>
        <w:t>Tesla is a key international multinational electric vehicle company in the UK market. It has a global strategy that focuses on innovation, high-end positioning, vehicle software, battery technology and direct sales</w:t>
      </w:r>
      <w:r w:rsidR="007A3B70">
        <w:t xml:space="preserve"> (Li et al., 2024)</w:t>
      </w:r>
      <w:r>
        <w:t>. Tesla is not primarily competing through traditional distribution channels or product range like many established car manufacturers. Rather it competes on brand, vehicle software, charging and user experience. Tesla's annual reports discuss its sales model, Supercharger network and connected product as key business strategies</w:t>
      </w:r>
      <w:r w:rsidR="007A3B70">
        <w:t xml:space="preserve"> (Sun, 2024)</w:t>
      </w:r>
      <w:r>
        <w:t>.</w:t>
      </w:r>
    </w:p>
    <w:p w:rsidR="005F7836" w:rsidRDefault="00566DA9" w:rsidP="00566DA9">
      <w:r>
        <w:t>Tesla’s approach is well suited to the UK's premium EV market segment due to the nation's high income and supportive environmental policy. In 2024, the UK had a GDP per capita of US$53,246, implying that there is a customer segment with sufficient income to afford a premium EV</w:t>
      </w:r>
      <w:r w:rsidR="007A3B70">
        <w:t xml:space="preserve"> (Cho et al., 2025)</w:t>
      </w:r>
      <w:r>
        <w:t>. But this does not ensure Tesla's success. The company's premium pricing strategy presents a trade-off between technological innovation and value. So, Tesla's success in the UK should be assessed not only on sales growth, but also by how it adapts to the UK's political, economic, legal, cultural and technological environment</w:t>
      </w:r>
      <w:r w:rsidR="007A3B70">
        <w:t xml:space="preserve"> </w:t>
      </w:r>
      <w:r w:rsidR="00501E4A">
        <w:t xml:space="preserve">(Graham &amp; </w:t>
      </w:r>
      <w:proofErr w:type="spellStart"/>
      <w:r w:rsidR="00501E4A">
        <w:t>Brungard</w:t>
      </w:r>
      <w:proofErr w:type="spellEnd"/>
      <w:r w:rsidR="00501E4A">
        <w:t>, 2021)</w:t>
      </w:r>
      <w:r>
        <w:t>.</w:t>
      </w:r>
    </w:p>
    <w:p w:rsidR="00566DA9" w:rsidRDefault="00566DA9" w:rsidP="00E063F7">
      <w:pPr>
        <w:pStyle w:val="Heading2"/>
      </w:pPr>
      <w:bookmarkStart w:id="14" w:name="_Toc228095211"/>
      <w:r>
        <w:t>4.2 Market Attractiveness: PESTLE Analysis</w:t>
      </w:r>
      <w:bookmarkEnd w:id="14"/>
    </w:p>
    <w:p w:rsidR="00566DA9" w:rsidRDefault="00566DA9" w:rsidP="00566DA9">
      <w:r>
        <w:t>The UK is politically appealing for Tesla because the UK government has fostered the shift from fossil-fuelled vehicles to zero-emissions. This means that the regulatory environment is supportive for electric vehicle producers, as regulation drives demand for electric cars</w:t>
      </w:r>
      <w:r w:rsidR="00E74A88">
        <w:t xml:space="preserve"> (</w:t>
      </w:r>
      <w:proofErr w:type="spellStart"/>
      <w:r w:rsidR="00E74A88">
        <w:t>Kowalska-Pyzalska</w:t>
      </w:r>
      <w:proofErr w:type="spellEnd"/>
      <w:r w:rsidR="00E74A88">
        <w:t xml:space="preserve"> et al., 2020)</w:t>
      </w:r>
      <w:r>
        <w:t>. This is good for Tesla because its business model is centred around eco-friendly mobility. But political attractiveness needs to be assessed critically. Incentives for electric vehicles and policy support for electric vehicles can boost demand, but regulatory uncertainty in terms of incentives, charging policy and regulatory timetables can undermine confidence. So, politics support Tesla to enter and expand, but the way policies are executed and implemented determines whether thi</w:t>
      </w:r>
      <w:r w:rsidR="00E063F7">
        <w:t>s support is persistent or not</w:t>
      </w:r>
      <w:r w:rsidR="00E74A88">
        <w:t xml:space="preserve"> (Rapson &amp; </w:t>
      </w:r>
      <w:proofErr w:type="spellStart"/>
      <w:r w:rsidR="00E74A88">
        <w:t>Muehlegger</w:t>
      </w:r>
      <w:proofErr w:type="spellEnd"/>
      <w:r w:rsidR="00E74A88">
        <w:t>, 2021)</w:t>
      </w:r>
      <w:r w:rsidR="00E063F7">
        <w:t>.</w:t>
      </w:r>
    </w:p>
    <w:p w:rsidR="00BC3DC4" w:rsidRPr="00257C3E" w:rsidRDefault="00257C3E" w:rsidP="00BC3DC4">
      <w:pPr>
        <w:rPr>
          <w:b/>
        </w:rPr>
      </w:pPr>
      <w:bookmarkStart w:id="15" w:name="_GoBack"/>
      <w:r w:rsidRPr="00257C3E">
        <w:rPr>
          <w:b/>
        </w:rPr>
        <w:t>TABLE 4</w:t>
      </w:r>
      <w:r w:rsidR="00BC3DC4" w:rsidRPr="00257C3E">
        <w:rPr>
          <w:b/>
        </w:rPr>
        <w:t xml:space="preserve">- </w:t>
      </w:r>
      <w:r w:rsidR="00BC3DC4" w:rsidRPr="00257C3E">
        <w:rPr>
          <w:b/>
        </w:rPr>
        <w:t>Market Attractiveness: PESTLE Analysis</w:t>
      </w:r>
    </w:p>
    <w:p w:rsidR="00F472A0" w:rsidRPr="00257C3E" w:rsidRDefault="00F472A0" w:rsidP="00F472A0">
      <w:pPr>
        <w:rPr>
          <w:b/>
        </w:rPr>
      </w:pPr>
    </w:p>
    <w:tbl>
      <w:tblPr>
        <w:tblStyle w:val="GridTable4-Accent5"/>
        <w:tblW w:w="0" w:type="auto"/>
        <w:tblLook w:val="04A0" w:firstRow="1" w:lastRow="0" w:firstColumn="1" w:lastColumn="0" w:noHBand="0" w:noVBand="1"/>
      </w:tblPr>
      <w:tblGrid>
        <w:gridCol w:w="2254"/>
        <w:gridCol w:w="2254"/>
        <w:gridCol w:w="2254"/>
        <w:gridCol w:w="2254"/>
      </w:tblGrid>
      <w:tr w:rsidR="00F472A0" w:rsidRPr="00F472A0" w:rsidTr="00F472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bookmarkEnd w:id="15"/>
          <w:p w:rsidR="00F472A0" w:rsidRPr="00F472A0" w:rsidRDefault="00F472A0" w:rsidP="00170B31">
            <w:r w:rsidRPr="00F472A0">
              <w:lastRenderedPageBreak/>
              <w:t>Factor</w:t>
            </w:r>
          </w:p>
        </w:tc>
        <w:tc>
          <w:tcPr>
            <w:tcW w:w="2254" w:type="dxa"/>
          </w:tcPr>
          <w:p w:rsidR="00F472A0" w:rsidRPr="00F472A0" w:rsidRDefault="00F472A0" w:rsidP="00170B31">
            <w:pPr>
              <w:cnfStyle w:val="100000000000" w:firstRow="1" w:lastRow="0" w:firstColumn="0" w:lastColumn="0" w:oddVBand="0" w:evenVBand="0" w:oddHBand="0" w:evenHBand="0" w:firstRowFirstColumn="0" w:firstRowLastColumn="0" w:lastRowFirstColumn="0" w:lastRowLastColumn="0"/>
            </w:pPr>
            <w:r w:rsidRPr="00F472A0">
              <w:t>Opportunity for Tesla</w:t>
            </w:r>
          </w:p>
        </w:tc>
        <w:tc>
          <w:tcPr>
            <w:tcW w:w="2254" w:type="dxa"/>
          </w:tcPr>
          <w:p w:rsidR="00F472A0" w:rsidRPr="00F472A0" w:rsidRDefault="00F472A0" w:rsidP="00170B31">
            <w:pPr>
              <w:cnfStyle w:val="100000000000" w:firstRow="1" w:lastRow="0" w:firstColumn="0" w:lastColumn="0" w:oddVBand="0" w:evenVBand="0" w:oddHBand="0" w:evenHBand="0" w:firstRowFirstColumn="0" w:firstRowLastColumn="0" w:lastRowFirstColumn="0" w:lastRowLastColumn="0"/>
            </w:pPr>
            <w:r w:rsidRPr="00F472A0">
              <w:t>Constraint</w:t>
            </w:r>
          </w:p>
        </w:tc>
        <w:tc>
          <w:tcPr>
            <w:tcW w:w="2254" w:type="dxa"/>
          </w:tcPr>
          <w:p w:rsidR="00F472A0" w:rsidRPr="00F472A0" w:rsidRDefault="00F472A0" w:rsidP="00170B31">
            <w:pPr>
              <w:cnfStyle w:val="100000000000" w:firstRow="1" w:lastRow="0" w:firstColumn="0" w:lastColumn="0" w:oddVBand="0" w:evenVBand="0" w:oddHBand="0" w:evenHBand="0" w:firstRowFirstColumn="0" w:firstRowLastColumn="0" w:lastRowFirstColumn="0" w:lastRowLastColumn="0"/>
            </w:pPr>
            <w:r w:rsidRPr="00F472A0">
              <w:t>Overall Impact</w:t>
            </w:r>
          </w:p>
        </w:tc>
      </w:tr>
      <w:tr w:rsidR="00F472A0" w:rsidRPr="00F472A0" w:rsidTr="00F47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472A0" w:rsidRDefault="00F472A0" w:rsidP="00170B31">
            <w:r w:rsidRPr="00F472A0">
              <w:t>Political</w:t>
            </w:r>
          </w:p>
          <w:p w:rsidR="00BC3DC4" w:rsidRPr="00F472A0" w:rsidRDefault="00BC3DC4" w:rsidP="00170B31"/>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Strong EV policies</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Policy uncertainty</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Positive</w:t>
            </w:r>
          </w:p>
        </w:tc>
      </w:tr>
      <w:tr w:rsidR="00F472A0" w:rsidRPr="00F472A0" w:rsidTr="00F472A0">
        <w:tc>
          <w:tcPr>
            <w:cnfStyle w:val="001000000000" w:firstRow="0" w:lastRow="0" w:firstColumn="1" w:lastColumn="0" w:oddVBand="0" w:evenVBand="0" w:oddHBand="0" w:evenHBand="0" w:firstRowFirstColumn="0" w:firstRowLastColumn="0" w:lastRowFirstColumn="0" w:lastRowLastColumn="0"/>
            <w:tcW w:w="2254" w:type="dxa"/>
          </w:tcPr>
          <w:p w:rsidR="00F472A0" w:rsidRPr="00F472A0" w:rsidRDefault="00F472A0" w:rsidP="00170B31">
            <w:r w:rsidRPr="00F472A0">
              <w:t>Economic</w:t>
            </w:r>
          </w:p>
        </w:tc>
        <w:tc>
          <w:tcPr>
            <w:tcW w:w="2254" w:type="dxa"/>
          </w:tcPr>
          <w:p w:rsidR="00F472A0" w:rsidRPr="00F472A0" w:rsidRDefault="00F472A0" w:rsidP="00170B31">
            <w:pPr>
              <w:cnfStyle w:val="000000000000" w:firstRow="0" w:lastRow="0" w:firstColumn="0" w:lastColumn="0" w:oddVBand="0" w:evenVBand="0" w:oddHBand="0" w:evenHBand="0" w:firstRowFirstColumn="0" w:firstRowLastColumn="0" w:lastRowFirstColumn="0" w:lastRowLastColumn="0"/>
            </w:pPr>
            <w:r w:rsidRPr="00F472A0">
              <w:t>High GDP per capita</w:t>
            </w:r>
          </w:p>
        </w:tc>
        <w:tc>
          <w:tcPr>
            <w:tcW w:w="2254" w:type="dxa"/>
          </w:tcPr>
          <w:p w:rsidR="00F472A0" w:rsidRPr="00F472A0" w:rsidRDefault="00F472A0" w:rsidP="00170B31">
            <w:pPr>
              <w:cnfStyle w:val="000000000000" w:firstRow="0" w:lastRow="0" w:firstColumn="0" w:lastColumn="0" w:oddVBand="0" w:evenVBand="0" w:oddHBand="0" w:evenHBand="0" w:firstRowFirstColumn="0" w:firstRowLastColumn="0" w:lastRowFirstColumn="0" w:lastRowLastColumn="0"/>
            </w:pPr>
            <w:r w:rsidRPr="00F472A0">
              <w:t>Inflation, high EV prices</w:t>
            </w:r>
          </w:p>
        </w:tc>
        <w:tc>
          <w:tcPr>
            <w:tcW w:w="2254" w:type="dxa"/>
          </w:tcPr>
          <w:p w:rsidR="00F472A0" w:rsidRPr="00F472A0" w:rsidRDefault="00F472A0" w:rsidP="00170B31">
            <w:pPr>
              <w:cnfStyle w:val="000000000000" w:firstRow="0" w:lastRow="0" w:firstColumn="0" w:lastColumn="0" w:oddVBand="0" w:evenVBand="0" w:oddHBand="0" w:evenHBand="0" w:firstRowFirstColumn="0" w:firstRowLastColumn="0" w:lastRowFirstColumn="0" w:lastRowLastColumn="0"/>
            </w:pPr>
            <w:r w:rsidRPr="00F472A0">
              <w:t>Mixed</w:t>
            </w:r>
          </w:p>
        </w:tc>
      </w:tr>
      <w:tr w:rsidR="00F472A0" w:rsidRPr="00F472A0" w:rsidTr="00F47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472A0" w:rsidRPr="00F472A0" w:rsidRDefault="00F472A0" w:rsidP="00170B31">
            <w:r w:rsidRPr="00F472A0">
              <w:t>Legal</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Emission regulations</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Brexit trade issues</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Moderate</w:t>
            </w:r>
          </w:p>
        </w:tc>
      </w:tr>
      <w:tr w:rsidR="00F472A0" w:rsidRPr="00F472A0" w:rsidTr="00F472A0">
        <w:tc>
          <w:tcPr>
            <w:cnfStyle w:val="001000000000" w:firstRow="0" w:lastRow="0" w:firstColumn="1" w:lastColumn="0" w:oddVBand="0" w:evenVBand="0" w:oddHBand="0" w:evenHBand="0" w:firstRowFirstColumn="0" w:firstRowLastColumn="0" w:lastRowFirstColumn="0" w:lastRowLastColumn="0"/>
            <w:tcW w:w="2254" w:type="dxa"/>
          </w:tcPr>
          <w:p w:rsidR="00F472A0" w:rsidRPr="00F472A0" w:rsidRDefault="00F472A0" w:rsidP="00170B31">
            <w:r w:rsidRPr="00F472A0">
              <w:t>Cultural</w:t>
            </w:r>
          </w:p>
        </w:tc>
        <w:tc>
          <w:tcPr>
            <w:tcW w:w="2254" w:type="dxa"/>
          </w:tcPr>
          <w:p w:rsidR="00F472A0" w:rsidRPr="00F472A0" w:rsidRDefault="00F472A0" w:rsidP="00170B31">
            <w:pPr>
              <w:cnfStyle w:val="000000000000" w:firstRow="0" w:lastRow="0" w:firstColumn="0" w:lastColumn="0" w:oddVBand="0" w:evenVBand="0" w:oddHBand="0" w:evenHBand="0" w:firstRowFirstColumn="0" w:firstRowLastColumn="0" w:lastRowFirstColumn="0" w:lastRowLastColumn="0"/>
            </w:pPr>
            <w:r w:rsidRPr="00F472A0">
              <w:t>Sustainability awareness</w:t>
            </w:r>
          </w:p>
        </w:tc>
        <w:tc>
          <w:tcPr>
            <w:tcW w:w="2254" w:type="dxa"/>
          </w:tcPr>
          <w:p w:rsidR="00F472A0" w:rsidRPr="00F472A0" w:rsidRDefault="00F472A0" w:rsidP="00170B31">
            <w:pPr>
              <w:cnfStyle w:val="000000000000" w:firstRow="0" w:lastRow="0" w:firstColumn="0" w:lastColumn="0" w:oddVBand="0" w:evenVBand="0" w:oddHBand="0" w:evenHBand="0" w:firstRowFirstColumn="0" w:firstRowLastColumn="0" w:lastRowFirstColumn="0" w:lastRowLastColumn="0"/>
            </w:pPr>
            <w:r w:rsidRPr="00F472A0">
              <w:t>Price sensitivity</w:t>
            </w:r>
          </w:p>
        </w:tc>
        <w:tc>
          <w:tcPr>
            <w:tcW w:w="2254" w:type="dxa"/>
          </w:tcPr>
          <w:p w:rsidR="00F472A0" w:rsidRPr="00F472A0" w:rsidRDefault="00F472A0" w:rsidP="00170B31">
            <w:pPr>
              <w:cnfStyle w:val="000000000000" w:firstRow="0" w:lastRow="0" w:firstColumn="0" w:lastColumn="0" w:oddVBand="0" w:evenVBand="0" w:oddHBand="0" w:evenHBand="0" w:firstRowFirstColumn="0" w:firstRowLastColumn="0" w:lastRowFirstColumn="0" w:lastRowLastColumn="0"/>
            </w:pPr>
            <w:r w:rsidRPr="00F472A0">
              <w:t>Moderate</w:t>
            </w:r>
          </w:p>
        </w:tc>
      </w:tr>
      <w:tr w:rsidR="00F472A0" w:rsidRPr="00F472A0" w:rsidTr="00F47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472A0" w:rsidRPr="00F472A0" w:rsidRDefault="00F472A0" w:rsidP="00170B31">
            <w:r w:rsidRPr="00F472A0">
              <w:t>Tech</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Growing infrastructure</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r w:rsidRPr="00F472A0">
              <w:t>Uneven distribution</w:t>
            </w:r>
          </w:p>
        </w:tc>
        <w:tc>
          <w:tcPr>
            <w:tcW w:w="2254" w:type="dxa"/>
          </w:tcPr>
          <w:p w:rsidR="00F472A0" w:rsidRPr="00F472A0" w:rsidRDefault="00F472A0" w:rsidP="00170B31">
            <w:pPr>
              <w:cnfStyle w:val="000000100000" w:firstRow="0" w:lastRow="0" w:firstColumn="0" w:lastColumn="0" w:oddVBand="0" w:evenVBand="0" w:oddHBand="1" w:evenHBand="0" w:firstRowFirstColumn="0" w:firstRowLastColumn="0" w:lastRowFirstColumn="0" w:lastRowLastColumn="0"/>
            </w:pPr>
            <w:proofErr w:type="spellStart"/>
            <w:r w:rsidRPr="00F472A0">
              <w:t>Moderat</w:t>
            </w:r>
            <w:proofErr w:type="spellEnd"/>
          </w:p>
        </w:tc>
      </w:tr>
    </w:tbl>
    <w:p w:rsidR="00312734" w:rsidRDefault="00312734" w:rsidP="00566DA9"/>
    <w:p w:rsidR="00566DA9" w:rsidRDefault="00566DA9" w:rsidP="00566DA9">
      <w:r>
        <w:t>The UK is a good but mixed market for Tesla. First, the UK is a developed and large economy with GDP at US$3.69 trillion in 2024 and GDP per capita at US$53,246. This helps Tesla justify a premium price because affluent consumers can afford EVs</w:t>
      </w:r>
      <w:r w:rsidR="00D610D9">
        <w:t xml:space="preserve"> (</w:t>
      </w:r>
      <w:proofErr w:type="spellStart"/>
      <w:r w:rsidR="00D610D9">
        <w:t>Pareliussen</w:t>
      </w:r>
      <w:proofErr w:type="spellEnd"/>
      <w:r w:rsidR="00D610D9">
        <w:t xml:space="preserve"> et al., 2022)</w:t>
      </w:r>
      <w:r>
        <w:t>. On the other hand, inflation and high cost of living decrease consumers' willingness to spend, which makes high-cost EVs less affordable. Recent media reports also indicate UK inflation is still an issue, with inflation reaching 3.3% in March 2026 due to fuel price increases</w:t>
      </w:r>
      <w:r w:rsidR="00D610D9">
        <w:t xml:space="preserve"> </w:t>
      </w:r>
      <w:proofErr w:type="spellStart"/>
      <w:r w:rsidR="00D610D9">
        <w:t>Firlina</w:t>
      </w:r>
      <w:proofErr w:type="spellEnd"/>
      <w:r w:rsidR="00D610D9">
        <w:t xml:space="preserve"> </w:t>
      </w:r>
      <w:r w:rsidR="00D610D9">
        <w:rPr>
          <w:rStyle w:val="Emphasis"/>
        </w:rPr>
        <w:t>et al.</w:t>
      </w:r>
      <w:r w:rsidR="00D610D9">
        <w:t xml:space="preserve"> (2025)</w:t>
      </w:r>
      <w:r>
        <w:t>. This presents a paradox: while fuel prices make EVs more attractive relative to combustion vehicles, inflation makes expensive EVs less affordable. So, the UK is good for Tesla’s high-end market, but not as good for mass-market unl</w:t>
      </w:r>
      <w:r w:rsidR="00E063F7">
        <w:t>ess Tesla makes affordable EVs.</w:t>
      </w:r>
    </w:p>
    <w:p w:rsidR="00566DA9" w:rsidRDefault="00566DA9" w:rsidP="00566DA9">
      <w:r>
        <w:t xml:space="preserve">Legally and </w:t>
      </w:r>
      <w:proofErr w:type="spellStart"/>
      <w:r>
        <w:t>regulatorily</w:t>
      </w:r>
      <w:proofErr w:type="spellEnd"/>
      <w:r>
        <w:t>, the UK will be favourable for EV companies because of environmental targets to cut emissions and adopt cleaner transport</w:t>
      </w:r>
      <w:r w:rsidR="00170B31">
        <w:t xml:space="preserve"> </w:t>
      </w:r>
      <w:r w:rsidR="00170B31" w:rsidRPr="00170B31">
        <w:t xml:space="preserve">Krill </w:t>
      </w:r>
      <w:r w:rsidR="00170B31" w:rsidRPr="00170B31">
        <w:rPr>
          <w:i/>
          <w:iCs/>
        </w:rPr>
        <w:t>et al.</w:t>
      </w:r>
      <w:r w:rsidR="00170B31" w:rsidRPr="00170B31">
        <w:t xml:space="preserve"> (2023)</w:t>
      </w:r>
      <w:r>
        <w:t>. This helps Tesla compete against combustion vehicle firms. But regulation also complicates matters. Bilateral trade relations after Brexit may impact supply chains, certification, import duties and distribution. Tesla has global manufacturing and supply chains, so regulatory complexity can limit efficiency</w:t>
      </w:r>
      <w:r w:rsidR="00170B31">
        <w:t xml:space="preserve"> </w:t>
      </w:r>
      <w:proofErr w:type="spellStart"/>
      <w:r w:rsidR="00170B31">
        <w:t>Leidecker</w:t>
      </w:r>
      <w:proofErr w:type="spellEnd"/>
      <w:r w:rsidR="00170B31">
        <w:t xml:space="preserve"> </w:t>
      </w:r>
      <w:r w:rsidR="00170B31">
        <w:rPr>
          <w:rStyle w:val="Emphasis"/>
        </w:rPr>
        <w:t>et al.</w:t>
      </w:r>
      <w:r w:rsidR="00170B31">
        <w:t xml:space="preserve"> (2023)</w:t>
      </w:r>
      <w:r>
        <w:t>. So legal attractiveness is both a blessing and a curse: regulatory standards generate demand for Tesla vehicles, but regulat</w:t>
      </w:r>
      <w:r w:rsidR="00E063F7">
        <w:t>ory complexity can raise costs.</w:t>
      </w:r>
    </w:p>
    <w:p w:rsidR="00566DA9" w:rsidRDefault="00566DA9" w:rsidP="00566DA9">
      <w:r>
        <w:lastRenderedPageBreak/>
        <w:t>Culturally, Tesla profits from the UK's green awareness. The move to EVs is not just technological, but also a cultural redefinition of consumption trends. Tesla’s brand aligns with this trend as it is environmentally responsible, innovative and high status. But cultural support should not be overestimated</w:t>
      </w:r>
      <w:r w:rsidR="008F7D32">
        <w:t xml:space="preserve"> (</w:t>
      </w:r>
      <w:proofErr w:type="spellStart"/>
      <w:r w:rsidR="008F7D32">
        <w:t>Hemavathi</w:t>
      </w:r>
      <w:proofErr w:type="spellEnd"/>
      <w:r w:rsidR="008F7D32">
        <w:t>, 2025)</w:t>
      </w:r>
      <w:r>
        <w:t>. Many consumers may be interested in sustainability, but price, convenience and charging infrastructure remain crucial factors in their purchase decisions. That means Tesla is a good cultural fit for consumers who are environmentally concerned and wealthy, but a less good fit for price-conscious consumers</w:t>
      </w:r>
      <w:r w:rsidR="008F7D32">
        <w:t xml:space="preserve"> (Yang et al., 2022)</w:t>
      </w:r>
      <w:r>
        <w:t>. The imbalance between consumer preferences and consumer affordabi</w:t>
      </w:r>
      <w:r w:rsidR="00E063F7">
        <w:t>lity is therefore a constraint.</w:t>
      </w:r>
    </w:p>
    <w:p w:rsidR="00566DA9" w:rsidRDefault="00566DA9" w:rsidP="00566DA9">
      <w:r>
        <w:t xml:space="preserve">In terms of technology, charging infrastructure has come a long way in the UK, but is unevenly developed. In July 2024, government statistics indicated 64,632 public charging devices in the UK, compared to 73,699 public charge points reported by </w:t>
      </w:r>
      <w:proofErr w:type="spellStart"/>
      <w:r>
        <w:t>Zapmap</w:t>
      </w:r>
      <w:proofErr w:type="spellEnd"/>
      <w:r>
        <w:t xml:space="preserve"> at the end of 2024</w:t>
      </w:r>
      <w:r w:rsidR="008F7D32">
        <w:t xml:space="preserve"> (</w:t>
      </w:r>
      <w:proofErr w:type="spellStart"/>
      <w:r w:rsidR="008F7D32">
        <w:t>Jagani</w:t>
      </w:r>
      <w:proofErr w:type="spellEnd"/>
      <w:r w:rsidR="008F7D32">
        <w:t xml:space="preserve"> et al., 2024)</w:t>
      </w:r>
      <w:r>
        <w:t>. These developments help Tesla, for example, by alleviating anxiety about range. Tesla also has its Supercharger network, which boosts confidence in its cars and enhances the ownership experience. But infrastructure development is not uniform. Cities are better served than the country and public charging can be costlier than domestic charging</w:t>
      </w:r>
      <w:r w:rsidR="008F7D32">
        <w:t xml:space="preserve"> (</w:t>
      </w:r>
      <w:proofErr w:type="spellStart"/>
      <w:r w:rsidR="008F7D32">
        <w:t>Kouam</w:t>
      </w:r>
      <w:proofErr w:type="spellEnd"/>
      <w:r w:rsidR="008F7D32">
        <w:t>, 2024)</w:t>
      </w:r>
      <w:r>
        <w:t>. A recent UK tax battle over value added tax (VAT) on public chargers shows that charging costs and equity is a politically and economically sensitive debate. So, technological conditions favour Tesla and its premium customers, but undermine EV di</w:t>
      </w:r>
      <w:r w:rsidR="00E063F7">
        <w:t xml:space="preserve">ffusion. </w:t>
      </w:r>
      <w:r>
        <w:t>Overall, the PESTLE analysis reveals the UK is a good but not perfect market</w:t>
      </w:r>
      <w:r w:rsidR="00170B31">
        <w:t xml:space="preserve"> </w:t>
      </w:r>
      <w:proofErr w:type="spellStart"/>
      <w:r w:rsidR="00170B31">
        <w:t>Patil</w:t>
      </w:r>
      <w:proofErr w:type="spellEnd"/>
      <w:r w:rsidR="00170B31">
        <w:t xml:space="preserve"> </w:t>
      </w:r>
      <w:r w:rsidR="00170B31">
        <w:rPr>
          <w:rStyle w:val="Emphasis"/>
        </w:rPr>
        <w:t>et al.</w:t>
      </w:r>
      <w:r w:rsidR="00170B31">
        <w:t xml:space="preserve"> (2024)</w:t>
      </w:r>
      <w:r>
        <w:t>. Political and cultural conditions support Tesla, economic conditions support premium customers and technological conditions are improving. But affordability, charging disparities, regulatory burden and competition limit Tesla's premium market share</w:t>
      </w:r>
      <w:r w:rsidR="00170B31">
        <w:t xml:space="preserve"> (Lin, 2025)</w:t>
      </w:r>
      <w:r>
        <w:t>.</w:t>
      </w:r>
    </w:p>
    <w:p w:rsidR="00566DA9" w:rsidRDefault="00E063F7" w:rsidP="00E063F7">
      <w:pPr>
        <w:pStyle w:val="Heading2"/>
      </w:pPr>
      <w:bookmarkStart w:id="16" w:name="_Toc228095212"/>
      <w:r>
        <w:t xml:space="preserve">4.3 Strategic Fit </w:t>
      </w:r>
      <w:r w:rsidR="00566DA9">
        <w:t>and Mode of Entry Assessment</w:t>
      </w:r>
      <w:bookmarkEnd w:id="16"/>
    </w:p>
    <w:p w:rsidR="005F7836" w:rsidRDefault="00566DA9" w:rsidP="00566DA9">
      <w:r>
        <w:t>Tesla's UK market approach involves export, direct sales, e-commerce and charging infrastructure roll-out. This is in contrast to conventional car internationalisation strategy, which is often based on local dealerships, joint ventures or subsidiaries</w:t>
      </w:r>
      <w:r w:rsidR="008F7D32">
        <w:t xml:space="preserve"> (Otero</w:t>
      </w:r>
      <w:r w:rsidR="008F7D32">
        <w:rPr>
          <w:rFonts w:ascii="Cambria Math" w:hAnsi="Cambria Math" w:cs="Cambria Math"/>
        </w:rPr>
        <w:t>‐</w:t>
      </w:r>
      <w:r w:rsidR="008F7D32">
        <w:t>Iglesias et al., 2025)</w:t>
      </w:r>
      <w:r>
        <w:t xml:space="preserve">. Tesla is thus asset-light in production but control-heavy in branding and retailing. Tesla is therefore able to control price, data, software and </w:t>
      </w:r>
      <w:r>
        <w:lastRenderedPageBreak/>
        <w:t>brand. It also enables standardisation so Tesla can offer similar products across different mar</w:t>
      </w:r>
      <w:r w:rsidR="00E063F7">
        <w:t>kets with minimal localisation</w:t>
      </w:r>
      <w:r w:rsidR="008F7D32">
        <w:t xml:space="preserve"> (Zhang &amp; Wu, 2025)</w:t>
      </w:r>
      <w:r w:rsidR="00E063F7">
        <w:t>.</w:t>
      </w:r>
      <w:r w:rsidR="008F7D32">
        <w:t xml:space="preserve"> </w:t>
      </w:r>
    </w:p>
    <w:p w:rsidR="005F7836" w:rsidRDefault="005F7836" w:rsidP="005F7836">
      <w:r>
        <w:t>TABLE 2 (REPLACE YOUR CURRENT TABLE 2)</w:t>
      </w:r>
    </w:p>
    <w:tbl>
      <w:tblPr>
        <w:tblStyle w:val="GridTable4-Accent5"/>
        <w:tblW w:w="0" w:type="auto"/>
        <w:tblLook w:val="04A0" w:firstRow="1" w:lastRow="0" w:firstColumn="1" w:lastColumn="0" w:noHBand="0" w:noVBand="1"/>
      </w:tblPr>
      <w:tblGrid>
        <w:gridCol w:w="1803"/>
        <w:gridCol w:w="1803"/>
        <w:gridCol w:w="1803"/>
        <w:gridCol w:w="1803"/>
        <w:gridCol w:w="1804"/>
      </w:tblGrid>
      <w:tr w:rsidR="005F7836" w:rsidRPr="005F7836" w:rsidTr="005F78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5F7836" w:rsidRPr="005F7836" w:rsidRDefault="005F7836" w:rsidP="00170B31">
            <w:r w:rsidRPr="005F7836">
              <w:t>Factor</w:t>
            </w:r>
          </w:p>
        </w:tc>
        <w:tc>
          <w:tcPr>
            <w:tcW w:w="1803" w:type="dxa"/>
          </w:tcPr>
          <w:p w:rsidR="005F7836" w:rsidRPr="005F7836" w:rsidRDefault="005F7836" w:rsidP="00170B31">
            <w:pPr>
              <w:cnfStyle w:val="100000000000" w:firstRow="1" w:lastRow="0" w:firstColumn="0" w:lastColumn="0" w:oddVBand="0" w:evenVBand="0" w:oddHBand="0" w:evenHBand="0" w:firstRowFirstColumn="0" w:firstRowLastColumn="0" w:lastRowFirstColumn="0" w:lastRowLastColumn="0"/>
            </w:pPr>
            <w:r w:rsidRPr="005F7836">
              <w:t>Tesla</w:t>
            </w:r>
          </w:p>
        </w:tc>
        <w:tc>
          <w:tcPr>
            <w:tcW w:w="1803" w:type="dxa"/>
          </w:tcPr>
          <w:p w:rsidR="005F7836" w:rsidRPr="005F7836" w:rsidRDefault="005F7836" w:rsidP="00170B31">
            <w:pPr>
              <w:cnfStyle w:val="100000000000" w:firstRow="1" w:lastRow="0" w:firstColumn="0" w:lastColumn="0" w:oddVBand="0" w:evenVBand="0" w:oddHBand="0" w:evenHBand="0" w:firstRowFirstColumn="0" w:firstRowLastColumn="0" w:lastRowFirstColumn="0" w:lastRowLastColumn="0"/>
            </w:pPr>
            <w:r w:rsidRPr="005F7836">
              <w:t>Volkswagen</w:t>
            </w:r>
          </w:p>
        </w:tc>
        <w:tc>
          <w:tcPr>
            <w:tcW w:w="1803" w:type="dxa"/>
          </w:tcPr>
          <w:p w:rsidR="005F7836" w:rsidRPr="005F7836" w:rsidRDefault="005F7836" w:rsidP="00170B31">
            <w:pPr>
              <w:cnfStyle w:val="100000000000" w:firstRow="1" w:lastRow="0" w:firstColumn="0" w:lastColumn="0" w:oddVBand="0" w:evenVBand="0" w:oddHBand="0" w:evenHBand="0" w:firstRowFirstColumn="0" w:firstRowLastColumn="0" w:lastRowFirstColumn="0" w:lastRowLastColumn="0"/>
            </w:pPr>
            <w:r w:rsidRPr="005F7836">
              <w:t>Nissan</w:t>
            </w:r>
          </w:p>
        </w:tc>
        <w:tc>
          <w:tcPr>
            <w:tcW w:w="1804" w:type="dxa"/>
          </w:tcPr>
          <w:p w:rsidR="005F7836" w:rsidRPr="005F7836" w:rsidRDefault="005F7836" w:rsidP="00170B31">
            <w:pPr>
              <w:cnfStyle w:val="100000000000" w:firstRow="1" w:lastRow="0" w:firstColumn="0" w:lastColumn="0" w:oddVBand="0" w:evenVBand="0" w:oddHBand="0" w:evenHBand="0" w:firstRowFirstColumn="0" w:firstRowLastColumn="0" w:lastRowFirstColumn="0" w:lastRowLastColumn="0"/>
            </w:pPr>
            <w:r w:rsidRPr="005F7836">
              <w:t>Critical Evaluation</w:t>
            </w:r>
          </w:p>
        </w:tc>
      </w:tr>
      <w:tr w:rsidR="005F7836" w:rsidRPr="005F7836" w:rsidTr="005F7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5F7836" w:rsidRPr="005F7836" w:rsidRDefault="005F7836" w:rsidP="00170B31">
            <w:r w:rsidRPr="005F7836">
              <w:t>Strategy</w:t>
            </w:r>
          </w:p>
        </w:tc>
        <w:tc>
          <w:tcPr>
            <w:tcW w:w="1803"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Premium + Innovation</w:t>
            </w:r>
          </w:p>
        </w:tc>
        <w:tc>
          <w:tcPr>
            <w:tcW w:w="1803"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Mass + Scale</w:t>
            </w:r>
          </w:p>
        </w:tc>
        <w:tc>
          <w:tcPr>
            <w:tcW w:w="1803"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Mass + Early EV</w:t>
            </w:r>
          </w:p>
        </w:tc>
        <w:tc>
          <w:tcPr>
            <w:tcW w:w="1804"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Tesla strong in innovation, weak in accessibility</w:t>
            </w:r>
          </w:p>
        </w:tc>
      </w:tr>
      <w:tr w:rsidR="005F7836" w:rsidRPr="005F7836" w:rsidTr="005F7836">
        <w:tc>
          <w:tcPr>
            <w:cnfStyle w:val="001000000000" w:firstRow="0" w:lastRow="0" w:firstColumn="1" w:lastColumn="0" w:oddVBand="0" w:evenVBand="0" w:oddHBand="0" w:evenHBand="0" w:firstRowFirstColumn="0" w:firstRowLastColumn="0" w:lastRowFirstColumn="0" w:lastRowLastColumn="0"/>
            <w:tcW w:w="1803" w:type="dxa"/>
          </w:tcPr>
          <w:p w:rsidR="005F7836" w:rsidRPr="005F7836" w:rsidRDefault="005F7836" w:rsidP="00170B31">
            <w:r w:rsidRPr="005F7836">
              <w:t>Pricing</w:t>
            </w:r>
          </w:p>
        </w:tc>
        <w:tc>
          <w:tcPr>
            <w:tcW w:w="1803"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High</w:t>
            </w:r>
          </w:p>
        </w:tc>
        <w:tc>
          <w:tcPr>
            <w:tcW w:w="1803"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Medium</w:t>
            </w:r>
          </w:p>
        </w:tc>
        <w:tc>
          <w:tcPr>
            <w:tcW w:w="1803"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Medium</w:t>
            </w:r>
          </w:p>
        </w:tc>
        <w:tc>
          <w:tcPr>
            <w:tcW w:w="1804"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Limits Tesla’s market expansion</w:t>
            </w:r>
          </w:p>
        </w:tc>
      </w:tr>
      <w:tr w:rsidR="005F7836" w:rsidRPr="005F7836" w:rsidTr="005F7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5F7836" w:rsidRPr="005F7836" w:rsidRDefault="005F7836" w:rsidP="00170B31">
            <w:r w:rsidRPr="005F7836">
              <w:t>Innovation</w:t>
            </w:r>
          </w:p>
        </w:tc>
        <w:tc>
          <w:tcPr>
            <w:tcW w:w="1803"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Very high</w:t>
            </w:r>
          </w:p>
        </w:tc>
        <w:tc>
          <w:tcPr>
            <w:tcW w:w="1803"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Moderate</w:t>
            </w:r>
          </w:p>
        </w:tc>
        <w:tc>
          <w:tcPr>
            <w:tcW w:w="1803"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Moderate</w:t>
            </w:r>
          </w:p>
        </w:tc>
        <w:tc>
          <w:tcPr>
            <w:tcW w:w="1804" w:type="dxa"/>
          </w:tcPr>
          <w:p w:rsidR="005F7836" w:rsidRPr="005F7836" w:rsidRDefault="005F7836" w:rsidP="00170B31">
            <w:pPr>
              <w:cnfStyle w:val="000000100000" w:firstRow="0" w:lastRow="0" w:firstColumn="0" w:lastColumn="0" w:oddVBand="0" w:evenVBand="0" w:oddHBand="1" w:evenHBand="0" w:firstRowFirstColumn="0" w:firstRowLastColumn="0" w:lastRowFirstColumn="0" w:lastRowLastColumn="0"/>
            </w:pPr>
            <w:r w:rsidRPr="005F7836">
              <w:t>Tesla advantage</w:t>
            </w:r>
          </w:p>
        </w:tc>
      </w:tr>
      <w:tr w:rsidR="005F7836" w:rsidRPr="005F7836" w:rsidTr="005F7836">
        <w:tc>
          <w:tcPr>
            <w:cnfStyle w:val="001000000000" w:firstRow="0" w:lastRow="0" w:firstColumn="1" w:lastColumn="0" w:oddVBand="0" w:evenVBand="0" w:oddHBand="0" w:evenHBand="0" w:firstRowFirstColumn="0" w:firstRowLastColumn="0" w:lastRowFirstColumn="0" w:lastRowLastColumn="0"/>
            <w:tcW w:w="1803" w:type="dxa"/>
          </w:tcPr>
          <w:p w:rsidR="005F7836" w:rsidRPr="005F7836" w:rsidRDefault="005F7836" w:rsidP="00170B31">
            <w:r w:rsidRPr="005F7836">
              <w:t>Market Reach</w:t>
            </w:r>
          </w:p>
        </w:tc>
        <w:tc>
          <w:tcPr>
            <w:tcW w:w="1803"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Narrow segment</w:t>
            </w:r>
          </w:p>
        </w:tc>
        <w:tc>
          <w:tcPr>
            <w:tcW w:w="1803"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Broad</w:t>
            </w:r>
          </w:p>
        </w:tc>
        <w:tc>
          <w:tcPr>
            <w:tcW w:w="1803"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Broad</w:t>
            </w:r>
          </w:p>
        </w:tc>
        <w:tc>
          <w:tcPr>
            <w:tcW w:w="1804" w:type="dxa"/>
          </w:tcPr>
          <w:p w:rsidR="005F7836" w:rsidRPr="005F7836" w:rsidRDefault="005F7836" w:rsidP="00170B31">
            <w:pPr>
              <w:cnfStyle w:val="000000000000" w:firstRow="0" w:lastRow="0" w:firstColumn="0" w:lastColumn="0" w:oddVBand="0" w:evenVBand="0" w:oddHBand="0" w:evenHBand="0" w:firstRowFirstColumn="0" w:firstRowLastColumn="0" w:lastRowFirstColumn="0" w:lastRowLastColumn="0"/>
            </w:pPr>
            <w:r w:rsidRPr="005F7836">
              <w:t>Competitors dominate volume market</w:t>
            </w:r>
          </w:p>
        </w:tc>
      </w:tr>
    </w:tbl>
    <w:p w:rsidR="005F7836" w:rsidRDefault="005F7836" w:rsidP="00566DA9"/>
    <w:p w:rsidR="00566DA9" w:rsidRDefault="00566DA9" w:rsidP="00566DA9">
      <w:r>
        <w:t>The benefit of this is efficiency. Tesla can achieve brand consistency and simplicity in local product strategies. This works for the UK because consumers see Tesla as a technology company rather than a car company. But the downside is that globalisation can limit local responsiveness. UK consumers have specific needs, such as affordability of EV prices, access to charging infrastructure and affordability</w:t>
      </w:r>
      <w:r w:rsidR="008F7D32">
        <w:t xml:space="preserve"> </w:t>
      </w:r>
      <w:proofErr w:type="spellStart"/>
      <w:r w:rsidR="008F7D32">
        <w:t>Jetin</w:t>
      </w:r>
      <w:proofErr w:type="spellEnd"/>
      <w:r w:rsidR="008F7D32">
        <w:t xml:space="preserve"> (2023)</w:t>
      </w:r>
      <w:r>
        <w:t>. Tesla's model works well for wealthy early adopters, but struggles to reach mainstream consumers who need lower p</w:t>
      </w:r>
      <w:r w:rsidR="00E063F7">
        <w:t xml:space="preserve">rices and greater localisation. </w:t>
      </w:r>
      <w:r>
        <w:t>Tesla has superior software differentiation and inferior local manufacturing presence in the UK, compared with traditional firms like Nissan, BMW and Volkswagen</w:t>
      </w:r>
      <w:r w:rsidR="00170B31">
        <w:t xml:space="preserve"> (Pollitt, 2022)</w:t>
      </w:r>
      <w:r>
        <w:t>. Legacy companies can leverage diverse model variants and existing dealer networks to serve different segments. Tesla's limited model range and high price points may not be sustainable in the long run if the UK EV market turns price sensitive. So Tesla's market entry is consistent but only part</w:t>
      </w:r>
      <w:r w:rsidR="00E063F7">
        <w:t>ially contextualised in the UK</w:t>
      </w:r>
      <w:r w:rsidR="008F7D32">
        <w:t xml:space="preserve"> (</w:t>
      </w:r>
      <w:proofErr w:type="spellStart"/>
      <w:r w:rsidR="008F7D32">
        <w:t>Tu</w:t>
      </w:r>
      <w:proofErr w:type="spellEnd"/>
      <w:r w:rsidR="008F7D32">
        <w:t>, 2025)</w:t>
      </w:r>
      <w:r w:rsidR="00E063F7">
        <w:t>.</w:t>
      </w:r>
    </w:p>
    <w:tbl>
      <w:tblPr>
        <w:tblStyle w:val="GridTable4-Accent5"/>
        <w:tblW w:w="0" w:type="auto"/>
        <w:tblLook w:val="04A0" w:firstRow="1" w:lastRow="0" w:firstColumn="1" w:lastColumn="0" w:noHBand="0" w:noVBand="1"/>
      </w:tblPr>
      <w:tblGrid>
        <w:gridCol w:w="1803"/>
        <w:gridCol w:w="1803"/>
        <w:gridCol w:w="1803"/>
        <w:gridCol w:w="1803"/>
        <w:gridCol w:w="1804"/>
      </w:tblGrid>
      <w:tr w:rsidR="003636AD" w:rsidRPr="003636AD" w:rsidTr="003636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3636AD" w:rsidRPr="003636AD" w:rsidRDefault="003636AD" w:rsidP="00170B31">
            <w:r>
              <w:lastRenderedPageBreak/>
              <w:t>E</w:t>
            </w:r>
            <w:r w:rsidRPr="003636AD">
              <w:t>ntry Mode</w:t>
            </w:r>
          </w:p>
        </w:tc>
        <w:tc>
          <w:tcPr>
            <w:tcW w:w="1803" w:type="dxa"/>
          </w:tcPr>
          <w:p w:rsidR="003636AD" w:rsidRPr="003636AD" w:rsidRDefault="003636AD" w:rsidP="00170B31">
            <w:pPr>
              <w:cnfStyle w:val="100000000000" w:firstRow="1" w:lastRow="0" w:firstColumn="0" w:lastColumn="0" w:oddVBand="0" w:evenVBand="0" w:oddHBand="0" w:evenHBand="0" w:firstRowFirstColumn="0" w:firstRowLastColumn="0" w:lastRowFirstColumn="0" w:lastRowLastColumn="0"/>
            </w:pPr>
            <w:r w:rsidRPr="003636AD">
              <w:t>Tesla Approach</w:t>
            </w:r>
          </w:p>
        </w:tc>
        <w:tc>
          <w:tcPr>
            <w:tcW w:w="1803" w:type="dxa"/>
          </w:tcPr>
          <w:p w:rsidR="003636AD" w:rsidRPr="003636AD" w:rsidRDefault="003636AD" w:rsidP="00170B31">
            <w:pPr>
              <w:cnfStyle w:val="100000000000" w:firstRow="1" w:lastRow="0" w:firstColumn="0" w:lastColumn="0" w:oddVBand="0" w:evenVBand="0" w:oddHBand="0" w:evenHBand="0" w:firstRowFirstColumn="0" w:firstRowLastColumn="0" w:lastRowFirstColumn="0" w:lastRowLastColumn="0"/>
            </w:pPr>
            <w:r w:rsidRPr="003636AD">
              <w:t>Advantage</w:t>
            </w:r>
          </w:p>
        </w:tc>
        <w:tc>
          <w:tcPr>
            <w:tcW w:w="1803" w:type="dxa"/>
          </w:tcPr>
          <w:p w:rsidR="003636AD" w:rsidRPr="003636AD" w:rsidRDefault="003636AD" w:rsidP="00170B31">
            <w:pPr>
              <w:cnfStyle w:val="100000000000" w:firstRow="1" w:lastRow="0" w:firstColumn="0" w:lastColumn="0" w:oddVBand="0" w:evenVBand="0" w:oddHBand="0" w:evenHBand="0" w:firstRowFirstColumn="0" w:firstRowLastColumn="0" w:lastRowFirstColumn="0" w:lastRowLastColumn="0"/>
            </w:pPr>
            <w:r w:rsidRPr="003636AD">
              <w:t>Limitation</w:t>
            </w:r>
          </w:p>
        </w:tc>
        <w:tc>
          <w:tcPr>
            <w:tcW w:w="1804" w:type="dxa"/>
          </w:tcPr>
          <w:p w:rsidR="003636AD" w:rsidRPr="003636AD" w:rsidRDefault="003636AD" w:rsidP="00170B31">
            <w:pPr>
              <w:cnfStyle w:val="100000000000" w:firstRow="1" w:lastRow="0" w:firstColumn="0" w:lastColumn="0" w:oddVBand="0" w:evenVBand="0" w:oddHBand="0" w:evenHBand="0" w:firstRowFirstColumn="0" w:firstRowLastColumn="0" w:lastRowFirstColumn="0" w:lastRowLastColumn="0"/>
            </w:pPr>
            <w:r w:rsidRPr="003636AD">
              <w:t>Evaluation</w:t>
            </w:r>
          </w:p>
        </w:tc>
      </w:tr>
      <w:tr w:rsidR="003636AD" w:rsidRPr="003636AD" w:rsidTr="003636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3636AD" w:rsidRPr="003636AD" w:rsidRDefault="003636AD" w:rsidP="00170B31">
            <w:r w:rsidRPr="003636AD">
              <w:t>Exporting</w:t>
            </w:r>
          </w:p>
        </w:tc>
        <w:tc>
          <w:tcPr>
            <w:tcW w:w="1803"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Yes</w:t>
            </w:r>
          </w:p>
        </w:tc>
        <w:tc>
          <w:tcPr>
            <w:tcW w:w="1803"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Low investment</w:t>
            </w:r>
          </w:p>
        </w:tc>
        <w:tc>
          <w:tcPr>
            <w:tcW w:w="1803"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Supply risk</w:t>
            </w:r>
          </w:p>
        </w:tc>
        <w:tc>
          <w:tcPr>
            <w:tcW w:w="1804"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Short-term efficient</w:t>
            </w:r>
          </w:p>
        </w:tc>
      </w:tr>
      <w:tr w:rsidR="003636AD" w:rsidRPr="003636AD" w:rsidTr="003636AD">
        <w:tc>
          <w:tcPr>
            <w:cnfStyle w:val="001000000000" w:firstRow="0" w:lastRow="0" w:firstColumn="1" w:lastColumn="0" w:oddVBand="0" w:evenVBand="0" w:oddHBand="0" w:evenHBand="0" w:firstRowFirstColumn="0" w:firstRowLastColumn="0" w:lastRowFirstColumn="0" w:lastRowLastColumn="0"/>
            <w:tcW w:w="1803" w:type="dxa"/>
          </w:tcPr>
          <w:p w:rsidR="003636AD" w:rsidRPr="003636AD" w:rsidRDefault="003636AD" w:rsidP="00170B31">
            <w:r w:rsidRPr="003636AD">
              <w:t>Direct Sales</w:t>
            </w:r>
          </w:p>
        </w:tc>
        <w:tc>
          <w:tcPr>
            <w:tcW w:w="1803" w:type="dxa"/>
          </w:tcPr>
          <w:p w:rsidR="003636AD" w:rsidRPr="003636AD" w:rsidRDefault="003636AD" w:rsidP="00170B31">
            <w:pPr>
              <w:cnfStyle w:val="000000000000" w:firstRow="0" w:lastRow="0" w:firstColumn="0" w:lastColumn="0" w:oddVBand="0" w:evenVBand="0" w:oddHBand="0" w:evenHBand="0" w:firstRowFirstColumn="0" w:firstRowLastColumn="0" w:lastRowFirstColumn="0" w:lastRowLastColumn="0"/>
            </w:pPr>
            <w:r w:rsidRPr="003636AD">
              <w:t>Yes</w:t>
            </w:r>
          </w:p>
        </w:tc>
        <w:tc>
          <w:tcPr>
            <w:tcW w:w="1803" w:type="dxa"/>
          </w:tcPr>
          <w:p w:rsidR="003636AD" w:rsidRPr="003636AD" w:rsidRDefault="003636AD" w:rsidP="00170B31">
            <w:pPr>
              <w:cnfStyle w:val="000000000000" w:firstRow="0" w:lastRow="0" w:firstColumn="0" w:lastColumn="0" w:oddVBand="0" w:evenVBand="0" w:oddHBand="0" w:evenHBand="0" w:firstRowFirstColumn="0" w:firstRowLastColumn="0" w:lastRowFirstColumn="0" w:lastRowLastColumn="0"/>
            </w:pPr>
            <w:r w:rsidRPr="003636AD">
              <w:t>Full control</w:t>
            </w:r>
          </w:p>
        </w:tc>
        <w:tc>
          <w:tcPr>
            <w:tcW w:w="1803" w:type="dxa"/>
          </w:tcPr>
          <w:p w:rsidR="003636AD" w:rsidRPr="003636AD" w:rsidRDefault="003636AD" w:rsidP="00170B31">
            <w:pPr>
              <w:cnfStyle w:val="000000000000" w:firstRow="0" w:lastRow="0" w:firstColumn="0" w:lastColumn="0" w:oddVBand="0" w:evenVBand="0" w:oddHBand="0" w:evenHBand="0" w:firstRowFirstColumn="0" w:firstRowLastColumn="0" w:lastRowFirstColumn="0" w:lastRowLastColumn="0"/>
            </w:pPr>
            <w:r w:rsidRPr="003636AD">
              <w:t>Limited local presence</w:t>
            </w:r>
          </w:p>
        </w:tc>
        <w:tc>
          <w:tcPr>
            <w:tcW w:w="1804" w:type="dxa"/>
          </w:tcPr>
          <w:p w:rsidR="003636AD" w:rsidRPr="003636AD" w:rsidRDefault="003636AD" w:rsidP="00170B31">
            <w:pPr>
              <w:cnfStyle w:val="000000000000" w:firstRow="0" w:lastRow="0" w:firstColumn="0" w:lastColumn="0" w:oddVBand="0" w:evenVBand="0" w:oddHBand="0" w:evenHBand="0" w:firstRowFirstColumn="0" w:firstRowLastColumn="0" w:lastRowFirstColumn="0" w:lastRowLastColumn="0"/>
            </w:pPr>
            <w:r w:rsidRPr="003636AD">
              <w:t>Strong fit</w:t>
            </w:r>
          </w:p>
        </w:tc>
      </w:tr>
      <w:tr w:rsidR="003636AD" w:rsidRPr="003636AD" w:rsidTr="003636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3636AD" w:rsidRPr="003636AD" w:rsidRDefault="003636AD" w:rsidP="00170B31">
            <w:r w:rsidRPr="003636AD">
              <w:t>Local Production</w:t>
            </w:r>
          </w:p>
        </w:tc>
        <w:tc>
          <w:tcPr>
            <w:tcW w:w="1803"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No</w:t>
            </w:r>
          </w:p>
        </w:tc>
        <w:tc>
          <w:tcPr>
            <w:tcW w:w="1803"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Would reduce cost</w:t>
            </w:r>
          </w:p>
        </w:tc>
        <w:tc>
          <w:tcPr>
            <w:tcW w:w="1803"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High investment</w:t>
            </w:r>
          </w:p>
        </w:tc>
        <w:tc>
          <w:tcPr>
            <w:tcW w:w="1804" w:type="dxa"/>
          </w:tcPr>
          <w:p w:rsidR="003636AD" w:rsidRPr="003636AD" w:rsidRDefault="003636AD" w:rsidP="00170B31">
            <w:pPr>
              <w:cnfStyle w:val="000000100000" w:firstRow="0" w:lastRow="0" w:firstColumn="0" w:lastColumn="0" w:oddVBand="0" w:evenVBand="0" w:oddHBand="1" w:evenHBand="0" w:firstRowFirstColumn="0" w:firstRowLastColumn="0" w:lastRowFirstColumn="0" w:lastRowLastColumn="0"/>
            </w:pPr>
            <w:r w:rsidRPr="003636AD">
              <w:t>Missed opportunity</w:t>
            </w:r>
          </w:p>
        </w:tc>
      </w:tr>
    </w:tbl>
    <w:p w:rsidR="00566DA9" w:rsidRDefault="00566DA9" w:rsidP="00E063F7">
      <w:pPr>
        <w:pStyle w:val="Heading2"/>
      </w:pPr>
      <w:bookmarkStart w:id="17" w:name="_Toc228095213"/>
      <w:r>
        <w:t>4.4 Risks and Challenges</w:t>
      </w:r>
      <w:bookmarkEnd w:id="17"/>
    </w:p>
    <w:p w:rsidR="00566DA9" w:rsidRDefault="00566DA9" w:rsidP="00566DA9">
      <w:r>
        <w:t>Tesla's biggest threat in the UK is competition. Traditional carmakers are no longer laggards in the EV race. Companies like Volkswagen, BMW, Hyundai, Nissan and others now have EVs in various price tiers. This erodes Tesla's first-mover advantage and its ability to charge a premium</w:t>
      </w:r>
      <w:r w:rsidR="008F7D32">
        <w:t xml:space="preserve"> (</w:t>
      </w:r>
      <w:proofErr w:type="spellStart"/>
      <w:r w:rsidR="008F7D32">
        <w:t>Alshahapy</w:t>
      </w:r>
      <w:proofErr w:type="spellEnd"/>
      <w:r w:rsidR="008F7D32">
        <w:t xml:space="preserve"> et al., 2025)</w:t>
      </w:r>
      <w:r>
        <w:t>. Once EVs become mainstream, Tesla needs to maintain a lead with software, charging, branding</w:t>
      </w:r>
      <w:r w:rsidR="00E063F7">
        <w:t xml:space="preserve"> and cost, rather than novelty. </w:t>
      </w:r>
      <w:r>
        <w:t xml:space="preserve">Second, affordability is at risk. The UK can have good EV demand, but some demand can't afford to be realised. The UK was a leading BEV market in Europe (BEV market share in 2024: 19.6%) and </w:t>
      </w:r>
      <w:proofErr w:type="spellStart"/>
      <w:r>
        <w:t>Zapmap</w:t>
      </w:r>
      <w:proofErr w:type="spellEnd"/>
      <w:r>
        <w:t xml:space="preserve"> reports 381,970 new fully electric cars registered in 2024</w:t>
      </w:r>
      <w:r w:rsidR="00170B31">
        <w:t xml:space="preserve"> </w:t>
      </w:r>
      <w:proofErr w:type="spellStart"/>
      <w:r w:rsidR="000D19E5">
        <w:t>Zhaoyan</w:t>
      </w:r>
      <w:proofErr w:type="spellEnd"/>
      <w:r w:rsidR="000D19E5">
        <w:t xml:space="preserve"> (2024)</w:t>
      </w:r>
      <w:r>
        <w:t>. But growth is reliant on fleets and affluent consumers, rather than broad market acceptance. This is important, as Tesla's price point may be a liability if the market moves tow</w:t>
      </w:r>
      <w:r w:rsidR="00E063F7">
        <w:t>ards cheaper electric vehicles</w:t>
      </w:r>
      <w:r w:rsidR="008F7D32">
        <w:t xml:space="preserve"> (MacDonald et al., 2025)</w:t>
      </w:r>
      <w:r w:rsidR="00E063F7">
        <w:t>.</w:t>
      </w:r>
    </w:p>
    <w:p w:rsidR="00566DA9" w:rsidRDefault="00566DA9" w:rsidP="00566DA9">
      <w:r>
        <w:t>A third risk is infrastructure. While charging infrastructure is growing, it remains patchy and there is debate about the cost of public charging. This impacts Tesla indirectly as, despite its Supercharger network, the broader EV industry affects consumer perception</w:t>
      </w:r>
      <w:r w:rsidR="008F7D32">
        <w:t xml:space="preserve"> (Sanchez</w:t>
      </w:r>
      <w:r w:rsidR="008F7D32">
        <w:rPr>
          <w:rFonts w:ascii="Cambria Math" w:hAnsi="Cambria Math" w:cs="Cambria Math"/>
        </w:rPr>
        <w:t>‐</w:t>
      </w:r>
      <w:r w:rsidR="008F7D32">
        <w:t>Lopez, 2023)</w:t>
      </w:r>
      <w:r>
        <w:t>. Lastly, there is supply-chain risk. Battery production is globalised, making Tesla and the UK EV industry vulnerable to geopolitical shocks and price fluctuation. So Tesla's risks are not just firm-specific, but reflect the globalisation of production, U</w:t>
      </w:r>
      <w:r w:rsidR="00E063F7">
        <w:t>K regulation and affordability</w:t>
      </w:r>
      <w:r w:rsidR="00170B31">
        <w:t xml:space="preserve"> </w:t>
      </w:r>
      <w:r w:rsidR="000D19E5">
        <w:t>Wang (2023)</w:t>
      </w:r>
      <w:r w:rsidR="00E063F7">
        <w:t>.</w:t>
      </w:r>
    </w:p>
    <w:p w:rsidR="00566DA9" w:rsidRDefault="00E063F7" w:rsidP="00E063F7">
      <w:pPr>
        <w:pStyle w:val="Heading2"/>
      </w:pPr>
      <w:bookmarkStart w:id="18" w:name="_Toc228095214"/>
      <w:r>
        <w:t>4.5 CRITICAL EVALUATION</w:t>
      </w:r>
      <w:bookmarkEnd w:id="18"/>
    </w:p>
    <w:p w:rsidR="00566DA9" w:rsidRDefault="00566DA9" w:rsidP="00566DA9">
      <w:r>
        <w:t xml:space="preserve">The UK offers Tesla a good opportunity, but not necessarily a sustainable one. The key support for Tesla is that the UK institutional framework favours EV uptake. Favourable policy, a consumer commitment to sustainability and growing recharger </w:t>
      </w:r>
      <w:r>
        <w:lastRenderedPageBreak/>
        <w:t>infrastructure works in its favour</w:t>
      </w:r>
      <w:r w:rsidR="00170B31">
        <w:t xml:space="preserve"> </w:t>
      </w:r>
      <w:proofErr w:type="spellStart"/>
      <w:r w:rsidR="00170B31">
        <w:t>Habiburrahman</w:t>
      </w:r>
      <w:proofErr w:type="spellEnd"/>
      <w:r w:rsidR="00170B31">
        <w:t xml:space="preserve"> </w:t>
      </w:r>
      <w:r w:rsidR="00170B31">
        <w:rPr>
          <w:rStyle w:val="Emphasis"/>
        </w:rPr>
        <w:t>et al.</w:t>
      </w:r>
      <w:r w:rsidR="00170B31">
        <w:t xml:space="preserve"> (2024)</w:t>
      </w:r>
      <w:r>
        <w:t>. Tesla's innovation-driven strategy also speaks to high-end UK consumers. As suc</w:t>
      </w:r>
      <w:r w:rsidR="00E063F7">
        <w:t xml:space="preserve">h, the UK is market attractive. </w:t>
      </w:r>
      <w:r>
        <w:t>But there is an argument against. Attractive markets do not necessarily translate to sustainable advantage. The UK EV market is constrained by factors such as high costs, charging infrastructure equity, imports and regulatory uncertainty</w:t>
      </w:r>
      <w:r w:rsidR="00170B31">
        <w:t xml:space="preserve"> Midler and </w:t>
      </w:r>
      <w:proofErr w:type="spellStart"/>
      <w:r w:rsidR="00170B31">
        <w:t>Alochet</w:t>
      </w:r>
      <w:proofErr w:type="spellEnd"/>
      <w:r w:rsidR="00170B31">
        <w:t xml:space="preserve"> (2023)</w:t>
      </w:r>
      <w:r>
        <w:t>. Tesla's premium pricing strategy is successful in the early and growth phases of EV adoption, but as the market becomes saturated, price, service and model diversity will become more important for competition. This could benefit traditional OEMs with ec</w:t>
      </w:r>
      <w:r w:rsidR="00E063F7">
        <w:t>onomies of scale and diversity</w:t>
      </w:r>
      <w:r w:rsidR="00170B31">
        <w:t xml:space="preserve"> </w:t>
      </w:r>
      <w:proofErr w:type="spellStart"/>
      <w:r w:rsidR="00170B31">
        <w:t>Alagoz</w:t>
      </w:r>
      <w:proofErr w:type="spellEnd"/>
      <w:r w:rsidR="00170B31">
        <w:t xml:space="preserve"> (2023)</w:t>
      </w:r>
      <w:r w:rsidR="00E063F7">
        <w:t>.</w:t>
      </w:r>
    </w:p>
    <w:p w:rsidR="00566DA9" w:rsidRDefault="00566DA9" w:rsidP="00566DA9">
      <w:r>
        <w:t>The middle ground is that Tesla has been successful in its strategy in the UK, but it is not guaranteed. Now the company is ahead in brand, technology and charging network. However, its future success will be determined by its ability to modify its business model to suit a more price and infrastructure sensitive UK market</w:t>
      </w:r>
      <w:r w:rsidR="00170B31">
        <w:t xml:space="preserve"> Caulfield </w:t>
      </w:r>
      <w:r w:rsidR="00170B31">
        <w:rPr>
          <w:rStyle w:val="Emphasis"/>
        </w:rPr>
        <w:t>et al.</w:t>
      </w:r>
      <w:r w:rsidR="00170B31">
        <w:t xml:space="preserve"> (2022)</w:t>
      </w:r>
      <w:r>
        <w:t>. This could mean Tesla will need to build deeper local relationships, address affordability, provide more accessible charging and tailor to UK-specific consumer preferences. Thus the UK is not a "high-opportunity" market, but rather a mixed market with a mix of institutional and stru</w:t>
      </w:r>
      <w:r w:rsidR="00E063F7">
        <w:t>ctural support and constraints</w:t>
      </w:r>
      <w:r w:rsidR="00170B31">
        <w:t xml:space="preserve"> </w:t>
      </w:r>
      <w:proofErr w:type="spellStart"/>
      <w:r w:rsidR="00170B31">
        <w:t>Emodi</w:t>
      </w:r>
      <w:proofErr w:type="spellEnd"/>
      <w:r w:rsidR="00170B31">
        <w:t xml:space="preserve"> </w:t>
      </w:r>
      <w:r w:rsidR="00170B31">
        <w:rPr>
          <w:rStyle w:val="Emphasis"/>
        </w:rPr>
        <w:t>et al.</w:t>
      </w:r>
      <w:r w:rsidR="00170B31">
        <w:t xml:space="preserve"> (2022)</w:t>
      </w:r>
      <w:r w:rsidR="00E063F7">
        <w:t>.</w:t>
      </w:r>
    </w:p>
    <w:p w:rsidR="00566DA9" w:rsidRDefault="00566DA9" w:rsidP="00E063F7">
      <w:pPr>
        <w:pStyle w:val="Heading1"/>
      </w:pPr>
      <w:bookmarkStart w:id="19" w:name="_Toc228095215"/>
      <w:r w:rsidRPr="00E063F7">
        <w:t>5. Conclusion</w:t>
      </w:r>
      <w:bookmarkEnd w:id="19"/>
      <w:r w:rsidRPr="00E063F7">
        <w:t xml:space="preserve"> </w:t>
      </w:r>
    </w:p>
    <w:p w:rsidR="00317151" w:rsidRDefault="00566DA9" w:rsidP="00566DA9">
      <w:r>
        <w:t>The UK EV market is a major opportunity for Tesla, but the opportunities are qualified. Politically, the UK’s zero-emission policy promotes Tesla's expansion through EV adoption. Economic factors such as high GDP per capita support the luxury market, but inflation and affordability issues impede mass market growth. Legally and technologically, EV growth is supported by environmental regulation and charging infrastructure investment, but uncertainty around Brexit, charging inequality and supp</w:t>
      </w:r>
      <w:r w:rsidR="00E063F7">
        <w:t xml:space="preserve">ly-chain risks pose challenges. </w:t>
      </w:r>
      <w:r>
        <w:t>Tesla’s mode of entry is highly strategic because its direct sales, global standardisation and Supercharger network provide high control over the value proposition. Yet, this globalised and high-end model may limit flexibility to address UK-specific challenges like pricing and charging equity. The juxtaposition with established rivals reveals Tesla’s strengths in innovation and brand awareness while established players might benefit from economies of scale, affordability and product variety.</w:t>
      </w:r>
      <w:r w:rsidR="00E063F7">
        <w:t xml:space="preserve"> </w:t>
      </w:r>
      <w:r>
        <w:t xml:space="preserve">In conclusion, Tesla's UK performance is strong but qualified. It can </w:t>
      </w:r>
      <w:r>
        <w:lastRenderedPageBreak/>
        <w:t>maintain its competitive advantage if it integrates global and local responsiveness. Thus, the UK EV market holds great promise, but for long-term growth, the industry needs to address structural challenges and for firms to adapt their strategies to the changing environment.</w:t>
      </w:r>
    </w:p>
    <w:p w:rsidR="006019E6" w:rsidRDefault="00E76DDB" w:rsidP="00E76DDB">
      <w:pPr>
        <w:pStyle w:val="Heading1"/>
        <w:jc w:val="center"/>
      </w:pPr>
      <w:bookmarkStart w:id="20" w:name="_Toc228095216"/>
      <w:r>
        <w:t>SECTION 2 — REFLECTION</w:t>
      </w:r>
      <w:bookmarkEnd w:id="20"/>
    </w:p>
    <w:p w:rsidR="00E76DDB" w:rsidRDefault="00E76DDB" w:rsidP="00E76DDB">
      <w:pPr>
        <w:pStyle w:val="Heading1"/>
        <w:rPr>
          <w:rFonts w:ascii="Times New Roman" w:hAnsi="Times New Roman"/>
        </w:rPr>
      </w:pPr>
      <w:bookmarkStart w:id="21" w:name="_Toc228095217"/>
      <w:r>
        <w:t>GIBBS REFLECTIVE MODEL</w:t>
      </w:r>
      <w:bookmarkEnd w:id="21"/>
    </w:p>
    <w:p w:rsidR="006C2348" w:rsidRPr="00E76DDB" w:rsidRDefault="006C2348" w:rsidP="006C2348">
      <w:pPr>
        <w:rPr>
          <w:b/>
        </w:rPr>
      </w:pPr>
      <w:r w:rsidRPr="00E76DDB">
        <w:rPr>
          <w:b/>
        </w:rPr>
        <w:t xml:space="preserve">1. Description </w:t>
      </w:r>
    </w:p>
    <w:p w:rsidR="006C2348" w:rsidRDefault="006C2348" w:rsidP="006C2348">
      <w:r>
        <w:t>This assessment involved conducting a critical analysis of the UK electric vehicle (EV) industry and evaluating the market entry strategy of Tesla within this context</w:t>
      </w:r>
      <w:r w:rsidR="000D19E5">
        <w:t xml:space="preserve"> (An, 2021)</w:t>
      </w:r>
      <w:r>
        <w:t>. The research process required extensive engagement with a range of academic literature, industry reports, government statistics and organisational data. Key analytical frameworks, including Porter’s Diamond Model and PESTLE analysis, were applied to assess both industry competiti</w:t>
      </w:r>
      <w:r w:rsidR="00E76DDB">
        <w:t>veness and firm-level strategy</w:t>
      </w:r>
      <w:r w:rsidR="000D19E5">
        <w:t xml:space="preserve"> (Anwar and </w:t>
      </w:r>
      <w:proofErr w:type="spellStart"/>
      <w:r w:rsidR="000D19E5">
        <w:t>Agus</w:t>
      </w:r>
      <w:proofErr w:type="spellEnd"/>
      <w:r w:rsidR="000D19E5">
        <w:t>, 2023)</w:t>
      </w:r>
      <w:r w:rsidR="00E76DDB">
        <w:t xml:space="preserve">. </w:t>
      </w:r>
      <w:r>
        <w:t>The process began with identifying a suitable country-industry pair and collecting relevant data to understand market structure, growth trends and institutional factors. This was followed by a systematic evaluation of Tesla’s strategy and its alignment with the UK market environment. Throughout the assignment, emphasis was placed on integrating theoretical concepts with real-world evidence in order to produce a coherent and critically informed analysis</w:t>
      </w:r>
      <w:r w:rsidR="000D19E5">
        <w:t xml:space="preserve"> (</w:t>
      </w:r>
      <w:proofErr w:type="spellStart"/>
      <w:r w:rsidR="000D19E5">
        <w:t>Fedotov</w:t>
      </w:r>
      <w:proofErr w:type="spellEnd"/>
      <w:r w:rsidR="000D19E5">
        <w:t>, 2022)</w:t>
      </w:r>
      <w:r>
        <w:t>.</w:t>
      </w:r>
    </w:p>
    <w:p w:rsidR="006C2348" w:rsidRDefault="006C2348" w:rsidP="006C2348">
      <w:r w:rsidRPr="00E76DDB">
        <w:rPr>
          <w:b/>
        </w:rPr>
        <w:t xml:space="preserve">2. Feelings </w:t>
      </w:r>
    </w:p>
    <w:p w:rsidR="00E76DDB" w:rsidRDefault="006C2348" w:rsidP="006C2348">
      <w:r>
        <w:t>Initially, the process of analysing a complex international business environment felt challenging, particularly due to the volume and diversity of available data. The UK EV market is influenced by multiple interconnected factors, including policy, economic conditions, technological infrastructure and consumer behaviour</w:t>
      </w:r>
      <w:r w:rsidR="00170B31">
        <w:t xml:space="preserve"> Foley </w:t>
      </w:r>
      <w:r w:rsidR="00170B31">
        <w:rPr>
          <w:rStyle w:val="Emphasis"/>
        </w:rPr>
        <w:t>et al.</w:t>
      </w:r>
      <w:r w:rsidR="00170B31">
        <w:t xml:space="preserve"> (2020)</w:t>
      </w:r>
      <w:r>
        <w:t>. This complexity made it difficult to move beyond a descriptive understanding to</w:t>
      </w:r>
      <w:r w:rsidR="00E76DDB">
        <w:t xml:space="preserve">wards deeper critical analysis. </w:t>
      </w:r>
    </w:p>
    <w:p w:rsidR="006C2348" w:rsidRDefault="006C2348" w:rsidP="006C2348">
      <w:r>
        <w:t>At the early stages, there was uncertainty regarding how to effectively apply theoretical frameworks such as Porter’s Diamond Model in a way that demonstrated critical evaluation rather than simple explanation</w:t>
      </w:r>
      <w:r w:rsidR="000D19E5">
        <w:t xml:space="preserve"> (Hong, 2024)</w:t>
      </w:r>
      <w:r>
        <w:t xml:space="preserve">. However, as the research </w:t>
      </w:r>
      <w:r>
        <w:lastRenderedPageBreak/>
        <w:t>progressed, confidence improved through increased familiarity with the literature and a clearer understanding of how to link theory with empirical evidence.</w:t>
      </w:r>
      <w:r w:rsidR="00E76DDB">
        <w:t xml:space="preserve"> </w:t>
      </w:r>
      <w:r>
        <w:t>By the later stages of the assignment, the analytical process became more structured and purposeful, leading to greater confidence in evaluating competing arguments and forming justified conclusions</w:t>
      </w:r>
      <w:r w:rsidR="000D19E5">
        <w:t xml:space="preserve"> (</w:t>
      </w:r>
      <w:proofErr w:type="spellStart"/>
      <w:r w:rsidR="000D19E5">
        <w:t>Rabyatami</w:t>
      </w:r>
      <w:proofErr w:type="spellEnd"/>
      <w:r w:rsidR="000D19E5">
        <w:t>, 2024)</w:t>
      </w:r>
      <w:r>
        <w:t>.</w:t>
      </w:r>
    </w:p>
    <w:p w:rsidR="006C2348" w:rsidRPr="00E76DDB" w:rsidRDefault="006C2348" w:rsidP="006C2348">
      <w:pPr>
        <w:rPr>
          <w:b/>
        </w:rPr>
      </w:pPr>
      <w:r w:rsidRPr="00E76DDB">
        <w:rPr>
          <w:b/>
        </w:rPr>
        <w:t xml:space="preserve">3. Evaluation </w:t>
      </w:r>
    </w:p>
    <w:p w:rsidR="006C2348" w:rsidRDefault="006C2348" w:rsidP="006C2348">
      <w:r>
        <w:t>One of the key strengths of this assignment was the ability to gather and interpret a wide range of data sources, including government statistics, industry reports and academic research</w:t>
      </w:r>
      <w:r w:rsidR="000D19E5">
        <w:t xml:space="preserve"> (</w:t>
      </w:r>
      <w:proofErr w:type="spellStart"/>
      <w:r w:rsidR="000D19E5">
        <w:t>Raharyo</w:t>
      </w:r>
      <w:proofErr w:type="spellEnd"/>
      <w:r w:rsidR="000D19E5">
        <w:t xml:space="preserve"> </w:t>
      </w:r>
      <w:r w:rsidR="000D19E5">
        <w:rPr>
          <w:rStyle w:val="Emphasis"/>
        </w:rPr>
        <w:t>et al.</w:t>
      </w:r>
      <w:r w:rsidR="000D19E5">
        <w:t>, 2023)</w:t>
      </w:r>
      <w:r>
        <w:t>. This enabled a comprehensive understanding of the UK EV industry and supported the development of evidence-based arguments. The integration of quantitative data, such as EV adoption rates and economic indicators, strengthened the overall analysis and enhanced t</w:t>
      </w:r>
      <w:r w:rsidR="00E76DDB">
        <w:t>he credibility of the findings</w:t>
      </w:r>
      <w:r w:rsidR="00170B31">
        <w:t xml:space="preserve"> Lee and Brown (2021)</w:t>
      </w:r>
      <w:r w:rsidR="00E76DDB">
        <w:t>.</w:t>
      </w:r>
    </w:p>
    <w:p w:rsidR="006C2348" w:rsidRDefault="006C2348" w:rsidP="006C2348">
      <w:r>
        <w:t>However, a notable weakness in the initial stages was a tendency to adopt a descriptive approach. Early drafts focused more on explaining industry trends and theoretical frameworks rather than critically evaluating them</w:t>
      </w:r>
      <w:r w:rsidR="000D19E5">
        <w:t xml:space="preserve"> (Abreu </w:t>
      </w:r>
      <w:r w:rsidR="000D19E5">
        <w:rPr>
          <w:rStyle w:val="Emphasis"/>
        </w:rPr>
        <w:t>et al.</w:t>
      </w:r>
      <w:r w:rsidR="000D19E5">
        <w:t>, 2023)</w:t>
      </w:r>
      <w:r>
        <w:t>. This limited the depth of analysis and did not fully meet the expecta</w:t>
      </w:r>
      <w:r w:rsidR="00E76DDB">
        <w:t>tions of Level 7 academic work</w:t>
      </w:r>
      <w:r w:rsidR="000D19E5">
        <w:t xml:space="preserve"> (</w:t>
      </w:r>
      <w:proofErr w:type="spellStart"/>
      <w:r w:rsidR="000D19E5">
        <w:t>Adeniyi</w:t>
      </w:r>
      <w:proofErr w:type="spellEnd"/>
      <w:r w:rsidR="000D19E5">
        <w:t xml:space="preserve"> </w:t>
      </w:r>
      <w:r w:rsidR="000D19E5">
        <w:rPr>
          <w:rStyle w:val="Emphasis"/>
        </w:rPr>
        <w:t>et al.</w:t>
      </w:r>
      <w:r w:rsidR="000D19E5">
        <w:t>, 2024)</w:t>
      </w:r>
      <w:r w:rsidR="00E76DDB">
        <w:t xml:space="preserve">. </w:t>
      </w:r>
      <w:r>
        <w:t>Another limitation was the challenge of synthesising multiple factors into a coherent argument. While individual elements such as policy, infrastructure and competition were understood, integrating these into a unified analytical framework required further</w:t>
      </w:r>
      <w:r w:rsidR="00E76DDB">
        <w:t xml:space="preserve"> refinement. </w:t>
      </w:r>
      <w:r>
        <w:t>Overall, while the assignment demonstrated strong research skills and knowledge acquisition, improvements were necessary in developing deeper critical analysis and synthesis</w:t>
      </w:r>
      <w:r w:rsidR="004163AD">
        <w:t xml:space="preserve"> (</w:t>
      </w:r>
      <w:proofErr w:type="spellStart"/>
      <w:r w:rsidR="004163AD">
        <w:t>Fligstein</w:t>
      </w:r>
      <w:proofErr w:type="spellEnd"/>
      <w:r w:rsidR="004163AD">
        <w:t xml:space="preserve"> and Huang, 2025)</w:t>
      </w:r>
      <w:r>
        <w:t>.</w:t>
      </w:r>
    </w:p>
    <w:p w:rsidR="006C2348" w:rsidRPr="00E76DDB" w:rsidRDefault="006C2348" w:rsidP="006C2348">
      <w:pPr>
        <w:rPr>
          <w:b/>
        </w:rPr>
      </w:pPr>
      <w:r w:rsidRPr="00E76DDB">
        <w:rPr>
          <w:b/>
        </w:rPr>
        <w:t xml:space="preserve">4. Analysis </w:t>
      </w:r>
    </w:p>
    <w:p w:rsidR="006C2348" w:rsidRDefault="006C2348" w:rsidP="006C2348">
      <w:r>
        <w:t>The process of completing this assignment significantly enhanced critical thinking and analytical skills. A key learning outcome was the importance of moving beyond description towards evaluation and synthesis. The application of Porter’s Diamond Model highlighted that competitiveness is not determined by individual factors in isolation, but by the interaction between demand conditions, factor conditions and institutional support</w:t>
      </w:r>
      <w:r w:rsidR="004163AD">
        <w:t xml:space="preserve"> (Tsai et al., 2021)</w:t>
      </w:r>
      <w:r>
        <w:t>. This reinforced the importance of adopting a holistic approach when analysing international business environments.</w:t>
      </w:r>
    </w:p>
    <w:p w:rsidR="006C2348" w:rsidRDefault="006C2348" w:rsidP="006C2348">
      <w:r>
        <w:lastRenderedPageBreak/>
        <w:t>Similarly, the use of PESTLE analysis demonstrated that market attractiveness is dynamic and context-dependent</w:t>
      </w:r>
      <w:r w:rsidR="00170B31">
        <w:t xml:space="preserve"> Min (2023)</w:t>
      </w:r>
      <w:r>
        <w:t xml:space="preserve">. For example, while the UK’s political and cultural environment strongly supports EV adoption, economic constraints such as affordability and inflation limit the scalability of firms like Tesla. This contradiction emphasised the need to critically assess both opportunities and limitations within the same framework, rather than </w:t>
      </w:r>
      <w:r w:rsidR="00E76DDB">
        <w:t>presenting one-sided arguments</w:t>
      </w:r>
      <w:r w:rsidR="004163AD">
        <w:t xml:space="preserve"> (</w:t>
      </w:r>
      <w:proofErr w:type="spellStart"/>
      <w:r w:rsidR="004163AD">
        <w:t>Zanasi</w:t>
      </w:r>
      <w:proofErr w:type="spellEnd"/>
      <w:r w:rsidR="004163AD">
        <w:t xml:space="preserve"> </w:t>
      </w:r>
      <w:r w:rsidR="004163AD">
        <w:rPr>
          <w:rStyle w:val="Emphasis"/>
        </w:rPr>
        <w:t>et al.</w:t>
      </w:r>
      <w:r w:rsidR="004163AD">
        <w:t>, 2020)</w:t>
      </w:r>
      <w:r w:rsidR="00E76DDB">
        <w:t xml:space="preserve">. </w:t>
      </w:r>
      <w:r>
        <w:t>The assignment also highlighted the importance of linking theory to real-world application. Theoretical models provided a structured way to analyse the industry, but their value depended on how effectively they were applied to empirical data. This required not only understanding the theory but also interpreting its r</w:t>
      </w:r>
      <w:r w:rsidR="00E76DDB">
        <w:t>elevance in a specific context</w:t>
      </w:r>
      <w:r w:rsidR="004163AD">
        <w:t xml:space="preserve"> (</w:t>
      </w:r>
      <w:proofErr w:type="spellStart"/>
      <w:r w:rsidR="004163AD">
        <w:t>Iman</w:t>
      </w:r>
      <w:proofErr w:type="spellEnd"/>
      <w:r w:rsidR="004163AD">
        <w:t>, 2025)</w:t>
      </w:r>
      <w:r w:rsidR="00E76DDB">
        <w:t xml:space="preserve">. </w:t>
      </w:r>
      <w:r>
        <w:t>Furthermore, the process improved research depth by encouraging engagement with diverse and credible sources. Evaluating different perspectives enabled the development of balanced arguments and supported the formation of justified conclusions. This aligns with the requirement to investigate complex issues and make informed judgements based on evidence</w:t>
      </w:r>
      <w:r w:rsidR="004163AD">
        <w:t xml:space="preserve"> (</w:t>
      </w:r>
      <w:proofErr w:type="spellStart"/>
      <w:r w:rsidR="004163AD">
        <w:t>Jin</w:t>
      </w:r>
      <w:proofErr w:type="spellEnd"/>
      <w:r w:rsidR="004163AD">
        <w:t xml:space="preserve"> </w:t>
      </w:r>
      <w:r w:rsidR="004163AD">
        <w:rPr>
          <w:rStyle w:val="Emphasis"/>
        </w:rPr>
        <w:t>et al.</w:t>
      </w:r>
      <w:r w:rsidR="004163AD">
        <w:t>, 2023)</w:t>
      </w:r>
      <w:r>
        <w:t>.</w:t>
      </w:r>
    </w:p>
    <w:p w:rsidR="006C2348" w:rsidRPr="00E76DDB" w:rsidRDefault="006C2348" w:rsidP="006C2348">
      <w:pPr>
        <w:rPr>
          <w:b/>
        </w:rPr>
      </w:pPr>
      <w:r w:rsidRPr="00E76DDB">
        <w:rPr>
          <w:b/>
        </w:rPr>
        <w:t xml:space="preserve">5. Conclusion </w:t>
      </w:r>
    </w:p>
    <w:p w:rsidR="006C2348" w:rsidRDefault="006C2348" w:rsidP="006C2348">
      <w:r>
        <w:t>In conclusion, this assignment provided valuable insight into the complexities of international business analysis and the importance of critical evaluation. It highlighted the need to integrate theoretical frameworks with empirical evidence in order to produce meaningful and well-supported arguments. The experience also demonstrated the challenges of analysing interconnected factors within a global industry and the importance of adopting a stru</w:t>
      </w:r>
      <w:r w:rsidR="00E76DDB">
        <w:t xml:space="preserve">ctured and analytical approach. </w:t>
      </w:r>
      <w:r>
        <w:t>Most importantly, the process reinforced the distinction between descriptive and critical writing, emphasising that high-quality academic work requires evaluation, synthesis and justified judgement rather than simple explanation.</w:t>
      </w:r>
    </w:p>
    <w:p w:rsidR="006C2348" w:rsidRPr="00E76DDB" w:rsidRDefault="006C2348" w:rsidP="006C2348">
      <w:pPr>
        <w:rPr>
          <w:b/>
        </w:rPr>
      </w:pPr>
      <w:r w:rsidRPr="00E76DDB">
        <w:rPr>
          <w:b/>
        </w:rPr>
        <w:t xml:space="preserve">6. Action Plan </w:t>
      </w:r>
    </w:p>
    <w:p w:rsidR="006019E6" w:rsidRDefault="006C2348" w:rsidP="006C2348">
      <w:r>
        <w:t>To improve future performance, a key priority will be to further develop analytical writing skills by focusing on critical evaluation rather than description. This includes consistently questioning assumptions, comparing different perspectives and providing clear j</w:t>
      </w:r>
      <w:r w:rsidR="00E76DDB">
        <w:t>ustification for all arguments</w:t>
      </w:r>
      <w:r w:rsidR="004163AD">
        <w:t xml:space="preserve"> (</w:t>
      </w:r>
      <w:proofErr w:type="spellStart"/>
      <w:r w:rsidR="004163AD">
        <w:t>Jongeneel</w:t>
      </w:r>
      <w:proofErr w:type="spellEnd"/>
      <w:r w:rsidR="004163AD">
        <w:t xml:space="preserve"> </w:t>
      </w:r>
      <w:r w:rsidR="004163AD">
        <w:rPr>
          <w:rStyle w:val="Emphasis"/>
        </w:rPr>
        <w:t>et al.</w:t>
      </w:r>
      <w:r w:rsidR="004163AD">
        <w:t>, 2021)</w:t>
      </w:r>
      <w:r w:rsidR="00E76DDB">
        <w:t xml:space="preserve">. </w:t>
      </w:r>
      <w:r>
        <w:t xml:space="preserve">Additionally, greater emphasis will be placed on integrating theory with real-world data to strengthen the depth and relevance of analysis. Enhancing research strategies by engaging with a </w:t>
      </w:r>
      <w:r>
        <w:lastRenderedPageBreak/>
        <w:t>wider range of academic sources will also improv</w:t>
      </w:r>
      <w:r w:rsidR="00E76DDB">
        <w:t>e the quality of evidence used</w:t>
      </w:r>
      <w:r w:rsidR="004163AD">
        <w:t xml:space="preserve"> (Reynard </w:t>
      </w:r>
      <w:r w:rsidR="004163AD">
        <w:rPr>
          <w:rStyle w:val="Emphasis"/>
        </w:rPr>
        <w:t>et al.</w:t>
      </w:r>
      <w:r w:rsidR="004163AD">
        <w:t>, 2021)</w:t>
      </w:r>
      <w:r w:rsidR="00E76DDB">
        <w:t xml:space="preserve">. </w:t>
      </w:r>
      <w:r>
        <w:t>Finally, developing a more structured approach to writing will ensure clearer argument flow and stronger synthesis, enabling more effective communication of complex ideas</w:t>
      </w:r>
      <w:r w:rsidR="004163AD">
        <w:t xml:space="preserve"> (</w:t>
      </w:r>
      <w:proofErr w:type="spellStart"/>
      <w:r w:rsidR="004163AD">
        <w:t>Selove</w:t>
      </w:r>
      <w:proofErr w:type="spellEnd"/>
      <w:r w:rsidR="004163AD">
        <w:t xml:space="preserve"> </w:t>
      </w:r>
      <w:r w:rsidR="004163AD">
        <w:rPr>
          <w:rStyle w:val="Emphasis"/>
        </w:rPr>
        <w:t>et al.</w:t>
      </w:r>
      <w:r w:rsidR="004163AD">
        <w:t>, 2020)</w:t>
      </w:r>
      <w:r>
        <w:t>.</w:t>
      </w:r>
    </w:p>
    <w:p w:rsidR="00D2240A" w:rsidRDefault="00D2240A" w:rsidP="00D2240A">
      <w:pPr>
        <w:pStyle w:val="Heading1"/>
      </w:pPr>
      <w:bookmarkStart w:id="22" w:name="_Toc228095218"/>
      <w:r>
        <w:t>References</w:t>
      </w:r>
      <w:bookmarkEnd w:id="22"/>
    </w:p>
    <w:p w:rsidR="007B63A0" w:rsidRPr="007B63A0" w:rsidRDefault="007B63A0" w:rsidP="007B63A0">
      <w:pPr>
        <w:ind w:left="720" w:hanging="720"/>
        <w:rPr>
          <w:lang w:val="en-US"/>
        </w:rPr>
      </w:pPr>
      <w:r w:rsidRPr="007B63A0">
        <w:rPr>
          <w:lang w:val="en-US"/>
        </w:rPr>
        <w:t xml:space="preserve">Abreu, V.H.S. de, </w:t>
      </w:r>
      <w:proofErr w:type="spellStart"/>
      <w:r w:rsidRPr="007B63A0">
        <w:rPr>
          <w:lang w:val="en-US"/>
        </w:rPr>
        <w:t>D’Agosto</w:t>
      </w:r>
      <w:proofErr w:type="spellEnd"/>
      <w:r w:rsidRPr="007B63A0">
        <w:rPr>
          <w:lang w:val="en-US"/>
        </w:rPr>
        <w:t xml:space="preserve">, M. de A., Angelo, A.C.M., </w:t>
      </w:r>
      <w:proofErr w:type="spellStart"/>
      <w:r w:rsidRPr="007B63A0">
        <w:rPr>
          <w:lang w:val="en-US"/>
        </w:rPr>
        <w:t>Marujo</w:t>
      </w:r>
      <w:proofErr w:type="spellEnd"/>
      <w:r w:rsidRPr="007B63A0">
        <w:rPr>
          <w:lang w:val="en-US"/>
        </w:rPr>
        <w:t xml:space="preserve">, L.G. and </w:t>
      </w:r>
      <w:proofErr w:type="spellStart"/>
      <w:r w:rsidRPr="007B63A0">
        <w:rPr>
          <w:lang w:val="en-US"/>
        </w:rPr>
        <w:t>Carneiro</w:t>
      </w:r>
      <w:proofErr w:type="spellEnd"/>
      <w:r w:rsidRPr="007B63A0">
        <w:rPr>
          <w:lang w:val="en-US"/>
        </w:rPr>
        <w:t xml:space="preserve">, P.J.P. (2023) ‘Action plan focused on electric mobility (APOEM): A tool for assessment of the potential environmental benefits of urban mobility’, </w:t>
      </w:r>
      <w:r w:rsidRPr="007B63A0">
        <w:rPr>
          <w:i/>
          <w:iCs/>
          <w:lang w:val="en-US"/>
        </w:rPr>
        <w:t>Sustainability</w:t>
      </w:r>
      <w:r w:rsidRPr="007B63A0">
        <w:rPr>
          <w:lang w:val="en-US"/>
        </w:rPr>
        <w:t xml:space="preserve">, 15(13), p. 10218. Available at: </w:t>
      </w:r>
      <w:hyperlink r:id="rId13" w:tgtFrame="_new" w:history="1">
        <w:r w:rsidRPr="007B63A0">
          <w:rPr>
            <w:rStyle w:val="Hyperlink"/>
            <w:lang w:val="en-US"/>
          </w:rPr>
          <w:t>https://doi.org/10.3390/su151310218</w:t>
        </w:r>
      </w:hyperlink>
    </w:p>
    <w:p w:rsidR="007B63A0" w:rsidRPr="007B63A0" w:rsidRDefault="007B63A0" w:rsidP="007B63A0">
      <w:pPr>
        <w:ind w:left="720" w:hanging="720"/>
        <w:rPr>
          <w:lang w:val="en-US"/>
        </w:rPr>
      </w:pPr>
      <w:proofErr w:type="spellStart"/>
      <w:r w:rsidRPr="007B63A0">
        <w:rPr>
          <w:lang w:val="en-US"/>
        </w:rPr>
        <w:t>Adeniyi</w:t>
      </w:r>
      <w:proofErr w:type="spellEnd"/>
      <w:r w:rsidRPr="007B63A0">
        <w:rPr>
          <w:lang w:val="en-US"/>
        </w:rPr>
        <w:t xml:space="preserve">, A.A., A.Y. and S.N. (2024) ‘Bridging the infrastructure gap: Assessing the impact of critical infrastructure investments on economic growth in the United States and emerging markets’, </w:t>
      </w:r>
      <w:r w:rsidRPr="007B63A0">
        <w:rPr>
          <w:i/>
          <w:iCs/>
          <w:lang w:val="en-US"/>
        </w:rPr>
        <w:t>International Journal for Multidisciplinary Research</w:t>
      </w:r>
      <w:r w:rsidRPr="007B63A0">
        <w:rPr>
          <w:lang w:val="en-US"/>
        </w:rPr>
        <w:t xml:space="preserve">, 6(5). Available at: </w:t>
      </w:r>
      <w:hyperlink r:id="rId14" w:tgtFrame="_new" w:history="1">
        <w:r w:rsidRPr="007B63A0">
          <w:rPr>
            <w:rStyle w:val="Hyperlink"/>
            <w:lang w:val="en-US"/>
          </w:rPr>
          <w:t>https://doi.org/10.36948/ijfmr.2024.v06i05.28772</w:t>
        </w:r>
      </w:hyperlink>
    </w:p>
    <w:p w:rsidR="007B63A0" w:rsidRPr="007B63A0" w:rsidRDefault="007B63A0" w:rsidP="007B63A0">
      <w:pPr>
        <w:ind w:left="720" w:hanging="720"/>
        <w:rPr>
          <w:lang w:val="en-US"/>
        </w:rPr>
      </w:pPr>
      <w:r w:rsidRPr="007B63A0">
        <w:rPr>
          <w:lang w:val="en-US"/>
        </w:rPr>
        <w:t xml:space="preserve">Allan, B.B. and </w:t>
      </w:r>
      <w:proofErr w:type="spellStart"/>
      <w:r w:rsidRPr="007B63A0">
        <w:rPr>
          <w:lang w:val="en-US"/>
        </w:rPr>
        <w:t>Nahm</w:t>
      </w:r>
      <w:proofErr w:type="spellEnd"/>
      <w:r w:rsidRPr="007B63A0">
        <w:rPr>
          <w:lang w:val="en-US"/>
        </w:rPr>
        <w:t xml:space="preserve">, J. (2024) ‘Strategies of green industrial policy: How states position firms in global supply chains’, </w:t>
      </w:r>
      <w:r w:rsidRPr="007B63A0">
        <w:rPr>
          <w:i/>
          <w:iCs/>
          <w:lang w:val="en-US"/>
        </w:rPr>
        <w:t>American Political Science Review</w:t>
      </w:r>
      <w:r w:rsidRPr="007B63A0">
        <w:rPr>
          <w:lang w:val="en-US"/>
        </w:rPr>
        <w:t xml:space="preserve">, 119(1), pp. 420–434. Available at: </w:t>
      </w:r>
      <w:hyperlink r:id="rId15" w:tgtFrame="_new" w:history="1">
        <w:r w:rsidRPr="007B63A0">
          <w:rPr>
            <w:rStyle w:val="Hyperlink"/>
            <w:lang w:val="en-US"/>
          </w:rPr>
          <w:t>https://doi.org/10.1017/s0003055424000364</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t>Alshahapy</w:t>
      </w:r>
      <w:proofErr w:type="spellEnd"/>
      <w:r w:rsidRPr="007B63A0">
        <w:rPr>
          <w:lang w:val="en-US"/>
        </w:rPr>
        <w:t xml:space="preserve">, H., Bozeman, J.F., </w:t>
      </w:r>
      <w:proofErr w:type="spellStart"/>
      <w:r w:rsidRPr="007B63A0">
        <w:rPr>
          <w:lang w:val="en-US"/>
        </w:rPr>
        <w:t>Carley</w:t>
      </w:r>
      <w:proofErr w:type="spellEnd"/>
      <w:r w:rsidRPr="007B63A0">
        <w:rPr>
          <w:lang w:val="en-US"/>
        </w:rPr>
        <w:t xml:space="preserve">, S., Nock, D. and </w:t>
      </w:r>
      <w:proofErr w:type="spellStart"/>
      <w:r w:rsidRPr="007B63A0">
        <w:rPr>
          <w:lang w:val="en-US"/>
        </w:rPr>
        <w:t>Matisoff</w:t>
      </w:r>
      <w:proofErr w:type="spellEnd"/>
      <w:r w:rsidRPr="007B63A0">
        <w:rPr>
          <w:lang w:val="en-US"/>
        </w:rPr>
        <w:t xml:space="preserve">, D.C. (2025) ‘Modern challenges facing electric vehicle adoption: A review of barriers to adoption, supply chain challenges, and equity’, </w:t>
      </w:r>
      <w:r w:rsidRPr="007B63A0">
        <w:rPr>
          <w:i/>
          <w:iCs/>
          <w:lang w:val="en-US"/>
        </w:rPr>
        <w:t>Environmental Research Letters</w:t>
      </w:r>
      <w:r w:rsidRPr="007B63A0">
        <w:rPr>
          <w:lang w:val="en-US"/>
        </w:rPr>
        <w:t xml:space="preserve">, 20(2), p. 023002. Available at: </w:t>
      </w:r>
      <w:hyperlink r:id="rId16" w:tgtFrame="_new" w:history="1">
        <w:r w:rsidRPr="007B63A0">
          <w:rPr>
            <w:rStyle w:val="Hyperlink"/>
            <w:lang w:val="en-US"/>
          </w:rPr>
          <w:t>https://doi.org/10.1088/1748-9326/ada6de</w:t>
        </w:r>
      </w:hyperlink>
      <w:r w:rsidRPr="007B63A0">
        <w:rPr>
          <w:lang w:val="en-US"/>
        </w:rPr>
        <w:t xml:space="preserve"> </w:t>
      </w:r>
    </w:p>
    <w:p w:rsidR="007B63A0" w:rsidRPr="007B63A0" w:rsidRDefault="007B63A0" w:rsidP="007B63A0">
      <w:pPr>
        <w:ind w:left="720" w:hanging="720"/>
        <w:rPr>
          <w:lang w:val="en-US"/>
        </w:rPr>
      </w:pPr>
      <w:r w:rsidRPr="007B63A0">
        <w:rPr>
          <w:lang w:val="en-US"/>
        </w:rPr>
        <w:t xml:space="preserve">An, T. (2021) </w:t>
      </w:r>
      <w:r w:rsidRPr="007B63A0">
        <w:rPr>
          <w:i/>
          <w:iCs/>
          <w:lang w:val="en-US"/>
        </w:rPr>
        <w:t>The strategic group analysis of BYD new energy vehicles from the perspective of value chain</w:t>
      </w:r>
      <w:r w:rsidRPr="007B63A0">
        <w:rPr>
          <w:lang w:val="en-US"/>
        </w:rPr>
        <w:t xml:space="preserve">. Available at: </w:t>
      </w:r>
      <w:hyperlink r:id="rId17" w:tgtFrame="_new" w:history="1">
        <w:r w:rsidRPr="007B63A0">
          <w:rPr>
            <w:rStyle w:val="Hyperlink"/>
            <w:lang w:val="en-US"/>
          </w:rPr>
          <w:t>https://doi.org/10.2991/assehr.k.210121.146</w:t>
        </w:r>
      </w:hyperlink>
    </w:p>
    <w:p w:rsidR="007B63A0" w:rsidRPr="007B63A0" w:rsidRDefault="007B63A0" w:rsidP="007B63A0">
      <w:pPr>
        <w:ind w:left="720" w:hanging="720"/>
        <w:rPr>
          <w:lang w:val="en-US"/>
        </w:rPr>
      </w:pPr>
      <w:r w:rsidRPr="007B63A0">
        <w:rPr>
          <w:lang w:val="en-US"/>
        </w:rPr>
        <w:t xml:space="preserve">Anwar, A.I. and </w:t>
      </w:r>
      <w:proofErr w:type="spellStart"/>
      <w:r w:rsidRPr="007B63A0">
        <w:rPr>
          <w:lang w:val="en-US"/>
        </w:rPr>
        <w:t>Agus</w:t>
      </w:r>
      <w:proofErr w:type="spellEnd"/>
      <w:r w:rsidRPr="007B63A0">
        <w:rPr>
          <w:lang w:val="en-US"/>
        </w:rPr>
        <w:t xml:space="preserve">, E. (2023) ‘Proposed business strategy for new healthcare innovation of electro-capacitive body stimulation (ECBS) technology’, </w:t>
      </w:r>
      <w:r w:rsidRPr="007B63A0">
        <w:rPr>
          <w:i/>
          <w:iCs/>
          <w:lang w:val="en-US"/>
        </w:rPr>
        <w:t>International Journal of Current Science Research and Review</w:t>
      </w:r>
      <w:r w:rsidRPr="007B63A0">
        <w:rPr>
          <w:lang w:val="en-US"/>
        </w:rPr>
        <w:t xml:space="preserve">, 6(7). Available at: </w:t>
      </w:r>
      <w:hyperlink r:id="rId18" w:tgtFrame="_new" w:history="1">
        <w:r w:rsidRPr="007B63A0">
          <w:rPr>
            <w:rStyle w:val="Hyperlink"/>
            <w:lang w:val="en-US"/>
          </w:rPr>
          <w:t>https://doi.org/10.47191/ijcsrr/v6-i7-47</w:t>
        </w:r>
      </w:hyperlink>
    </w:p>
    <w:p w:rsidR="007B63A0" w:rsidRPr="007B63A0" w:rsidRDefault="007B63A0" w:rsidP="007B63A0">
      <w:pPr>
        <w:ind w:left="720" w:hanging="720"/>
        <w:rPr>
          <w:lang w:val="en-US"/>
        </w:rPr>
      </w:pPr>
      <w:proofErr w:type="spellStart"/>
      <w:r w:rsidRPr="007B63A0">
        <w:rPr>
          <w:lang w:val="en-US"/>
        </w:rPr>
        <w:lastRenderedPageBreak/>
        <w:t>Arregui</w:t>
      </w:r>
      <w:proofErr w:type="spellEnd"/>
      <w:r w:rsidRPr="007B63A0">
        <w:rPr>
          <w:lang w:val="en-US"/>
        </w:rPr>
        <w:t xml:space="preserve">, N. and Parry, I. (2020) </w:t>
      </w:r>
      <w:r w:rsidRPr="007B63A0">
        <w:rPr>
          <w:i/>
          <w:iCs/>
          <w:lang w:val="en-US"/>
        </w:rPr>
        <w:t>Reconsidering climate mitigation policy in the UK</w:t>
      </w:r>
      <w:r w:rsidRPr="007B63A0">
        <w:rPr>
          <w:lang w:val="en-US"/>
        </w:rPr>
        <w:t xml:space="preserve">. IMF Working Paper, 20(268). Available at: </w:t>
      </w:r>
      <w:hyperlink r:id="rId19" w:tgtFrame="_new" w:history="1">
        <w:r w:rsidRPr="007B63A0">
          <w:rPr>
            <w:rStyle w:val="Hyperlink"/>
            <w:lang w:val="en-US"/>
          </w:rPr>
          <w:t>https://doi.org/10.5089/9781513561264.001</w:t>
        </w:r>
      </w:hyperlink>
    </w:p>
    <w:p w:rsidR="007B63A0" w:rsidRPr="007B63A0" w:rsidRDefault="007B63A0" w:rsidP="007B63A0">
      <w:pPr>
        <w:ind w:left="720" w:hanging="720"/>
        <w:rPr>
          <w:lang w:val="en-US"/>
        </w:rPr>
      </w:pPr>
      <w:proofErr w:type="spellStart"/>
      <w:r w:rsidRPr="007B63A0">
        <w:t>Arslangulova</w:t>
      </w:r>
      <w:proofErr w:type="spellEnd"/>
      <w:r w:rsidRPr="007B63A0">
        <w:t xml:space="preserve">, B. and </w:t>
      </w:r>
      <w:proofErr w:type="spellStart"/>
      <w:r w:rsidRPr="007B63A0">
        <w:t>Galanakis</w:t>
      </w:r>
      <w:proofErr w:type="spellEnd"/>
      <w:r w:rsidRPr="007B63A0">
        <w:t xml:space="preserve">, K. (2024) ‘The accessibility of public electric vehicle (EV) charging infrastructure: Evidence from the cities of Nottingham and Frankfurt’, </w:t>
      </w:r>
      <w:r w:rsidRPr="007B63A0">
        <w:rPr>
          <w:i/>
          <w:iCs/>
        </w:rPr>
        <w:t>IET Intelligent Transport Systems</w:t>
      </w:r>
      <w:r w:rsidRPr="007B63A0">
        <w:t xml:space="preserve">, 18(S1), pp. 3058–3068. Available at: </w:t>
      </w:r>
      <w:hyperlink r:id="rId20" w:tgtFrame="_new" w:history="1">
        <w:r w:rsidRPr="007B63A0">
          <w:rPr>
            <w:rStyle w:val="Hyperlink"/>
          </w:rPr>
          <w:t>https://doi.org/10.1049/itr2.12564</w:t>
        </w:r>
      </w:hyperlink>
    </w:p>
    <w:p w:rsidR="007B63A0" w:rsidRPr="007B63A0" w:rsidRDefault="007B63A0" w:rsidP="007B63A0">
      <w:pPr>
        <w:ind w:left="720" w:hanging="720"/>
      </w:pPr>
      <w:r w:rsidRPr="007B63A0">
        <w:t xml:space="preserve">Bogue, R. (2022) ‘The changing face of the automotive robotics industry’, </w:t>
      </w:r>
      <w:r w:rsidRPr="007B63A0">
        <w:rPr>
          <w:i/>
          <w:iCs/>
        </w:rPr>
        <w:t>Industrial Robot: The International Journal of Robotics Research and Application</w:t>
      </w:r>
      <w:r w:rsidRPr="007B63A0">
        <w:t xml:space="preserve">, 49(3), pp. 386–390. Available at: </w:t>
      </w:r>
      <w:hyperlink r:id="rId21" w:tgtFrame="_new" w:history="1">
        <w:r w:rsidRPr="007B63A0">
          <w:rPr>
            <w:rStyle w:val="Hyperlink"/>
          </w:rPr>
          <w:t>https://doi.org/10.1108/ir-01-2022-0022</w:t>
        </w:r>
      </w:hyperlink>
    </w:p>
    <w:p w:rsidR="007B63A0" w:rsidRPr="007B63A0" w:rsidRDefault="007B63A0" w:rsidP="007B63A0">
      <w:pPr>
        <w:ind w:left="720" w:hanging="720"/>
        <w:rPr>
          <w:lang w:val="en-US"/>
        </w:rPr>
      </w:pPr>
      <w:proofErr w:type="spellStart"/>
      <w:r w:rsidRPr="007B63A0">
        <w:rPr>
          <w:lang w:val="en-US"/>
        </w:rPr>
        <w:t>Butollo</w:t>
      </w:r>
      <w:proofErr w:type="spellEnd"/>
      <w:r w:rsidRPr="007B63A0">
        <w:rPr>
          <w:lang w:val="en-US"/>
        </w:rPr>
        <w:t xml:space="preserve">, F., </w:t>
      </w:r>
      <w:proofErr w:type="spellStart"/>
      <w:r w:rsidRPr="007B63A0">
        <w:rPr>
          <w:lang w:val="en-US"/>
        </w:rPr>
        <w:t>Staritz</w:t>
      </w:r>
      <w:proofErr w:type="spellEnd"/>
      <w:r w:rsidRPr="007B63A0">
        <w:rPr>
          <w:lang w:val="en-US"/>
        </w:rPr>
        <w:t xml:space="preserve">, C., </w:t>
      </w:r>
      <w:proofErr w:type="spellStart"/>
      <w:r w:rsidRPr="007B63A0">
        <w:rPr>
          <w:lang w:val="en-US"/>
        </w:rPr>
        <w:t>Maile</w:t>
      </w:r>
      <w:proofErr w:type="spellEnd"/>
      <w:r w:rsidRPr="007B63A0">
        <w:rPr>
          <w:lang w:val="en-US"/>
        </w:rPr>
        <w:t xml:space="preserve">, F. and </w:t>
      </w:r>
      <w:proofErr w:type="spellStart"/>
      <w:r w:rsidRPr="007B63A0">
        <w:rPr>
          <w:lang w:val="en-US"/>
        </w:rPr>
        <w:t>Wuttke</w:t>
      </w:r>
      <w:proofErr w:type="spellEnd"/>
      <w:r w:rsidRPr="007B63A0">
        <w:rPr>
          <w:lang w:val="en-US"/>
        </w:rPr>
        <w:t xml:space="preserve">, T. (2024) ‘The end of globalized production? Supply-chain resilience, technological sovereignty, and enduring global interdependencies in the post-pandemic era’, </w:t>
      </w:r>
      <w:r w:rsidRPr="007B63A0">
        <w:rPr>
          <w:i/>
          <w:iCs/>
          <w:lang w:val="en-US"/>
        </w:rPr>
        <w:t>Critical Sociology</w:t>
      </w:r>
      <w:r w:rsidRPr="007B63A0">
        <w:rPr>
          <w:lang w:val="en-US"/>
        </w:rPr>
        <w:t xml:space="preserve">, 51(4–5), pp. 779–798. Available at: </w:t>
      </w:r>
      <w:hyperlink r:id="rId22" w:tgtFrame="_new" w:history="1">
        <w:r w:rsidRPr="007B63A0">
          <w:rPr>
            <w:rStyle w:val="Hyperlink"/>
            <w:lang w:val="en-US"/>
          </w:rPr>
          <w:t>https://doi.org/10.1177/08969205241239872</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t>Cabigiosu</w:t>
      </w:r>
      <w:proofErr w:type="spellEnd"/>
      <w:r w:rsidRPr="007B63A0">
        <w:rPr>
          <w:lang w:val="en-US"/>
        </w:rPr>
        <w:t xml:space="preserve">, A. (2022) ‘Sustainable development and incumbents’ open innovation strategies for a greener competence-destroying technology: The case of electric vehicles’, </w:t>
      </w:r>
      <w:r w:rsidRPr="007B63A0">
        <w:rPr>
          <w:i/>
          <w:iCs/>
          <w:lang w:val="en-US"/>
        </w:rPr>
        <w:t>Business Strategy and the Environment</w:t>
      </w:r>
      <w:r w:rsidRPr="007B63A0">
        <w:rPr>
          <w:lang w:val="en-US"/>
        </w:rPr>
        <w:t xml:space="preserve">, 31(5), pp. 2315–2336. Available at: </w:t>
      </w:r>
      <w:hyperlink r:id="rId23" w:tgtFrame="_new" w:history="1">
        <w:r w:rsidRPr="007B63A0">
          <w:rPr>
            <w:rStyle w:val="Hyperlink"/>
            <w:lang w:val="en-US"/>
          </w:rPr>
          <w:t>https://doi.org/10.1002/bse.3023</w:t>
        </w:r>
      </w:hyperlink>
    </w:p>
    <w:p w:rsidR="007B63A0" w:rsidRPr="007B63A0" w:rsidRDefault="007B63A0" w:rsidP="007B63A0">
      <w:pPr>
        <w:ind w:left="720" w:hanging="720"/>
        <w:rPr>
          <w:lang w:val="en-US"/>
        </w:rPr>
      </w:pPr>
      <w:r w:rsidRPr="007B63A0">
        <w:rPr>
          <w:lang w:val="en-US"/>
        </w:rPr>
        <w:t xml:space="preserve">Cho, M.-J., Bae, K.-J., Byun, J. and Shin, J. (2025) ‘Expanding the identification of key resource combinations for mid- to long-term growth in electric vehicle market entry’, </w:t>
      </w:r>
      <w:r w:rsidRPr="007B63A0">
        <w:rPr>
          <w:i/>
          <w:iCs/>
          <w:lang w:val="en-US"/>
        </w:rPr>
        <w:t>PLOS ONE</w:t>
      </w:r>
      <w:r w:rsidRPr="007B63A0">
        <w:rPr>
          <w:lang w:val="en-US"/>
        </w:rPr>
        <w:t xml:space="preserve">, 20(8), p. e0328563. Available at: </w:t>
      </w:r>
      <w:hyperlink r:id="rId24" w:tgtFrame="_new" w:history="1">
        <w:r w:rsidRPr="007B63A0">
          <w:rPr>
            <w:rStyle w:val="Hyperlink"/>
            <w:lang w:val="en-US"/>
          </w:rPr>
          <w:t>https://doi.org/10.1371/journal.pone.0328563</w:t>
        </w:r>
      </w:hyperlink>
    </w:p>
    <w:p w:rsidR="007B63A0" w:rsidRPr="007B63A0" w:rsidRDefault="007B63A0" w:rsidP="007B63A0">
      <w:pPr>
        <w:ind w:left="720" w:hanging="720"/>
        <w:rPr>
          <w:lang w:val="en-US"/>
        </w:rPr>
      </w:pPr>
      <w:proofErr w:type="spellStart"/>
      <w:r w:rsidRPr="007B63A0">
        <w:rPr>
          <w:lang w:val="en-US"/>
        </w:rPr>
        <w:t>Fedotov</w:t>
      </w:r>
      <w:proofErr w:type="spellEnd"/>
      <w:r w:rsidRPr="007B63A0">
        <w:rPr>
          <w:lang w:val="en-US"/>
        </w:rPr>
        <w:t xml:space="preserve">, P. (2022) ‘Critical analysis of the electric vehicle industry’, </w:t>
      </w:r>
      <w:r w:rsidRPr="007B63A0">
        <w:rPr>
          <w:i/>
          <w:iCs/>
          <w:lang w:val="en-US"/>
        </w:rPr>
        <w:t>Exchanges: The Interdisciplinary Research Journal</w:t>
      </w:r>
      <w:r w:rsidRPr="007B63A0">
        <w:rPr>
          <w:lang w:val="en-US"/>
        </w:rPr>
        <w:t xml:space="preserve">, 10(1), pp. 43–56. Available at: </w:t>
      </w:r>
      <w:hyperlink r:id="rId25" w:tgtFrame="_new" w:history="1">
        <w:r w:rsidRPr="007B63A0">
          <w:rPr>
            <w:rStyle w:val="Hyperlink"/>
            <w:lang w:val="en-US"/>
          </w:rPr>
          <w:t>https://doi.org/10.31273/eirj.v10i1.362</w:t>
        </w:r>
      </w:hyperlink>
    </w:p>
    <w:p w:rsidR="007B63A0" w:rsidRPr="007B63A0" w:rsidRDefault="007B63A0" w:rsidP="007B63A0">
      <w:pPr>
        <w:ind w:left="720" w:hanging="720"/>
        <w:rPr>
          <w:lang w:val="en-US"/>
        </w:rPr>
      </w:pPr>
      <w:proofErr w:type="spellStart"/>
      <w:r w:rsidRPr="007B63A0">
        <w:rPr>
          <w:lang w:val="en-US"/>
        </w:rPr>
        <w:t>Firlina</w:t>
      </w:r>
      <w:proofErr w:type="spellEnd"/>
      <w:r w:rsidRPr="007B63A0">
        <w:rPr>
          <w:lang w:val="en-US"/>
        </w:rPr>
        <w:t xml:space="preserve">, M., Putra, R.A. and </w:t>
      </w:r>
      <w:proofErr w:type="spellStart"/>
      <w:r w:rsidRPr="007B63A0">
        <w:rPr>
          <w:lang w:val="en-US"/>
        </w:rPr>
        <w:t>Yurnaidi</w:t>
      </w:r>
      <w:proofErr w:type="spellEnd"/>
      <w:r w:rsidRPr="007B63A0">
        <w:rPr>
          <w:lang w:val="en-US"/>
        </w:rPr>
        <w:t xml:space="preserve">, Z. (2025) ‘Enhancing energy efficiency and conservation in ASEAN transportation: Policy insights and best practices’, </w:t>
      </w:r>
      <w:r w:rsidRPr="007B63A0">
        <w:rPr>
          <w:i/>
          <w:iCs/>
          <w:lang w:val="en-US"/>
        </w:rPr>
        <w:t>IOP Conference Series: Earth and Environmental Science</w:t>
      </w:r>
      <w:r w:rsidRPr="007B63A0">
        <w:rPr>
          <w:lang w:val="en-US"/>
        </w:rPr>
        <w:t xml:space="preserve">, 1511(1), p. 012005. Available at: </w:t>
      </w:r>
      <w:hyperlink r:id="rId26" w:tgtFrame="_new" w:history="1">
        <w:r w:rsidRPr="007B63A0">
          <w:rPr>
            <w:rStyle w:val="Hyperlink"/>
            <w:lang w:val="en-US"/>
          </w:rPr>
          <w:t>https://doi.org/10.1088/1755-1315/1511/1/012005</w:t>
        </w:r>
      </w:hyperlink>
    </w:p>
    <w:p w:rsidR="007B63A0" w:rsidRPr="007B63A0" w:rsidRDefault="007B63A0" w:rsidP="007B63A0">
      <w:pPr>
        <w:ind w:left="720" w:hanging="720"/>
        <w:rPr>
          <w:lang w:val="en-US"/>
        </w:rPr>
      </w:pPr>
      <w:proofErr w:type="spellStart"/>
      <w:r w:rsidRPr="007B63A0">
        <w:rPr>
          <w:lang w:val="en-US"/>
        </w:rPr>
        <w:lastRenderedPageBreak/>
        <w:t>Fligstein</w:t>
      </w:r>
      <w:proofErr w:type="spellEnd"/>
      <w:r w:rsidRPr="007B63A0">
        <w:rPr>
          <w:lang w:val="en-US"/>
        </w:rPr>
        <w:t xml:space="preserve">, N. and Huang, J. (2025) ‘Finance in sustainable transition: A comparative review across institutional investors, asset managers, venture capital, insurance, and bonds’, </w:t>
      </w:r>
      <w:r w:rsidRPr="007B63A0">
        <w:rPr>
          <w:i/>
          <w:iCs/>
          <w:lang w:val="en-US"/>
        </w:rPr>
        <w:t>Wiley Interdisciplinary Reviews: Climate Change</w:t>
      </w:r>
      <w:r w:rsidRPr="007B63A0">
        <w:rPr>
          <w:lang w:val="en-US"/>
        </w:rPr>
        <w:t xml:space="preserve">, 16(4). Available at: </w:t>
      </w:r>
      <w:hyperlink r:id="rId27" w:tgtFrame="_new" w:history="1">
        <w:r w:rsidRPr="007B63A0">
          <w:rPr>
            <w:rStyle w:val="Hyperlink"/>
            <w:lang w:val="en-US"/>
          </w:rPr>
          <w:t>https://doi.org/10.1002/wcc.70012</w:t>
        </w:r>
      </w:hyperlink>
    </w:p>
    <w:p w:rsidR="007B63A0" w:rsidRPr="007B63A0" w:rsidRDefault="007B63A0" w:rsidP="007B63A0">
      <w:pPr>
        <w:ind w:left="720" w:hanging="720"/>
      </w:pPr>
      <w:r w:rsidRPr="007B63A0">
        <w:rPr>
          <w:lang w:val="en-US"/>
        </w:rPr>
        <w:t xml:space="preserve">Graham, J.D. and </w:t>
      </w:r>
      <w:proofErr w:type="spellStart"/>
      <w:r w:rsidRPr="007B63A0">
        <w:rPr>
          <w:lang w:val="en-US"/>
        </w:rPr>
        <w:t>Brungard</w:t>
      </w:r>
      <w:proofErr w:type="spellEnd"/>
      <w:r w:rsidRPr="007B63A0">
        <w:rPr>
          <w:lang w:val="en-US"/>
        </w:rPr>
        <w:t xml:space="preserve">, E. (2021) ‘Consumer adoption of plug-in electric vehicles in selected countries’, </w:t>
      </w:r>
      <w:r w:rsidRPr="007B63A0">
        <w:rPr>
          <w:i/>
          <w:iCs/>
          <w:lang w:val="en-US"/>
        </w:rPr>
        <w:t>Future Transportation</w:t>
      </w:r>
      <w:r w:rsidRPr="007B63A0">
        <w:rPr>
          <w:lang w:val="en-US"/>
        </w:rPr>
        <w:t xml:space="preserve">, 1(2), pp. 303–325. Available at: </w:t>
      </w:r>
      <w:hyperlink r:id="rId28" w:tgtFrame="_new" w:history="1">
        <w:r w:rsidRPr="007B63A0">
          <w:rPr>
            <w:rStyle w:val="Hyperlink"/>
            <w:lang w:val="en-US"/>
          </w:rPr>
          <w:t>https://doi.org/10.3390/futuretransp1020018</w:t>
        </w:r>
      </w:hyperlink>
    </w:p>
    <w:p w:rsidR="007B63A0" w:rsidRPr="007B63A0" w:rsidRDefault="007B63A0" w:rsidP="007B63A0">
      <w:pPr>
        <w:ind w:left="720" w:hanging="720"/>
      </w:pPr>
      <w:proofErr w:type="spellStart"/>
      <w:r w:rsidRPr="007B63A0">
        <w:rPr>
          <w:lang w:val="en-US"/>
        </w:rPr>
        <w:t>Habiburrahman</w:t>
      </w:r>
      <w:proofErr w:type="spellEnd"/>
      <w:r w:rsidRPr="007B63A0">
        <w:rPr>
          <w:lang w:val="en-US"/>
        </w:rPr>
        <w:t xml:space="preserve">, M., </w:t>
      </w:r>
      <w:proofErr w:type="spellStart"/>
      <w:r w:rsidRPr="007B63A0">
        <w:rPr>
          <w:lang w:val="en-US"/>
        </w:rPr>
        <w:t>Nurcahyo</w:t>
      </w:r>
      <w:proofErr w:type="spellEnd"/>
      <w:r w:rsidRPr="007B63A0">
        <w:rPr>
          <w:lang w:val="en-US"/>
        </w:rPr>
        <w:t xml:space="preserve">, R., </w:t>
      </w:r>
      <w:proofErr w:type="spellStart"/>
      <w:r w:rsidRPr="007B63A0">
        <w:rPr>
          <w:lang w:val="en-US"/>
        </w:rPr>
        <w:t>Ma’aram</w:t>
      </w:r>
      <w:proofErr w:type="spellEnd"/>
      <w:r w:rsidRPr="007B63A0">
        <w:rPr>
          <w:lang w:val="en-US"/>
        </w:rPr>
        <w:t xml:space="preserve">, A. and </w:t>
      </w:r>
      <w:proofErr w:type="spellStart"/>
      <w:r w:rsidRPr="007B63A0">
        <w:rPr>
          <w:lang w:val="en-US"/>
        </w:rPr>
        <w:t>Natsuda</w:t>
      </w:r>
      <w:proofErr w:type="spellEnd"/>
      <w:r w:rsidRPr="007B63A0">
        <w:rPr>
          <w:lang w:val="en-US"/>
        </w:rPr>
        <w:t xml:space="preserve">, K. (2024) ‘Driving the transport electrification: Exploring stakeholders’ perceptions and actions in the Indonesian automotive industry transition to electric mobility’, </w:t>
      </w:r>
      <w:r w:rsidRPr="007B63A0">
        <w:rPr>
          <w:i/>
          <w:iCs/>
          <w:lang w:val="en-US"/>
        </w:rPr>
        <w:t>Sustainability</w:t>
      </w:r>
      <w:r w:rsidRPr="007B63A0">
        <w:rPr>
          <w:lang w:val="en-US"/>
        </w:rPr>
        <w:t xml:space="preserve">, 16(14), p. 5855. Available at: </w:t>
      </w:r>
      <w:hyperlink r:id="rId29" w:tgtFrame="_new" w:history="1">
        <w:r w:rsidRPr="007B63A0">
          <w:rPr>
            <w:rStyle w:val="Hyperlink"/>
            <w:lang w:val="en-US"/>
          </w:rPr>
          <w:t>https://doi.org/10.3390/su16145855</w:t>
        </w:r>
      </w:hyperlink>
    </w:p>
    <w:p w:rsidR="007B63A0" w:rsidRPr="007B63A0" w:rsidRDefault="007B63A0" w:rsidP="007B63A0">
      <w:pPr>
        <w:ind w:left="720" w:hanging="720"/>
        <w:rPr>
          <w:lang w:val="en-US"/>
        </w:rPr>
      </w:pPr>
      <w:proofErr w:type="spellStart"/>
      <w:r w:rsidRPr="007B63A0">
        <w:rPr>
          <w:lang w:val="en-US"/>
        </w:rPr>
        <w:t>Hemavathi</w:t>
      </w:r>
      <w:proofErr w:type="spellEnd"/>
      <w:r w:rsidRPr="007B63A0">
        <w:rPr>
          <w:lang w:val="en-US"/>
        </w:rPr>
        <w:t xml:space="preserve">, S. (2025) ‘India’s lithium-ion battery landscape: Strategic opportunities, market dynamics, and innovation pathways’, </w:t>
      </w:r>
      <w:r w:rsidRPr="007B63A0">
        <w:rPr>
          <w:i/>
          <w:iCs/>
          <w:lang w:val="en-US"/>
        </w:rPr>
        <w:t>Energy Storage</w:t>
      </w:r>
      <w:r w:rsidRPr="007B63A0">
        <w:rPr>
          <w:lang w:val="en-US"/>
        </w:rPr>
        <w:t xml:space="preserve">, 7(6). Available at: </w:t>
      </w:r>
      <w:hyperlink r:id="rId30" w:tgtFrame="_new" w:history="1">
        <w:r w:rsidRPr="007B63A0">
          <w:rPr>
            <w:rStyle w:val="Hyperlink"/>
            <w:lang w:val="en-US"/>
          </w:rPr>
          <w:t>https://doi.org/10.1002/est2.70244</w:t>
        </w:r>
      </w:hyperlink>
      <w:r w:rsidRPr="007B63A0">
        <w:rPr>
          <w:lang w:val="en-US"/>
        </w:rPr>
        <w:t xml:space="preserve"> </w:t>
      </w:r>
    </w:p>
    <w:p w:rsidR="007B63A0" w:rsidRPr="007B63A0" w:rsidRDefault="007B63A0" w:rsidP="007B63A0">
      <w:pPr>
        <w:ind w:left="720" w:hanging="720"/>
        <w:rPr>
          <w:lang w:val="en-US"/>
        </w:rPr>
      </w:pPr>
      <w:r w:rsidRPr="007B63A0">
        <w:rPr>
          <w:lang w:val="en-US"/>
        </w:rPr>
        <w:t xml:space="preserve">Hong, J. (2024) ‘Competitive strategies and market positions of global automotive giants: Toyota, Tesla, and BMW’, </w:t>
      </w:r>
      <w:r w:rsidRPr="007B63A0">
        <w:rPr>
          <w:i/>
          <w:iCs/>
          <w:lang w:val="en-US"/>
        </w:rPr>
        <w:t>MMSE</w:t>
      </w:r>
      <w:r w:rsidRPr="007B63A0">
        <w:rPr>
          <w:lang w:val="en-US"/>
        </w:rPr>
        <w:t xml:space="preserve">, 6(2), p. 53. Available at: </w:t>
      </w:r>
      <w:hyperlink r:id="rId31" w:tgtFrame="_new" w:history="1">
        <w:r w:rsidRPr="007B63A0">
          <w:rPr>
            <w:rStyle w:val="Hyperlink"/>
            <w:lang w:val="en-US"/>
          </w:rPr>
          <w:t>https://doi.org/10.22158/mmse.v6n2p53</w:t>
        </w:r>
      </w:hyperlink>
    </w:p>
    <w:p w:rsidR="007B63A0" w:rsidRPr="007B63A0" w:rsidRDefault="007B63A0" w:rsidP="007B63A0">
      <w:pPr>
        <w:ind w:left="720" w:hanging="720"/>
        <w:rPr>
          <w:lang w:val="en-US"/>
        </w:rPr>
      </w:pPr>
      <w:proofErr w:type="spellStart"/>
      <w:r w:rsidRPr="007B63A0">
        <w:rPr>
          <w:lang w:val="en-US"/>
        </w:rPr>
        <w:t>Iman</w:t>
      </w:r>
      <w:proofErr w:type="spellEnd"/>
      <w:r w:rsidRPr="007B63A0">
        <w:rPr>
          <w:lang w:val="en-US"/>
        </w:rPr>
        <w:t xml:space="preserve">, N. (2025) ‘The hidden costs of intelligence: Artificial intelligence and machine learning adoption and the paradox of exponential digital growth’, </w:t>
      </w:r>
      <w:r w:rsidRPr="007B63A0">
        <w:rPr>
          <w:i/>
          <w:iCs/>
          <w:lang w:val="en-US"/>
        </w:rPr>
        <w:t>Sustainability and Climate Change</w:t>
      </w:r>
      <w:r w:rsidRPr="007B63A0">
        <w:rPr>
          <w:lang w:val="en-US"/>
        </w:rPr>
        <w:t xml:space="preserve">, 18(3), pp. 225–241. Available at: </w:t>
      </w:r>
      <w:hyperlink r:id="rId32" w:tgtFrame="_new" w:history="1">
        <w:r w:rsidRPr="007B63A0">
          <w:rPr>
            <w:rStyle w:val="Hyperlink"/>
            <w:lang w:val="en-US"/>
          </w:rPr>
          <w:t>https://doi.org/10.1089/scc.2025.0017</w:t>
        </w:r>
      </w:hyperlink>
    </w:p>
    <w:p w:rsidR="007B63A0" w:rsidRPr="007B63A0" w:rsidRDefault="007B63A0" w:rsidP="007B63A0">
      <w:pPr>
        <w:ind w:left="720" w:hanging="720"/>
        <w:rPr>
          <w:lang w:val="en-US"/>
        </w:rPr>
      </w:pPr>
      <w:proofErr w:type="spellStart"/>
      <w:r w:rsidRPr="007B63A0">
        <w:rPr>
          <w:lang w:val="en-US"/>
        </w:rPr>
        <w:t>Jagani</w:t>
      </w:r>
      <w:proofErr w:type="spellEnd"/>
      <w:r w:rsidRPr="007B63A0">
        <w:rPr>
          <w:lang w:val="en-US"/>
        </w:rPr>
        <w:t xml:space="preserve">, S., </w:t>
      </w:r>
      <w:proofErr w:type="spellStart"/>
      <w:r w:rsidRPr="007B63A0">
        <w:rPr>
          <w:lang w:val="en-US"/>
        </w:rPr>
        <w:t>Marsillac</w:t>
      </w:r>
      <w:proofErr w:type="spellEnd"/>
      <w:r w:rsidRPr="007B63A0">
        <w:rPr>
          <w:lang w:val="en-US"/>
        </w:rPr>
        <w:t xml:space="preserve">, E. and Hong, P. (2024) ‘The electric vehicle supply chain ecosystem: Changing roles of automotive suppliers’, </w:t>
      </w:r>
      <w:r w:rsidRPr="007B63A0">
        <w:rPr>
          <w:i/>
          <w:iCs/>
          <w:lang w:val="en-US"/>
        </w:rPr>
        <w:t>Sustainability</w:t>
      </w:r>
      <w:r w:rsidRPr="007B63A0">
        <w:rPr>
          <w:lang w:val="en-US"/>
        </w:rPr>
        <w:t xml:space="preserve">, 16(4), p. 1570. Available at: </w:t>
      </w:r>
      <w:hyperlink r:id="rId33" w:tgtFrame="_new" w:history="1">
        <w:r w:rsidRPr="007B63A0">
          <w:rPr>
            <w:rStyle w:val="Hyperlink"/>
            <w:lang w:val="en-US"/>
          </w:rPr>
          <w:t>https://doi.org/10.3390/su16041570</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t>Jetin</w:t>
      </w:r>
      <w:proofErr w:type="spellEnd"/>
      <w:r w:rsidRPr="007B63A0">
        <w:rPr>
          <w:lang w:val="en-US"/>
        </w:rPr>
        <w:t xml:space="preserve">, B. (2023) ‘Electric batteries and critical materials dependency: A geopolitical analysis of the USA and the European Union’, </w:t>
      </w:r>
      <w:r w:rsidRPr="007B63A0">
        <w:rPr>
          <w:i/>
          <w:iCs/>
          <w:lang w:val="en-US"/>
        </w:rPr>
        <w:t>International Journal of Automotive Technology and Management</w:t>
      </w:r>
      <w:r w:rsidRPr="007B63A0">
        <w:rPr>
          <w:lang w:val="en-US"/>
        </w:rPr>
        <w:t xml:space="preserve">, 23(4). Available at: </w:t>
      </w:r>
      <w:hyperlink r:id="rId34" w:tgtFrame="_new" w:history="1">
        <w:r w:rsidRPr="007B63A0">
          <w:rPr>
            <w:rStyle w:val="Hyperlink"/>
            <w:lang w:val="en-US"/>
          </w:rPr>
          <w:t>https://doi.org/10.1504/ijatm.2023.10059315</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t>Jin</w:t>
      </w:r>
      <w:proofErr w:type="spellEnd"/>
      <w:r w:rsidRPr="007B63A0">
        <w:rPr>
          <w:lang w:val="en-US"/>
        </w:rPr>
        <w:t xml:space="preserve">, L., Hui, S. and Yu-Tong, L. (2023) ‘Research on the prediction of dual credit situation of passenger car enterprises based on multiple factors’, </w:t>
      </w:r>
      <w:r w:rsidRPr="007B63A0">
        <w:rPr>
          <w:i/>
          <w:iCs/>
          <w:lang w:val="en-US"/>
        </w:rPr>
        <w:t xml:space="preserve">E3S Web of </w:t>
      </w:r>
      <w:r w:rsidRPr="007B63A0">
        <w:rPr>
          <w:i/>
          <w:iCs/>
          <w:lang w:val="en-US"/>
        </w:rPr>
        <w:lastRenderedPageBreak/>
        <w:t>Conferences</w:t>
      </w:r>
      <w:r w:rsidRPr="007B63A0">
        <w:rPr>
          <w:lang w:val="en-US"/>
        </w:rPr>
        <w:t xml:space="preserve">, 466, p. 02009. Available at: </w:t>
      </w:r>
      <w:hyperlink r:id="rId35" w:tgtFrame="_new" w:history="1">
        <w:r w:rsidRPr="007B63A0">
          <w:rPr>
            <w:rStyle w:val="Hyperlink"/>
            <w:lang w:val="en-US"/>
          </w:rPr>
          <w:t>https://doi.org/10.1051/e3sconf/202346602009</w:t>
        </w:r>
      </w:hyperlink>
    </w:p>
    <w:p w:rsidR="007B63A0" w:rsidRPr="007B63A0" w:rsidRDefault="007B63A0" w:rsidP="007B63A0">
      <w:pPr>
        <w:ind w:left="720" w:hanging="720"/>
      </w:pPr>
      <w:proofErr w:type="spellStart"/>
      <w:r w:rsidRPr="007B63A0">
        <w:t>Jongeneel</w:t>
      </w:r>
      <w:proofErr w:type="spellEnd"/>
      <w:r w:rsidRPr="007B63A0">
        <w:t xml:space="preserve">, W.P., van </w:t>
      </w:r>
      <w:proofErr w:type="spellStart"/>
      <w:r w:rsidRPr="007B63A0">
        <w:t>Klaveren</w:t>
      </w:r>
      <w:proofErr w:type="spellEnd"/>
      <w:r w:rsidRPr="007B63A0">
        <w:t xml:space="preserve">, H., </w:t>
      </w:r>
      <w:proofErr w:type="spellStart"/>
      <w:r w:rsidRPr="007B63A0">
        <w:t>Bogers</w:t>
      </w:r>
      <w:proofErr w:type="spellEnd"/>
      <w:r w:rsidRPr="007B63A0">
        <w:t xml:space="preserve">, R.P., </w:t>
      </w:r>
      <w:proofErr w:type="spellStart"/>
      <w:r w:rsidRPr="007B63A0">
        <w:t>Devilee</w:t>
      </w:r>
      <w:proofErr w:type="spellEnd"/>
      <w:r w:rsidRPr="007B63A0">
        <w:t xml:space="preserve">, J., </w:t>
      </w:r>
      <w:proofErr w:type="spellStart"/>
      <w:r w:rsidRPr="007B63A0">
        <w:t>Rijs</w:t>
      </w:r>
      <w:proofErr w:type="spellEnd"/>
      <w:r w:rsidRPr="007B63A0">
        <w:t xml:space="preserve">, K., </w:t>
      </w:r>
      <w:proofErr w:type="spellStart"/>
      <w:r w:rsidRPr="007B63A0">
        <w:t>Piersma</w:t>
      </w:r>
      <w:proofErr w:type="spellEnd"/>
      <w:r w:rsidRPr="007B63A0">
        <w:t xml:space="preserve">, A.H., </w:t>
      </w:r>
      <w:proofErr w:type="spellStart"/>
      <w:r w:rsidRPr="007B63A0">
        <w:t>Vermeire</w:t>
      </w:r>
      <w:proofErr w:type="spellEnd"/>
      <w:r w:rsidRPr="007B63A0">
        <w:t xml:space="preserve">, T. and </w:t>
      </w:r>
      <w:proofErr w:type="spellStart"/>
      <w:r w:rsidRPr="007B63A0">
        <w:t>Lebret</w:t>
      </w:r>
      <w:proofErr w:type="spellEnd"/>
      <w:r w:rsidRPr="007B63A0">
        <w:t xml:space="preserve">, E. (2021) ‘Argumentation analysis of risk assessments: The case of </w:t>
      </w:r>
      <w:proofErr w:type="spellStart"/>
      <w:r w:rsidRPr="007B63A0">
        <w:t>perfluorooctanoic</w:t>
      </w:r>
      <w:proofErr w:type="spellEnd"/>
      <w:r w:rsidRPr="007B63A0">
        <w:t xml:space="preserve"> acid’, </w:t>
      </w:r>
      <w:r w:rsidRPr="007B63A0">
        <w:rPr>
          <w:i/>
          <w:iCs/>
        </w:rPr>
        <w:t>Risk Analysis</w:t>
      </w:r>
      <w:r w:rsidRPr="007B63A0">
        <w:t xml:space="preserve">, 42(4), pp. 770–785. Available at: </w:t>
      </w:r>
      <w:hyperlink r:id="rId36" w:tgtFrame="_new" w:history="1">
        <w:r w:rsidRPr="007B63A0">
          <w:rPr>
            <w:rStyle w:val="Hyperlink"/>
          </w:rPr>
          <w:t>https://doi.org/10.1111/risa.13793</w:t>
        </w:r>
      </w:hyperlink>
    </w:p>
    <w:p w:rsidR="007B63A0" w:rsidRPr="007B63A0" w:rsidRDefault="007B63A0" w:rsidP="007B63A0">
      <w:pPr>
        <w:ind w:left="720" w:hanging="720"/>
        <w:rPr>
          <w:lang w:val="en-US"/>
        </w:rPr>
      </w:pPr>
      <w:proofErr w:type="spellStart"/>
      <w:r w:rsidRPr="007B63A0">
        <w:rPr>
          <w:lang w:val="en-US"/>
        </w:rPr>
        <w:t>Kouam</w:t>
      </w:r>
      <w:proofErr w:type="spellEnd"/>
      <w:r w:rsidRPr="007B63A0">
        <w:rPr>
          <w:lang w:val="en-US"/>
        </w:rPr>
        <w:t xml:space="preserve">, A.W.F. (2024) </w:t>
      </w:r>
      <w:r w:rsidRPr="007B63A0">
        <w:rPr>
          <w:i/>
          <w:iCs/>
          <w:lang w:val="en-US"/>
        </w:rPr>
        <w:t>Blocking or embracing the competition: Discussing the trade war on the electric vehicle industry from a global perspective</w:t>
      </w:r>
      <w:r w:rsidRPr="007B63A0">
        <w:rPr>
          <w:lang w:val="en-US"/>
        </w:rPr>
        <w:t xml:space="preserve">. Available at: </w:t>
      </w:r>
      <w:hyperlink r:id="rId37" w:tgtFrame="_new" w:history="1">
        <w:r w:rsidRPr="007B63A0">
          <w:rPr>
            <w:rStyle w:val="Hyperlink"/>
            <w:lang w:val="en-US"/>
          </w:rPr>
          <w:t>https://doi.org/10.21203/rs.3.rs-5508657/v1</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t>Kowalska-Pyzalska</w:t>
      </w:r>
      <w:proofErr w:type="spellEnd"/>
      <w:r w:rsidRPr="007B63A0">
        <w:rPr>
          <w:lang w:val="en-US"/>
        </w:rPr>
        <w:t xml:space="preserve">, A., Kott, J. and Kott, M. (2020) ‘Why Polish market of alternative fuel vehicles (AFVs) is the smallest in Europe? SWOT analysis of opportunities and threats’, </w:t>
      </w:r>
      <w:r w:rsidRPr="007B63A0">
        <w:rPr>
          <w:i/>
          <w:iCs/>
          <w:lang w:val="en-US"/>
        </w:rPr>
        <w:t>Renewable and Sustainable Energy Reviews</w:t>
      </w:r>
      <w:r w:rsidRPr="007B63A0">
        <w:rPr>
          <w:lang w:val="en-US"/>
        </w:rPr>
        <w:t xml:space="preserve">, 133, p. 110076. Available at: </w:t>
      </w:r>
      <w:hyperlink r:id="rId38" w:tgtFrame="_new" w:history="1">
        <w:r w:rsidRPr="007B63A0">
          <w:rPr>
            <w:rStyle w:val="Hyperlink"/>
            <w:lang w:val="en-US"/>
          </w:rPr>
          <w:t>https://doi.org/10.1016/j.rser.2020.110076</w:t>
        </w:r>
      </w:hyperlink>
    </w:p>
    <w:p w:rsidR="007B63A0" w:rsidRPr="007B63A0" w:rsidRDefault="007B63A0" w:rsidP="007B63A0">
      <w:pPr>
        <w:ind w:left="720" w:hanging="720"/>
        <w:rPr>
          <w:lang w:val="en-US"/>
        </w:rPr>
      </w:pPr>
      <w:r w:rsidRPr="007B63A0">
        <w:rPr>
          <w:lang w:val="en-US"/>
        </w:rPr>
        <w:t xml:space="preserve">Krill, Z., </w:t>
      </w:r>
      <w:proofErr w:type="spellStart"/>
      <w:r w:rsidRPr="007B63A0">
        <w:rPr>
          <w:lang w:val="en-US"/>
        </w:rPr>
        <w:t>Grundke</w:t>
      </w:r>
      <w:proofErr w:type="spellEnd"/>
      <w:r w:rsidRPr="007B63A0">
        <w:rPr>
          <w:lang w:val="en-US"/>
        </w:rPr>
        <w:t xml:space="preserve">, R. and </w:t>
      </w:r>
      <w:proofErr w:type="spellStart"/>
      <w:r w:rsidRPr="007B63A0">
        <w:rPr>
          <w:lang w:val="en-US"/>
        </w:rPr>
        <w:t>Bickmann</w:t>
      </w:r>
      <w:proofErr w:type="spellEnd"/>
      <w:r w:rsidRPr="007B63A0">
        <w:rPr>
          <w:lang w:val="en-US"/>
        </w:rPr>
        <w:t xml:space="preserve">, M. (2023) </w:t>
      </w:r>
      <w:r w:rsidRPr="007B63A0">
        <w:rPr>
          <w:i/>
          <w:iCs/>
          <w:lang w:val="en-US"/>
        </w:rPr>
        <w:t>Reaching net zero while safeguarding competitiveness and social cohesion in Germany</w:t>
      </w:r>
      <w:r w:rsidRPr="007B63A0">
        <w:rPr>
          <w:lang w:val="en-US"/>
        </w:rPr>
        <w:t xml:space="preserve">. Available at: </w:t>
      </w:r>
      <w:hyperlink r:id="rId39" w:tgtFrame="_new" w:history="1">
        <w:r w:rsidRPr="007B63A0">
          <w:rPr>
            <w:rStyle w:val="Hyperlink"/>
            <w:lang w:val="en-US"/>
          </w:rPr>
          <w:t>https://doi.org/10.1787/5bf13192-en</w:t>
        </w:r>
      </w:hyperlink>
    </w:p>
    <w:p w:rsidR="007B63A0" w:rsidRPr="007B63A0" w:rsidRDefault="007B63A0" w:rsidP="007B63A0">
      <w:pPr>
        <w:ind w:left="720" w:hanging="720"/>
        <w:rPr>
          <w:lang w:val="en-US"/>
        </w:rPr>
      </w:pPr>
      <w:proofErr w:type="spellStart"/>
      <w:r w:rsidRPr="007B63A0">
        <w:rPr>
          <w:lang w:val="en-US"/>
        </w:rPr>
        <w:t>Leidecker</w:t>
      </w:r>
      <w:proofErr w:type="spellEnd"/>
      <w:r w:rsidRPr="007B63A0">
        <w:rPr>
          <w:lang w:val="en-US"/>
        </w:rPr>
        <w:t xml:space="preserve">, T. </w:t>
      </w:r>
      <w:r w:rsidRPr="007B63A0">
        <w:rPr>
          <w:i/>
          <w:iCs/>
          <w:lang w:val="en-US"/>
        </w:rPr>
        <w:t>et al.</w:t>
      </w:r>
      <w:r w:rsidRPr="007B63A0">
        <w:rPr>
          <w:lang w:val="en-US"/>
        </w:rPr>
        <w:t xml:space="preserve"> (2023) </w:t>
      </w:r>
      <w:r w:rsidRPr="007B63A0">
        <w:rPr>
          <w:i/>
          <w:iCs/>
          <w:lang w:val="en-US"/>
        </w:rPr>
        <w:t>Transitioning to a green economy in Greece</w:t>
      </w:r>
      <w:r w:rsidRPr="007B63A0">
        <w:rPr>
          <w:lang w:val="en-US"/>
        </w:rPr>
        <w:t xml:space="preserve">. Available at: </w:t>
      </w:r>
      <w:hyperlink r:id="rId40" w:tgtFrame="_new" w:history="1">
        <w:r w:rsidRPr="007B63A0">
          <w:rPr>
            <w:rStyle w:val="Hyperlink"/>
            <w:lang w:val="en-US"/>
          </w:rPr>
          <w:t>https://doi.org/10.1787/77cd54d8-en</w:t>
        </w:r>
      </w:hyperlink>
    </w:p>
    <w:p w:rsidR="007B63A0" w:rsidRPr="007B63A0" w:rsidRDefault="007B63A0" w:rsidP="007B63A0">
      <w:pPr>
        <w:ind w:left="720" w:hanging="720"/>
        <w:rPr>
          <w:lang w:val="en-US"/>
        </w:rPr>
      </w:pPr>
      <w:r w:rsidRPr="007B63A0">
        <w:rPr>
          <w:lang w:val="en-US"/>
        </w:rPr>
        <w:t xml:space="preserve">Li, J. and Woods, D. (2025) </w:t>
      </w:r>
      <w:r w:rsidRPr="007B63A0">
        <w:rPr>
          <w:i/>
          <w:iCs/>
          <w:lang w:val="en-US"/>
        </w:rPr>
        <w:t>Are you in the loop? China’s co-evolution dynamics</w:t>
      </w:r>
      <w:r w:rsidRPr="007B63A0">
        <w:rPr>
          <w:lang w:val="en-US"/>
        </w:rPr>
        <w:t xml:space="preserve">. Available at: </w:t>
      </w:r>
      <w:hyperlink r:id="rId41" w:tgtFrame="_new" w:history="1">
        <w:r w:rsidRPr="007B63A0">
          <w:rPr>
            <w:rStyle w:val="Hyperlink"/>
            <w:lang w:val="en-US"/>
          </w:rPr>
          <w:t>https://doi.org/10.21203/rs.3.rs-7049504/v1</w:t>
        </w:r>
      </w:hyperlink>
      <w:r w:rsidRPr="007B63A0">
        <w:rPr>
          <w:lang w:val="en-US"/>
        </w:rPr>
        <w:t xml:space="preserve"> </w:t>
      </w:r>
    </w:p>
    <w:p w:rsidR="007B63A0" w:rsidRPr="007B63A0" w:rsidRDefault="007B63A0" w:rsidP="007B63A0">
      <w:pPr>
        <w:ind w:left="720" w:hanging="720"/>
      </w:pPr>
      <w:r w:rsidRPr="007B63A0">
        <w:t xml:space="preserve">Li, X., He, Z. and Wang, Y. (2024) ‘The analysis of strategic development of Tesla in Chinese electric vehicles market’, </w:t>
      </w:r>
      <w:r w:rsidRPr="007B63A0">
        <w:rPr>
          <w:i/>
          <w:iCs/>
        </w:rPr>
        <w:t>FE</w:t>
      </w:r>
      <w:r w:rsidRPr="007B63A0">
        <w:t xml:space="preserve">, 1(9). Available at: </w:t>
      </w:r>
      <w:hyperlink r:id="rId42" w:tgtFrame="_new" w:history="1">
        <w:r w:rsidRPr="007B63A0">
          <w:rPr>
            <w:rStyle w:val="Hyperlink"/>
          </w:rPr>
          <w:t>https://doi.org/10.61173/jwx37s35</w:t>
        </w:r>
      </w:hyperlink>
    </w:p>
    <w:p w:rsidR="007B63A0" w:rsidRPr="007B63A0" w:rsidRDefault="007B63A0" w:rsidP="007B63A0">
      <w:pPr>
        <w:ind w:left="720" w:hanging="720"/>
        <w:rPr>
          <w:lang w:val="en-US"/>
        </w:rPr>
      </w:pPr>
      <w:r w:rsidRPr="007B63A0">
        <w:rPr>
          <w:lang w:val="en-US"/>
        </w:rPr>
        <w:t xml:space="preserve">Lin, O.Z. (2025) ‘Decarbonizing ASEAN’s transport sector: A critical review of electric vehicle and biofuel policy pathways’, </w:t>
      </w:r>
      <w:r w:rsidRPr="007B63A0">
        <w:rPr>
          <w:i/>
          <w:iCs/>
          <w:lang w:val="en-US"/>
        </w:rPr>
        <w:t>Wiley Interdisciplinary Reviews: Energy and Environment</w:t>
      </w:r>
      <w:r w:rsidRPr="007B63A0">
        <w:rPr>
          <w:lang w:val="en-US"/>
        </w:rPr>
        <w:t xml:space="preserve">, 14(4). Available at: </w:t>
      </w:r>
      <w:hyperlink r:id="rId43" w:tgtFrame="_new" w:history="1">
        <w:r w:rsidRPr="007B63A0">
          <w:rPr>
            <w:rStyle w:val="Hyperlink"/>
            <w:lang w:val="en-US"/>
          </w:rPr>
          <w:t>https://doi.org/10.1002/wene.70017</w:t>
        </w:r>
      </w:hyperlink>
      <w:r w:rsidRPr="007B63A0">
        <w:rPr>
          <w:lang w:val="en-US"/>
        </w:rPr>
        <w:t xml:space="preserve"> </w:t>
      </w:r>
    </w:p>
    <w:p w:rsidR="007B63A0" w:rsidRPr="007B63A0" w:rsidRDefault="007B63A0" w:rsidP="007B63A0">
      <w:pPr>
        <w:ind w:left="720" w:hanging="720"/>
        <w:rPr>
          <w:lang w:val="en-US"/>
        </w:rPr>
      </w:pPr>
      <w:r w:rsidRPr="007B63A0">
        <w:rPr>
          <w:lang w:val="en-US"/>
        </w:rPr>
        <w:t xml:space="preserve">MacDonald, L.A., Zhang, D., </w:t>
      </w:r>
      <w:proofErr w:type="spellStart"/>
      <w:r w:rsidRPr="007B63A0">
        <w:rPr>
          <w:lang w:val="en-US"/>
        </w:rPr>
        <w:t>Alptekinoğlu</w:t>
      </w:r>
      <w:proofErr w:type="spellEnd"/>
      <w:r w:rsidRPr="007B63A0">
        <w:rPr>
          <w:lang w:val="en-US"/>
        </w:rPr>
        <w:t xml:space="preserve">, A. and </w:t>
      </w:r>
      <w:proofErr w:type="spellStart"/>
      <w:r w:rsidRPr="007B63A0">
        <w:rPr>
          <w:lang w:val="en-US"/>
        </w:rPr>
        <w:t>Karamalidis</w:t>
      </w:r>
      <w:proofErr w:type="spellEnd"/>
      <w:r w:rsidRPr="007B63A0">
        <w:rPr>
          <w:lang w:val="en-US"/>
        </w:rPr>
        <w:t xml:space="preserve">, A.K. (2025) ‘Enhancing the resilience of platinum group metal supply chains: Mine to (re)use’, </w:t>
      </w:r>
      <w:r w:rsidRPr="007B63A0">
        <w:rPr>
          <w:i/>
          <w:iCs/>
          <w:lang w:val="en-US"/>
        </w:rPr>
        <w:t>Sustainable Development</w:t>
      </w:r>
      <w:r w:rsidRPr="007B63A0">
        <w:rPr>
          <w:lang w:val="en-US"/>
        </w:rPr>
        <w:t xml:space="preserve">, 33(5), pp. 7069–7085. Available at: </w:t>
      </w:r>
      <w:hyperlink r:id="rId44" w:tgtFrame="_new" w:history="1">
        <w:r w:rsidRPr="007B63A0">
          <w:rPr>
            <w:rStyle w:val="Hyperlink"/>
            <w:lang w:val="en-US"/>
          </w:rPr>
          <w:t>https://doi.org/10.1002/sd.3499</w:t>
        </w:r>
      </w:hyperlink>
      <w:r w:rsidRPr="007B63A0">
        <w:rPr>
          <w:lang w:val="en-US"/>
        </w:rPr>
        <w:t xml:space="preserve"> </w:t>
      </w:r>
    </w:p>
    <w:p w:rsidR="007B63A0" w:rsidRPr="007B63A0" w:rsidRDefault="007B63A0" w:rsidP="007B63A0">
      <w:pPr>
        <w:ind w:left="720" w:hanging="720"/>
        <w:rPr>
          <w:lang w:val="en-US"/>
        </w:rPr>
      </w:pPr>
      <w:r w:rsidRPr="007B63A0">
        <w:lastRenderedPageBreak/>
        <w:t xml:space="preserve">Mazur, C., </w:t>
      </w:r>
      <w:proofErr w:type="spellStart"/>
      <w:r w:rsidRPr="007B63A0">
        <w:t>Contestabile</w:t>
      </w:r>
      <w:proofErr w:type="spellEnd"/>
      <w:r w:rsidRPr="007B63A0">
        <w:t xml:space="preserve">, M., Offer, G.J. and Brandon, N.P. (2013) ‘Understanding the automotive industry: German OEM behaviour during the last 20 years and its implications’, </w:t>
      </w:r>
      <w:r w:rsidRPr="007B63A0">
        <w:rPr>
          <w:i/>
          <w:iCs/>
        </w:rPr>
        <w:t>World Electric Vehicle Journal</w:t>
      </w:r>
      <w:r w:rsidRPr="007B63A0">
        <w:t xml:space="preserve">, 6(4), pp. 1054–1067. Available at: </w:t>
      </w:r>
      <w:hyperlink r:id="rId45" w:tgtFrame="_new" w:history="1">
        <w:r w:rsidRPr="007B63A0">
          <w:rPr>
            <w:rStyle w:val="Hyperlink"/>
          </w:rPr>
          <w:t>https://doi.org/10.3390/wevj6041054</w:t>
        </w:r>
      </w:hyperlink>
    </w:p>
    <w:p w:rsidR="007B63A0" w:rsidRPr="007B63A0" w:rsidRDefault="007B63A0" w:rsidP="007B63A0">
      <w:pPr>
        <w:ind w:left="720" w:hanging="720"/>
        <w:rPr>
          <w:lang w:val="en-US"/>
        </w:rPr>
      </w:pPr>
      <w:r w:rsidRPr="007B63A0">
        <w:rPr>
          <w:lang w:val="en-US"/>
        </w:rPr>
        <w:t xml:space="preserve">Mendoza, A.R. </w:t>
      </w:r>
      <w:r w:rsidRPr="007B63A0">
        <w:rPr>
          <w:i/>
          <w:iCs/>
          <w:lang w:val="en-US"/>
        </w:rPr>
        <w:t>et al.</w:t>
      </w:r>
      <w:r w:rsidRPr="007B63A0">
        <w:rPr>
          <w:lang w:val="en-US"/>
        </w:rPr>
        <w:t xml:space="preserve"> (2023) </w:t>
      </w:r>
      <w:r w:rsidRPr="007B63A0">
        <w:rPr>
          <w:i/>
          <w:iCs/>
          <w:lang w:val="en-US"/>
        </w:rPr>
        <w:t>ASEAN and global value chains: Locking in resilience and sustainability</w:t>
      </w:r>
      <w:r w:rsidRPr="007B63A0">
        <w:rPr>
          <w:lang w:val="en-US"/>
        </w:rPr>
        <w:t xml:space="preserve">. Available at: </w:t>
      </w:r>
      <w:hyperlink r:id="rId46" w:tgtFrame="_new" w:history="1">
        <w:r w:rsidRPr="007B63A0">
          <w:rPr>
            <w:rStyle w:val="Hyperlink"/>
            <w:lang w:val="en-US"/>
          </w:rPr>
          <w:t>https://doi.org/10.22617/spr230100-2</w:t>
        </w:r>
      </w:hyperlink>
      <w:r w:rsidRPr="007B63A0">
        <w:rPr>
          <w:lang w:val="en-US"/>
        </w:rPr>
        <w:t xml:space="preserve"> </w:t>
      </w:r>
    </w:p>
    <w:p w:rsidR="007B63A0" w:rsidRPr="007B63A0" w:rsidRDefault="007B63A0" w:rsidP="007B63A0">
      <w:pPr>
        <w:ind w:left="720" w:hanging="720"/>
        <w:rPr>
          <w:lang w:val="en-US"/>
        </w:rPr>
      </w:pPr>
      <w:r w:rsidRPr="007B63A0">
        <w:rPr>
          <w:lang w:val="en-US"/>
        </w:rPr>
        <w:t xml:space="preserve">Midler, C. and </w:t>
      </w:r>
      <w:proofErr w:type="spellStart"/>
      <w:r w:rsidRPr="007B63A0">
        <w:rPr>
          <w:lang w:val="en-US"/>
        </w:rPr>
        <w:t>Alochet</w:t>
      </w:r>
      <w:proofErr w:type="spellEnd"/>
      <w:r w:rsidRPr="007B63A0">
        <w:rPr>
          <w:lang w:val="en-US"/>
        </w:rPr>
        <w:t xml:space="preserve">, M. (2023) ‘When regulations shape the future of an industry: The case of the high-voltage battery’, </w:t>
      </w:r>
      <w:r w:rsidRPr="007B63A0">
        <w:rPr>
          <w:i/>
          <w:iCs/>
          <w:lang w:val="en-US"/>
        </w:rPr>
        <w:t>International Journal of Automotive Technology and Management</w:t>
      </w:r>
      <w:r w:rsidRPr="007B63A0">
        <w:rPr>
          <w:lang w:val="en-US"/>
        </w:rPr>
        <w:t xml:space="preserve">, 23(4). Available at: </w:t>
      </w:r>
      <w:hyperlink r:id="rId47" w:tgtFrame="_new" w:history="1">
        <w:r w:rsidRPr="007B63A0">
          <w:rPr>
            <w:rStyle w:val="Hyperlink"/>
            <w:lang w:val="en-US"/>
          </w:rPr>
          <w:t>https://doi.org/10.1504/ijatm.2023.10060522</w:t>
        </w:r>
      </w:hyperlink>
    </w:p>
    <w:p w:rsidR="007B63A0" w:rsidRPr="007B63A0" w:rsidRDefault="007B63A0" w:rsidP="007B63A0">
      <w:pPr>
        <w:ind w:left="720" w:hanging="720"/>
        <w:rPr>
          <w:lang w:val="en-US"/>
        </w:rPr>
      </w:pPr>
      <w:r w:rsidRPr="007B63A0">
        <w:rPr>
          <w:lang w:val="en-US"/>
        </w:rPr>
        <w:t xml:space="preserve">Midler, C. and </w:t>
      </w:r>
      <w:proofErr w:type="spellStart"/>
      <w:r w:rsidRPr="007B63A0">
        <w:rPr>
          <w:lang w:val="en-US"/>
        </w:rPr>
        <w:t>Alochet</w:t>
      </w:r>
      <w:proofErr w:type="spellEnd"/>
      <w:r w:rsidRPr="007B63A0">
        <w:rPr>
          <w:lang w:val="en-US"/>
        </w:rPr>
        <w:t xml:space="preserve">, M. (2023a) ‘When regulations shape the future of an industry: The case of the high-voltage battery’, </w:t>
      </w:r>
      <w:r w:rsidRPr="007B63A0">
        <w:rPr>
          <w:i/>
          <w:iCs/>
          <w:lang w:val="en-US"/>
        </w:rPr>
        <w:t>International Journal of Automotive Technology and Management</w:t>
      </w:r>
      <w:r w:rsidRPr="007B63A0">
        <w:rPr>
          <w:lang w:val="en-US"/>
        </w:rPr>
        <w:t xml:space="preserve">, 23(4). Available at: </w:t>
      </w:r>
      <w:hyperlink r:id="rId48" w:tgtFrame="_new" w:history="1">
        <w:r w:rsidRPr="007B63A0">
          <w:rPr>
            <w:rStyle w:val="Hyperlink"/>
            <w:lang w:val="en-US"/>
          </w:rPr>
          <w:t>https://doi.org/10.1504/ijatm.2023.10060522</w:t>
        </w:r>
      </w:hyperlink>
      <w:r w:rsidRPr="007B63A0">
        <w:rPr>
          <w:lang w:val="en-US"/>
        </w:rPr>
        <w:t xml:space="preserve"> </w:t>
      </w:r>
    </w:p>
    <w:p w:rsidR="007B63A0" w:rsidRDefault="007B63A0" w:rsidP="007B63A0">
      <w:pPr>
        <w:ind w:left="720" w:hanging="720"/>
        <w:rPr>
          <w:lang w:val="en-US"/>
        </w:rPr>
      </w:pPr>
      <w:r w:rsidRPr="007B63A0">
        <w:t xml:space="preserve">Mo, T., Lau, K., Li, Y., Poon, C., Wu, Y., Chu, P.K. and Luo, Y. (2022a) ‘Commercialization of electric vehicles in Hong Kong’, </w:t>
      </w:r>
      <w:r w:rsidRPr="007B63A0">
        <w:rPr>
          <w:i/>
          <w:iCs/>
        </w:rPr>
        <w:t>Energies</w:t>
      </w:r>
      <w:r w:rsidRPr="007B63A0">
        <w:t xml:space="preserve">, 15(3), p. 942. Available at: </w:t>
      </w:r>
      <w:hyperlink r:id="rId49" w:tgtFrame="_new" w:history="1">
        <w:r w:rsidRPr="007B63A0">
          <w:rPr>
            <w:rStyle w:val="Hyperlink"/>
          </w:rPr>
          <w:t>https://doi.org/10.3390/en15030942</w:t>
        </w:r>
      </w:hyperlink>
    </w:p>
    <w:p w:rsidR="007B63A0" w:rsidRPr="007B63A0" w:rsidRDefault="007B63A0" w:rsidP="007B63A0">
      <w:pPr>
        <w:ind w:left="720" w:hanging="720"/>
        <w:rPr>
          <w:lang w:val="en-US"/>
        </w:rPr>
      </w:pPr>
      <w:proofErr w:type="spellStart"/>
      <w:r w:rsidRPr="007B63A0">
        <w:t>Otte</w:t>
      </w:r>
      <w:proofErr w:type="spellEnd"/>
      <w:r w:rsidRPr="007B63A0">
        <w:t xml:space="preserve">, W.M., van </w:t>
      </w:r>
      <w:proofErr w:type="spellStart"/>
      <w:r w:rsidRPr="007B63A0">
        <w:t>IJzendoorn</w:t>
      </w:r>
      <w:proofErr w:type="spellEnd"/>
      <w:r w:rsidRPr="007B63A0">
        <w:t xml:space="preserve">, D.G.P., </w:t>
      </w:r>
      <w:proofErr w:type="spellStart"/>
      <w:r w:rsidRPr="007B63A0">
        <w:t>Habets</w:t>
      </w:r>
      <w:proofErr w:type="spellEnd"/>
      <w:r w:rsidRPr="007B63A0">
        <w:t xml:space="preserve">, P.C. and </w:t>
      </w:r>
      <w:proofErr w:type="spellStart"/>
      <w:r w:rsidRPr="007B63A0">
        <w:t>Vinkers</w:t>
      </w:r>
      <w:proofErr w:type="spellEnd"/>
      <w:r w:rsidRPr="007B63A0">
        <w:t xml:space="preserve">, C.H. (2023) </w:t>
      </w:r>
      <w:r w:rsidRPr="007B63A0">
        <w:rPr>
          <w:i/>
          <w:iCs/>
        </w:rPr>
        <w:t>Fast clinical trial identification using fuzzy-search elastic searches: Retrospective validation with high-quality Cochrane benchmark</w:t>
      </w:r>
      <w:r w:rsidRPr="007B63A0">
        <w:t xml:space="preserve">. Available at: </w:t>
      </w:r>
      <w:hyperlink r:id="rId50" w:tgtFrame="_new" w:history="1">
        <w:r w:rsidRPr="007B63A0">
          <w:rPr>
            <w:rStyle w:val="Hyperlink"/>
          </w:rPr>
          <w:t>https://doi.org/10.1101/2023.09.06.23295135</w:t>
        </w:r>
      </w:hyperlink>
    </w:p>
    <w:p w:rsidR="007B63A0" w:rsidRPr="007B63A0" w:rsidRDefault="007B63A0" w:rsidP="007B63A0">
      <w:pPr>
        <w:ind w:left="720" w:hanging="720"/>
        <w:rPr>
          <w:lang w:val="en-US"/>
        </w:rPr>
      </w:pPr>
      <w:r w:rsidRPr="007B63A0">
        <w:rPr>
          <w:lang w:val="en-US"/>
        </w:rPr>
        <w:t>Otero-Iglesias, M., Steinberg, F. and González-</w:t>
      </w:r>
      <w:proofErr w:type="spellStart"/>
      <w:r w:rsidRPr="007B63A0">
        <w:rPr>
          <w:lang w:val="en-US"/>
        </w:rPr>
        <w:t>Agote</w:t>
      </w:r>
      <w:proofErr w:type="spellEnd"/>
      <w:r w:rsidRPr="007B63A0">
        <w:rPr>
          <w:lang w:val="en-US"/>
        </w:rPr>
        <w:t xml:space="preserve">, A. (2025) </w:t>
      </w:r>
      <w:r w:rsidRPr="007B63A0">
        <w:rPr>
          <w:i/>
          <w:iCs/>
          <w:lang w:val="en-US"/>
        </w:rPr>
        <w:t>China’s dual circulation strategy and its impact on European industry: The case of the electric vehicle</w:t>
      </w:r>
      <w:r w:rsidRPr="007B63A0">
        <w:rPr>
          <w:lang w:val="en-US"/>
        </w:rPr>
        <w:t xml:space="preserve">. Available at: </w:t>
      </w:r>
      <w:hyperlink r:id="rId51" w:tgtFrame="_new" w:history="1">
        <w:r w:rsidRPr="007B63A0">
          <w:rPr>
            <w:rStyle w:val="Hyperlink"/>
            <w:lang w:val="en-US"/>
          </w:rPr>
          <w:t>https://doi.org/10.21203/rs.3.rs-6973843/v1</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t>Pareliussen</w:t>
      </w:r>
      <w:proofErr w:type="spellEnd"/>
      <w:r w:rsidRPr="007B63A0">
        <w:rPr>
          <w:lang w:val="en-US"/>
        </w:rPr>
        <w:t xml:space="preserve">, J., Crowe, D.M., Kruse, T. and </w:t>
      </w:r>
      <w:proofErr w:type="spellStart"/>
      <w:r w:rsidRPr="007B63A0">
        <w:rPr>
          <w:lang w:val="en-US"/>
        </w:rPr>
        <w:t>Glocker</w:t>
      </w:r>
      <w:proofErr w:type="spellEnd"/>
      <w:r w:rsidRPr="007B63A0">
        <w:rPr>
          <w:lang w:val="en-US"/>
        </w:rPr>
        <w:t xml:space="preserve">, D. (2022) </w:t>
      </w:r>
      <w:r w:rsidRPr="007B63A0">
        <w:rPr>
          <w:i/>
          <w:iCs/>
          <w:lang w:val="en-US"/>
        </w:rPr>
        <w:t>Policies to reach net zero emissions in the United Kingdom</w:t>
      </w:r>
      <w:r w:rsidRPr="007B63A0">
        <w:rPr>
          <w:lang w:val="en-US"/>
        </w:rPr>
        <w:t xml:space="preserve">. Available at: </w:t>
      </w:r>
      <w:hyperlink r:id="rId52" w:tgtFrame="_new" w:history="1">
        <w:r w:rsidRPr="007B63A0">
          <w:rPr>
            <w:rStyle w:val="Hyperlink"/>
            <w:lang w:val="en-US"/>
          </w:rPr>
          <w:t>https://doi.org/10.1787/f6625f01-en</w:t>
        </w:r>
      </w:hyperlink>
    </w:p>
    <w:p w:rsidR="007B63A0" w:rsidRPr="007B63A0" w:rsidRDefault="007B63A0" w:rsidP="007B63A0">
      <w:pPr>
        <w:ind w:left="720" w:hanging="720"/>
        <w:rPr>
          <w:lang w:val="en-US"/>
        </w:rPr>
      </w:pPr>
      <w:r w:rsidRPr="007B63A0">
        <w:rPr>
          <w:lang w:val="en-US"/>
        </w:rPr>
        <w:t xml:space="preserve">Park, C. and Melendez, A.C. (2024) </w:t>
      </w:r>
      <w:r w:rsidRPr="007B63A0">
        <w:rPr>
          <w:i/>
          <w:iCs/>
          <w:lang w:val="en-US"/>
        </w:rPr>
        <w:t>Building resilient and responsible critical minerals supply chains for the clean energy transition</w:t>
      </w:r>
      <w:r w:rsidRPr="007B63A0">
        <w:rPr>
          <w:lang w:val="en-US"/>
        </w:rPr>
        <w:t xml:space="preserve">. Available at: </w:t>
      </w:r>
      <w:hyperlink r:id="rId53" w:tgtFrame="_new" w:history="1">
        <w:r w:rsidRPr="007B63A0">
          <w:rPr>
            <w:rStyle w:val="Hyperlink"/>
            <w:lang w:val="en-US"/>
          </w:rPr>
          <w:t>https://doi.org/10.22617/brf240251-2</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lastRenderedPageBreak/>
        <w:t>Patil</w:t>
      </w:r>
      <w:proofErr w:type="spellEnd"/>
      <w:r w:rsidRPr="007B63A0">
        <w:rPr>
          <w:lang w:val="en-US"/>
        </w:rPr>
        <w:t xml:space="preserve">, G.C., </w:t>
      </w:r>
      <w:proofErr w:type="spellStart"/>
      <w:r w:rsidRPr="007B63A0">
        <w:rPr>
          <w:lang w:val="en-US"/>
        </w:rPr>
        <w:t>Pode</w:t>
      </w:r>
      <w:proofErr w:type="spellEnd"/>
      <w:r w:rsidRPr="007B63A0">
        <w:rPr>
          <w:lang w:val="en-US"/>
        </w:rPr>
        <w:t xml:space="preserve">, G., </w:t>
      </w:r>
      <w:proofErr w:type="spellStart"/>
      <w:r w:rsidRPr="007B63A0">
        <w:rPr>
          <w:lang w:val="en-US"/>
        </w:rPr>
        <w:t>Diouf</w:t>
      </w:r>
      <w:proofErr w:type="spellEnd"/>
      <w:r w:rsidRPr="007B63A0">
        <w:rPr>
          <w:lang w:val="en-US"/>
        </w:rPr>
        <w:t xml:space="preserve">, B. and </w:t>
      </w:r>
      <w:proofErr w:type="spellStart"/>
      <w:r w:rsidRPr="007B63A0">
        <w:rPr>
          <w:lang w:val="en-US"/>
        </w:rPr>
        <w:t>Pode</w:t>
      </w:r>
      <w:proofErr w:type="spellEnd"/>
      <w:r w:rsidRPr="007B63A0">
        <w:rPr>
          <w:lang w:val="en-US"/>
        </w:rPr>
        <w:t xml:space="preserve">, R. (2024) </w:t>
      </w:r>
      <w:r w:rsidRPr="007B63A0">
        <w:rPr>
          <w:i/>
          <w:iCs/>
          <w:lang w:val="en-US"/>
        </w:rPr>
        <w:t xml:space="preserve">Sustainable </w:t>
      </w:r>
      <w:proofErr w:type="spellStart"/>
      <w:r w:rsidRPr="007B63A0">
        <w:rPr>
          <w:i/>
          <w:iCs/>
          <w:lang w:val="en-US"/>
        </w:rPr>
        <w:t>decarbonization</w:t>
      </w:r>
      <w:proofErr w:type="spellEnd"/>
      <w:r w:rsidRPr="007B63A0">
        <w:rPr>
          <w:i/>
          <w:iCs/>
          <w:lang w:val="en-US"/>
        </w:rPr>
        <w:t xml:space="preserve"> of road transport: Policies, current status, and challenges of electric vehicles</w:t>
      </w:r>
      <w:r w:rsidRPr="007B63A0">
        <w:rPr>
          <w:lang w:val="en-US"/>
        </w:rPr>
        <w:t xml:space="preserve">. Available at: </w:t>
      </w:r>
      <w:hyperlink r:id="rId54" w:tgtFrame="_new" w:history="1">
        <w:r w:rsidRPr="007B63A0">
          <w:rPr>
            <w:rStyle w:val="Hyperlink"/>
            <w:lang w:val="en-US"/>
          </w:rPr>
          <w:t>https://doi.org/10.20944/preprints202408.1098.v1</w:t>
        </w:r>
      </w:hyperlink>
    </w:p>
    <w:p w:rsidR="007B63A0" w:rsidRPr="007B63A0" w:rsidRDefault="007B63A0" w:rsidP="007B63A0">
      <w:pPr>
        <w:ind w:left="720" w:hanging="720"/>
      </w:pPr>
      <w:r w:rsidRPr="007B63A0">
        <w:t xml:space="preserve">Pollitt, M.G. (2022) ‘The further economic consequences of Brexit: Energy’, </w:t>
      </w:r>
      <w:r w:rsidRPr="007B63A0">
        <w:rPr>
          <w:i/>
          <w:iCs/>
        </w:rPr>
        <w:t>Oxford Review of Economic Policy</w:t>
      </w:r>
      <w:r w:rsidRPr="007B63A0">
        <w:t xml:space="preserve">, 38(1), pp. 165–178. Available at: </w:t>
      </w:r>
      <w:hyperlink r:id="rId55" w:tgtFrame="_new" w:history="1">
        <w:r w:rsidRPr="007B63A0">
          <w:rPr>
            <w:rStyle w:val="Hyperlink"/>
          </w:rPr>
          <w:t>https://doi.org/10.1093/oxrep/grab044</w:t>
        </w:r>
      </w:hyperlink>
    </w:p>
    <w:p w:rsidR="007B63A0" w:rsidRPr="007B63A0" w:rsidRDefault="007B63A0" w:rsidP="007B63A0">
      <w:pPr>
        <w:ind w:left="720" w:hanging="720"/>
        <w:rPr>
          <w:lang w:val="en-US"/>
        </w:rPr>
      </w:pPr>
      <w:proofErr w:type="spellStart"/>
      <w:r w:rsidRPr="007B63A0">
        <w:rPr>
          <w:lang w:val="en-US"/>
        </w:rPr>
        <w:t>Rabyatami</w:t>
      </w:r>
      <w:proofErr w:type="spellEnd"/>
      <w:r w:rsidRPr="007B63A0">
        <w:rPr>
          <w:lang w:val="en-US"/>
        </w:rPr>
        <w:t>, A. (2024) ‘</w:t>
      </w:r>
      <w:proofErr w:type="spellStart"/>
      <w:r w:rsidRPr="007B63A0">
        <w:rPr>
          <w:lang w:val="en-US"/>
        </w:rPr>
        <w:t>Rancangan</w:t>
      </w:r>
      <w:proofErr w:type="spellEnd"/>
      <w:r w:rsidRPr="007B63A0">
        <w:rPr>
          <w:lang w:val="en-US"/>
        </w:rPr>
        <w:t xml:space="preserve"> </w:t>
      </w:r>
      <w:proofErr w:type="spellStart"/>
      <w:r w:rsidRPr="007B63A0">
        <w:rPr>
          <w:lang w:val="en-US"/>
        </w:rPr>
        <w:t>strategi</w:t>
      </w:r>
      <w:proofErr w:type="spellEnd"/>
      <w:r w:rsidRPr="007B63A0">
        <w:rPr>
          <w:lang w:val="en-US"/>
        </w:rPr>
        <w:t xml:space="preserve"> </w:t>
      </w:r>
      <w:proofErr w:type="spellStart"/>
      <w:r w:rsidRPr="007B63A0">
        <w:rPr>
          <w:lang w:val="en-US"/>
        </w:rPr>
        <w:t>komunikasi</w:t>
      </w:r>
      <w:proofErr w:type="spellEnd"/>
      <w:r w:rsidRPr="007B63A0">
        <w:rPr>
          <w:lang w:val="en-US"/>
        </w:rPr>
        <w:t xml:space="preserve"> </w:t>
      </w:r>
      <w:proofErr w:type="spellStart"/>
      <w:r w:rsidRPr="007B63A0">
        <w:rPr>
          <w:lang w:val="en-US"/>
        </w:rPr>
        <w:t>pemasaran</w:t>
      </w:r>
      <w:proofErr w:type="spellEnd"/>
      <w:r w:rsidRPr="007B63A0">
        <w:rPr>
          <w:lang w:val="en-US"/>
        </w:rPr>
        <w:t xml:space="preserve"> </w:t>
      </w:r>
      <w:proofErr w:type="spellStart"/>
      <w:r w:rsidRPr="007B63A0">
        <w:rPr>
          <w:lang w:val="en-US"/>
        </w:rPr>
        <w:t>terintegrasi</w:t>
      </w:r>
      <w:proofErr w:type="spellEnd"/>
      <w:r w:rsidRPr="007B63A0">
        <w:rPr>
          <w:lang w:val="en-US"/>
        </w:rPr>
        <w:t xml:space="preserve"> </w:t>
      </w:r>
      <w:proofErr w:type="spellStart"/>
      <w:r w:rsidRPr="007B63A0">
        <w:rPr>
          <w:lang w:val="en-US"/>
        </w:rPr>
        <w:t>menggunakan</w:t>
      </w:r>
      <w:proofErr w:type="spellEnd"/>
      <w:r w:rsidRPr="007B63A0">
        <w:rPr>
          <w:lang w:val="en-US"/>
        </w:rPr>
        <w:t xml:space="preserve"> </w:t>
      </w:r>
      <w:proofErr w:type="spellStart"/>
      <w:r w:rsidRPr="007B63A0">
        <w:rPr>
          <w:lang w:val="en-US"/>
        </w:rPr>
        <w:t>analisis</w:t>
      </w:r>
      <w:proofErr w:type="spellEnd"/>
      <w:r w:rsidRPr="007B63A0">
        <w:rPr>
          <w:lang w:val="en-US"/>
        </w:rPr>
        <w:t xml:space="preserve"> SWOT </w:t>
      </w:r>
      <w:proofErr w:type="spellStart"/>
      <w:r w:rsidRPr="007B63A0">
        <w:rPr>
          <w:lang w:val="en-US"/>
        </w:rPr>
        <w:t>pada</w:t>
      </w:r>
      <w:proofErr w:type="spellEnd"/>
      <w:r w:rsidRPr="007B63A0">
        <w:rPr>
          <w:lang w:val="en-US"/>
        </w:rPr>
        <w:t xml:space="preserve"> </w:t>
      </w:r>
      <w:proofErr w:type="spellStart"/>
      <w:r w:rsidRPr="007B63A0">
        <w:rPr>
          <w:lang w:val="en-US"/>
        </w:rPr>
        <w:t>produk</w:t>
      </w:r>
      <w:proofErr w:type="spellEnd"/>
      <w:r w:rsidRPr="007B63A0">
        <w:rPr>
          <w:lang w:val="en-US"/>
        </w:rPr>
        <w:t xml:space="preserve"> </w:t>
      </w:r>
      <w:proofErr w:type="spellStart"/>
      <w:r w:rsidRPr="007B63A0">
        <w:rPr>
          <w:lang w:val="en-US"/>
        </w:rPr>
        <w:t>furnitur</w:t>
      </w:r>
      <w:proofErr w:type="spellEnd"/>
      <w:r w:rsidRPr="007B63A0">
        <w:rPr>
          <w:lang w:val="en-US"/>
        </w:rPr>
        <w:t xml:space="preserve"> CV. JNN International </w:t>
      </w:r>
      <w:proofErr w:type="spellStart"/>
      <w:r w:rsidRPr="007B63A0">
        <w:rPr>
          <w:lang w:val="en-US"/>
        </w:rPr>
        <w:t>ke</w:t>
      </w:r>
      <w:proofErr w:type="spellEnd"/>
      <w:r w:rsidRPr="007B63A0">
        <w:rPr>
          <w:lang w:val="en-US"/>
        </w:rPr>
        <w:t xml:space="preserve"> </w:t>
      </w:r>
      <w:proofErr w:type="spellStart"/>
      <w:r w:rsidRPr="007B63A0">
        <w:rPr>
          <w:lang w:val="en-US"/>
        </w:rPr>
        <w:t>pasar</w:t>
      </w:r>
      <w:proofErr w:type="spellEnd"/>
      <w:r w:rsidRPr="007B63A0">
        <w:rPr>
          <w:lang w:val="en-US"/>
        </w:rPr>
        <w:t xml:space="preserve"> Asia’, </w:t>
      </w:r>
      <w:proofErr w:type="spellStart"/>
      <w:r w:rsidRPr="007B63A0">
        <w:rPr>
          <w:i/>
          <w:iCs/>
          <w:lang w:val="en-US"/>
        </w:rPr>
        <w:t>Jurnal</w:t>
      </w:r>
      <w:proofErr w:type="spellEnd"/>
      <w:r w:rsidRPr="007B63A0">
        <w:rPr>
          <w:i/>
          <w:iCs/>
          <w:lang w:val="en-US"/>
        </w:rPr>
        <w:t xml:space="preserve"> Locus </w:t>
      </w:r>
      <w:proofErr w:type="spellStart"/>
      <w:r w:rsidRPr="007B63A0">
        <w:rPr>
          <w:i/>
          <w:iCs/>
          <w:lang w:val="en-US"/>
        </w:rPr>
        <w:t>Penelitian</w:t>
      </w:r>
      <w:proofErr w:type="spellEnd"/>
      <w:r w:rsidRPr="007B63A0">
        <w:rPr>
          <w:i/>
          <w:iCs/>
          <w:lang w:val="en-US"/>
        </w:rPr>
        <w:t xml:space="preserve"> </w:t>
      </w:r>
      <w:proofErr w:type="spellStart"/>
      <w:r w:rsidRPr="007B63A0">
        <w:rPr>
          <w:i/>
          <w:iCs/>
          <w:lang w:val="en-US"/>
        </w:rPr>
        <w:t>dan</w:t>
      </w:r>
      <w:proofErr w:type="spellEnd"/>
      <w:r w:rsidRPr="007B63A0">
        <w:rPr>
          <w:i/>
          <w:iCs/>
          <w:lang w:val="en-US"/>
        </w:rPr>
        <w:t xml:space="preserve"> </w:t>
      </w:r>
      <w:proofErr w:type="spellStart"/>
      <w:r w:rsidRPr="007B63A0">
        <w:rPr>
          <w:i/>
          <w:iCs/>
          <w:lang w:val="en-US"/>
        </w:rPr>
        <w:t>Pengabdian</w:t>
      </w:r>
      <w:proofErr w:type="spellEnd"/>
      <w:r w:rsidRPr="007B63A0">
        <w:rPr>
          <w:lang w:val="en-US"/>
        </w:rPr>
        <w:t xml:space="preserve">, 3(8), pp. 667–686. Available at: </w:t>
      </w:r>
      <w:hyperlink r:id="rId56" w:tgtFrame="_new" w:history="1">
        <w:r w:rsidRPr="007B63A0">
          <w:rPr>
            <w:rStyle w:val="Hyperlink"/>
            <w:lang w:val="en-US"/>
          </w:rPr>
          <w:t>https://doi.org/10.58344/locus.v3i8.3072</w:t>
        </w:r>
      </w:hyperlink>
    </w:p>
    <w:p w:rsidR="007B63A0" w:rsidRPr="007B63A0" w:rsidRDefault="007B63A0" w:rsidP="007B63A0">
      <w:pPr>
        <w:ind w:left="720" w:hanging="720"/>
        <w:rPr>
          <w:lang w:val="en-US"/>
        </w:rPr>
      </w:pPr>
      <w:proofErr w:type="spellStart"/>
      <w:r w:rsidRPr="007B63A0">
        <w:rPr>
          <w:lang w:val="en-US"/>
        </w:rPr>
        <w:t>Raharyo</w:t>
      </w:r>
      <w:proofErr w:type="spellEnd"/>
      <w:r w:rsidRPr="007B63A0">
        <w:rPr>
          <w:lang w:val="en-US"/>
        </w:rPr>
        <w:t xml:space="preserve">, A., </w:t>
      </w:r>
      <w:proofErr w:type="spellStart"/>
      <w:r w:rsidRPr="007B63A0">
        <w:rPr>
          <w:lang w:val="en-US"/>
        </w:rPr>
        <w:t>Mertawan</w:t>
      </w:r>
      <w:proofErr w:type="spellEnd"/>
      <w:r w:rsidRPr="007B63A0">
        <w:rPr>
          <w:lang w:val="en-US"/>
        </w:rPr>
        <w:t xml:space="preserve">, G.A. and </w:t>
      </w:r>
      <w:proofErr w:type="spellStart"/>
      <w:r w:rsidRPr="007B63A0">
        <w:rPr>
          <w:lang w:val="en-US"/>
        </w:rPr>
        <w:t>Baskoro</w:t>
      </w:r>
      <w:proofErr w:type="spellEnd"/>
      <w:r w:rsidRPr="007B63A0">
        <w:rPr>
          <w:lang w:val="en-US"/>
        </w:rPr>
        <w:t xml:space="preserve">, R.M. (2023) ‘Competitive advantage between Indonesia and Thailand on electric vehicle manufacturing’, </w:t>
      </w:r>
      <w:r w:rsidRPr="007B63A0">
        <w:rPr>
          <w:i/>
          <w:iCs/>
          <w:lang w:val="en-US"/>
        </w:rPr>
        <w:t xml:space="preserve">JEBA (Journal of Economics and Business </w:t>
      </w:r>
      <w:proofErr w:type="spellStart"/>
      <w:r w:rsidRPr="007B63A0">
        <w:rPr>
          <w:i/>
          <w:iCs/>
          <w:lang w:val="en-US"/>
        </w:rPr>
        <w:t>Aseanomics</w:t>
      </w:r>
      <w:proofErr w:type="spellEnd"/>
      <w:r w:rsidRPr="007B63A0">
        <w:rPr>
          <w:i/>
          <w:iCs/>
          <w:lang w:val="en-US"/>
        </w:rPr>
        <w:t>)</w:t>
      </w:r>
      <w:r w:rsidRPr="007B63A0">
        <w:rPr>
          <w:lang w:val="en-US"/>
        </w:rPr>
        <w:t xml:space="preserve">, 7(2), pp. 101–121. Available at: </w:t>
      </w:r>
      <w:hyperlink r:id="rId57" w:tgtFrame="_new" w:history="1">
        <w:r w:rsidRPr="007B63A0">
          <w:rPr>
            <w:rStyle w:val="Hyperlink"/>
            <w:lang w:val="en-US"/>
          </w:rPr>
          <w:t>https://doi.org/10.33476/jeba.v7i2.3418</w:t>
        </w:r>
      </w:hyperlink>
    </w:p>
    <w:p w:rsidR="007B63A0" w:rsidRPr="007B63A0" w:rsidRDefault="007B63A0" w:rsidP="007B63A0">
      <w:pPr>
        <w:ind w:left="720" w:hanging="720"/>
        <w:rPr>
          <w:lang w:val="en-US"/>
        </w:rPr>
      </w:pPr>
      <w:proofErr w:type="spellStart"/>
      <w:r w:rsidRPr="007B63A0">
        <w:t>Rajper</w:t>
      </w:r>
      <w:proofErr w:type="spellEnd"/>
      <w:r w:rsidRPr="007B63A0">
        <w:t xml:space="preserve">, S.Z. and Albrecht, J. (2020) ‘Prospects of electric vehicles in the developing countries: A literature review’, </w:t>
      </w:r>
      <w:r w:rsidRPr="007B63A0">
        <w:rPr>
          <w:i/>
          <w:iCs/>
        </w:rPr>
        <w:t>Sustainability</w:t>
      </w:r>
      <w:r w:rsidRPr="007B63A0">
        <w:t xml:space="preserve">, 12(5), p. 1906. Available at: </w:t>
      </w:r>
      <w:hyperlink r:id="rId58" w:tgtFrame="_new" w:history="1">
        <w:r w:rsidRPr="007B63A0">
          <w:rPr>
            <w:rStyle w:val="Hyperlink"/>
          </w:rPr>
          <w:t>https://doi.org/10.3390/su12051906</w:t>
        </w:r>
      </w:hyperlink>
    </w:p>
    <w:p w:rsidR="007B63A0" w:rsidRPr="007B63A0" w:rsidRDefault="007B63A0" w:rsidP="007B63A0">
      <w:pPr>
        <w:ind w:left="720" w:hanging="720"/>
      </w:pPr>
      <w:r w:rsidRPr="007B63A0">
        <w:t xml:space="preserve">Rapson, D. and </w:t>
      </w:r>
      <w:proofErr w:type="spellStart"/>
      <w:r w:rsidRPr="007B63A0">
        <w:t>Muehlegger</w:t>
      </w:r>
      <w:proofErr w:type="spellEnd"/>
      <w:r w:rsidRPr="007B63A0">
        <w:t xml:space="preserve">, E. (2021) </w:t>
      </w:r>
      <w:r w:rsidRPr="007B63A0">
        <w:rPr>
          <w:i/>
          <w:iCs/>
        </w:rPr>
        <w:t>The economics of electric vehicles</w:t>
      </w:r>
      <w:r w:rsidRPr="007B63A0">
        <w:t xml:space="preserve">. Available at: </w:t>
      </w:r>
      <w:hyperlink r:id="rId59" w:tgtFrame="_new" w:history="1">
        <w:r w:rsidRPr="007B63A0">
          <w:rPr>
            <w:rStyle w:val="Hyperlink"/>
          </w:rPr>
          <w:t>https://doi.org/10.3386/w29093</w:t>
        </w:r>
      </w:hyperlink>
    </w:p>
    <w:p w:rsidR="007B63A0" w:rsidRPr="007B63A0" w:rsidRDefault="007B63A0" w:rsidP="007B63A0">
      <w:pPr>
        <w:ind w:left="720" w:hanging="720"/>
        <w:rPr>
          <w:lang w:val="en-US"/>
        </w:rPr>
      </w:pPr>
      <w:r w:rsidRPr="007B63A0">
        <w:rPr>
          <w:lang w:val="en-US"/>
        </w:rPr>
        <w:t xml:space="preserve">Reynard, C., </w:t>
      </w:r>
      <w:proofErr w:type="spellStart"/>
      <w:r w:rsidRPr="007B63A0">
        <w:rPr>
          <w:lang w:val="en-US"/>
        </w:rPr>
        <w:t>Darbyshire</w:t>
      </w:r>
      <w:proofErr w:type="spellEnd"/>
      <w:r w:rsidRPr="007B63A0">
        <w:rPr>
          <w:lang w:val="en-US"/>
        </w:rPr>
        <w:t xml:space="preserve">, D., Prager, G., </w:t>
      </w:r>
      <w:proofErr w:type="spellStart"/>
      <w:r w:rsidRPr="007B63A0">
        <w:rPr>
          <w:lang w:val="en-US"/>
        </w:rPr>
        <w:t>Jafar</w:t>
      </w:r>
      <w:proofErr w:type="spellEnd"/>
      <w:r w:rsidRPr="007B63A0">
        <w:rPr>
          <w:lang w:val="en-US"/>
        </w:rPr>
        <w:t xml:space="preserve">, A.J.N., </w:t>
      </w:r>
      <w:proofErr w:type="spellStart"/>
      <w:r w:rsidRPr="007B63A0">
        <w:rPr>
          <w:lang w:val="en-US"/>
        </w:rPr>
        <w:t>Naguib</w:t>
      </w:r>
      <w:proofErr w:type="spellEnd"/>
      <w:r w:rsidRPr="007B63A0">
        <w:rPr>
          <w:lang w:val="en-US"/>
        </w:rPr>
        <w:t xml:space="preserve">, M., Oliver, G., van den Berg, P., Body, R., </w:t>
      </w:r>
      <w:proofErr w:type="spellStart"/>
      <w:r w:rsidRPr="007B63A0">
        <w:rPr>
          <w:lang w:val="en-US"/>
        </w:rPr>
        <w:t>Ambroziak</w:t>
      </w:r>
      <w:proofErr w:type="spellEnd"/>
      <w:r w:rsidRPr="007B63A0">
        <w:rPr>
          <w:lang w:val="en-US"/>
        </w:rPr>
        <w:t xml:space="preserve">, H. and </w:t>
      </w:r>
      <w:proofErr w:type="spellStart"/>
      <w:r w:rsidRPr="007B63A0">
        <w:rPr>
          <w:lang w:val="en-US"/>
        </w:rPr>
        <w:t>Carley</w:t>
      </w:r>
      <w:proofErr w:type="spellEnd"/>
      <w:r w:rsidRPr="007B63A0">
        <w:rPr>
          <w:lang w:val="en-US"/>
        </w:rPr>
        <w:t xml:space="preserve">, S. (2021) ‘Systematic literature search, review and dissemination methodology for the COVID-19 pandemic’, </w:t>
      </w:r>
      <w:r w:rsidRPr="007B63A0">
        <w:rPr>
          <w:i/>
          <w:iCs/>
          <w:lang w:val="en-US"/>
        </w:rPr>
        <w:t>BMJ Simulation and Technology Enhanced Learning</w:t>
      </w:r>
      <w:r w:rsidRPr="007B63A0">
        <w:rPr>
          <w:lang w:val="en-US"/>
        </w:rPr>
        <w:t xml:space="preserve">, 7(6), pp. 524–527. Available at: </w:t>
      </w:r>
      <w:hyperlink r:id="rId60" w:tgtFrame="_new" w:history="1">
        <w:r w:rsidRPr="007B63A0">
          <w:rPr>
            <w:rStyle w:val="Hyperlink"/>
            <w:lang w:val="en-US"/>
          </w:rPr>
          <w:t>https://doi.org/10.1136/bmjstel-2020-000817</w:t>
        </w:r>
      </w:hyperlink>
    </w:p>
    <w:p w:rsidR="007B63A0" w:rsidRPr="007B63A0" w:rsidRDefault="007B63A0" w:rsidP="007B63A0">
      <w:pPr>
        <w:ind w:left="720" w:hanging="720"/>
        <w:rPr>
          <w:lang w:val="en-US"/>
        </w:rPr>
      </w:pPr>
      <w:r w:rsidRPr="007B63A0">
        <w:rPr>
          <w:lang w:val="en-US"/>
        </w:rPr>
        <w:t xml:space="preserve">Sanchez-Lopez, M.D. (2023) ‘Geopolitics of the Li-ion battery value chain and the lithium triangle in South America’, </w:t>
      </w:r>
      <w:r w:rsidRPr="007B63A0">
        <w:rPr>
          <w:i/>
          <w:iCs/>
          <w:lang w:val="en-US"/>
        </w:rPr>
        <w:t>Latin American Policy</w:t>
      </w:r>
      <w:r w:rsidRPr="007B63A0">
        <w:rPr>
          <w:lang w:val="en-US"/>
        </w:rPr>
        <w:t xml:space="preserve">, 14(1), pp. 22–45. Available at: </w:t>
      </w:r>
      <w:hyperlink r:id="rId61" w:tgtFrame="_new" w:history="1">
        <w:r w:rsidRPr="007B63A0">
          <w:rPr>
            <w:rStyle w:val="Hyperlink"/>
            <w:lang w:val="en-US"/>
          </w:rPr>
          <w:t>https://doi.org/10.1111/lamp.12285</w:t>
        </w:r>
      </w:hyperlink>
      <w:r w:rsidRPr="007B63A0">
        <w:rPr>
          <w:lang w:val="en-US"/>
        </w:rPr>
        <w:t xml:space="preserve"> </w:t>
      </w:r>
    </w:p>
    <w:p w:rsidR="007B63A0" w:rsidRDefault="007B63A0" w:rsidP="007B63A0">
      <w:pPr>
        <w:ind w:left="720" w:hanging="720"/>
        <w:rPr>
          <w:lang w:val="en-US"/>
        </w:rPr>
      </w:pPr>
      <w:proofErr w:type="spellStart"/>
      <w:r w:rsidRPr="007B63A0">
        <w:rPr>
          <w:lang w:val="en-US"/>
        </w:rPr>
        <w:t>Selove</w:t>
      </w:r>
      <w:proofErr w:type="spellEnd"/>
      <w:r w:rsidRPr="007B63A0">
        <w:rPr>
          <w:lang w:val="en-US"/>
        </w:rPr>
        <w:t>, R., Neil-</w:t>
      </w:r>
      <w:proofErr w:type="spellStart"/>
      <w:r w:rsidRPr="007B63A0">
        <w:rPr>
          <w:lang w:val="en-US"/>
        </w:rPr>
        <w:t>Sztramko</w:t>
      </w:r>
      <w:proofErr w:type="spellEnd"/>
      <w:r w:rsidRPr="007B63A0">
        <w:rPr>
          <w:lang w:val="en-US"/>
        </w:rPr>
        <w:t xml:space="preserve">, S., </w:t>
      </w:r>
      <w:proofErr w:type="spellStart"/>
      <w:r w:rsidRPr="007B63A0">
        <w:rPr>
          <w:lang w:val="en-US"/>
        </w:rPr>
        <w:t>Leng</w:t>
      </w:r>
      <w:proofErr w:type="spellEnd"/>
      <w:r w:rsidRPr="007B63A0">
        <w:rPr>
          <w:lang w:val="en-US"/>
        </w:rPr>
        <w:t xml:space="preserve">, J., Walker, P., </w:t>
      </w:r>
      <w:proofErr w:type="spellStart"/>
      <w:r w:rsidRPr="007B63A0">
        <w:rPr>
          <w:lang w:val="en-US"/>
        </w:rPr>
        <w:t>Salloum</w:t>
      </w:r>
      <w:proofErr w:type="spellEnd"/>
      <w:r w:rsidRPr="007B63A0">
        <w:rPr>
          <w:lang w:val="en-US"/>
        </w:rPr>
        <w:t xml:space="preserve">, R.G., </w:t>
      </w:r>
      <w:proofErr w:type="spellStart"/>
      <w:r w:rsidRPr="007B63A0">
        <w:rPr>
          <w:lang w:val="en-US"/>
        </w:rPr>
        <w:t>Ginossar</w:t>
      </w:r>
      <w:proofErr w:type="spellEnd"/>
      <w:r w:rsidRPr="007B63A0">
        <w:rPr>
          <w:lang w:val="en-US"/>
        </w:rPr>
        <w:t xml:space="preserve">, T., Heckman, C.J., </w:t>
      </w:r>
      <w:proofErr w:type="spellStart"/>
      <w:r w:rsidRPr="007B63A0">
        <w:rPr>
          <w:lang w:val="en-US"/>
        </w:rPr>
        <w:t>Scheuermann</w:t>
      </w:r>
      <w:proofErr w:type="spellEnd"/>
      <w:r w:rsidRPr="007B63A0">
        <w:rPr>
          <w:lang w:val="en-US"/>
        </w:rPr>
        <w:t xml:space="preserve">, T.S., Combs, T., Qualls-Hampton, R., Armstrong, R. and Ellis, S.D. (2020) ‘Use of implementation science in tobacco </w:t>
      </w:r>
      <w:r w:rsidRPr="007B63A0">
        <w:rPr>
          <w:lang w:val="en-US"/>
        </w:rPr>
        <w:lastRenderedPageBreak/>
        <w:t xml:space="preserve">control intervention studies in the USA between 2000 and 2020: A scoping review protocol’, </w:t>
      </w:r>
      <w:r w:rsidRPr="007B63A0">
        <w:rPr>
          <w:i/>
          <w:iCs/>
          <w:lang w:val="en-US"/>
        </w:rPr>
        <w:t>BMJ Open</w:t>
      </w:r>
      <w:r w:rsidRPr="007B63A0">
        <w:rPr>
          <w:lang w:val="en-US"/>
        </w:rPr>
        <w:t xml:space="preserve">, 10(11), p. e038617. Available at: </w:t>
      </w:r>
      <w:hyperlink r:id="rId62" w:tgtFrame="_new" w:history="1">
        <w:r w:rsidRPr="007B63A0">
          <w:rPr>
            <w:rStyle w:val="Hyperlink"/>
            <w:lang w:val="en-US"/>
          </w:rPr>
          <w:t>https://doi.org/10.1136/bmjopen-2020-038617</w:t>
        </w:r>
      </w:hyperlink>
    </w:p>
    <w:p w:rsidR="007B63A0" w:rsidRPr="007B63A0" w:rsidRDefault="007B63A0" w:rsidP="007B63A0">
      <w:pPr>
        <w:ind w:left="720" w:hanging="720"/>
      </w:pPr>
      <w:r w:rsidRPr="007B63A0">
        <w:t xml:space="preserve">Sun, Z. (2024) ‘Tesla’s electric future: A comprehensive marketing strategy analysis and implementation plan’, </w:t>
      </w:r>
      <w:r w:rsidRPr="007B63A0">
        <w:rPr>
          <w:i/>
          <w:iCs/>
        </w:rPr>
        <w:t>FE</w:t>
      </w:r>
      <w:r w:rsidRPr="007B63A0">
        <w:t xml:space="preserve">, 1(9). Available at: </w:t>
      </w:r>
      <w:hyperlink r:id="rId63" w:tgtFrame="_new" w:history="1">
        <w:r w:rsidRPr="007B63A0">
          <w:rPr>
            <w:rStyle w:val="Hyperlink"/>
          </w:rPr>
          <w:t>https://doi.org/10.61173/3nnc0k35</w:t>
        </w:r>
      </w:hyperlink>
    </w:p>
    <w:p w:rsidR="007B63A0" w:rsidRPr="007B63A0" w:rsidRDefault="007B63A0" w:rsidP="007B63A0">
      <w:pPr>
        <w:ind w:left="720" w:hanging="720"/>
        <w:rPr>
          <w:lang w:val="en-US"/>
        </w:rPr>
      </w:pPr>
      <w:r w:rsidRPr="007B63A0">
        <w:rPr>
          <w:lang w:val="en-US"/>
        </w:rPr>
        <w:t xml:space="preserve">Tsai, P., Chen, C. and Yang, H.-C. (2021) ‘Using Porter’s diamond model to assess the competitiveness of Taiwan’s solar photovoltaic industry’, </w:t>
      </w:r>
      <w:r w:rsidRPr="007B63A0">
        <w:rPr>
          <w:i/>
          <w:iCs/>
          <w:lang w:val="en-US"/>
        </w:rPr>
        <w:t>SAGE Open</w:t>
      </w:r>
      <w:r w:rsidRPr="007B63A0">
        <w:rPr>
          <w:lang w:val="en-US"/>
        </w:rPr>
        <w:t xml:space="preserve">, 11(1). Available at: </w:t>
      </w:r>
      <w:hyperlink r:id="rId64" w:tgtFrame="_new" w:history="1">
        <w:r w:rsidRPr="007B63A0">
          <w:rPr>
            <w:rStyle w:val="Hyperlink"/>
            <w:lang w:val="en-US"/>
          </w:rPr>
          <w:t>https://doi.org/10.1177/2158244020988286</w:t>
        </w:r>
      </w:hyperlink>
    </w:p>
    <w:p w:rsidR="007B63A0" w:rsidRPr="007B63A0" w:rsidRDefault="007B63A0" w:rsidP="007B63A0">
      <w:pPr>
        <w:ind w:left="720" w:hanging="720"/>
        <w:rPr>
          <w:lang w:val="en-US"/>
        </w:rPr>
      </w:pPr>
      <w:proofErr w:type="spellStart"/>
      <w:r w:rsidRPr="007B63A0">
        <w:rPr>
          <w:lang w:val="en-US"/>
        </w:rPr>
        <w:t>Tu</w:t>
      </w:r>
      <w:proofErr w:type="spellEnd"/>
      <w:r w:rsidRPr="007B63A0">
        <w:rPr>
          <w:lang w:val="en-US"/>
        </w:rPr>
        <w:t xml:space="preserve">, X. (2025) ‘Policy pathways for building a resilient supply chain in China: A dual perspective from competitiveness enhancement and spatial optimization’, </w:t>
      </w:r>
      <w:r w:rsidRPr="007B63A0">
        <w:rPr>
          <w:i/>
          <w:iCs/>
          <w:lang w:val="en-US"/>
        </w:rPr>
        <w:t>Asia &amp; the Pacific Policy Studies</w:t>
      </w:r>
      <w:r w:rsidRPr="007B63A0">
        <w:rPr>
          <w:lang w:val="en-US"/>
        </w:rPr>
        <w:t xml:space="preserve">, 12(3). Available at: </w:t>
      </w:r>
      <w:hyperlink r:id="rId65" w:tgtFrame="_new" w:history="1">
        <w:r w:rsidRPr="007B63A0">
          <w:rPr>
            <w:rStyle w:val="Hyperlink"/>
            <w:lang w:val="en-US"/>
          </w:rPr>
          <w:t>https://doi.org/10.1002/app5.70050</w:t>
        </w:r>
      </w:hyperlink>
      <w:r w:rsidRPr="007B63A0">
        <w:rPr>
          <w:lang w:val="en-US"/>
        </w:rPr>
        <w:t xml:space="preserve"> </w:t>
      </w:r>
    </w:p>
    <w:p w:rsidR="007B63A0" w:rsidRPr="007B63A0" w:rsidRDefault="007B63A0" w:rsidP="007B63A0">
      <w:pPr>
        <w:ind w:left="720" w:hanging="720"/>
      </w:pPr>
      <w:r w:rsidRPr="007B63A0">
        <w:t xml:space="preserve">Upward, K., Saunders, V., Maple, M. and Usher, K. (2021) ‘Mental health, climate change, and bushfires: What’s colonization got to do with it?’, </w:t>
      </w:r>
      <w:r w:rsidRPr="007B63A0">
        <w:rPr>
          <w:i/>
          <w:iCs/>
        </w:rPr>
        <w:t>International Journal of Mental Health Nursing</w:t>
      </w:r>
      <w:r w:rsidRPr="007B63A0">
        <w:t xml:space="preserve">, 30(6), pp. 1473–1475. Available at: </w:t>
      </w:r>
      <w:hyperlink r:id="rId66" w:tgtFrame="_new" w:history="1">
        <w:r w:rsidRPr="007B63A0">
          <w:rPr>
            <w:rStyle w:val="Hyperlink"/>
          </w:rPr>
          <w:t>https://doi.org/10.1111/inm.12927</w:t>
        </w:r>
      </w:hyperlink>
    </w:p>
    <w:p w:rsidR="007B63A0" w:rsidRPr="007B63A0" w:rsidRDefault="007B63A0" w:rsidP="007B63A0">
      <w:pPr>
        <w:ind w:left="720" w:hanging="720"/>
        <w:rPr>
          <w:lang w:val="en-US"/>
        </w:rPr>
      </w:pPr>
      <w:r w:rsidRPr="007B63A0">
        <w:t xml:space="preserve">Warnock, C. (2022) </w:t>
      </w:r>
      <w:r w:rsidRPr="007B63A0">
        <w:rPr>
          <w:i/>
          <w:iCs/>
        </w:rPr>
        <w:t>Electrifying the market: How traditional automakers are cultivating electric brand identities</w:t>
      </w:r>
      <w:r w:rsidRPr="007B63A0">
        <w:t xml:space="preserve">. Available at: </w:t>
      </w:r>
      <w:hyperlink r:id="rId67" w:tgtFrame="_new" w:history="1">
        <w:r w:rsidRPr="007B63A0">
          <w:rPr>
            <w:rStyle w:val="Hyperlink"/>
          </w:rPr>
          <w:t>https://doi.org/10.32920/19157906.v1</w:t>
        </w:r>
      </w:hyperlink>
    </w:p>
    <w:p w:rsidR="007B63A0" w:rsidRPr="007B63A0" w:rsidRDefault="007B63A0" w:rsidP="007B63A0">
      <w:pPr>
        <w:ind w:left="720" w:hanging="720"/>
        <w:rPr>
          <w:lang w:val="en-US"/>
        </w:rPr>
      </w:pPr>
      <w:r w:rsidRPr="007B63A0">
        <w:rPr>
          <w:lang w:val="en-US"/>
        </w:rPr>
        <w:t xml:space="preserve">Yang, Z., Huang, H. and Lin, F. (2022) ‘Sustainable electric vehicle batteries for a sustainable world: Perspectives on battery cathodes, environment, supply chain, manufacturing, life cycle, and policy’, </w:t>
      </w:r>
      <w:r w:rsidRPr="007B63A0">
        <w:rPr>
          <w:i/>
          <w:iCs/>
          <w:lang w:val="en-US"/>
        </w:rPr>
        <w:t>Advanced Energy Materials</w:t>
      </w:r>
      <w:r w:rsidRPr="007B63A0">
        <w:rPr>
          <w:lang w:val="en-US"/>
        </w:rPr>
        <w:t xml:space="preserve">, 12(26). Available at: </w:t>
      </w:r>
      <w:hyperlink r:id="rId68" w:tgtFrame="_new" w:history="1">
        <w:r w:rsidRPr="007B63A0">
          <w:rPr>
            <w:rStyle w:val="Hyperlink"/>
            <w:lang w:val="en-US"/>
          </w:rPr>
          <w:t>https://doi.org/10.1002/aenm.202200383</w:t>
        </w:r>
      </w:hyperlink>
      <w:r w:rsidRPr="007B63A0">
        <w:rPr>
          <w:lang w:val="en-US"/>
        </w:rPr>
        <w:t xml:space="preserve"> </w:t>
      </w:r>
    </w:p>
    <w:p w:rsidR="007B63A0" w:rsidRPr="007B63A0" w:rsidRDefault="007B63A0" w:rsidP="007B63A0">
      <w:pPr>
        <w:ind w:left="720" w:hanging="720"/>
        <w:rPr>
          <w:lang w:val="en-US"/>
        </w:rPr>
      </w:pPr>
      <w:proofErr w:type="spellStart"/>
      <w:r w:rsidRPr="007B63A0">
        <w:rPr>
          <w:lang w:val="en-US"/>
        </w:rPr>
        <w:t>Zanasi</w:t>
      </w:r>
      <w:proofErr w:type="spellEnd"/>
      <w:r w:rsidRPr="007B63A0">
        <w:rPr>
          <w:lang w:val="en-US"/>
        </w:rPr>
        <w:t xml:space="preserve">, C., </w:t>
      </w:r>
      <w:proofErr w:type="spellStart"/>
      <w:r w:rsidRPr="007B63A0">
        <w:rPr>
          <w:lang w:val="en-US"/>
        </w:rPr>
        <w:t>Basile</w:t>
      </w:r>
      <w:proofErr w:type="spellEnd"/>
      <w:r w:rsidRPr="007B63A0">
        <w:rPr>
          <w:lang w:val="en-US"/>
        </w:rPr>
        <w:t xml:space="preserve">, S., </w:t>
      </w:r>
      <w:proofErr w:type="spellStart"/>
      <w:r w:rsidRPr="007B63A0">
        <w:rPr>
          <w:lang w:val="en-US"/>
        </w:rPr>
        <w:t>Paoletti</w:t>
      </w:r>
      <w:proofErr w:type="spellEnd"/>
      <w:r w:rsidRPr="007B63A0">
        <w:rPr>
          <w:lang w:val="en-US"/>
        </w:rPr>
        <w:t xml:space="preserve">, F., Pugliese, P. and Rota, C. (2020) ‘Design of a monitoring tool for eco-regions’, </w:t>
      </w:r>
      <w:r w:rsidRPr="007B63A0">
        <w:rPr>
          <w:i/>
          <w:iCs/>
          <w:lang w:val="en-US"/>
        </w:rPr>
        <w:t>Frontiers in Sustainable Food Systems</w:t>
      </w:r>
      <w:r w:rsidRPr="007B63A0">
        <w:rPr>
          <w:lang w:val="en-US"/>
        </w:rPr>
        <w:t xml:space="preserve">, 4. Available at: </w:t>
      </w:r>
      <w:hyperlink r:id="rId69" w:tgtFrame="_new" w:history="1">
        <w:r w:rsidRPr="007B63A0">
          <w:rPr>
            <w:rStyle w:val="Hyperlink"/>
            <w:lang w:val="en-US"/>
          </w:rPr>
          <w:t>https://doi.org/10.3389/fsufs.2020.536392</w:t>
        </w:r>
      </w:hyperlink>
    </w:p>
    <w:p w:rsidR="007B63A0" w:rsidRDefault="007B63A0" w:rsidP="007B63A0">
      <w:pPr>
        <w:ind w:left="720" w:hanging="720"/>
        <w:rPr>
          <w:lang w:val="en-US"/>
        </w:rPr>
      </w:pPr>
      <w:r w:rsidRPr="007B63A0">
        <w:rPr>
          <w:lang w:val="en-US"/>
        </w:rPr>
        <w:t xml:space="preserve">Zhang, M. and Wu, Y. (2025) ‘Toward rivalry and decoupling: South Korea’s changing economic dynamics with China’, </w:t>
      </w:r>
      <w:r w:rsidRPr="007B63A0">
        <w:rPr>
          <w:i/>
          <w:iCs/>
          <w:lang w:val="en-US"/>
        </w:rPr>
        <w:t>Pacific Focus</w:t>
      </w:r>
      <w:r w:rsidRPr="007B63A0">
        <w:rPr>
          <w:lang w:val="en-US"/>
        </w:rPr>
        <w:t xml:space="preserve">, 40(2), pp. 359–391. Available at: </w:t>
      </w:r>
      <w:hyperlink r:id="rId70" w:tgtFrame="_new" w:history="1">
        <w:r w:rsidRPr="007B63A0">
          <w:rPr>
            <w:rStyle w:val="Hyperlink"/>
            <w:lang w:val="en-US"/>
          </w:rPr>
          <w:t>https://doi.org/10.1111/pafo.70000</w:t>
        </w:r>
      </w:hyperlink>
      <w:r w:rsidRPr="007B63A0">
        <w:rPr>
          <w:lang w:val="en-US"/>
        </w:rPr>
        <w:t xml:space="preserve"> </w:t>
      </w:r>
    </w:p>
    <w:p w:rsidR="00D82C54" w:rsidRPr="00D82C54" w:rsidRDefault="00D82C54" w:rsidP="00D82C54">
      <w:pPr>
        <w:ind w:left="720" w:hanging="720"/>
      </w:pPr>
      <w:r w:rsidRPr="00D82C54">
        <w:lastRenderedPageBreak/>
        <w:t xml:space="preserve">Department for Transport (2024) </w:t>
      </w:r>
      <w:r w:rsidRPr="00D82C54">
        <w:rPr>
          <w:i/>
          <w:iCs/>
        </w:rPr>
        <w:t>Vehicle licensing statistics: 2023</w:t>
      </w:r>
      <w:r w:rsidRPr="00D82C54">
        <w:t xml:space="preserve">. London: UK Government. Available at: </w:t>
      </w:r>
      <w:hyperlink r:id="rId71" w:tgtFrame="_new" w:history="1">
        <w:r w:rsidRPr="00D82C54">
          <w:rPr>
            <w:rStyle w:val="Hyperlink"/>
          </w:rPr>
          <w:t>https://www.gov.uk</w:t>
        </w:r>
      </w:hyperlink>
      <w:r w:rsidRPr="00D82C54">
        <w:t xml:space="preserve"> (Accessed: 20 April 2026).</w:t>
      </w:r>
    </w:p>
    <w:p w:rsidR="00D82C54" w:rsidRPr="00D82C54" w:rsidRDefault="00D82C54" w:rsidP="00D82C54">
      <w:pPr>
        <w:ind w:left="720" w:hanging="720"/>
      </w:pPr>
      <w:r w:rsidRPr="00D82C54">
        <w:t xml:space="preserve">International Energy Agency (2023) </w:t>
      </w:r>
      <w:r w:rsidRPr="00D82C54">
        <w:rPr>
          <w:i/>
          <w:iCs/>
        </w:rPr>
        <w:t>Global EV Outlook 2023</w:t>
      </w:r>
      <w:r w:rsidRPr="00D82C54">
        <w:t xml:space="preserve">. Paris: IEA. Available at: </w:t>
      </w:r>
      <w:hyperlink r:id="rId72" w:tgtFrame="_new" w:history="1">
        <w:r w:rsidRPr="00D82C54">
          <w:rPr>
            <w:rStyle w:val="Hyperlink"/>
          </w:rPr>
          <w:t>https://www.iea.org</w:t>
        </w:r>
      </w:hyperlink>
      <w:r w:rsidRPr="00D82C54">
        <w:t xml:space="preserve"> (Accessed: 20 April 2026).</w:t>
      </w:r>
    </w:p>
    <w:p w:rsidR="00D82C54" w:rsidRPr="00D82C54" w:rsidRDefault="00D82C54" w:rsidP="00D82C54">
      <w:pPr>
        <w:ind w:left="720" w:hanging="720"/>
      </w:pPr>
      <w:r w:rsidRPr="00D82C54">
        <w:t xml:space="preserve">McKinsey &amp; Company (2023) </w:t>
      </w:r>
      <w:r w:rsidRPr="00D82C54">
        <w:rPr>
          <w:i/>
          <w:iCs/>
        </w:rPr>
        <w:t>Electric vehicle consumer insights 2023</w:t>
      </w:r>
      <w:r w:rsidRPr="00D82C54">
        <w:t xml:space="preserve">. Available at: </w:t>
      </w:r>
      <w:hyperlink r:id="rId73" w:tgtFrame="_new" w:history="1">
        <w:r w:rsidRPr="00D82C54">
          <w:rPr>
            <w:rStyle w:val="Hyperlink"/>
          </w:rPr>
          <w:t>https://www.mckinsey.com</w:t>
        </w:r>
      </w:hyperlink>
      <w:r w:rsidRPr="00D82C54">
        <w:t xml:space="preserve"> (Accessed: 21 April 2026).</w:t>
      </w:r>
    </w:p>
    <w:p w:rsidR="00D82C54" w:rsidRPr="00D82C54" w:rsidRDefault="00D82C54" w:rsidP="00D82C54">
      <w:pPr>
        <w:ind w:left="720" w:hanging="720"/>
      </w:pPr>
      <w:r w:rsidRPr="00D82C54">
        <w:t xml:space="preserve">Society of Motor Manufacturers and Traders (SMMT) (2024) </w:t>
      </w:r>
      <w:r w:rsidRPr="00D82C54">
        <w:rPr>
          <w:i/>
          <w:iCs/>
        </w:rPr>
        <w:t>UK automotive industry facts and figures 2024</w:t>
      </w:r>
      <w:r w:rsidRPr="00D82C54">
        <w:t xml:space="preserve">. London: SMMT. Available at: </w:t>
      </w:r>
      <w:hyperlink r:id="rId74" w:tgtFrame="_new" w:history="1">
        <w:r w:rsidRPr="00D82C54">
          <w:rPr>
            <w:rStyle w:val="Hyperlink"/>
          </w:rPr>
          <w:t>https://www.smmt.co.uk</w:t>
        </w:r>
      </w:hyperlink>
      <w:r w:rsidRPr="00D82C54">
        <w:t xml:space="preserve"> (Accessed: 20 April 2026).</w:t>
      </w:r>
    </w:p>
    <w:p w:rsidR="00D82C54" w:rsidRPr="00D82C54" w:rsidRDefault="00D82C54" w:rsidP="00D82C54">
      <w:pPr>
        <w:ind w:left="720" w:hanging="720"/>
      </w:pPr>
      <w:r w:rsidRPr="00D82C54">
        <w:t xml:space="preserve">Volkswagen Group (2023) </w:t>
      </w:r>
      <w:r w:rsidRPr="00D82C54">
        <w:rPr>
          <w:i/>
          <w:iCs/>
        </w:rPr>
        <w:t>Annual Report 2023</w:t>
      </w:r>
      <w:r w:rsidRPr="00D82C54">
        <w:t xml:space="preserve">. Wolfsburg: Volkswagen AG. Available at: </w:t>
      </w:r>
      <w:hyperlink r:id="rId75" w:tgtFrame="_new" w:history="1">
        <w:r w:rsidRPr="00D82C54">
          <w:rPr>
            <w:rStyle w:val="Hyperlink"/>
          </w:rPr>
          <w:t>https://www.volkswagen-group.com</w:t>
        </w:r>
      </w:hyperlink>
      <w:r w:rsidRPr="00D82C54">
        <w:t xml:space="preserve"> (Accessed: 21 April 2026).</w:t>
      </w:r>
    </w:p>
    <w:p w:rsidR="00D82C54" w:rsidRPr="00D82C54" w:rsidRDefault="00D82C54" w:rsidP="00D82C54">
      <w:pPr>
        <w:ind w:left="720" w:hanging="720"/>
      </w:pPr>
      <w:r w:rsidRPr="00D82C54">
        <w:t xml:space="preserve">Zap-Map (2024) </w:t>
      </w:r>
      <w:r w:rsidRPr="00D82C54">
        <w:rPr>
          <w:i/>
          <w:iCs/>
        </w:rPr>
        <w:t>UK electric vehicle charging statistics 2024</w:t>
      </w:r>
      <w:r w:rsidRPr="00D82C54">
        <w:t xml:space="preserve">. Available at: </w:t>
      </w:r>
      <w:hyperlink r:id="rId76" w:tgtFrame="_new" w:history="1">
        <w:r w:rsidRPr="00D82C54">
          <w:rPr>
            <w:rStyle w:val="Hyperlink"/>
          </w:rPr>
          <w:t>https://www.zap-map.com</w:t>
        </w:r>
      </w:hyperlink>
      <w:r w:rsidRPr="00D82C54">
        <w:t xml:space="preserve"> (Accessed: 21 April 2026).</w:t>
      </w:r>
    </w:p>
    <w:p w:rsidR="00D82C54" w:rsidRPr="007B63A0" w:rsidRDefault="00D82C54" w:rsidP="007B63A0">
      <w:pPr>
        <w:ind w:left="720" w:hanging="720"/>
        <w:rPr>
          <w:lang w:val="en-US"/>
        </w:rPr>
      </w:pPr>
    </w:p>
    <w:p w:rsidR="007B63A0" w:rsidRPr="007B63A0" w:rsidRDefault="007B63A0" w:rsidP="007B63A0">
      <w:pPr>
        <w:ind w:left="720" w:hanging="720"/>
        <w:rPr>
          <w:lang w:val="en-US"/>
        </w:rPr>
      </w:pPr>
    </w:p>
    <w:p w:rsidR="00D2240A" w:rsidRPr="00D2240A" w:rsidRDefault="00D2240A" w:rsidP="00D2240A"/>
    <w:sectPr w:rsidR="00D2240A" w:rsidRPr="00D2240A">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456" w:rsidRDefault="00710456" w:rsidP="00D81C29">
      <w:pPr>
        <w:spacing w:after="0" w:line="240" w:lineRule="auto"/>
      </w:pPr>
      <w:r>
        <w:separator/>
      </w:r>
    </w:p>
  </w:endnote>
  <w:endnote w:type="continuationSeparator" w:id="0">
    <w:p w:rsidR="00710456" w:rsidRDefault="00710456" w:rsidP="00D81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2471769"/>
      <w:docPartObj>
        <w:docPartGallery w:val="Page Numbers (Bottom of Page)"/>
        <w:docPartUnique/>
      </w:docPartObj>
    </w:sdtPr>
    <w:sdtEndPr>
      <w:rPr>
        <w:noProof/>
      </w:rPr>
    </w:sdtEndPr>
    <w:sdtContent>
      <w:p w:rsidR="00170B31" w:rsidRDefault="00170B31">
        <w:pPr>
          <w:pStyle w:val="Footer"/>
          <w:jc w:val="center"/>
        </w:pPr>
        <w:r>
          <w:fldChar w:fldCharType="begin"/>
        </w:r>
        <w:r>
          <w:instrText xml:space="preserve"> PAGE   \* MERGEFORMAT </w:instrText>
        </w:r>
        <w:r>
          <w:fldChar w:fldCharType="separate"/>
        </w:r>
        <w:r w:rsidR="00257C3E">
          <w:rPr>
            <w:noProof/>
          </w:rPr>
          <w:t>28</w:t>
        </w:r>
        <w:r>
          <w:rPr>
            <w:noProof/>
          </w:rPr>
          <w:fldChar w:fldCharType="end"/>
        </w:r>
      </w:p>
    </w:sdtContent>
  </w:sdt>
  <w:p w:rsidR="00170B31" w:rsidRDefault="00170B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456" w:rsidRDefault="00710456" w:rsidP="00D81C29">
      <w:pPr>
        <w:spacing w:after="0" w:line="240" w:lineRule="auto"/>
      </w:pPr>
      <w:r>
        <w:separator/>
      </w:r>
    </w:p>
  </w:footnote>
  <w:footnote w:type="continuationSeparator" w:id="0">
    <w:p w:rsidR="00710456" w:rsidRDefault="00710456" w:rsidP="00D81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518BC"/>
    <w:multiLevelType w:val="multilevel"/>
    <w:tmpl w:val="401CDE96"/>
    <w:lvl w:ilvl="0">
      <w:start w:val="1"/>
      <w:numFmt w:val="decimal"/>
      <w:lvlText w:val="%1."/>
      <w:lvlJc w:val="left"/>
      <w:pPr>
        <w:ind w:left="567" w:hanging="567"/>
      </w:pPr>
      <w:rPr>
        <w:rFonts w:ascii="Arial" w:hAnsi="Arial"/>
        <w:b/>
        <w:i w:val="0"/>
        <w:color w:val="302683"/>
        <w:sz w:val="44"/>
        <w:u w:val="none" w:color="00B3E1"/>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F4A"/>
    <w:rsid w:val="00004E53"/>
    <w:rsid w:val="0006159B"/>
    <w:rsid w:val="000D19E5"/>
    <w:rsid w:val="0010453E"/>
    <w:rsid w:val="001204A2"/>
    <w:rsid w:val="00170B31"/>
    <w:rsid w:val="001842BD"/>
    <w:rsid w:val="001D2BC9"/>
    <w:rsid w:val="001D2C76"/>
    <w:rsid w:val="00257382"/>
    <w:rsid w:val="00257C3E"/>
    <w:rsid w:val="002957EE"/>
    <w:rsid w:val="00312734"/>
    <w:rsid w:val="00317151"/>
    <w:rsid w:val="003636AD"/>
    <w:rsid w:val="00374128"/>
    <w:rsid w:val="003A1003"/>
    <w:rsid w:val="004163AD"/>
    <w:rsid w:val="004364CC"/>
    <w:rsid w:val="00501E4A"/>
    <w:rsid w:val="00505A49"/>
    <w:rsid w:val="00566DA9"/>
    <w:rsid w:val="00580162"/>
    <w:rsid w:val="005F7836"/>
    <w:rsid w:val="006019E6"/>
    <w:rsid w:val="00653E42"/>
    <w:rsid w:val="006C2348"/>
    <w:rsid w:val="00702F9E"/>
    <w:rsid w:val="00710456"/>
    <w:rsid w:val="00723208"/>
    <w:rsid w:val="00743C46"/>
    <w:rsid w:val="0078095F"/>
    <w:rsid w:val="007A3B70"/>
    <w:rsid w:val="007B63A0"/>
    <w:rsid w:val="007E1C4C"/>
    <w:rsid w:val="007E57F6"/>
    <w:rsid w:val="007F3CF5"/>
    <w:rsid w:val="008469B5"/>
    <w:rsid w:val="008E1486"/>
    <w:rsid w:val="008E2015"/>
    <w:rsid w:val="008F7D32"/>
    <w:rsid w:val="00950B89"/>
    <w:rsid w:val="0095757D"/>
    <w:rsid w:val="00997D3B"/>
    <w:rsid w:val="009A2DD9"/>
    <w:rsid w:val="009C4898"/>
    <w:rsid w:val="009F33E7"/>
    <w:rsid w:val="00A85EEF"/>
    <w:rsid w:val="00A87524"/>
    <w:rsid w:val="00BC3DC4"/>
    <w:rsid w:val="00BF6C77"/>
    <w:rsid w:val="00C33B6A"/>
    <w:rsid w:val="00CA2F4A"/>
    <w:rsid w:val="00CA71EB"/>
    <w:rsid w:val="00CC3B86"/>
    <w:rsid w:val="00CE57A9"/>
    <w:rsid w:val="00D16D98"/>
    <w:rsid w:val="00D2240A"/>
    <w:rsid w:val="00D610D9"/>
    <w:rsid w:val="00D63D79"/>
    <w:rsid w:val="00D81C29"/>
    <w:rsid w:val="00D82C54"/>
    <w:rsid w:val="00D90932"/>
    <w:rsid w:val="00D951AA"/>
    <w:rsid w:val="00DB54E2"/>
    <w:rsid w:val="00DF2A5F"/>
    <w:rsid w:val="00E063F7"/>
    <w:rsid w:val="00E3088F"/>
    <w:rsid w:val="00E566F2"/>
    <w:rsid w:val="00E74A88"/>
    <w:rsid w:val="00E76DDB"/>
    <w:rsid w:val="00E91759"/>
    <w:rsid w:val="00EA49CA"/>
    <w:rsid w:val="00EA4DCF"/>
    <w:rsid w:val="00F472A0"/>
    <w:rsid w:val="00F579C9"/>
    <w:rsid w:val="00F93382"/>
    <w:rsid w:val="00FF35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16206"/>
  <w15:chartTrackingRefBased/>
  <w15:docId w15:val="{BF81E99E-0282-481E-A218-0BDDBECA7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003"/>
    <w:pPr>
      <w:spacing w:line="360" w:lineRule="auto"/>
      <w:jc w:val="both"/>
    </w:pPr>
    <w:rPr>
      <w:rFonts w:ascii="Arial" w:hAnsi="Arial"/>
    </w:rPr>
  </w:style>
  <w:style w:type="paragraph" w:styleId="Heading1">
    <w:name w:val="heading 1"/>
    <w:basedOn w:val="Normal"/>
    <w:next w:val="Normal"/>
    <w:link w:val="Heading1Char"/>
    <w:uiPriority w:val="9"/>
    <w:qFormat/>
    <w:rsid w:val="009F33E7"/>
    <w:pPr>
      <w:keepNext/>
      <w:keepLines/>
      <w:spacing w:before="360" w:after="80"/>
      <w:outlineLvl w:val="0"/>
    </w:pPr>
    <w:rPr>
      <w:rFonts w:eastAsiaTheme="majorEastAsia" w:cstheme="majorBidi"/>
      <w:b/>
      <w:color w:val="1F4E79" w:themeColor="accent1" w:themeShade="80"/>
      <w:sz w:val="36"/>
      <w:szCs w:val="40"/>
    </w:rPr>
  </w:style>
  <w:style w:type="paragraph" w:styleId="Heading2">
    <w:name w:val="heading 2"/>
    <w:basedOn w:val="Normal"/>
    <w:next w:val="Normal"/>
    <w:link w:val="Heading2Char"/>
    <w:uiPriority w:val="9"/>
    <w:unhideWhenUsed/>
    <w:qFormat/>
    <w:rsid w:val="00374128"/>
    <w:pPr>
      <w:keepNext/>
      <w:keepLines/>
      <w:spacing w:before="160" w:after="80"/>
      <w:outlineLvl w:val="1"/>
    </w:pPr>
    <w:rPr>
      <w:rFonts w:eastAsiaTheme="majorEastAsia" w:cstheme="majorBidi"/>
      <w:b/>
      <w:color w:val="2E74B5" w:themeColor="accent1" w:themeShade="BF"/>
      <w:sz w:val="28"/>
      <w:szCs w:val="32"/>
    </w:rPr>
  </w:style>
  <w:style w:type="paragraph" w:styleId="Heading3">
    <w:name w:val="heading 3"/>
    <w:basedOn w:val="Normal"/>
    <w:next w:val="Normal"/>
    <w:link w:val="Heading3Char"/>
    <w:uiPriority w:val="9"/>
    <w:semiHidden/>
    <w:unhideWhenUsed/>
    <w:qFormat/>
    <w:rsid w:val="007F3CF5"/>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F3CF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F3CF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7F3C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F3C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F3C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F3C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3E7"/>
    <w:rPr>
      <w:rFonts w:ascii="Times New Roman" w:eastAsiaTheme="majorEastAsia" w:hAnsi="Times New Roman" w:cstheme="majorBidi"/>
      <w:b/>
      <w:color w:val="1F4E79" w:themeColor="accent1" w:themeShade="80"/>
      <w:sz w:val="36"/>
      <w:szCs w:val="40"/>
    </w:rPr>
  </w:style>
  <w:style w:type="character" w:customStyle="1" w:styleId="Heading2Char">
    <w:name w:val="Heading 2 Char"/>
    <w:basedOn w:val="DefaultParagraphFont"/>
    <w:link w:val="Heading2"/>
    <w:uiPriority w:val="9"/>
    <w:rsid w:val="00374128"/>
    <w:rPr>
      <w:rFonts w:ascii="Times New Roman" w:eastAsiaTheme="majorEastAsia" w:hAnsi="Times New Roman" w:cstheme="majorBidi"/>
      <w:b/>
      <w:color w:val="2E74B5" w:themeColor="accent1" w:themeShade="BF"/>
      <w:sz w:val="28"/>
      <w:szCs w:val="32"/>
    </w:rPr>
  </w:style>
  <w:style w:type="character" w:customStyle="1" w:styleId="Heading3Char">
    <w:name w:val="Heading 3 Char"/>
    <w:basedOn w:val="DefaultParagraphFont"/>
    <w:link w:val="Heading3"/>
    <w:uiPriority w:val="9"/>
    <w:semiHidden/>
    <w:rsid w:val="007F3CF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F3CF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F3CF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F3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CF5"/>
    <w:rPr>
      <w:rFonts w:eastAsiaTheme="majorEastAsia" w:cstheme="majorBidi"/>
      <w:color w:val="272727" w:themeColor="text1" w:themeTint="D8"/>
    </w:rPr>
  </w:style>
  <w:style w:type="paragraph" w:styleId="Title">
    <w:name w:val="Title"/>
    <w:basedOn w:val="Normal"/>
    <w:next w:val="Normal"/>
    <w:link w:val="TitleChar"/>
    <w:uiPriority w:val="10"/>
    <w:qFormat/>
    <w:rsid w:val="007F3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C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CF5"/>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7F3CF5"/>
    <w:rPr>
      <w:b/>
      <w:bCs/>
    </w:rPr>
  </w:style>
  <w:style w:type="paragraph" w:styleId="ListParagraph">
    <w:name w:val="List Paragraph"/>
    <w:basedOn w:val="Normal"/>
    <w:uiPriority w:val="34"/>
    <w:qFormat/>
    <w:rsid w:val="007F3CF5"/>
    <w:pPr>
      <w:ind w:left="720"/>
      <w:contextualSpacing/>
    </w:pPr>
  </w:style>
  <w:style w:type="paragraph" w:styleId="Quote">
    <w:name w:val="Quote"/>
    <w:basedOn w:val="Normal"/>
    <w:next w:val="Normal"/>
    <w:link w:val="QuoteChar"/>
    <w:uiPriority w:val="29"/>
    <w:qFormat/>
    <w:rsid w:val="007F3CF5"/>
    <w:pPr>
      <w:spacing w:before="160"/>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7F3CF5"/>
    <w:rPr>
      <w:i/>
      <w:iCs/>
      <w:color w:val="404040" w:themeColor="text1" w:themeTint="BF"/>
    </w:rPr>
  </w:style>
  <w:style w:type="paragraph" w:styleId="IntenseQuote">
    <w:name w:val="Intense Quote"/>
    <w:basedOn w:val="Normal"/>
    <w:next w:val="Normal"/>
    <w:link w:val="IntenseQuoteChar"/>
    <w:uiPriority w:val="30"/>
    <w:qFormat/>
    <w:rsid w:val="007F3CF5"/>
    <w:pPr>
      <w:pBdr>
        <w:top w:val="single" w:sz="4" w:space="10" w:color="2E74B5" w:themeColor="accent1" w:themeShade="BF"/>
        <w:bottom w:val="single" w:sz="4" w:space="10" w:color="2E74B5" w:themeColor="accent1" w:themeShade="BF"/>
      </w:pBdr>
      <w:spacing w:before="360" w:after="360"/>
      <w:ind w:left="864" w:right="864"/>
      <w:jc w:val="center"/>
    </w:pPr>
    <w:rPr>
      <w:rFonts w:asciiTheme="minorHAnsi" w:hAnsiTheme="minorHAnsi"/>
      <w:i/>
      <w:iCs/>
      <w:color w:val="2E74B5" w:themeColor="accent1" w:themeShade="BF"/>
    </w:rPr>
  </w:style>
  <w:style w:type="character" w:customStyle="1" w:styleId="IntenseQuoteChar">
    <w:name w:val="Intense Quote Char"/>
    <w:basedOn w:val="DefaultParagraphFont"/>
    <w:link w:val="IntenseQuote"/>
    <w:uiPriority w:val="30"/>
    <w:rsid w:val="007F3CF5"/>
    <w:rPr>
      <w:i/>
      <w:iCs/>
      <w:color w:val="2E74B5" w:themeColor="accent1" w:themeShade="BF"/>
    </w:rPr>
  </w:style>
  <w:style w:type="character" w:styleId="IntenseEmphasis">
    <w:name w:val="Intense Emphasis"/>
    <w:basedOn w:val="DefaultParagraphFont"/>
    <w:uiPriority w:val="21"/>
    <w:qFormat/>
    <w:rsid w:val="007F3CF5"/>
    <w:rPr>
      <w:i/>
      <w:iCs/>
      <w:color w:val="2E74B5" w:themeColor="accent1" w:themeShade="BF"/>
    </w:rPr>
  </w:style>
  <w:style w:type="character" w:styleId="IntenseReference">
    <w:name w:val="Intense Reference"/>
    <w:basedOn w:val="DefaultParagraphFont"/>
    <w:uiPriority w:val="32"/>
    <w:qFormat/>
    <w:rsid w:val="007F3CF5"/>
    <w:rPr>
      <w:b/>
      <w:bCs/>
      <w:smallCaps/>
      <w:color w:val="2E74B5" w:themeColor="accent1" w:themeShade="BF"/>
      <w:spacing w:val="5"/>
    </w:rPr>
  </w:style>
  <w:style w:type="paragraph" w:styleId="Header">
    <w:name w:val="header"/>
    <w:basedOn w:val="Normal"/>
    <w:link w:val="HeaderChar"/>
    <w:uiPriority w:val="99"/>
    <w:unhideWhenUsed/>
    <w:rsid w:val="00D81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C29"/>
    <w:rPr>
      <w:rFonts w:ascii="Times New Roman" w:hAnsi="Times New Roman"/>
    </w:rPr>
  </w:style>
  <w:style w:type="paragraph" w:styleId="Footer">
    <w:name w:val="footer"/>
    <w:basedOn w:val="Normal"/>
    <w:link w:val="FooterChar"/>
    <w:uiPriority w:val="99"/>
    <w:unhideWhenUsed/>
    <w:rsid w:val="00D81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C29"/>
    <w:rPr>
      <w:rFonts w:ascii="Times New Roman" w:hAnsi="Times New Roman"/>
    </w:rPr>
  </w:style>
  <w:style w:type="table" w:styleId="TableGrid">
    <w:name w:val="Table Grid"/>
    <w:basedOn w:val="TableNormal"/>
    <w:uiPriority w:val="39"/>
    <w:rsid w:val="00EA4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EA4D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C33B6A"/>
    <w:rPr>
      <w:color w:val="0563C1" w:themeColor="hyperlink"/>
      <w:u w:val="single"/>
    </w:rPr>
  </w:style>
  <w:style w:type="character" w:styleId="Emphasis">
    <w:name w:val="Emphasis"/>
    <w:basedOn w:val="DefaultParagraphFont"/>
    <w:uiPriority w:val="20"/>
    <w:qFormat/>
    <w:rsid w:val="00EA49CA"/>
    <w:rPr>
      <w:i/>
      <w:iCs/>
    </w:rPr>
  </w:style>
  <w:style w:type="paragraph" w:styleId="TOCHeading">
    <w:name w:val="TOC Heading"/>
    <w:basedOn w:val="Heading1"/>
    <w:next w:val="Normal"/>
    <w:uiPriority w:val="39"/>
    <w:unhideWhenUsed/>
    <w:qFormat/>
    <w:rsid w:val="00257382"/>
    <w:pPr>
      <w:spacing w:before="240" w:after="0" w:line="259" w:lineRule="auto"/>
      <w:jc w:val="left"/>
      <w:outlineLvl w:val="9"/>
    </w:pPr>
    <w:rPr>
      <w:rFonts w:asciiTheme="majorHAnsi" w:hAnsiTheme="majorHAnsi"/>
      <w:b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257382"/>
    <w:pPr>
      <w:spacing w:after="100"/>
    </w:pPr>
  </w:style>
  <w:style w:type="paragraph" w:styleId="TOC2">
    <w:name w:val="toc 2"/>
    <w:basedOn w:val="Normal"/>
    <w:next w:val="Normal"/>
    <w:autoRedefine/>
    <w:uiPriority w:val="39"/>
    <w:unhideWhenUsed/>
    <w:rsid w:val="0025738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0629">
      <w:bodyDiv w:val="1"/>
      <w:marLeft w:val="0"/>
      <w:marRight w:val="0"/>
      <w:marTop w:val="0"/>
      <w:marBottom w:val="0"/>
      <w:divBdr>
        <w:top w:val="none" w:sz="0" w:space="0" w:color="auto"/>
        <w:left w:val="none" w:sz="0" w:space="0" w:color="auto"/>
        <w:bottom w:val="none" w:sz="0" w:space="0" w:color="auto"/>
        <w:right w:val="none" w:sz="0" w:space="0" w:color="auto"/>
      </w:divBdr>
    </w:div>
    <w:div w:id="53436932">
      <w:bodyDiv w:val="1"/>
      <w:marLeft w:val="0"/>
      <w:marRight w:val="0"/>
      <w:marTop w:val="0"/>
      <w:marBottom w:val="0"/>
      <w:divBdr>
        <w:top w:val="none" w:sz="0" w:space="0" w:color="auto"/>
        <w:left w:val="none" w:sz="0" w:space="0" w:color="auto"/>
        <w:bottom w:val="none" w:sz="0" w:space="0" w:color="auto"/>
        <w:right w:val="none" w:sz="0" w:space="0" w:color="auto"/>
      </w:divBdr>
      <w:divsChild>
        <w:div w:id="160660395">
          <w:marLeft w:val="0"/>
          <w:marRight w:val="0"/>
          <w:marTop w:val="0"/>
          <w:marBottom w:val="0"/>
          <w:divBdr>
            <w:top w:val="none" w:sz="0" w:space="0" w:color="auto"/>
            <w:left w:val="none" w:sz="0" w:space="0" w:color="auto"/>
            <w:bottom w:val="none" w:sz="0" w:space="0" w:color="auto"/>
            <w:right w:val="none" w:sz="0" w:space="0" w:color="auto"/>
          </w:divBdr>
          <w:divsChild>
            <w:div w:id="210471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31623">
      <w:bodyDiv w:val="1"/>
      <w:marLeft w:val="0"/>
      <w:marRight w:val="0"/>
      <w:marTop w:val="0"/>
      <w:marBottom w:val="0"/>
      <w:divBdr>
        <w:top w:val="none" w:sz="0" w:space="0" w:color="auto"/>
        <w:left w:val="none" w:sz="0" w:space="0" w:color="auto"/>
        <w:bottom w:val="none" w:sz="0" w:space="0" w:color="auto"/>
        <w:right w:val="none" w:sz="0" w:space="0" w:color="auto"/>
      </w:divBdr>
    </w:div>
    <w:div w:id="216749442">
      <w:bodyDiv w:val="1"/>
      <w:marLeft w:val="0"/>
      <w:marRight w:val="0"/>
      <w:marTop w:val="0"/>
      <w:marBottom w:val="0"/>
      <w:divBdr>
        <w:top w:val="none" w:sz="0" w:space="0" w:color="auto"/>
        <w:left w:val="none" w:sz="0" w:space="0" w:color="auto"/>
        <w:bottom w:val="none" w:sz="0" w:space="0" w:color="auto"/>
        <w:right w:val="none" w:sz="0" w:space="0" w:color="auto"/>
      </w:divBdr>
    </w:div>
    <w:div w:id="306328596">
      <w:bodyDiv w:val="1"/>
      <w:marLeft w:val="0"/>
      <w:marRight w:val="0"/>
      <w:marTop w:val="0"/>
      <w:marBottom w:val="0"/>
      <w:divBdr>
        <w:top w:val="none" w:sz="0" w:space="0" w:color="auto"/>
        <w:left w:val="none" w:sz="0" w:space="0" w:color="auto"/>
        <w:bottom w:val="none" w:sz="0" w:space="0" w:color="auto"/>
        <w:right w:val="none" w:sz="0" w:space="0" w:color="auto"/>
      </w:divBdr>
    </w:div>
    <w:div w:id="338509392">
      <w:bodyDiv w:val="1"/>
      <w:marLeft w:val="0"/>
      <w:marRight w:val="0"/>
      <w:marTop w:val="0"/>
      <w:marBottom w:val="0"/>
      <w:divBdr>
        <w:top w:val="none" w:sz="0" w:space="0" w:color="auto"/>
        <w:left w:val="none" w:sz="0" w:space="0" w:color="auto"/>
        <w:bottom w:val="none" w:sz="0" w:space="0" w:color="auto"/>
        <w:right w:val="none" w:sz="0" w:space="0" w:color="auto"/>
      </w:divBdr>
    </w:div>
    <w:div w:id="352150332">
      <w:bodyDiv w:val="1"/>
      <w:marLeft w:val="0"/>
      <w:marRight w:val="0"/>
      <w:marTop w:val="0"/>
      <w:marBottom w:val="0"/>
      <w:divBdr>
        <w:top w:val="none" w:sz="0" w:space="0" w:color="auto"/>
        <w:left w:val="none" w:sz="0" w:space="0" w:color="auto"/>
        <w:bottom w:val="none" w:sz="0" w:space="0" w:color="auto"/>
        <w:right w:val="none" w:sz="0" w:space="0" w:color="auto"/>
      </w:divBdr>
    </w:div>
    <w:div w:id="360982055">
      <w:bodyDiv w:val="1"/>
      <w:marLeft w:val="0"/>
      <w:marRight w:val="0"/>
      <w:marTop w:val="0"/>
      <w:marBottom w:val="0"/>
      <w:divBdr>
        <w:top w:val="none" w:sz="0" w:space="0" w:color="auto"/>
        <w:left w:val="none" w:sz="0" w:space="0" w:color="auto"/>
        <w:bottom w:val="none" w:sz="0" w:space="0" w:color="auto"/>
        <w:right w:val="none" w:sz="0" w:space="0" w:color="auto"/>
      </w:divBdr>
    </w:div>
    <w:div w:id="424234324">
      <w:bodyDiv w:val="1"/>
      <w:marLeft w:val="0"/>
      <w:marRight w:val="0"/>
      <w:marTop w:val="0"/>
      <w:marBottom w:val="0"/>
      <w:divBdr>
        <w:top w:val="none" w:sz="0" w:space="0" w:color="auto"/>
        <w:left w:val="none" w:sz="0" w:space="0" w:color="auto"/>
        <w:bottom w:val="none" w:sz="0" w:space="0" w:color="auto"/>
        <w:right w:val="none" w:sz="0" w:space="0" w:color="auto"/>
      </w:divBdr>
    </w:div>
    <w:div w:id="517933638">
      <w:bodyDiv w:val="1"/>
      <w:marLeft w:val="0"/>
      <w:marRight w:val="0"/>
      <w:marTop w:val="0"/>
      <w:marBottom w:val="0"/>
      <w:divBdr>
        <w:top w:val="none" w:sz="0" w:space="0" w:color="auto"/>
        <w:left w:val="none" w:sz="0" w:space="0" w:color="auto"/>
        <w:bottom w:val="none" w:sz="0" w:space="0" w:color="auto"/>
        <w:right w:val="none" w:sz="0" w:space="0" w:color="auto"/>
      </w:divBdr>
    </w:div>
    <w:div w:id="533615655">
      <w:bodyDiv w:val="1"/>
      <w:marLeft w:val="0"/>
      <w:marRight w:val="0"/>
      <w:marTop w:val="0"/>
      <w:marBottom w:val="0"/>
      <w:divBdr>
        <w:top w:val="none" w:sz="0" w:space="0" w:color="auto"/>
        <w:left w:val="none" w:sz="0" w:space="0" w:color="auto"/>
        <w:bottom w:val="none" w:sz="0" w:space="0" w:color="auto"/>
        <w:right w:val="none" w:sz="0" w:space="0" w:color="auto"/>
      </w:divBdr>
      <w:divsChild>
        <w:div w:id="406344140">
          <w:marLeft w:val="0"/>
          <w:marRight w:val="0"/>
          <w:marTop w:val="0"/>
          <w:marBottom w:val="0"/>
          <w:divBdr>
            <w:top w:val="none" w:sz="0" w:space="0" w:color="auto"/>
            <w:left w:val="none" w:sz="0" w:space="0" w:color="auto"/>
            <w:bottom w:val="none" w:sz="0" w:space="0" w:color="auto"/>
            <w:right w:val="none" w:sz="0" w:space="0" w:color="auto"/>
          </w:divBdr>
          <w:divsChild>
            <w:div w:id="67758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07233">
      <w:bodyDiv w:val="1"/>
      <w:marLeft w:val="0"/>
      <w:marRight w:val="0"/>
      <w:marTop w:val="0"/>
      <w:marBottom w:val="0"/>
      <w:divBdr>
        <w:top w:val="none" w:sz="0" w:space="0" w:color="auto"/>
        <w:left w:val="none" w:sz="0" w:space="0" w:color="auto"/>
        <w:bottom w:val="none" w:sz="0" w:space="0" w:color="auto"/>
        <w:right w:val="none" w:sz="0" w:space="0" w:color="auto"/>
      </w:divBdr>
      <w:divsChild>
        <w:div w:id="1286960567">
          <w:marLeft w:val="0"/>
          <w:marRight w:val="0"/>
          <w:marTop w:val="0"/>
          <w:marBottom w:val="0"/>
          <w:divBdr>
            <w:top w:val="none" w:sz="0" w:space="0" w:color="auto"/>
            <w:left w:val="none" w:sz="0" w:space="0" w:color="auto"/>
            <w:bottom w:val="none" w:sz="0" w:space="0" w:color="auto"/>
            <w:right w:val="none" w:sz="0" w:space="0" w:color="auto"/>
          </w:divBdr>
          <w:divsChild>
            <w:div w:id="155715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11217">
      <w:bodyDiv w:val="1"/>
      <w:marLeft w:val="0"/>
      <w:marRight w:val="0"/>
      <w:marTop w:val="0"/>
      <w:marBottom w:val="0"/>
      <w:divBdr>
        <w:top w:val="none" w:sz="0" w:space="0" w:color="auto"/>
        <w:left w:val="none" w:sz="0" w:space="0" w:color="auto"/>
        <w:bottom w:val="none" w:sz="0" w:space="0" w:color="auto"/>
        <w:right w:val="none" w:sz="0" w:space="0" w:color="auto"/>
      </w:divBdr>
    </w:div>
    <w:div w:id="690689914">
      <w:bodyDiv w:val="1"/>
      <w:marLeft w:val="0"/>
      <w:marRight w:val="0"/>
      <w:marTop w:val="0"/>
      <w:marBottom w:val="0"/>
      <w:divBdr>
        <w:top w:val="none" w:sz="0" w:space="0" w:color="auto"/>
        <w:left w:val="none" w:sz="0" w:space="0" w:color="auto"/>
        <w:bottom w:val="none" w:sz="0" w:space="0" w:color="auto"/>
        <w:right w:val="none" w:sz="0" w:space="0" w:color="auto"/>
      </w:divBdr>
    </w:div>
    <w:div w:id="695885366">
      <w:bodyDiv w:val="1"/>
      <w:marLeft w:val="0"/>
      <w:marRight w:val="0"/>
      <w:marTop w:val="0"/>
      <w:marBottom w:val="0"/>
      <w:divBdr>
        <w:top w:val="none" w:sz="0" w:space="0" w:color="auto"/>
        <w:left w:val="none" w:sz="0" w:space="0" w:color="auto"/>
        <w:bottom w:val="none" w:sz="0" w:space="0" w:color="auto"/>
        <w:right w:val="none" w:sz="0" w:space="0" w:color="auto"/>
      </w:divBdr>
    </w:div>
    <w:div w:id="767388679">
      <w:bodyDiv w:val="1"/>
      <w:marLeft w:val="0"/>
      <w:marRight w:val="0"/>
      <w:marTop w:val="0"/>
      <w:marBottom w:val="0"/>
      <w:divBdr>
        <w:top w:val="none" w:sz="0" w:space="0" w:color="auto"/>
        <w:left w:val="none" w:sz="0" w:space="0" w:color="auto"/>
        <w:bottom w:val="none" w:sz="0" w:space="0" w:color="auto"/>
        <w:right w:val="none" w:sz="0" w:space="0" w:color="auto"/>
      </w:divBdr>
    </w:div>
    <w:div w:id="787773417">
      <w:bodyDiv w:val="1"/>
      <w:marLeft w:val="0"/>
      <w:marRight w:val="0"/>
      <w:marTop w:val="0"/>
      <w:marBottom w:val="0"/>
      <w:divBdr>
        <w:top w:val="none" w:sz="0" w:space="0" w:color="auto"/>
        <w:left w:val="none" w:sz="0" w:space="0" w:color="auto"/>
        <w:bottom w:val="none" w:sz="0" w:space="0" w:color="auto"/>
        <w:right w:val="none" w:sz="0" w:space="0" w:color="auto"/>
      </w:divBdr>
    </w:div>
    <w:div w:id="1103840681">
      <w:bodyDiv w:val="1"/>
      <w:marLeft w:val="0"/>
      <w:marRight w:val="0"/>
      <w:marTop w:val="0"/>
      <w:marBottom w:val="0"/>
      <w:divBdr>
        <w:top w:val="none" w:sz="0" w:space="0" w:color="auto"/>
        <w:left w:val="none" w:sz="0" w:space="0" w:color="auto"/>
        <w:bottom w:val="none" w:sz="0" w:space="0" w:color="auto"/>
        <w:right w:val="none" w:sz="0" w:space="0" w:color="auto"/>
      </w:divBdr>
    </w:div>
    <w:div w:id="1135947672">
      <w:bodyDiv w:val="1"/>
      <w:marLeft w:val="0"/>
      <w:marRight w:val="0"/>
      <w:marTop w:val="0"/>
      <w:marBottom w:val="0"/>
      <w:divBdr>
        <w:top w:val="none" w:sz="0" w:space="0" w:color="auto"/>
        <w:left w:val="none" w:sz="0" w:space="0" w:color="auto"/>
        <w:bottom w:val="none" w:sz="0" w:space="0" w:color="auto"/>
        <w:right w:val="none" w:sz="0" w:space="0" w:color="auto"/>
      </w:divBdr>
    </w:div>
    <w:div w:id="1139809297">
      <w:bodyDiv w:val="1"/>
      <w:marLeft w:val="0"/>
      <w:marRight w:val="0"/>
      <w:marTop w:val="0"/>
      <w:marBottom w:val="0"/>
      <w:divBdr>
        <w:top w:val="none" w:sz="0" w:space="0" w:color="auto"/>
        <w:left w:val="none" w:sz="0" w:space="0" w:color="auto"/>
        <w:bottom w:val="none" w:sz="0" w:space="0" w:color="auto"/>
        <w:right w:val="none" w:sz="0" w:space="0" w:color="auto"/>
      </w:divBdr>
    </w:div>
    <w:div w:id="1312752205">
      <w:bodyDiv w:val="1"/>
      <w:marLeft w:val="0"/>
      <w:marRight w:val="0"/>
      <w:marTop w:val="0"/>
      <w:marBottom w:val="0"/>
      <w:divBdr>
        <w:top w:val="none" w:sz="0" w:space="0" w:color="auto"/>
        <w:left w:val="none" w:sz="0" w:space="0" w:color="auto"/>
        <w:bottom w:val="none" w:sz="0" w:space="0" w:color="auto"/>
        <w:right w:val="none" w:sz="0" w:space="0" w:color="auto"/>
      </w:divBdr>
    </w:div>
    <w:div w:id="1372219019">
      <w:bodyDiv w:val="1"/>
      <w:marLeft w:val="0"/>
      <w:marRight w:val="0"/>
      <w:marTop w:val="0"/>
      <w:marBottom w:val="0"/>
      <w:divBdr>
        <w:top w:val="none" w:sz="0" w:space="0" w:color="auto"/>
        <w:left w:val="none" w:sz="0" w:space="0" w:color="auto"/>
        <w:bottom w:val="none" w:sz="0" w:space="0" w:color="auto"/>
        <w:right w:val="none" w:sz="0" w:space="0" w:color="auto"/>
      </w:divBdr>
    </w:div>
    <w:div w:id="1397825792">
      <w:bodyDiv w:val="1"/>
      <w:marLeft w:val="0"/>
      <w:marRight w:val="0"/>
      <w:marTop w:val="0"/>
      <w:marBottom w:val="0"/>
      <w:divBdr>
        <w:top w:val="none" w:sz="0" w:space="0" w:color="auto"/>
        <w:left w:val="none" w:sz="0" w:space="0" w:color="auto"/>
        <w:bottom w:val="none" w:sz="0" w:space="0" w:color="auto"/>
        <w:right w:val="none" w:sz="0" w:space="0" w:color="auto"/>
      </w:divBdr>
    </w:div>
    <w:div w:id="1407218096">
      <w:bodyDiv w:val="1"/>
      <w:marLeft w:val="0"/>
      <w:marRight w:val="0"/>
      <w:marTop w:val="0"/>
      <w:marBottom w:val="0"/>
      <w:divBdr>
        <w:top w:val="none" w:sz="0" w:space="0" w:color="auto"/>
        <w:left w:val="none" w:sz="0" w:space="0" w:color="auto"/>
        <w:bottom w:val="none" w:sz="0" w:space="0" w:color="auto"/>
        <w:right w:val="none" w:sz="0" w:space="0" w:color="auto"/>
      </w:divBdr>
      <w:divsChild>
        <w:div w:id="540943178">
          <w:marLeft w:val="0"/>
          <w:marRight w:val="0"/>
          <w:marTop w:val="0"/>
          <w:marBottom w:val="0"/>
          <w:divBdr>
            <w:top w:val="none" w:sz="0" w:space="0" w:color="auto"/>
            <w:left w:val="none" w:sz="0" w:space="0" w:color="auto"/>
            <w:bottom w:val="none" w:sz="0" w:space="0" w:color="auto"/>
            <w:right w:val="none" w:sz="0" w:space="0" w:color="auto"/>
          </w:divBdr>
          <w:divsChild>
            <w:div w:id="113567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95800">
      <w:bodyDiv w:val="1"/>
      <w:marLeft w:val="0"/>
      <w:marRight w:val="0"/>
      <w:marTop w:val="0"/>
      <w:marBottom w:val="0"/>
      <w:divBdr>
        <w:top w:val="none" w:sz="0" w:space="0" w:color="auto"/>
        <w:left w:val="none" w:sz="0" w:space="0" w:color="auto"/>
        <w:bottom w:val="none" w:sz="0" w:space="0" w:color="auto"/>
        <w:right w:val="none" w:sz="0" w:space="0" w:color="auto"/>
      </w:divBdr>
    </w:div>
    <w:div w:id="1498500466">
      <w:bodyDiv w:val="1"/>
      <w:marLeft w:val="0"/>
      <w:marRight w:val="0"/>
      <w:marTop w:val="0"/>
      <w:marBottom w:val="0"/>
      <w:divBdr>
        <w:top w:val="none" w:sz="0" w:space="0" w:color="auto"/>
        <w:left w:val="none" w:sz="0" w:space="0" w:color="auto"/>
        <w:bottom w:val="none" w:sz="0" w:space="0" w:color="auto"/>
        <w:right w:val="none" w:sz="0" w:space="0" w:color="auto"/>
      </w:divBdr>
    </w:div>
    <w:div w:id="1560246817">
      <w:bodyDiv w:val="1"/>
      <w:marLeft w:val="0"/>
      <w:marRight w:val="0"/>
      <w:marTop w:val="0"/>
      <w:marBottom w:val="0"/>
      <w:divBdr>
        <w:top w:val="none" w:sz="0" w:space="0" w:color="auto"/>
        <w:left w:val="none" w:sz="0" w:space="0" w:color="auto"/>
        <w:bottom w:val="none" w:sz="0" w:space="0" w:color="auto"/>
        <w:right w:val="none" w:sz="0" w:space="0" w:color="auto"/>
      </w:divBdr>
    </w:div>
    <w:div w:id="1584023651">
      <w:bodyDiv w:val="1"/>
      <w:marLeft w:val="0"/>
      <w:marRight w:val="0"/>
      <w:marTop w:val="0"/>
      <w:marBottom w:val="0"/>
      <w:divBdr>
        <w:top w:val="none" w:sz="0" w:space="0" w:color="auto"/>
        <w:left w:val="none" w:sz="0" w:space="0" w:color="auto"/>
        <w:bottom w:val="none" w:sz="0" w:space="0" w:color="auto"/>
        <w:right w:val="none" w:sz="0" w:space="0" w:color="auto"/>
      </w:divBdr>
    </w:div>
    <w:div w:id="1610509743">
      <w:bodyDiv w:val="1"/>
      <w:marLeft w:val="0"/>
      <w:marRight w:val="0"/>
      <w:marTop w:val="0"/>
      <w:marBottom w:val="0"/>
      <w:divBdr>
        <w:top w:val="none" w:sz="0" w:space="0" w:color="auto"/>
        <w:left w:val="none" w:sz="0" w:space="0" w:color="auto"/>
        <w:bottom w:val="none" w:sz="0" w:space="0" w:color="auto"/>
        <w:right w:val="none" w:sz="0" w:space="0" w:color="auto"/>
      </w:divBdr>
    </w:div>
    <w:div w:id="1613827094">
      <w:bodyDiv w:val="1"/>
      <w:marLeft w:val="0"/>
      <w:marRight w:val="0"/>
      <w:marTop w:val="0"/>
      <w:marBottom w:val="0"/>
      <w:divBdr>
        <w:top w:val="none" w:sz="0" w:space="0" w:color="auto"/>
        <w:left w:val="none" w:sz="0" w:space="0" w:color="auto"/>
        <w:bottom w:val="none" w:sz="0" w:space="0" w:color="auto"/>
        <w:right w:val="none" w:sz="0" w:space="0" w:color="auto"/>
      </w:divBdr>
    </w:div>
    <w:div w:id="1697853087">
      <w:bodyDiv w:val="1"/>
      <w:marLeft w:val="0"/>
      <w:marRight w:val="0"/>
      <w:marTop w:val="0"/>
      <w:marBottom w:val="0"/>
      <w:divBdr>
        <w:top w:val="none" w:sz="0" w:space="0" w:color="auto"/>
        <w:left w:val="none" w:sz="0" w:space="0" w:color="auto"/>
        <w:bottom w:val="none" w:sz="0" w:space="0" w:color="auto"/>
        <w:right w:val="none" w:sz="0" w:space="0" w:color="auto"/>
      </w:divBdr>
      <w:divsChild>
        <w:div w:id="323630500">
          <w:marLeft w:val="0"/>
          <w:marRight w:val="0"/>
          <w:marTop w:val="0"/>
          <w:marBottom w:val="0"/>
          <w:divBdr>
            <w:top w:val="none" w:sz="0" w:space="0" w:color="auto"/>
            <w:left w:val="none" w:sz="0" w:space="0" w:color="auto"/>
            <w:bottom w:val="none" w:sz="0" w:space="0" w:color="auto"/>
            <w:right w:val="none" w:sz="0" w:space="0" w:color="auto"/>
          </w:divBdr>
          <w:divsChild>
            <w:div w:id="37685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88613">
      <w:bodyDiv w:val="1"/>
      <w:marLeft w:val="0"/>
      <w:marRight w:val="0"/>
      <w:marTop w:val="0"/>
      <w:marBottom w:val="0"/>
      <w:divBdr>
        <w:top w:val="none" w:sz="0" w:space="0" w:color="auto"/>
        <w:left w:val="none" w:sz="0" w:space="0" w:color="auto"/>
        <w:bottom w:val="none" w:sz="0" w:space="0" w:color="auto"/>
        <w:right w:val="none" w:sz="0" w:space="0" w:color="auto"/>
      </w:divBdr>
      <w:divsChild>
        <w:div w:id="1537625043">
          <w:marLeft w:val="0"/>
          <w:marRight w:val="0"/>
          <w:marTop w:val="0"/>
          <w:marBottom w:val="0"/>
          <w:divBdr>
            <w:top w:val="none" w:sz="0" w:space="0" w:color="auto"/>
            <w:left w:val="none" w:sz="0" w:space="0" w:color="auto"/>
            <w:bottom w:val="none" w:sz="0" w:space="0" w:color="auto"/>
            <w:right w:val="none" w:sz="0" w:space="0" w:color="auto"/>
          </w:divBdr>
          <w:divsChild>
            <w:div w:id="192310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273670">
      <w:bodyDiv w:val="1"/>
      <w:marLeft w:val="0"/>
      <w:marRight w:val="0"/>
      <w:marTop w:val="0"/>
      <w:marBottom w:val="0"/>
      <w:divBdr>
        <w:top w:val="none" w:sz="0" w:space="0" w:color="auto"/>
        <w:left w:val="none" w:sz="0" w:space="0" w:color="auto"/>
        <w:bottom w:val="none" w:sz="0" w:space="0" w:color="auto"/>
        <w:right w:val="none" w:sz="0" w:space="0" w:color="auto"/>
      </w:divBdr>
    </w:div>
    <w:div w:id="1925383320">
      <w:bodyDiv w:val="1"/>
      <w:marLeft w:val="0"/>
      <w:marRight w:val="0"/>
      <w:marTop w:val="0"/>
      <w:marBottom w:val="0"/>
      <w:divBdr>
        <w:top w:val="none" w:sz="0" w:space="0" w:color="auto"/>
        <w:left w:val="none" w:sz="0" w:space="0" w:color="auto"/>
        <w:bottom w:val="none" w:sz="0" w:space="0" w:color="auto"/>
        <w:right w:val="none" w:sz="0" w:space="0" w:color="auto"/>
      </w:divBdr>
    </w:div>
    <w:div w:id="1958826460">
      <w:bodyDiv w:val="1"/>
      <w:marLeft w:val="0"/>
      <w:marRight w:val="0"/>
      <w:marTop w:val="0"/>
      <w:marBottom w:val="0"/>
      <w:divBdr>
        <w:top w:val="none" w:sz="0" w:space="0" w:color="auto"/>
        <w:left w:val="none" w:sz="0" w:space="0" w:color="auto"/>
        <w:bottom w:val="none" w:sz="0" w:space="0" w:color="auto"/>
        <w:right w:val="none" w:sz="0" w:space="0" w:color="auto"/>
      </w:divBdr>
    </w:div>
    <w:div w:id="195914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51310218" TargetMode="External"/><Relationship Id="rId18" Type="http://schemas.openxmlformats.org/officeDocument/2006/relationships/hyperlink" Target="https://doi.org/10.47191/ijcsrr/v6-i7-47" TargetMode="External"/><Relationship Id="rId26" Type="http://schemas.openxmlformats.org/officeDocument/2006/relationships/hyperlink" Target="https://doi.org/10.1088/1755-1315/1511/1/012005" TargetMode="External"/><Relationship Id="rId39" Type="http://schemas.openxmlformats.org/officeDocument/2006/relationships/hyperlink" Target="https://doi.org/10.1787/5bf13192-en" TargetMode="External"/><Relationship Id="rId21" Type="http://schemas.openxmlformats.org/officeDocument/2006/relationships/hyperlink" Target="https://doi.org/10.1108/ir-01-2022-0022" TargetMode="External"/><Relationship Id="rId34" Type="http://schemas.openxmlformats.org/officeDocument/2006/relationships/hyperlink" Target="https://doi.org/10.1504/ijatm.2023.10059315" TargetMode="External"/><Relationship Id="rId42" Type="http://schemas.openxmlformats.org/officeDocument/2006/relationships/hyperlink" Target="https://doi.org/10.61173/jwx37s35" TargetMode="External"/><Relationship Id="rId47" Type="http://schemas.openxmlformats.org/officeDocument/2006/relationships/hyperlink" Target="https://doi.org/10.1504/ijatm.2023.10060522" TargetMode="External"/><Relationship Id="rId50" Type="http://schemas.openxmlformats.org/officeDocument/2006/relationships/hyperlink" Target="https://doi.org/10.1101/2023.09.06.23295135" TargetMode="External"/><Relationship Id="rId55" Type="http://schemas.openxmlformats.org/officeDocument/2006/relationships/hyperlink" Target="https://doi.org/10.1093/oxrep/grab044" TargetMode="External"/><Relationship Id="rId63" Type="http://schemas.openxmlformats.org/officeDocument/2006/relationships/hyperlink" Target="https://doi.org/10.61173/3nnc0k35" TargetMode="External"/><Relationship Id="rId68" Type="http://schemas.openxmlformats.org/officeDocument/2006/relationships/hyperlink" Target="https://doi.org/10.1002/aenm.202200383" TargetMode="External"/><Relationship Id="rId76" Type="http://schemas.openxmlformats.org/officeDocument/2006/relationships/hyperlink" Target="https://www.zap-map.com" TargetMode="External"/><Relationship Id="rId7" Type="http://schemas.openxmlformats.org/officeDocument/2006/relationships/endnotes" Target="endnotes.xml"/><Relationship Id="rId71" Type="http://schemas.openxmlformats.org/officeDocument/2006/relationships/hyperlink" Target="https://www.gov.uk" TargetMode="External"/><Relationship Id="rId2" Type="http://schemas.openxmlformats.org/officeDocument/2006/relationships/numbering" Target="numbering.xml"/><Relationship Id="rId16" Type="http://schemas.openxmlformats.org/officeDocument/2006/relationships/hyperlink" Target="https://doi.org/10.1088/1748-9326/ada6de" TargetMode="External"/><Relationship Id="rId29" Type="http://schemas.openxmlformats.org/officeDocument/2006/relationships/hyperlink" Target="https://doi.org/10.3390/su16145855" TargetMode="External"/><Relationship Id="rId11" Type="http://schemas.openxmlformats.org/officeDocument/2006/relationships/image" Target="media/image4.png"/><Relationship Id="rId24" Type="http://schemas.openxmlformats.org/officeDocument/2006/relationships/hyperlink" Target="https://doi.org/10.1371/journal.pone.0328563" TargetMode="External"/><Relationship Id="rId32" Type="http://schemas.openxmlformats.org/officeDocument/2006/relationships/hyperlink" Target="https://doi.org/10.1089/scc.2025.0017" TargetMode="External"/><Relationship Id="rId37" Type="http://schemas.openxmlformats.org/officeDocument/2006/relationships/hyperlink" Target="https://doi.org/10.21203/rs.3.rs-5508657/v1" TargetMode="External"/><Relationship Id="rId40" Type="http://schemas.openxmlformats.org/officeDocument/2006/relationships/hyperlink" Target="https://doi.org/10.1787/77cd54d8-en" TargetMode="External"/><Relationship Id="rId45" Type="http://schemas.openxmlformats.org/officeDocument/2006/relationships/hyperlink" Target="https://doi.org/10.3390/wevj6041054" TargetMode="External"/><Relationship Id="rId53" Type="http://schemas.openxmlformats.org/officeDocument/2006/relationships/hyperlink" Target="https://doi.org/10.22617/brf240251-2" TargetMode="External"/><Relationship Id="rId58" Type="http://schemas.openxmlformats.org/officeDocument/2006/relationships/hyperlink" Target="https://doi.org/10.3390/su12051906" TargetMode="External"/><Relationship Id="rId66" Type="http://schemas.openxmlformats.org/officeDocument/2006/relationships/hyperlink" Target="https://doi.org/10.1111/inm.12927" TargetMode="External"/><Relationship Id="rId74" Type="http://schemas.openxmlformats.org/officeDocument/2006/relationships/hyperlink" Target="https://www.smmt.co.uk"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111/lamp.12285" TargetMode="External"/><Relationship Id="rId10" Type="http://schemas.openxmlformats.org/officeDocument/2006/relationships/image" Target="media/image3.png"/><Relationship Id="rId19" Type="http://schemas.openxmlformats.org/officeDocument/2006/relationships/hyperlink" Target="https://doi.org/10.5089/9781513561264.001" TargetMode="External"/><Relationship Id="rId31" Type="http://schemas.openxmlformats.org/officeDocument/2006/relationships/hyperlink" Target="https://doi.org/10.22158/mmse.v6n2p53" TargetMode="External"/><Relationship Id="rId44" Type="http://schemas.openxmlformats.org/officeDocument/2006/relationships/hyperlink" Target="https://doi.org/10.1002/sd.3499" TargetMode="External"/><Relationship Id="rId52" Type="http://schemas.openxmlformats.org/officeDocument/2006/relationships/hyperlink" Target="https://doi.org/10.1787/f6625f01-en" TargetMode="External"/><Relationship Id="rId60" Type="http://schemas.openxmlformats.org/officeDocument/2006/relationships/hyperlink" Target="https://doi.org/10.1136/bmjstel-2020-000817" TargetMode="External"/><Relationship Id="rId65" Type="http://schemas.openxmlformats.org/officeDocument/2006/relationships/hyperlink" Target="https://doi.org/10.1002/app5.70050" TargetMode="External"/><Relationship Id="rId73" Type="http://schemas.openxmlformats.org/officeDocument/2006/relationships/hyperlink" Target="https://www.mckinsey.co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6948/ijfmr.2024.v06i05.28772" TargetMode="External"/><Relationship Id="rId22" Type="http://schemas.openxmlformats.org/officeDocument/2006/relationships/hyperlink" Target="https://doi.org/10.1177/08969205241239872" TargetMode="External"/><Relationship Id="rId27" Type="http://schemas.openxmlformats.org/officeDocument/2006/relationships/hyperlink" Target="https://doi.org/10.1002/wcc.70012" TargetMode="External"/><Relationship Id="rId30" Type="http://schemas.openxmlformats.org/officeDocument/2006/relationships/hyperlink" Target="https://doi.org/10.1002/est2.70244" TargetMode="External"/><Relationship Id="rId35" Type="http://schemas.openxmlformats.org/officeDocument/2006/relationships/hyperlink" Target="https://doi.org/10.1051/e3sconf/202346602009" TargetMode="External"/><Relationship Id="rId43" Type="http://schemas.openxmlformats.org/officeDocument/2006/relationships/hyperlink" Target="https://doi.org/10.1002/wene.70017" TargetMode="External"/><Relationship Id="rId48" Type="http://schemas.openxmlformats.org/officeDocument/2006/relationships/hyperlink" Target="https://doi.org/10.1504/ijatm.2023.10060522" TargetMode="External"/><Relationship Id="rId56" Type="http://schemas.openxmlformats.org/officeDocument/2006/relationships/hyperlink" Target="https://doi.org/10.58344/locus.v3i8.3072" TargetMode="External"/><Relationship Id="rId64" Type="http://schemas.openxmlformats.org/officeDocument/2006/relationships/hyperlink" Target="https://doi.org/10.1177/2158244020988286" TargetMode="External"/><Relationship Id="rId69" Type="http://schemas.openxmlformats.org/officeDocument/2006/relationships/hyperlink" Target="https://doi.org/10.3389/fsufs.2020.536392"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21203/rs.3.rs-6973843/v1" TargetMode="External"/><Relationship Id="rId72" Type="http://schemas.openxmlformats.org/officeDocument/2006/relationships/hyperlink" Target="https://www.iea.org"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2991/assehr.k.210121.146" TargetMode="External"/><Relationship Id="rId25" Type="http://schemas.openxmlformats.org/officeDocument/2006/relationships/hyperlink" Target="https://doi.org/10.31273/eirj.v10i1.362" TargetMode="External"/><Relationship Id="rId33" Type="http://schemas.openxmlformats.org/officeDocument/2006/relationships/hyperlink" Target="https://doi.org/10.3390/su16041570" TargetMode="External"/><Relationship Id="rId38" Type="http://schemas.openxmlformats.org/officeDocument/2006/relationships/hyperlink" Target="https://doi.org/10.1016/j.rser.2020.110076" TargetMode="External"/><Relationship Id="rId46" Type="http://schemas.openxmlformats.org/officeDocument/2006/relationships/hyperlink" Target="https://doi.org/10.22617/spr230100-2" TargetMode="External"/><Relationship Id="rId59" Type="http://schemas.openxmlformats.org/officeDocument/2006/relationships/hyperlink" Target="https://doi.org/10.3386/w29093" TargetMode="External"/><Relationship Id="rId67" Type="http://schemas.openxmlformats.org/officeDocument/2006/relationships/hyperlink" Target="https://doi.org/10.32920/19157906.v1" TargetMode="External"/><Relationship Id="rId20" Type="http://schemas.openxmlformats.org/officeDocument/2006/relationships/hyperlink" Target="https://doi.org/10.1049/itr2.12564" TargetMode="External"/><Relationship Id="rId41" Type="http://schemas.openxmlformats.org/officeDocument/2006/relationships/hyperlink" Target="https://doi.org/10.21203/rs.3.rs-7049504/v1" TargetMode="External"/><Relationship Id="rId54" Type="http://schemas.openxmlformats.org/officeDocument/2006/relationships/hyperlink" Target="https://doi.org/10.20944/preprints202408.1098.v1" TargetMode="External"/><Relationship Id="rId62" Type="http://schemas.openxmlformats.org/officeDocument/2006/relationships/hyperlink" Target="https://doi.org/10.1136/bmjopen-2020-038617" TargetMode="External"/><Relationship Id="rId70" Type="http://schemas.openxmlformats.org/officeDocument/2006/relationships/hyperlink" Target="https://doi.org/10.1111/pafo.70000" TargetMode="External"/><Relationship Id="rId75" Type="http://schemas.openxmlformats.org/officeDocument/2006/relationships/hyperlink" Target="https://www.volkswagen-group.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7/s0003055424000364" TargetMode="External"/><Relationship Id="rId23" Type="http://schemas.openxmlformats.org/officeDocument/2006/relationships/hyperlink" Target="https://doi.org/10.1002/bse.3023" TargetMode="External"/><Relationship Id="rId28" Type="http://schemas.openxmlformats.org/officeDocument/2006/relationships/hyperlink" Target="https://doi.org/10.3390/futuretransp1020018" TargetMode="External"/><Relationship Id="rId36" Type="http://schemas.openxmlformats.org/officeDocument/2006/relationships/hyperlink" Target="https://doi.org/10.1111/risa.13793" TargetMode="External"/><Relationship Id="rId49" Type="http://schemas.openxmlformats.org/officeDocument/2006/relationships/hyperlink" Target="https://doi.org/10.3390/en15030942" TargetMode="External"/><Relationship Id="rId57" Type="http://schemas.openxmlformats.org/officeDocument/2006/relationships/hyperlink" Target="https://doi.org/10.33476/jeba.v7i2.3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8CA8A-55F0-45D4-92B4-6BD0EA03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28</Pages>
  <Words>8220</Words>
  <Characters>46854</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55</cp:revision>
  <dcterms:created xsi:type="dcterms:W3CDTF">2026-04-25T09:42:00Z</dcterms:created>
  <dcterms:modified xsi:type="dcterms:W3CDTF">2026-04-26T06:27:00Z</dcterms:modified>
</cp:coreProperties>
</file>