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ECF7E" w14:textId="0F3E906B" w:rsidR="00944994" w:rsidRDefault="00944994" w:rsidP="00EE6737">
      <w:pPr>
        <w:pStyle w:val="Heading1"/>
        <w:jc w:val="center"/>
      </w:pPr>
      <w:r>
        <w:t>Progress for Economic Anthropology</w:t>
      </w:r>
      <w:r w:rsidR="00CF36A6">
        <w:t>?</w:t>
      </w:r>
    </w:p>
    <w:p w14:paraId="3A0B1CC5" w14:textId="77777777" w:rsidR="00944994" w:rsidRDefault="00944994" w:rsidP="00944994"/>
    <w:p w14:paraId="5C071ACD" w14:textId="11D495EF" w:rsidR="00A63E92" w:rsidRDefault="00DD1E3A" w:rsidP="00944994">
      <w:r>
        <w:t>Starting with on</w:t>
      </w:r>
      <w:r w:rsidR="00A63E92">
        <w:t>e possibl</w:t>
      </w:r>
      <w:r w:rsidR="00240D97">
        <w:t xml:space="preserve">y obvious </w:t>
      </w:r>
      <w:r w:rsidR="00A63E92">
        <w:t>conclusion</w:t>
      </w:r>
    </w:p>
    <w:p w14:paraId="5339CCF9" w14:textId="47297967" w:rsidR="00EE6737" w:rsidRDefault="00944994" w:rsidP="00944994">
      <w:r>
        <w:t xml:space="preserve">Hann and Hart trace some of the origins of Economic Anthropology to the Islamic </w:t>
      </w:r>
      <w:r w:rsidR="00FD315C">
        <w:t>influence o</w:t>
      </w:r>
      <w:r w:rsidR="000F3A63">
        <w:t>n</w:t>
      </w:r>
      <w:r w:rsidR="00FD315C">
        <w:t xml:space="preserve"> western economic </w:t>
      </w:r>
      <w:r>
        <w:t>thought. They cite a prominent Persian thinker, Al-Ghazali (1058 – 1111) whose view was that ‘justice, peace and stability are the necessary preconditions for the establishment of economic progress</w:t>
      </w:r>
      <w:r w:rsidR="002B4135">
        <w:t>’</w:t>
      </w:r>
      <w:r w:rsidR="008B0CC1">
        <w:rPr>
          <w:rStyle w:val="FootnoteReference"/>
        </w:rPr>
        <w:footnoteReference w:id="1"/>
      </w:r>
      <w:r>
        <w:t>.</w:t>
      </w:r>
      <w:r w:rsidR="008B0CC1">
        <w:t xml:space="preserve"> </w:t>
      </w:r>
      <w:r w:rsidR="00EE6737">
        <w:t>Al-Ghazali classified production into ‘necessities, comforts and luxuries’</w:t>
      </w:r>
      <w:r w:rsidR="00EE6737">
        <w:rPr>
          <w:rStyle w:val="FootnoteReference"/>
        </w:rPr>
        <w:footnoteReference w:id="2"/>
      </w:r>
      <w:r w:rsidR="00FD315C">
        <w:t xml:space="preserve"> which </w:t>
      </w:r>
      <w:r w:rsidR="00EE6737">
        <w:t xml:space="preserve">provides a </w:t>
      </w:r>
      <w:r w:rsidR="000F3A63">
        <w:t xml:space="preserve">useful </w:t>
      </w:r>
      <w:r w:rsidR="00EE6737">
        <w:t>yardstick by which to measure the change across time or the “progress” of the economic conditions of society.</w:t>
      </w:r>
      <w:r w:rsidR="00FD315C">
        <w:t xml:space="preserve"> </w:t>
      </w:r>
      <w:r w:rsidR="00EE6737">
        <w:t xml:space="preserve">However </w:t>
      </w:r>
      <w:r w:rsidR="00647F06">
        <w:t>‘</w:t>
      </w:r>
      <w:r w:rsidR="00EE6737">
        <w:t>justice, peace and stability</w:t>
      </w:r>
      <w:r w:rsidR="00647F06">
        <w:t>’</w:t>
      </w:r>
      <w:r w:rsidR="00EE6737">
        <w:t xml:space="preserve"> </w:t>
      </w:r>
      <w:r w:rsidR="00FD315C">
        <w:t xml:space="preserve">are </w:t>
      </w:r>
      <w:r w:rsidR="00647F06">
        <w:t xml:space="preserve">arguably </w:t>
      </w:r>
      <w:r w:rsidR="00FD315C">
        <w:t xml:space="preserve">conditions not met in many places </w:t>
      </w:r>
      <w:r w:rsidR="00896D9C">
        <w:t xml:space="preserve">in today’s interconnected </w:t>
      </w:r>
      <w:r w:rsidR="00FD315C">
        <w:t>world</w:t>
      </w:r>
      <w:r w:rsidR="00366E16">
        <w:rPr>
          <w:rStyle w:val="FootnoteReference"/>
        </w:rPr>
        <w:footnoteReference w:id="3"/>
      </w:r>
      <w:r w:rsidR="00472136">
        <w:t>. T</w:t>
      </w:r>
      <w:r w:rsidR="00FD315C">
        <w:t xml:space="preserve">herefore </w:t>
      </w:r>
      <w:r w:rsidR="00366E16">
        <w:t xml:space="preserve">can </w:t>
      </w:r>
      <w:r w:rsidR="00FD315C">
        <w:t>we</w:t>
      </w:r>
      <w:r w:rsidR="00647F06">
        <w:t xml:space="preserve"> </w:t>
      </w:r>
      <w:r w:rsidR="00FD315C">
        <w:t xml:space="preserve">argue that at this moment in time </w:t>
      </w:r>
      <w:r w:rsidR="000F3A63">
        <w:t>by these millennium</w:t>
      </w:r>
      <w:r w:rsidR="00472136">
        <w:t>-</w:t>
      </w:r>
      <w:r w:rsidR="000F3A63">
        <w:t>old criteria it i</w:t>
      </w:r>
      <w:r w:rsidR="00FD315C">
        <w:t>s not meaningful to speak of human progress through the ages</w:t>
      </w:r>
      <w:r w:rsidR="000F3A63">
        <w:t xml:space="preserve"> b</w:t>
      </w:r>
      <w:r w:rsidR="00FD315C">
        <w:t>ecause the</w:t>
      </w:r>
      <w:r w:rsidR="00472136">
        <w:t xml:space="preserve"> most </w:t>
      </w:r>
      <w:r w:rsidR="00FD315C">
        <w:t>basic</w:t>
      </w:r>
      <w:r w:rsidR="00472136">
        <w:t xml:space="preserve"> </w:t>
      </w:r>
      <w:r w:rsidR="00FD315C">
        <w:t xml:space="preserve">standards </w:t>
      </w:r>
      <w:r w:rsidR="00A63E92">
        <w:t xml:space="preserve">for measuring </w:t>
      </w:r>
      <w:r w:rsidR="00366E16">
        <w:t>“</w:t>
      </w:r>
      <w:r w:rsidR="00A63E92">
        <w:t>progress</w:t>
      </w:r>
      <w:r w:rsidR="00366E16">
        <w:t>”</w:t>
      </w:r>
      <w:r w:rsidR="00A63E92">
        <w:t xml:space="preserve"> </w:t>
      </w:r>
      <w:r w:rsidR="00FD315C">
        <w:t>have yet to be met</w:t>
      </w:r>
      <w:r w:rsidR="00366E16">
        <w:t>?</w:t>
      </w:r>
    </w:p>
    <w:p w14:paraId="402CB6BB" w14:textId="1BE2AB2C" w:rsidR="000F3A63" w:rsidRDefault="00366E16" w:rsidP="00944994">
      <w:r>
        <w:t>Therefore, p</w:t>
      </w:r>
      <w:r w:rsidR="00A63E92">
        <w:t>roceeding in the absence of conclusion</w:t>
      </w:r>
    </w:p>
    <w:p w14:paraId="4426153F" w14:textId="3AD3DF95" w:rsidR="00DD1E3A" w:rsidRDefault="00366E16" w:rsidP="00944994">
      <w:r>
        <w:t>T</w:t>
      </w:r>
      <w:r w:rsidR="00647F06">
        <w:t xml:space="preserve">o proceed we have to ignore that possible conclusion and focus </w:t>
      </w:r>
      <w:r w:rsidR="00896D9C">
        <w:t xml:space="preserve">instead </w:t>
      </w:r>
      <w:r w:rsidR="00647F06">
        <w:t xml:space="preserve">on the fundamentals of the economic </w:t>
      </w:r>
      <w:r w:rsidR="002B1AC1">
        <w:t>approach</w:t>
      </w:r>
      <w:r w:rsidR="00647F06">
        <w:t xml:space="preserve">. Clearly the application of </w:t>
      </w:r>
      <w:r w:rsidR="00896D9C">
        <w:t xml:space="preserve">the discipline of </w:t>
      </w:r>
      <w:r w:rsidR="00647F06">
        <w:t xml:space="preserve">economics towards society requires ascribing monetary or other financial value to the activities </w:t>
      </w:r>
      <w:r w:rsidR="002B1AC1">
        <w:t xml:space="preserve">of society and </w:t>
      </w:r>
      <w:r w:rsidR="00647F06">
        <w:t>David Graber</w:t>
      </w:r>
      <w:r w:rsidR="00896D9C">
        <w:t xml:space="preserve"> makes </w:t>
      </w:r>
      <w:r w:rsidR="002B1AC1">
        <w:t xml:space="preserve">some </w:t>
      </w:r>
      <w:r w:rsidR="00896D9C">
        <w:t xml:space="preserve">helpful </w:t>
      </w:r>
      <w:r w:rsidR="002B1AC1">
        <w:t>distinctions</w:t>
      </w:r>
      <w:r w:rsidR="00240D97">
        <w:t xml:space="preserve"> in this regard</w:t>
      </w:r>
      <w:r w:rsidR="002B1AC1">
        <w:t xml:space="preserve">. He distinguishes between </w:t>
      </w:r>
      <w:r w:rsidR="00896D9C">
        <w:t>‘</w:t>
      </w:r>
      <w:r w:rsidR="002B1AC1">
        <w:t xml:space="preserve">value” in the economic sense and </w:t>
      </w:r>
      <w:r w:rsidR="00896D9C">
        <w:t>‘</w:t>
      </w:r>
      <w:r w:rsidR="002B1AC1">
        <w:t>values</w:t>
      </w:r>
      <w:r w:rsidR="00896D9C">
        <w:t>’</w:t>
      </w:r>
      <w:r w:rsidR="002B1AC1">
        <w:t xml:space="preserve"> in the social sense</w:t>
      </w:r>
      <w:r>
        <w:t xml:space="preserve">. Furthermore he argues </w:t>
      </w:r>
      <w:r w:rsidR="002B1AC1">
        <w:t xml:space="preserve">where labour or wage earning is concerned, we are looking exclusively at </w:t>
      </w:r>
      <w:r w:rsidR="00896D9C">
        <w:t>‘</w:t>
      </w:r>
      <w:r w:rsidR="002B1AC1">
        <w:t>the economy</w:t>
      </w:r>
      <w:r w:rsidR="00896D9C">
        <w:t>’</w:t>
      </w:r>
      <w:r w:rsidR="002B1AC1">
        <w:t xml:space="preserve"> or </w:t>
      </w:r>
      <w:r w:rsidR="00896D9C">
        <w:t>‘</w:t>
      </w:r>
      <w:r w:rsidR="002B1AC1">
        <w:t>the market</w:t>
      </w:r>
      <w:r w:rsidR="00896D9C">
        <w:t>’</w:t>
      </w:r>
      <w:r w:rsidR="002B1AC1">
        <w:t xml:space="preserve"> which operates according to the </w:t>
      </w:r>
      <w:r w:rsidR="00896D9C">
        <w:t>‘</w:t>
      </w:r>
      <w:r w:rsidR="002B1AC1">
        <w:t>law of value</w:t>
      </w:r>
      <w:r w:rsidR="00896D9C">
        <w:t>’</w:t>
      </w:r>
      <w:r w:rsidR="00240D97">
        <w:t xml:space="preserve"> and which we often measure in units of money</w:t>
      </w:r>
      <w:r w:rsidR="00896D9C">
        <w:t>:</w:t>
      </w:r>
      <w:r w:rsidR="002B1AC1">
        <w:t xml:space="preserve"> all other human activities he defines as </w:t>
      </w:r>
      <w:r w:rsidR="00896D9C">
        <w:t>‘</w:t>
      </w:r>
      <w:r w:rsidR="002B1AC1">
        <w:t>the domain of values</w:t>
      </w:r>
      <w:r w:rsidR="00240D97">
        <w:t>,</w:t>
      </w:r>
      <w:r w:rsidR="00896D9C">
        <w:t>’</w:t>
      </w:r>
      <w:r w:rsidR="00896D9C">
        <w:rPr>
          <w:rStyle w:val="FootnoteReference"/>
        </w:rPr>
        <w:footnoteReference w:id="4"/>
      </w:r>
      <w:r w:rsidR="002B1AC1">
        <w:t xml:space="preserve"> </w:t>
      </w:r>
      <w:r w:rsidR="00240D97">
        <w:t>meaning of course, cultural and moral values.</w:t>
      </w:r>
      <w:r>
        <w:t xml:space="preserve"> So we’ll go with that.</w:t>
      </w:r>
    </w:p>
    <w:p w14:paraId="5493FC0C" w14:textId="344E33A2" w:rsidR="00240D97" w:rsidRDefault="00505CFA" w:rsidP="00944994">
      <w:r>
        <w:t>Polanyi and the Formal / Substantive Dichotomy</w:t>
      </w:r>
    </w:p>
    <w:p w14:paraId="371F9CC0" w14:textId="558D5E3F" w:rsidR="00505CFA" w:rsidRDefault="00505CFA" w:rsidP="00944994">
      <w:r>
        <w:t xml:space="preserve">Although critical of the shortcomings of both formal and substantive approaches, Hann and Hart point out that </w:t>
      </w:r>
      <w:r w:rsidR="009B7216">
        <w:t xml:space="preserve">in </w:t>
      </w:r>
      <w:r>
        <w:t xml:space="preserve">Polanyi’s </w:t>
      </w:r>
      <w:r w:rsidR="003634C6">
        <w:t xml:space="preserve">substantive </w:t>
      </w:r>
      <w:r w:rsidR="009B7216">
        <w:t xml:space="preserve">view </w:t>
      </w:r>
      <w:r>
        <w:t xml:space="preserve">‘reciprocity, redistribution and householding’ were more important </w:t>
      </w:r>
      <w:r w:rsidR="00205758">
        <w:t xml:space="preserve">and/or valuable </w:t>
      </w:r>
      <w:r>
        <w:t>than the concept of a “free market” in preindustrial societies</w:t>
      </w:r>
      <w:r>
        <w:rPr>
          <w:rStyle w:val="FootnoteReference"/>
        </w:rPr>
        <w:footnoteReference w:id="5"/>
      </w:r>
      <w:r>
        <w:t xml:space="preserve">. </w:t>
      </w:r>
      <w:r w:rsidR="00CB419F">
        <w:t>Reciprocity and redistribution were part of a linear trace, with reciprocity (which includes barter) being prevalent in more primitive societies and redistribution being the province of a more stratified society</w:t>
      </w:r>
      <w:r w:rsidR="00CB419F">
        <w:rPr>
          <w:rStyle w:val="FootnoteReference"/>
        </w:rPr>
        <w:footnoteReference w:id="6"/>
      </w:r>
      <w:r w:rsidR="00CB419F">
        <w:t xml:space="preserve">. </w:t>
      </w:r>
      <w:r w:rsidR="00DC6A89">
        <w:t xml:space="preserve">The substantive view of money according to Polanyi was that it was ‘one of the three fictious commodities’ </w:t>
      </w:r>
      <w:r w:rsidR="00120EE5">
        <w:t>(the other two being land and labour</w:t>
      </w:r>
      <w:r w:rsidR="00120EE5">
        <w:rPr>
          <w:rStyle w:val="FootnoteReference"/>
        </w:rPr>
        <w:footnoteReference w:id="7"/>
      </w:r>
      <w:r w:rsidR="00120EE5">
        <w:t xml:space="preserve">) </w:t>
      </w:r>
      <w:r w:rsidR="00366E16">
        <w:t xml:space="preserve">which </w:t>
      </w:r>
      <w:r w:rsidR="00DC6A89">
        <w:t>not only argued that a free market in money equated to buying and selling society itself</w:t>
      </w:r>
      <w:r w:rsidR="00DC6A89">
        <w:rPr>
          <w:rStyle w:val="FootnoteReference"/>
        </w:rPr>
        <w:footnoteReference w:id="8"/>
      </w:r>
      <w:r w:rsidR="00DC6A89">
        <w:t xml:space="preserve"> but also that money was invented to facilitate long distance trade and was often ‘introduced from outside’</w:t>
      </w:r>
      <w:r w:rsidR="003634C6">
        <w:rPr>
          <w:rStyle w:val="FootnoteReference"/>
        </w:rPr>
        <w:footnoteReference w:id="9"/>
      </w:r>
      <w:r w:rsidR="00DC6A89">
        <w:t xml:space="preserve">, </w:t>
      </w:r>
      <w:r w:rsidR="003634C6">
        <w:t xml:space="preserve">impugning it with a negative connotation for society. Irrespective of that, the net result of these arguments has done little to detract from the over </w:t>
      </w:r>
      <w:r w:rsidR="003634C6">
        <w:lastRenderedPageBreak/>
        <w:t xml:space="preserve">emphasis on the importance of Wall Street (as a </w:t>
      </w:r>
      <w:r w:rsidR="00120EE5">
        <w:t xml:space="preserve">contemporary </w:t>
      </w:r>
      <w:r w:rsidR="003634C6">
        <w:t xml:space="preserve">pseudonym for </w:t>
      </w:r>
      <w:r w:rsidR="00120EE5">
        <w:t>“</w:t>
      </w:r>
      <w:r w:rsidR="003634C6">
        <w:t>the market”) in the USA today</w:t>
      </w:r>
      <w:r w:rsidR="001E5608">
        <w:t xml:space="preserve"> with its concomitant boom and bust cycle</w:t>
      </w:r>
      <w:r w:rsidR="00492CFD">
        <w:rPr>
          <w:rStyle w:val="FootnoteReference"/>
        </w:rPr>
        <w:footnoteReference w:id="10"/>
      </w:r>
      <w:r w:rsidR="001E5608">
        <w:t>.</w:t>
      </w:r>
    </w:p>
    <w:p w14:paraId="1F521C88" w14:textId="2778D72D" w:rsidR="00A63E92" w:rsidRDefault="001E5608" w:rsidP="00944994">
      <w:r>
        <w:t>Money</w:t>
      </w:r>
      <w:r w:rsidR="00AB33C2">
        <w:t>,</w:t>
      </w:r>
      <w:r>
        <w:t xml:space="preserve"> money</w:t>
      </w:r>
      <w:r w:rsidR="00AB33C2">
        <w:t>,</w:t>
      </w:r>
      <w:r>
        <w:t xml:space="preserve"> money</w:t>
      </w:r>
    </w:p>
    <w:p w14:paraId="7144B907" w14:textId="4EBF059D" w:rsidR="001E5608" w:rsidRDefault="00120EE5" w:rsidP="00944994">
      <w:r>
        <w:t>Money’s central part in economics and economic anthropology requires a little discussion</w:t>
      </w:r>
      <w:r w:rsidR="003F6F0C">
        <w:t xml:space="preserve">. </w:t>
      </w:r>
      <w:r>
        <w:t xml:space="preserve">I </w:t>
      </w:r>
      <w:r w:rsidR="003F6F0C">
        <w:t xml:space="preserve">prefer to use </w:t>
      </w:r>
      <w:r w:rsidR="0046031C">
        <w:t>a</w:t>
      </w:r>
      <w:r>
        <w:t xml:space="preserve"> working definition of money</w:t>
      </w:r>
      <w:r w:rsidR="003F6F0C">
        <w:t xml:space="preserve"> as</w:t>
      </w:r>
      <w:r w:rsidR="00FE31DB">
        <w:t xml:space="preserve"> </w:t>
      </w:r>
      <w:r w:rsidR="00CD0B02">
        <w:t>“</w:t>
      </w:r>
      <w:r w:rsidR="0046031C">
        <w:t>one’s right to purchase goods and services</w:t>
      </w:r>
      <w:r w:rsidR="00CD0B02">
        <w:t xml:space="preserve"> “</w:t>
      </w:r>
      <w:r w:rsidR="00FE31DB">
        <w:t xml:space="preserve">, </w:t>
      </w:r>
      <w:r w:rsidR="003F6F0C">
        <w:t xml:space="preserve">whereas Polyani distinguished two types, ‘token’ and ‘commodity’ </w:t>
      </w:r>
      <w:r w:rsidR="00FE31DB">
        <w:t xml:space="preserve">money, </w:t>
      </w:r>
      <w:r w:rsidR="003F6F0C">
        <w:t>which in my view is a confusing differentiation, but his token money ‘was purchasing power’</w:t>
      </w:r>
      <w:r w:rsidR="003F6F0C">
        <w:rPr>
          <w:rStyle w:val="FootnoteReference"/>
        </w:rPr>
        <w:footnoteReference w:id="11"/>
      </w:r>
      <w:r w:rsidR="00FE31DB">
        <w:t xml:space="preserve"> so I think we agree on one basic</w:t>
      </w:r>
      <w:r w:rsidR="00AB33C2">
        <w:t xml:space="preserve"> </w:t>
      </w:r>
      <w:r w:rsidR="00366E16">
        <w:t>thing</w:t>
      </w:r>
      <w:r w:rsidR="00FE31DB">
        <w:t xml:space="preserve">. The idea of money being </w:t>
      </w:r>
      <w:r w:rsidR="00CD0B02">
        <w:t>a</w:t>
      </w:r>
      <w:r w:rsidR="00FE31DB">
        <w:t xml:space="preserve"> commodity complicates the definition of commodity. Ideally</w:t>
      </w:r>
      <w:r w:rsidR="00AB33C2">
        <w:t xml:space="preserve"> for the purposes of ascribing value,</w:t>
      </w:r>
      <w:r w:rsidR="00FE31DB">
        <w:t xml:space="preserve"> a unit of money </w:t>
      </w:r>
      <w:r w:rsidR="00AB33C2">
        <w:t xml:space="preserve">should </w:t>
      </w:r>
      <w:r w:rsidR="00FE31DB">
        <w:t>represent a standard unit of purchasing power, which originally was linked to the precious metals gold, silver, bronze and copper</w:t>
      </w:r>
      <w:r w:rsidR="00FE31DB">
        <w:rPr>
          <w:rStyle w:val="FootnoteReference"/>
        </w:rPr>
        <w:footnoteReference w:id="12"/>
      </w:r>
      <w:r w:rsidR="00FE31DB">
        <w:t>.</w:t>
      </w:r>
      <w:r w:rsidR="00CD0B02">
        <w:t xml:space="preserve"> </w:t>
      </w:r>
      <w:r w:rsidR="008406DB">
        <w:t>One of the challenges facing economic anthropology is to ascribe monetary value to pre-industrial societies, which Polanyi addressed by arguing that ‘only national monopoly currencies combined the functions of payment, standard, store and exchange’</w:t>
      </w:r>
      <w:r w:rsidR="008406DB">
        <w:rPr>
          <w:rStyle w:val="FootnoteReference"/>
        </w:rPr>
        <w:footnoteReference w:id="13"/>
      </w:r>
      <w:r w:rsidR="008406DB">
        <w:t xml:space="preserve">, whilst more primitive </w:t>
      </w:r>
      <w:r w:rsidR="00AB33C2">
        <w:t>forms were used for special, specific purchasing purposes and should therefore be ‘considered to be ‘special-purpose’ monies</w:t>
      </w:r>
      <w:r w:rsidR="00AB33C2">
        <w:rPr>
          <w:rStyle w:val="FootnoteReference"/>
        </w:rPr>
        <w:footnoteReference w:id="14"/>
      </w:r>
      <w:r w:rsidR="00AB33C2">
        <w:t>, which are not so generalisable.</w:t>
      </w:r>
      <w:r w:rsidR="00366E16">
        <w:t xml:space="preserve"> If you can’t ascribe a value </w:t>
      </w:r>
      <w:r w:rsidR="003C08C8">
        <w:t>it makes the assessment of progress very difficult.</w:t>
      </w:r>
    </w:p>
    <w:p w14:paraId="4F64FD2B" w14:textId="6A1E269F" w:rsidR="00AB33C2" w:rsidRDefault="00AB33C2" w:rsidP="00944994">
      <w:r>
        <w:t>Technological progress</w:t>
      </w:r>
      <w:r w:rsidR="003C08C8">
        <w:t>: I like dental floss</w:t>
      </w:r>
    </w:p>
    <w:p w14:paraId="446F0ED6" w14:textId="77777777" w:rsidR="0026575D" w:rsidRDefault="003C08C8" w:rsidP="0026575D">
      <w:r>
        <w:t>Dying from tooth decay was a very common experience in the past</w:t>
      </w:r>
      <w:r w:rsidR="00FA050B">
        <w:t xml:space="preserve"> and </w:t>
      </w:r>
      <w:r w:rsidR="00B20785">
        <w:t xml:space="preserve">although it </w:t>
      </w:r>
      <w:r w:rsidR="00FA050B">
        <w:t>can</w:t>
      </w:r>
      <w:r w:rsidR="00B20785">
        <w:t xml:space="preserve"> still </w:t>
      </w:r>
      <w:r w:rsidR="00FA050B">
        <w:t xml:space="preserve">be </w:t>
      </w:r>
      <w:r w:rsidR="00B20785">
        <w:t>a cause of death it’s not a leading cause</w:t>
      </w:r>
      <w:r w:rsidR="00FA050B">
        <w:t>. P</w:t>
      </w:r>
      <w:r w:rsidR="00B20785">
        <w:t xml:space="preserve">rior to antibiotics and surgery an infected tooth was </w:t>
      </w:r>
      <w:r w:rsidR="00FA050B">
        <w:t xml:space="preserve">too </w:t>
      </w:r>
      <w:r w:rsidR="00B20785">
        <w:t>often a death sentence</w:t>
      </w:r>
      <w:r w:rsidR="00FA050B">
        <w:rPr>
          <w:rStyle w:val="FootnoteReference"/>
        </w:rPr>
        <w:footnoteReference w:id="15"/>
      </w:r>
      <w:r w:rsidR="00B20785">
        <w:t xml:space="preserve">.  </w:t>
      </w:r>
      <w:r w:rsidR="00FA050B">
        <w:t xml:space="preserve">I also like warm showers, central heating, shops, personal transport, electricity and the internet. Five thousand years ago, the three stranded rope was so important that it got repeatedly mentioned in the Epic of Gilgamesh, along with </w:t>
      </w:r>
      <w:r w:rsidR="00194AF0">
        <w:t xml:space="preserve">many </w:t>
      </w:r>
      <w:r w:rsidR="00FA050B">
        <w:t xml:space="preserve">other technologies </w:t>
      </w:r>
      <w:r w:rsidR="00194AF0">
        <w:t>including ba</w:t>
      </w:r>
      <w:r w:rsidR="00FA050B">
        <w:t xml:space="preserve">sic metallurgy, </w:t>
      </w:r>
      <w:r w:rsidR="00457B0D">
        <w:t xml:space="preserve">tools of </w:t>
      </w:r>
      <w:r w:rsidR="00FA050B">
        <w:t>bronze and iron</w:t>
      </w:r>
      <w:r w:rsidR="00537AC3">
        <w:t>, etc</w:t>
      </w:r>
      <w:r w:rsidR="00537AC3">
        <w:rPr>
          <w:rStyle w:val="FootnoteReference"/>
        </w:rPr>
        <w:footnoteReference w:id="16"/>
      </w:r>
      <w:r w:rsidR="00FA050B">
        <w:t>.</w:t>
      </w:r>
      <w:r w:rsidR="00457B0D">
        <w:t xml:space="preserve"> </w:t>
      </w:r>
      <w:r w:rsidR="00DF3F55">
        <w:t xml:space="preserve">They were proud of their achievements. </w:t>
      </w:r>
      <w:r w:rsidR="00194AF0">
        <w:t>I think this is the easiest aspect of human progress to prove in a meaningful way</w:t>
      </w:r>
      <w:r w:rsidR="00537AC3">
        <w:t xml:space="preserve"> and the ease and facility with which we live our </w:t>
      </w:r>
      <w:r w:rsidR="00114243">
        <w:t xml:space="preserve">modern </w:t>
      </w:r>
      <w:r w:rsidR="00537AC3">
        <w:t xml:space="preserve">lives </w:t>
      </w:r>
      <w:r w:rsidR="00114243">
        <w:t xml:space="preserve">then  </w:t>
      </w:r>
      <w:r w:rsidR="00537AC3">
        <w:t xml:space="preserve">progress has </w:t>
      </w:r>
      <w:r w:rsidR="00114243">
        <w:t xml:space="preserve">definitely </w:t>
      </w:r>
      <w:r w:rsidR="00537AC3">
        <w:t>been made through the ages. It can be argued that there are still indigenous societies where these benefits have not yet reached, although all of these societies have benefitted in one way or another from the modernisation of the world.</w:t>
      </w:r>
    </w:p>
    <w:p w14:paraId="7BBD633A" w14:textId="410DAB3D" w:rsidR="00194AF0" w:rsidRDefault="00194AF0" w:rsidP="0026575D">
      <w:r>
        <w:t>Culture not so easy</w:t>
      </w:r>
    </w:p>
    <w:p w14:paraId="09397D27" w14:textId="66733C49" w:rsidR="006F3DF6" w:rsidRDefault="00537AC3" w:rsidP="00944994">
      <w:r>
        <w:t>Cultural progress is less easy to define</w:t>
      </w:r>
      <w:r w:rsidR="00CE29F7">
        <w:t xml:space="preserve">, </w:t>
      </w:r>
      <w:r w:rsidR="005A50CB">
        <w:t xml:space="preserve">although cultural relativism </w:t>
      </w:r>
      <w:r w:rsidR="00296773">
        <w:t xml:space="preserve">helps by examining the theoretical frameworks that can be used when trying to understand other cultures. </w:t>
      </w:r>
      <w:r w:rsidR="00A52F2D">
        <w:t xml:space="preserve">Historically ethnocentrism </w:t>
      </w:r>
      <w:r w:rsidR="00F74686">
        <w:t xml:space="preserve">has been </w:t>
      </w:r>
      <w:r w:rsidR="00A52F2D">
        <w:t xml:space="preserve">commonplace, </w:t>
      </w:r>
      <w:r w:rsidR="00A251B7">
        <w:t xml:space="preserve">with ethnographers despite going to great lengths to record copious intricate details of indigenous peoples’ lives </w:t>
      </w:r>
      <w:r w:rsidR="002B4135">
        <w:t xml:space="preserve">still </w:t>
      </w:r>
      <w:r w:rsidR="00A251B7">
        <w:t>regard</w:t>
      </w:r>
      <w:r w:rsidR="002B4135">
        <w:t xml:space="preserve">ed </w:t>
      </w:r>
      <w:r w:rsidR="00A251B7">
        <w:t xml:space="preserve">them as </w:t>
      </w:r>
      <w:r w:rsidR="002B4135">
        <w:t>‘</w:t>
      </w:r>
      <w:r w:rsidR="00A251B7">
        <w:t>primitive, irrational and superstitious</w:t>
      </w:r>
      <w:r w:rsidR="002B4135">
        <w:t>’</w:t>
      </w:r>
      <w:r w:rsidR="00A251B7">
        <w:rPr>
          <w:rStyle w:val="FootnoteReference"/>
        </w:rPr>
        <w:footnoteReference w:id="17"/>
      </w:r>
      <w:r w:rsidR="00A251B7">
        <w:t xml:space="preserve">.  </w:t>
      </w:r>
      <w:r w:rsidR="00F74686">
        <w:t xml:space="preserve">Geertz’s definition of anthropological relativism as ‘attentiveness to context’ is easy to understand </w:t>
      </w:r>
      <w:r w:rsidR="00F74686">
        <w:lastRenderedPageBreak/>
        <w:t>and to implement</w:t>
      </w:r>
      <w:r w:rsidR="002B4135">
        <w:t>.</w:t>
      </w:r>
      <w:r w:rsidR="00F74686">
        <w:rPr>
          <w:rStyle w:val="FootnoteReference"/>
        </w:rPr>
        <w:footnoteReference w:id="18"/>
      </w:r>
      <w:r w:rsidR="002B4135">
        <w:t xml:space="preserve"> F</w:t>
      </w:r>
      <w:r w:rsidR="00C829F2">
        <w:t>or example, if we consider the case of Homo Floresiensis</w:t>
      </w:r>
      <w:r w:rsidR="007245A1">
        <w:rPr>
          <w:rStyle w:val="FootnoteReference"/>
        </w:rPr>
        <w:footnoteReference w:id="19"/>
      </w:r>
      <w:r w:rsidR="00C829F2">
        <w:t xml:space="preserve"> (also known as the hobbit) </w:t>
      </w:r>
      <w:r w:rsidR="007245A1">
        <w:t xml:space="preserve">standing one metre tall with a brain about the size of a grapefruit, </w:t>
      </w:r>
      <w:r w:rsidR="006C3478">
        <w:t xml:space="preserve">there exists a story in the folklore of the island </w:t>
      </w:r>
      <w:r w:rsidR="00E47E3D">
        <w:t xml:space="preserve">of Flores </w:t>
      </w:r>
      <w:r w:rsidR="006C3478">
        <w:t xml:space="preserve">about a tiny race of </w:t>
      </w:r>
      <w:r w:rsidR="006F3DF6">
        <w:t>“people”</w:t>
      </w:r>
      <w:r w:rsidR="006C3478">
        <w:t xml:space="preserve">. They had their own language but when talking to the islanders </w:t>
      </w:r>
      <w:r w:rsidR="006F3DF6">
        <w:t>w</w:t>
      </w:r>
      <w:r w:rsidR="006C3478">
        <w:t xml:space="preserve">ould </w:t>
      </w:r>
      <w:r w:rsidR="00E47E3D">
        <w:t xml:space="preserve">echo </w:t>
      </w:r>
      <w:r w:rsidR="006C3478">
        <w:t>back to them their own speech</w:t>
      </w:r>
      <w:r w:rsidR="00E47E3D">
        <w:t xml:space="preserve">, presumably </w:t>
      </w:r>
      <w:r w:rsidR="006F3DF6">
        <w:t xml:space="preserve"> in order to learn</w:t>
      </w:r>
      <w:r w:rsidR="006C3478">
        <w:t>. The</w:t>
      </w:r>
      <w:r w:rsidR="00B67033">
        <w:t>y</w:t>
      </w:r>
      <w:r w:rsidR="006C3478">
        <w:t xml:space="preserve"> </w:t>
      </w:r>
      <w:r w:rsidR="006F3DF6">
        <w:t xml:space="preserve">were regarded as hostile because </w:t>
      </w:r>
      <w:r w:rsidR="00E47E3D">
        <w:t xml:space="preserve">of repeatedly </w:t>
      </w:r>
      <w:r w:rsidR="006C3478">
        <w:t xml:space="preserve">kidnapping </w:t>
      </w:r>
      <w:r w:rsidR="006F3DF6">
        <w:t>human</w:t>
      </w:r>
      <w:r w:rsidR="006C3478">
        <w:t xml:space="preserve"> children</w:t>
      </w:r>
      <w:r w:rsidR="00B67033">
        <w:t xml:space="preserve">, </w:t>
      </w:r>
      <w:r w:rsidR="00E47E3D">
        <w:t>who were always r</w:t>
      </w:r>
      <w:r w:rsidR="006F3DF6">
        <w:t>eturned unharmed</w:t>
      </w:r>
      <w:r w:rsidR="00B67033">
        <w:t>. T</w:t>
      </w:r>
      <w:r w:rsidR="006F3DF6">
        <w:t xml:space="preserve">he children reported that </w:t>
      </w:r>
      <w:r w:rsidR="006C3478">
        <w:t xml:space="preserve">they wanted to </w:t>
      </w:r>
      <w:r w:rsidR="00B67033">
        <w:t xml:space="preserve">learn </w:t>
      </w:r>
      <w:r w:rsidR="006C3478">
        <w:t>how to cook</w:t>
      </w:r>
      <w:r w:rsidR="00E47E3D">
        <w:t>, but were too small to capture an adult and unfortunately the children didn’t know either</w:t>
      </w:r>
      <w:r w:rsidR="006F3DF6">
        <w:t xml:space="preserve">. </w:t>
      </w:r>
    </w:p>
    <w:p w14:paraId="6D6E8C48" w14:textId="663E2956" w:rsidR="000F3A63" w:rsidRDefault="002B4135" w:rsidP="00944994">
      <w:r>
        <w:t>Since so m</w:t>
      </w:r>
      <w:r w:rsidR="006F3DF6">
        <w:t>any indigenous societies developed complete</w:t>
      </w:r>
      <w:r>
        <w:t xml:space="preserve">ly independently </w:t>
      </w:r>
      <w:r w:rsidR="006F3DF6">
        <w:t>cooking</w:t>
      </w:r>
      <w:r w:rsidR="006C3478">
        <w:t xml:space="preserve"> </w:t>
      </w:r>
      <w:r w:rsidR="00E47E3D">
        <w:t>must have been i</w:t>
      </w:r>
      <w:r w:rsidR="00B67033">
        <w:t>nvented or discovered many times</w:t>
      </w:r>
      <w:r w:rsidR="00574815">
        <w:rPr>
          <w:rStyle w:val="FootnoteReference"/>
        </w:rPr>
        <w:footnoteReference w:id="20"/>
      </w:r>
      <w:r w:rsidR="00B67033">
        <w:t xml:space="preserve">. Cooking is </w:t>
      </w:r>
      <w:r w:rsidR="006F3DF6">
        <w:t xml:space="preserve">one of the most important human </w:t>
      </w:r>
      <w:r w:rsidR="00B67033">
        <w:t>inventions because it aided digestion, increased calorific intake and prevented contamination</w:t>
      </w:r>
      <w:r w:rsidR="004D1752">
        <w:rPr>
          <w:rStyle w:val="FootnoteReference"/>
        </w:rPr>
        <w:footnoteReference w:id="21"/>
      </w:r>
      <w:r w:rsidR="00B67033">
        <w:t xml:space="preserve">. Homo Floresiensis had not learnt to cook, </w:t>
      </w:r>
      <w:r w:rsidR="006C3478">
        <w:t>hence their diminutive stature</w:t>
      </w:r>
      <w:r w:rsidR="00B67033">
        <w:t xml:space="preserve"> </w:t>
      </w:r>
      <w:r w:rsidR="00E47E3D">
        <w:t xml:space="preserve">and </w:t>
      </w:r>
      <w:r>
        <w:t xml:space="preserve">yet </w:t>
      </w:r>
      <w:r w:rsidR="00B67033">
        <w:t>they recognised its importance</w:t>
      </w:r>
      <w:r w:rsidR="00E47E3D">
        <w:rPr>
          <w:rStyle w:val="FootnoteReference"/>
        </w:rPr>
        <w:footnoteReference w:id="22"/>
      </w:r>
      <w:r w:rsidR="006C3478">
        <w:t xml:space="preserve">. </w:t>
      </w:r>
      <w:r w:rsidR="00E47E3D">
        <w:t xml:space="preserve">If we could define progress as knowing what your culture needs next </w:t>
      </w:r>
      <w:r w:rsidR="00C62C60">
        <w:t>(</w:t>
      </w:r>
      <w:r w:rsidR="00DF3F55">
        <w:t xml:space="preserve">in this case </w:t>
      </w:r>
      <w:r w:rsidR="00C62C60">
        <w:t xml:space="preserve">irrespective of </w:t>
      </w:r>
      <w:r w:rsidR="00E47E3D">
        <w:t xml:space="preserve">getting it) </w:t>
      </w:r>
      <w:r w:rsidR="00C62C60">
        <w:t xml:space="preserve">then </w:t>
      </w:r>
      <w:r w:rsidR="00D74764">
        <w:t xml:space="preserve">is </w:t>
      </w:r>
      <w:r w:rsidR="00DF3F55">
        <w:t xml:space="preserve">it cultural self-awareness that </w:t>
      </w:r>
      <w:r w:rsidR="00C62C60">
        <w:t xml:space="preserve">can </w:t>
      </w:r>
      <w:r w:rsidR="00DF3F55">
        <w:t xml:space="preserve">measure </w:t>
      </w:r>
      <w:r w:rsidR="00C62C60">
        <w:t xml:space="preserve">cultural progress even in societies that </w:t>
      </w:r>
      <w:r w:rsidR="00DF3F55">
        <w:t xml:space="preserve">ultimately </w:t>
      </w:r>
      <w:r w:rsidR="00C62C60">
        <w:t>failed</w:t>
      </w:r>
      <w:r w:rsidR="00D74764">
        <w:t>?</w:t>
      </w:r>
    </w:p>
    <w:p w14:paraId="3F783BA1" w14:textId="70D0CC8C" w:rsidR="00C62C60" w:rsidRPr="00BF4840" w:rsidRDefault="00DF3F55" w:rsidP="00944994">
      <w:r w:rsidRPr="00BF4840">
        <w:t>Moral</w:t>
      </w:r>
      <w:r w:rsidR="004762CC" w:rsidRPr="00BF4840">
        <w:t xml:space="preserve"> progress</w:t>
      </w:r>
    </w:p>
    <w:p w14:paraId="1AC29052" w14:textId="2A376C7D" w:rsidR="00BF4840" w:rsidRDefault="00BF4840" w:rsidP="00944994">
      <w:r w:rsidRPr="00BF4840">
        <w:t xml:space="preserve">Shweder used a </w:t>
      </w:r>
      <w:r w:rsidR="00892216" w:rsidRPr="00BF4840">
        <w:t>threefold</w:t>
      </w:r>
      <w:r w:rsidRPr="00BF4840">
        <w:t xml:space="preserve"> theoretical framework</w:t>
      </w:r>
      <w:r w:rsidR="00892216">
        <w:t xml:space="preserve"> for morality</w:t>
      </w:r>
      <w:r w:rsidR="005A6805">
        <w:t>,</w:t>
      </w:r>
      <w:r w:rsidR="00892216">
        <w:t xml:space="preserve"> two </w:t>
      </w:r>
      <w:r w:rsidR="005A6805">
        <w:t xml:space="preserve">branches </w:t>
      </w:r>
      <w:r w:rsidR="00892216">
        <w:t>of which, autonomy and community</w:t>
      </w:r>
      <w:r w:rsidR="005A6805">
        <w:t>,</w:t>
      </w:r>
      <w:r w:rsidR="00892216">
        <w:t xml:space="preserve"> provide a </w:t>
      </w:r>
      <w:r w:rsidR="005A6805">
        <w:t>useful</w:t>
      </w:r>
      <w:r w:rsidR="00892216">
        <w:t xml:space="preserve"> dichotomy for our analysis, whilst the third, divinity is not germane to our argument. Autonomy is essentially the morality of the West and stems from the Magna Carta, where society is composed of individuals, who have the moral right to exercise their own choices in pursuit of their own self-interest. </w:t>
      </w:r>
      <w:r w:rsidR="005A6805">
        <w:t>By contrast, the Eastern ethic of c</w:t>
      </w:r>
      <w:r w:rsidR="00892216">
        <w:t xml:space="preserve">ommunity </w:t>
      </w:r>
      <w:r w:rsidR="005A6805">
        <w:t xml:space="preserve">sees society as a collection of groups, such as families, clans, tribes, villages, regions, </w:t>
      </w:r>
      <w:r w:rsidR="00291C2B">
        <w:t xml:space="preserve">countries, </w:t>
      </w:r>
      <w:r w:rsidR="005A6805">
        <w:t>institutions and othe</w:t>
      </w:r>
      <w:r w:rsidR="00F51FEB">
        <w:t>r</w:t>
      </w:r>
      <w:r w:rsidR="005A6805">
        <w:t xml:space="preserve"> </w:t>
      </w:r>
      <w:r w:rsidR="00F51FEB">
        <w:t xml:space="preserve">groups, </w:t>
      </w:r>
      <w:r w:rsidR="005A6805">
        <w:t xml:space="preserve">where morality is equated </w:t>
      </w:r>
      <w:r w:rsidR="00405B5E">
        <w:t xml:space="preserve">to </w:t>
      </w:r>
      <w:r w:rsidR="00F51FEB">
        <w:t xml:space="preserve">the individual’s </w:t>
      </w:r>
      <w:r w:rsidR="005A6805">
        <w:t>duty, respect</w:t>
      </w:r>
      <w:r w:rsidR="00405B5E">
        <w:t xml:space="preserve"> and </w:t>
      </w:r>
      <w:r w:rsidR="005A6805">
        <w:t>loyalty to th</w:t>
      </w:r>
      <w:r w:rsidR="00405B5E">
        <w:t>at</w:t>
      </w:r>
      <w:r w:rsidR="005A6805">
        <w:t xml:space="preserve"> collective</w:t>
      </w:r>
      <w:r w:rsidR="005A6805">
        <w:rPr>
          <w:rStyle w:val="FootnoteReference"/>
        </w:rPr>
        <w:footnoteReference w:id="23"/>
      </w:r>
      <w:r w:rsidR="005A6805">
        <w:t xml:space="preserve">. </w:t>
      </w:r>
      <w:r w:rsidR="00291C2B">
        <w:t>Community based moral codes tend to support the continued existence of society, where an individual makes decisions based on the</w:t>
      </w:r>
      <w:r w:rsidR="00405B5E">
        <w:t xml:space="preserve"> good of all</w:t>
      </w:r>
      <w:r w:rsidR="00291C2B">
        <w:t>, where</w:t>
      </w:r>
      <w:r w:rsidR="00405B5E">
        <w:t>as</w:t>
      </w:r>
      <w:r w:rsidR="00291C2B">
        <w:t xml:space="preserve"> </w:t>
      </w:r>
      <w:r w:rsidR="00405B5E">
        <w:t xml:space="preserve">the morality of </w:t>
      </w:r>
      <w:r w:rsidR="00291C2B">
        <w:t xml:space="preserve">autonomy assumes that what’s good for the individual is good for society. </w:t>
      </w:r>
      <w:r w:rsidR="00F51FEB">
        <w:t xml:space="preserve">The Universal Declaration of Human Rights would be a </w:t>
      </w:r>
      <w:r w:rsidR="002F7E79">
        <w:t xml:space="preserve">good </w:t>
      </w:r>
      <w:r w:rsidR="00F51FEB">
        <w:t xml:space="preserve"> example of </w:t>
      </w:r>
      <w:r w:rsidR="002F7E79">
        <w:t xml:space="preserve">an </w:t>
      </w:r>
      <w:r w:rsidR="00F51FEB">
        <w:t xml:space="preserve">autonomy morality and the United Nations’ Sustainable Development Goals a </w:t>
      </w:r>
      <w:r w:rsidR="00405B5E">
        <w:t>good</w:t>
      </w:r>
      <w:r w:rsidR="00F51FEB">
        <w:t xml:space="preserve"> example of a community morality. </w:t>
      </w:r>
    </w:p>
    <w:p w14:paraId="5CAD0714" w14:textId="1A11F442" w:rsidR="0068176D" w:rsidRDefault="00696B9A" w:rsidP="0068176D">
      <w:r>
        <w:lastRenderedPageBreak/>
        <w:t>Pinker argue</w:t>
      </w:r>
      <w:r w:rsidR="002F7E79">
        <w:t>d</w:t>
      </w:r>
      <w:r>
        <w:t xml:space="preserve"> that the world is a better place than it has ever been, at least when it comes to violence</w:t>
      </w:r>
      <w:r w:rsidR="002B4135">
        <w:rPr>
          <w:rStyle w:val="FootnoteReference"/>
        </w:rPr>
        <w:footnoteReference w:id="24"/>
      </w:r>
      <w:r>
        <w:t>. He’s still not wrong, but causalities in the Ukraine</w:t>
      </w:r>
      <w:r w:rsidR="000D1AE6">
        <w:rPr>
          <w:rStyle w:val="FootnoteReference"/>
        </w:rPr>
        <w:footnoteReference w:id="25"/>
      </w:r>
      <w:r>
        <w:t xml:space="preserve"> are </w:t>
      </w:r>
      <w:r w:rsidR="00D74764">
        <w:t xml:space="preserve">sending </w:t>
      </w:r>
      <w:r>
        <w:t xml:space="preserve">statistics </w:t>
      </w:r>
      <w:r w:rsidR="00D74764">
        <w:t>i</w:t>
      </w:r>
      <w:r>
        <w:t>n the wrong direction</w:t>
      </w:r>
      <w:r>
        <w:rPr>
          <w:rStyle w:val="FootnoteReference"/>
        </w:rPr>
        <w:footnoteReference w:id="26"/>
      </w:r>
      <w:r>
        <w:t xml:space="preserve">. Pinker equates fewer casualties </w:t>
      </w:r>
      <w:r w:rsidR="00FC52EB">
        <w:t xml:space="preserve">with </w:t>
      </w:r>
      <w:r>
        <w:t xml:space="preserve">moral good and more casualties </w:t>
      </w:r>
      <w:r w:rsidR="00FC52EB">
        <w:t xml:space="preserve">with </w:t>
      </w:r>
      <w:r>
        <w:t>moral bad</w:t>
      </w:r>
      <w:r w:rsidR="0068176D">
        <w:t xml:space="preserve">, he goes on to argue that our recent Western ancestors were morally retarded, crediting Theodore Roosevelt with “the only good Indians are dead Indians” and detailing a litany of racist hostility from the </w:t>
      </w:r>
      <w:r w:rsidR="00D74764">
        <w:t xml:space="preserve">western, </w:t>
      </w:r>
      <w:r w:rsidR="0068176D">
        <w:t>white, English speaking 20</w:t>
      </w:r>
      <w:r w:rsidR="0068176D" w:rsidRPr="0065705B">
        <w:rPr>
          <w:vertAlign w:val="superscript"/>
        </w:rPr>
        <w:t>th</w:t>
      </w:r>
      <w:r w:rsidR="0068176D">
        <w:t xml:space="preserve"> Century elites</w:t>
      </w:r>
      <w:r w:rsidR="0068176D">
        <w:rPr>
          <w:rStyle w:val="FootnoteReference"/>
        </w:rPr>
        <w:footnoteReference w:id="27"/>
      </w:r>
      <w:r w:rsidR="0068176D">
        <w:t xml:space="preserve">. </w:t>
      </w:r>
    </w:p>
    <w:p w14:paraId="66F699D1" w14:textId="7399131D" w:rsidR="00F51FEB" w:rsidRDefault="00E20483" w:rsidP="00944994">
      <w:r>
        <w:t>Conclusion</w:t>
      </w:r>
      <w:r w:rsidR="004F33FE">
        <w:t>s?</w:t>
      </w:r>
    </w:p>
    <w:p w14:paraId="2C89A46C" w14:textId="77777777" w:rsidR="0068176D" w:rsidRDefault="0068176D" w:rsidP="0068176D">
      <w:r>
        <w:t>Technological and moral progress can be usefully and meaningfully applied to our view of ourselves in a linear fashion, that is through time. Cultural progress is relative by nature, it compares different societies in which case there is no linear view, but ‘attentiveness to context’ is applied rigorously.</w:t>
      </w:r>
    </w:p>
    <w:p w14:paraId="4E9335EC" w14:textId="5F9F90BD" w:rsidR="0035093F" w:rsidRPr="00BF4840" w:rsidRDefault="0065705B" w:rsidP="00944994">
      <w:r>
        <w:t xml:space="preserve">Given that we still seem to be “enjoying” </w:t>
      </w:r>
      <w:r w:rsidR="0068176D">
        <w:t xml:space="preserve">the legacy </w:t>
      </w:r>
      <w:r w:rsidR="00BD2745">
        <w:t xml:space="preserve">that </w:t>
      </w:r>
      <w:r w:rsidR="0068176D">
        <w:t>Pinker describes</w:t>
      </w:r>
      <w:r>
        <w:t xml:space="preserve"> is </w:t>
      </w:r>
      <w:r w:rsidR="0068176D">
        <w:t xml:space="preserve">not </w:t>
      </w:r>
      <w:r w:rsidR="00C15ACB">
        <w:t xml:space="preserve">it </w:t>
      </w:r>
      <w:r>
        <w:t>equally meaningful to talk about the lack of human progress, not in technological terms, but certainly in cultural and moral</w:t>
      </w:r>
      <w:r w:rsidR="00C15ACB">
        <w:t>?</w:t>
      </w:r>
      <w:r w:rsidR="003D3644">
        <w:t xml:space="preserve"> </w:t>
      </w:r>
      <w:r w:rsidR="00E91A4A">
        <w:t xml:space="preserve">And </w:t>
      </w:r>
      <w:r w:rsidR="0035093F">
        <w:t xml:space="preserve">with </w:t>
      </w:r>
      <w:r w:rsidR="00E91A4A">
        <w:t>those who cannot remember the</w:t>
      </w:r>
      <w:r w:rsidR="0035093F">
        <w:t>ir</w:t>
      </w:r>
      <w:r w:rsidR="00E91A4A">
        <w:t xml:space="preserve"> past </w:t>
      </w:r>
      <w:r w:rsidR="0035093F">
        <w:t xml:space="preserve">being doomed </w:t>
      </w:r>
      <w:r w:rsidR="00E91A4A">
        <w:t>to repeat it</w:t>
      </w:r>
      <w:r w:rsidR="00E91A4A">
        <w:rPr>
          <w:rStyle w:val="FootnoteReference"/>
        </w:rPr>
        <w:footnoteReference w:id="28"/>
      </w:r>
      <w:r w:rsidR="00E91A4A">
        <w:t xml:space="preserve"> is it not the duty of economic anthropolog</w:t>
      </w:r>
      <w:r w:rsidR="00CF36A6">
        <w:t xml:space="preserve">ists </w:t>
      </w:r>
      <w:r w:rsidR="00E91A4A">
        <w:t xml:space="preserve">to remind us of </w:t>
      </w:r>
      <w:r w:rsidR="0035093F">
        <w:t xml:space="preserve">the ever present influence </w:t>
      </w:r>
      <w:r w:rsidR="00E91A4A">
        <w:t>our recent history?</w:t>
      </w:r>
      <w:r w:rsidR="0035093F">
        <w:t xml:space="preserve"> Or do we have to revisit the conclusion of our opening paragraph and argue that since </w:t>
      </w:r>
      <w:r w:rsidR="0035093F" w:rsidRPr="0035093F">
        <w:t>‘justice, peace and stability are the necessary preconditions for the establishment of economic progress</w:t>
      </w:r>
      <w:r w:rsidR="0035093F">
        <w:t>’</w:t>
      </w:r>
      <w:r w:rsidR="00BD2745">
        <w:t>,</w:t>
      </w:r>
      <w:r w:rsidR="0035093F" w:rsidRPr="0035093F">
        <w:t xml:space="preserve"> </w:t>
      </w:r>
      <w:r w:rsidR="0035093F">
        <w:t xml:space="preserve">it is not </w:t>
      </w:r>
      <w:r w:rsidR="0068176D">
        <w:t xml:space="preserve">yet </w:t>
      </w:r>
      <w:r w:rsidR="0035093F">
        <w:t>meaningful to discuss it?</w:t>
      </w:r>
    </w:p>
    <w:p w14:paraId="64534AAF" w14:textId="6E43EE93" w:rsidR="0035093F" w:rsidRDefault="0035093F">
      <w:pPr>
        <w:jc w:val="left"/>
      </w:pPr>
      <w:r>
        <w:br w:type="page"/>
      </w:r>
    </w:p>
    <w:p w14:paraId="1F0AE862" w14:textId="7E74BFB7" w:rsidR="00DF3F55" w:rsidRDefault="002D3F19" w:rsidP="00944994">
      <w:r>
        <w:lastRenderedPageBreak/>
        <w:t>Reference list</w:t>
      </w:r>
    </w:p>
    <w:p w14:paraId="7D50155C" w14:textId="1E45C053" w:rsidR="00574815" w:rsidRPr="00574815" w:rsidRDefault="00574815" w:rsidP="00574815">
      <w:pPr>
        <w:pStyle w:val="FootnoteText"/>
        <w:spacing w:after="120"/>
        <w:ind w:left="720" w:hanging="567"/>
        <w:jc w:val="left"/>
        <w:rPr>
          <w:i/>
          <w:iCs/>
        </w:rPr>
      </w:pPr>
      <w:r w:rsidRPr="00574815">
        <w:rPr>
          <w:i/>
          <w:iCs/>
        </w:rPr>
        <w:t xml:space="preserve">Coglan, </w:t>
      </w:r>
      <w:r w:rsidRPr="00574815">
        <w:rPr>
          <w:i/>
          <w:iCs/>
        </w:rPr>
        <w:t xml:space="preserve">Andy, ‘Ancient Finger Bone May Reveal Humanities’ Path Out Of Africa’, </w:t>
      </w:r>
      <w:r>
        <w:rPr>
          <w:i/>
          <w:iCs/>
        </w:rPr>
        <w:t xml:space="preserve">New Scientist.com </w:t>
      </w:r>
      <w:r w:rsidRPr="00574815">
        <w:rPr>
          <w:i/>
          <w:iCs/>
        </w:rPr>
        <w:t>(09/04/2018)</w:t>
      </w:r>
      <w:r>
        <w:rPr>
          <w:i/>
          <w:iCs/>
        </w:rPr>
        <w:t xml:space="preserve"> </w:t>
      </w:r>
      <w:hyperlink r:id="rId7" w:history="1">
        <w:r w:rsidRPr="00574815">
          <w:rPr>
            <w:i/>
            <w:iCs/>
          </w:rPr>
          <w:t>https://www.newscientist.com/article/2165771-ancient-finger-bone-may-reveal-humanitys-path-out-of-africa/</w:t>
        </w:r>
      </w:hyperlink>
    </w:p>
    <w:p w14:paraId="141A1F1C" w14:textId="7678B5F3" w:rsidR="002D3F19" w:rsidRPr="00405B5E" w:rsidRDefault="002D3F19" w:rsidP="00472336">
      <w:pPr>
        <w:pStyle w:val="FootnoteText"/>
        <w:spacing w:after="120"/>
        <w:ind w:left="720" w:hanging="567"/>
        <w:jc w:val="left"/>
        <w:rPr>
          <w:i/>
          <w:iCs/>
        </w:rPr>
      </w:pPr>
      <w:r>
        <w:t xml:space="preserve">Curtis, Edward S. </w:t>
      </w:r>
      <w:r>
        <w:rPr>
          <w:i/>
          <w:iCs/>
        </w:rPr>
        <w:t>The North American Indian,</w:t>
      </w:r>
      <w:r>
        <w:t xml:space="preserve"> (Cologne, Taschen, 1997)  </w:t>
      </w:r>
    </w:p>
    <w:p w14:paraId="733C3826" w14:textId="77B1DA7D" w:rsidR="002D3F19" w:rsidRPr="00457B0D" w:rsidRDefault="002D3F19" w:rsidP="00472336">
      <w:pPr>
        <w:pStyle w:val="FootnoteText"/>
        <w:spacing w:after="120"/>
        <w:ind w:left="720" w:hanging="567"/>
      </w:pPr>
      <w:r>
        <w:t xml:space="preserve">George, Andrew , </w:t>
      </w:r>
      <w:r>
        <w:rPr>
          <w:i/>
          <w:iCs/>
        </w:rPr>
        <w:t>The Epic Of Gilgamesh</w:t>
      </w:r>
      <w:r>
        <w:t>, (London: Penguin. 1999)</w:t>
      </w:r>
    </w:p>
    <w:p w14:paraId="085928E1" w14:textId="5BDFC3C6" w:rsidR="002D3F19" w:rsidRDefault="002D3F19" w:rsidP="00472336">
      <w:pPr>
        <w:pStyle w:val="FootnoteText"/>
        <w:spacing w:after="120"/>
        <w:ind w:left="720" w:hanging="567"/>
      </w:pPr>
      <w:r>
        <w:t xml:space="preserve">Graeber, David, </w:t>
      </w:r>
      <w:r>
        <w:rPr>
          <w:i/>
          <w:iCs/>
        </w:rPr>
        <w:t>Debt, Violence And Impersonal Markets: Polanyian Meditations,</w:t>
      </w:r>
      <w:r>
        <w:t xml:space="preserve"> (2009)</w:t>
      </w:r>
    </w:p>
    <w:p w14:paraId="4F550FD2" w14:textId="4F7F12B6" w:rsidR="004F33FE" w:rsidRPr="008B0CC1" w:rsidRDefault="002D3F19" w:rsidP="00472336">
      <w:pPr>
        <w:pStyle w:val="FootnoteText"/>
        <w:spacing w:after="120"/>
        <w:ind w:left="720" w:hanging="567"/>
      </w:pPr>
      <w:r>
        <w:t xml:space="preserve">Hann, </w:t>
      </w:r>
      <w:r w:rsidR="004F33FE">
        <w:t xml:space="preserve">Chris and </w:t>
      </w:r>
      <w:r>
        <w:t>Heart, Keith</w:t>
      </w:r>
      <w:r w:rsidR="004F33FE">
        <w:t>,</w:t>
      </w:r>
      <w:r>
        <w:t xml:space="preserve"> </w:t>
      </w:r>
      <w:r w:rsidR="004F33FE">
        <w:t xml:space="preserve"> </w:t>
      </w:r>
      <w:r w:rsidR="004F33FE">
        <w:rPr>
          <w:i/>
          <w:iCs/>
        </w:rPr>
        <w:t xml:space="preserve">Economic Anthropology, History, Ethnography, Critique, </w:t>
      </w:r>
      <w:r w:rsidR="004F33FE">
        <w:t xml:space="preserve"> (Cambridge, Polity Press, 2011</w:t>
      </w:r>
      <w:r>
        <w:t>)</w:t>
      </w:r>
    </w:p>
    <w:p w14:paraId="2C5B296B" w14:textId="55DB4BD3" w:rsidR="002D3F19" w:rsidRDefault="002D3F19" w:rsidP="00472336">
      <w:pPr>
        <w:pStyle w:val="FootnoteText"/>
        <w:spacing w:after="120"/>
        <w:ind w:left="720" w:hanging="567"/>
        <w:jc w:val="left"/>
      </w:pPr>
      <w:r>
        <w:t xml:space="preserve">Hayes, Adam, Investopedia, </w:t>
      </w:r>
      <w:r>
        <w:rPr>
          <w:i/>
          <w:iCs/>
        </w:rPr>
        <w:t>Boom And Bust Cycle: Definition, And How It Works</w:t>
      </w:r>
      <w:r>
        <w:t xml:space="preserve">, (2020)  </w:t>
      </w:r>
      <w:hyperlink r:id="rId8" w:history="1">
        <w:r w:rsidRPr="00B96115">
          <w:rPr>
            <w:rStyle w:val="Hyperlink"/>
          </w:rPr>
          <w:t>https://www.investopedia.com/terms/b/boom-and-bust-cycle.asp</w:t>
        </w:r>
      </w:hyperlink>
    </w:p>
    <w:p w14:paraId="08A8E98B" w14:textId="2BA1DE3C" w:rsidR="002D3F19" w:rsidRDefault="002D3F19" w:rsidP="00472336">
      <w:pPr>
        <w:pStyle w:val="FootnoteText"/>
        <w:spacing w:after="120"/>
        <w:ind w:left="720" w:hanging="567"/>
        <w:jc w:val="left"/>
      </w:pPr>
      <w:r>
        <w:t xml:space="preserve">Kenton, Will, </w:t>
      </w:r>
      <w:r w:rsidRPr="00492CFD">
        <w:t>Investopedia</w:t>
      </w:r>
      <w:r>
        <w:t xml:space="preserve">, </w:t>
      </w:r>
      <w:r>
        <w:rPr>
          <w:i/>
          <w:iCs/>
        </w:rPr>
        <w:t>Cash: Definition, Different Types And History</w:t>
      </w:r>
      <w:r>
        <w:t xml:space="preserve">, (2021) </w:t>
      </w:r>
      <w:hyperlink r:id="rId9" w:history="1">
        <w:r w:rsidRPr="00B96115">
          <w:rPr>
            <w:rStyle w:val="Hyperlink"/>
          </w:rPr>
          <w:t>https://www.investopedia.com/terms/c/cash.asp</w:t>
        </w:r>
      </w:hyperlink>
    </w:p>
    <w:p w14:paraId="114D8C7C" w14:textId="4B03B4BB" w:rsidR="002D3F19" w:rsidRDefault="002D3F19" w:rsidP="00472336">
      <w:pPr>
        <w:pStyle w:val="FootnoteText"/>
        <w:spacing w:after="120"/>
        <w:ind w:left="720" w:hanging="567"/>
        <w:jc w:val="left"/>
      </w:pPr>
      <w:r>
        <w:t xml:space="preserve">Marshal, Michael ‘Volcanic Eruption May Have Helped Drive Real-Life Hobbits Extinct’, </w:t>
      </w:r>
      <w:r>
        <w:rPr>
          <w:i/>
          <w:iCs/>
        </w:rPr>
        <w:t>New Scientist.com</w:t>
      </w:r>
      <w:r>
        <w:t xml:space="preserve">, (20128) </w:t>
      </w:r>
      <w:hyperlink r:id="rId10" w:history="1">
        <w:r w:rsidRPr="00B96115">
          <w:rPr>
            <w:rStyle w:val="Hyperlink"/>
          </w:rPr>
          <w:t>https://www.newscientist.com/article/2179114-volcanic-eruption-may-have-helped-drive-real-life-hobbits-extinct/</w:t>
        </w:r>
      </w:hyperlink>
      <w:r>
        <w:t xml:space="preserve"> </w:t>
      </w:r>
    </w:p>
    <w:p w14:paraId="6791D623" w14:textId="2E5F06C2" w:rsidR="002D3F19" w:rsidRDefault="002D3F19" w:rsidP="00472336">
      <w:pPr>
        <w:pStyle w:val="FootnoteText"/>
        <w:spacing w:after="120"/>
        <w:ind w:left="720" w:hanging="567"/>
        <w:jc w:val="left"/>
      </w:pPr>
      <w:r>
        <w:t xml:space="preserve">Marshal, Michael ‘When Did Hominids Start Cooking? It Might Be Earlier Than We Thought’, </w:t>
      </w:r>
      <w:r>
        <w:rPr>
          <w:i/>
          <w:iCs/>
        </w:rPr>
        <w:t xml:space="preserve">New Scientist.com, </w:t>
      </w:r>
      <w:r>
        <w:t xml:space="preserve">(28/12/2022) </w:t>
      </w:r>
      <w:hyperlink r:id="rId11" w:history="1">
        <w:r w:rsidRPr="00B96115">
          <w:rPr>
            <w:rStyle w:val="Hyperlink"/>
          </w:rPr>
          <w:t>https://www.newscientist.com/article/mg25634180-300-when-did-hominins-start-cooking-it-might-be-earlier-than-we-thought/</w:t>
        </w:r>
      </w:hyperlink>
    </w:p>
    <w:p w14:paraId="77C9F708" w14:textId="158D024E" w:rsidR="00472336" w:rsidRDefault="00472336" w:rsidP="00472336">
      <w:pPr>
        <w:pStyle w:val="FootnoteText"/>
        <w:spacing w:after="120"/>
        <w:ind w:left="720" w:hanging="567"/>
        <w:jc w:val="left"/>
      </w:pPr>
      <w:r>
        <w:t xml:space="preserve">Novak, Rachel and Knight, Will, ‘Meet Our New Human Relatives’, </w:t>
      </w:r>
      <w:r>
        <w:rPr>
          <w:i/>
          <w:iCs/>
        </w:rPr>
        <w:t>New Scientist</w:t>
      </w:r>
      <w:r>
        <w:t xml:space="preserve">, print edition, (27/10/2004) </w:t>
      </w:r>
      <w:hyperlink r:id="rId12" w:history="1">
        <w:r w:rsidRPr="00B96115">
          <w:rPr>
            <w:rStyle w:val="Hyperlink"/>
          </w:rPr>
          <w:t>https://www.newscientist.com/article/mg18424711-000-meet-our-new-human-relatives/</w:t>
        </w:r>
      </w:hyperlink>
    </w:p>
    <w:p w14:paraId="031F0866" w14:textId="0E91FBA3" w:rsidR="002D3F19" w:rsidRPr="00C829F2" w:rsidRDefault="002D3F19" w:rsidP="00472336">
      <w:pPr>
        <w:pStyle w:val="FootnoteText"/>
        <w:spacing w:after="120"/>
        <w:ind w:left="720" w:hanging="567"/>
        <w:jc w:val="left"/>
      </w:pPr>
      <w:r w:rsidRPr="00C829F2">
        <w:t>Ö</w:t>
      </w:r>
      <w:r>
        <w:t xml:space="preserve">stermann, Tove, ‘Cultural Relativism And Understanding Difference’, </w:t>
      </w:r>
      <w:r>
        <w:rPr>
          <w:i/>
          <w:iCs/>
        </w:rPr>
        <w:t>Language And Communication</w:t>
      </w:r>
      <w:r>
        <w:t>, (2021)</w:t>
      </w:r>
    </w:p>
    <w:p w14:paraId="48BCF1F0" w14:textId="7CED69AB" w:rsidR="004D1752" w:rsidRDefault="004D1752" w:rsidP="00472336">
      <w:pPr>
        <w:pStyle w:val="FootnoteText"/>
        <w:spacing w:after="120"/>
        <w:ind w:left="720" w:hanging="567"/>
        <w:jc w:val="left"/>
      </w:pPr>
      <w:r>
        <w:t xml:space="preserve">Robson, </w:t>
      </w:r>
      <w:r>
        <w:t>David</w:t>
      </w:r>
      <w:r>
        <w:t>,</w:t>
      </w:r>
      <w:r>
        <w:t xml:space="preserve"> ‘Puzzles Of evolution: Why Are Our Brains So Big?’ </w:t>
      </w:r>
      <w:r w:rsidRPr="004D1752">
        <w:t xml:space="preserve">New Scientist.com, </w:t>
      </w:r>
      <w:r>
        <w:t xml:space="preserve">(21/03/2012) </w:t>
      </w:r>
      <w:hyperlink r:id="rId13" w:history="1">
        <w:r w:rsidRPr="004D1752">
          <w:t>https://www.newscientist.com/article/mg21328571-600-puzzles-of-evolution-why-are-our-brains-so-big/</w:t>
        </w:r>
      </w:hyperlink>
      <w:r>
        <w:t xml:space="preserve"> </w:t>
      </w:r>
    </w:p>
    <w:p w14:paraId="749F67A4" w14:textId="0B2FEDA8" w:rsidR="002D3F19" w:rsidRPr="005A6805" w:rsidRDefault="002D3F19" w:rsidP="00472336">
      <w:pPr>
        <w:pStyle w:val="FootnoteText"/>
        <w:spacing w:after="120"/>
        <w:ind w:left="720" w:hanging="567"/>
        <w:jc w:val="left"/>
      </w:pPr>
      <w:r>
        <w:t xml:space="preserve">Steven Pinker, </w:t>
      </w:r>
      <w:r>
        <w:rPr>
          <w:i/>
          <w:iCs/>
        </w:rPr>
        <w:t>The Better Angels Of Our Nature,</w:t>
      </w:r>
      <w:r>
        <w:t xml:space="preserve"> (Penguin: London, 2011)</w:t>
      </w:r>
    </w:p>
    <w:p w14:paraId="586C4F8B" w14:textId="74789DCD" w:rsidR="004F33FE" w:rsidRDefault="004F33FE" w:rsidP="00472336">
      <w:pPr>
        <w:pStyle w:val="FootnoteText"/>
        <w:spacing w:after="120"/>
        <w:ind w:left="720" w:hanging="567"/>
        <w:jc w:val="left"/>
      </w:pPr>
      <w:r>
        <w:t>Waterhouse</w:t>
      </w:r>
      <w:r w:rsidR="00472336">
        <w:t xml:space="preserve">, James </w:t>
      </w:r>
      <w:r>
        <w:t xml:space="preserve">and Chatterjee, </w:t>
      </w:r>
      <w:r w:rsidR="00472336">
        <w:t xml:space="preserve">Phelan, </w:t>
      </w:r>
      <w:r w:rsidRPr="009B7216">
        <w:rPr>
          <w:i/>
          <w:iCs/>
        </w:rPr>
        <w:t>BBCNews.com</w:t>
      </w:r>
      <w:r>
        <w:rPr>
          <w:i/>
          <w:iCs/>
        </w:rPr>
        <w:t>,</w:t>
      </w:r>
      <w:r w:rsidRPr="009B7216">
        <w:rPr>
          <w:i/>
          <w:iCs/>
        </w:rPr>
        <w:t xml:space="preserve"> </w:t>
      </w:r>
      <w:r>
        <w:rPr>
          <w:i/>
          <w:iCs/>
        </w:rPr>
        <w:t>‘</w:t>
      </w:r>
      <w:r w:rsidRPr="009B7216">
        <w:t>Top Ukrainian Officials Quit In Anti-Corruption Drive</w:t>
      </w:r>
      <w:r>
        <w:t>’</w:t>
      </w:r>
      <w:r>
        <w:rPr>
          <w:i/>
          <w:iCs/>
        </w:rPr>
        <w:t>,</w:t>
      </w:r>
      <w:r>
        <w:t xml:space="preserve"> (24/01/2023) </w:t>
      </w:r>
      <w:hyperlink r:id="rId14" w:history="1">
        <w:r w:rsidRPr="00B96115">
          <w:rPr>
            <w:rStyle w:val="Hyperlink"/>
          </w:rPr>
          <w:t>https://www.bbc.com/news/world-europe-64383388</w:t>
        </w:r>
      </w:hyperlink>
    </w:p>
    <w:p w14:paraId="411BB2B6" w14:textId="5D7D6380" w:rsidR="004F33FE" w:rsidRDefault="00472336" w:rsidP="00472336">
      <w:pPr>
        <w:pStyle w:val="FootnoteText"/>
        <w:spacing w:after="120"/>
        <w:ind w:left="720" w:hanging="567"/>
        <w:jc w:val="left"/>
      </w:pPr>
      <w:r>
        <w:t xml:space="preserve">Whiting, </w:t>
      </w:r>
      <w:r w:rsidR="004F33FE">
        <w:t>Rebecca, ‘</w:t>
      </w:r>
      <w:r w:rsidR="004F33FE" w:rsidRPr="00B20785">
        <w:t>Ancient Wisdom: What Tooth Decay Can Tell Us About The Past</w:t>
      </w:r>
      <w:r w:rsidR="004F33FE">
        <w:t>’</w:t>
      </w:r>
      <w:r w:rsidR="004F33FE" w:rsidRPr="00B20785">
        <w:t>,</w:t>
      </w:r>
      <w:r w:rsidR="004F33FE">
        <w:rPr>
          <w:i/>
          <w:iCs/>
        </w:rPr>
        <w:t xml:space="preserve"> </w:t>
      </w:r>
      <w:r w:rsidR="004F33FE" w:rsidRPr="00B20785">
        <w:rPr>
          <w:i/>
          <w:iCs/>
        </w:rPr>
        <w:t>British Museum</w:t>
      </w:r>
      <w:r w:rsidR="004F33FE">
        <w:t xml:space="preserve">, </w:t>
      </w:r>
      <w:r w:rsidR="004F33FE" w:rsidRPr="00B20785">
        <w:t>(2017)</w:t>
      </w:r>
      <w:r w:rsidR="004F33FE">
        <w:t xml:space="preserve"> </w:t>
      </w:r>
      <w:hyperlink r:id="rId15" w:history="1">
        <w:r w:rsidR="004F33FE" w:rsidRPr="00B96115">
          <w:rPr>
            <w:rStyle w:val="Hyperlink"/>
          </w:rPr>
          <w:t>https://www.britishmuseum.org/blog/ancient-wisdom-what-tooth-decay-can-tell-us-about-past</w:t>
        </w:r>
      </w:hyperlink>
    </w:p>
    <w:p w14:paraId="3263CE9E" w14:textId="77777777" w:rsidR="004F33FE" w:rsidRDefault="004F33FE" w:rsidP="00472336">
      <w:pPr>
        <w:pStyle w:val="FootnoteText"/>
        <w:spacing w:after="120"/>
        <w:ind w:left="720" w:hanging="567"/>
        <w:jc w:val="left"/>
      </w:pPr>
    </w:p>
    <w:p w14:paraId="00FADFC5" w14:textId="77777777" w:rsidR="004F33FE" w:rsidRDefault="004F33FE" w:rsidP="00472336">
      <w:pPr>
        <w:pStyle w:val="FootnoteText"/>
        <w:ind w:hanging="567"/>
        <w:jc w:val="left"/>
      </w:pPr>
    </w:p>
    <w:p w14:paraId="07415913" w14:textId="77777777" w:rsidR="004F33FE" w:rsidRDefault="004F33FE" w:rsidP="00472336">
      <w:pPr>
        <w:pStyle w:val="FootnoteText"/>
        <w:ind w:hanging="567"/>
        <w:jc w:val="left"/>
      </w:pPr>
    </w:p>
    <w:p w14:paraId="1D6191C3" w14:textId="77777777" w:rsidR="004F33FE" w:rsidRPr="00BF4840" w:rsidRDefault="004F33FE" w:rsidP="00472336">
      <w:pPr>
        <w:ind w:hanging="567"/>
      </w:pPr>
    </w:p>
    <w:sectPr w:rsidR="004F33FE" w:rsidRPr="00BF484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C9E3C" w14:textId="77777777" w:rsidR="000C140F" w:rsidRDefault="000C140F" w:rsidP="00944994">
      <w:pPr>
        <w:spacing w:after="0" w:line="240" w:lineRule="auto"/>
      </w:pPr>
      <w:r>
        <w:separator/>
      </w:r>
    </w:p>
  </w:endnote>
  <w:endnote w:type="continuationSeparator" w:id="0">
    <w:p w14:paraId="16949BAD" w14:textId="77777777" w:rsidR="000C140F" w:rsidRDefault="000C140F" w:rsidP="00944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6785629"/>
      <w:docPartObj>
        <w:docPartGallery w:val="Page Numbers (Bottom of Page)"/>
        <w:docPartUnique/>
      </w:docPartObj>
    </w:sdtPr>
    <w:sdtContent>
      <w:sdt>
        <w:sdtPr>
          <w:id w:val="1728636285"/>
          <w:docPartObj>
            <w:docPartGallery w:val="Page Numbers (Top of Page)"/>
            <w:docPartUnique/>
          </w:docPartObj>
        </w:sdtPr>
        <w:sdtContent>
          <w:p w14:paraId="79625011" w14:textId="77777777" w:rsidR="00944994" w:rsidRDefault="00944994">
            <w:pPr>
              <w:pStyle w:val="Footer"/>
              <w:jc w:val="center"/>
              <w:rPr>
                <w:b/>
                <w:bCs/>
                <w:sz w:val="24"/>
                <w:szCs w:val="24"/>
              </w:rP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p w14:paraId="411FD3BB" w14:textId="0F5E22D2" w:rsidR="00944994" w:rsidRDefault="00944994" w:rsidP="00944994">
            <w:pPr>
              <w:pStyle w:val="Footer"/>
              <w:jc w:val="left"/>
            </w:pPr>
            <w:r w:rsidRPr="00944994">
              <w:rPr>
                <w:sz w:val="24"/>
                <w:szCs w:val="24"/>
              </w:rPr>
              <w:t>Keith Wilson</w:t>
            </w:r>
            <w:r>
              <w:rPr>
                <w:sz w:val="24"/>
                <w:szCs w:val="24"/>
              </w:rPr>
              <w:t xml:space="preserve"> </w:t>
            </w:r>
            <w:r>
              <w:rPr>
                <w:sz w:val="24"/>
                <w:szCs w:val="24"/>
              </w:rPr>
              <w:tab/>
            </w:r>
            <w:r>
              <w:rPr>
                <w:sz w:val="24"/>
                <w:szCs w:val="24"/>
              </w:rPr>
              <w:tab/>
              <w:t>Economic Anthropology</w:t>
            </w:r>
          </w:p>
        </w:sdtContent>
      </w:sdt>
    </w:sdtContent>
  </w:sdt>
  <w:p w14:paraId="0F42392A" w14:textId="77777777" w:rsidR="00944994" w:rsidRDefault="00944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CC74C" w14:textId="77777777" w:rsidR="000C140F" w:rsidRDefault="000C140F" w:rsidP="00944994">
      <w:pPr>
        <w:spacing w:after="0" w:line="240" w:lineRule="auto"/>
      </w:pPr>
      <w:r>
        <w:separator/>
      </w:r>
    </w:p>
  </w:footnote>
  <w:footnote w:type="continuationSeparator" w:id="0">
    <w:p w14:paraId="3C601F68" w14:textId="77777777" w:rsidR="000C140F" w:rsidRDefault="000C140F" w:rsidP="00944994">
      <w:pPr>
        <w:spacing w:after="0" w:line="240" w:lineRule="auto"/>
      </w:pPr>
      <w:r>
        <w:continuationSeparator/>
      </w:r>
    </w:p>
  </w:footnote>
  <w:footnote w:id="1">
    <w:p w14:paraId="1A8B075E" w14:textId="62EE8427" w:rsidR="008B0CC1" w:rsidRPr="008B0CC1" w:rsidRDefault="008B0CC1">
      <w:pPr>
        <w:pStyle w:val="FootnoteText"/>
      </w:pPr>
      <w:r>
        <w:rPr>
          <w:rStyle w:val="FootnoteReference"/>
        </w:rPr>
        <w:footnoteRef/>
      </w:r>
      <w:r>
        <w:t xml:space="preserve"> Chris Hann and Keith Heart, </w:t>
      </w:r>
      <w:r>
        <w:rPr>
          <w:i/>
          <w:iCs/>
        </w:rPr>
        <w:t xml:space="preserve">Economic Anthropology, History, Ethnography, Critique, </w:t>
      </w:r>
      <w:r>
        <w:t xml:space="preserve"> (Cambridge, Polity Press, 2011) p. 14. </w:t>
      </w:r>
    </w:p>
  </w:footnote>
  <w:footnote w:id="2">
    <w:p w14:paraId="38CEF3BD" w14:textId="47F46342" w:rsidR="00EE6737" w:rsidRDefault="00EE6737">
      <w:pPr>
        <w:pStyle w:val="FootnoteText"/>
      </w:pPr>
      <w:r>
        <w:rPr>
          <w:rStyle w:val="FootnoteReference"/>
        </w:rPr>
        <w:footnoteRef/>
      </w:r>
      <w:r>
        <w:t xml:space="preserve"> Ibid. </w:t>
      </w:r>
    </w:p>
  </w:footnote>
  <w:footnote w:id="3">
    <w:p w14:paraId="37BA0C71" w14:textId="77777777" w:rsidR="00366E16" w:rsidRDefault="00366E16" w:rsidP="00366E16">
      <w:pPr>
        <w:pStyle w:val="FootnoteText"/>
        <w:jc w:val="left"/>
      </w:pPr>
      <w:r>
        <w:rPr>
          <w:rStyle w:val="FootnoteReference"/>
        </w:rPr>
        <w:footnoteRef/>
      </w:r>
      <w:r>
        <w:t xml:space="preserve"> James Waterhouse and Phelan Chatterjee, </w:t>
      </w:r>
      <w:r w:rsidRPr="009B7216">
        <w:rPr>
          <w:i/>
          <w:iCs/>
        </w:rPr>
        <w:t>BBCNews.com</w:t>
      </w:r>
      <w:r>
        <w:rPr>
          <w:i/>
          <w:iCs/>
        </w:rPr>
        <w:t>,</w:t>
      </w:r>
      <w:r w:rsidRPr="009B7216">
        <w:rPr>
          <w:i/>
          <w:iCs/>
        </w:rPr>
        <w:t xml:space="preserve"> </w:t>
      </w:r>
      <w:r>
        <w:rPr>
          <w:i/>
          <w:iCs/>
        </w:rPr>
        <w:t>‘</w:t>
      </w:r>
      <w:r w:rsidRPr="009B7216">
        <w:t>Top Ukrainian Officials Quit In Anti-Corruption Drive</w:t>
      </w:r>
      <w:r>
        <w:t>’</w:t>
      </w:r>
      <w:r>
        <w:rPr>
          <w:i/>
          <w:iCs/>
        </w:rPr>
        <w:t>,</w:t>
      </w:r>
      <w:r>
        <w:t xml:space="preserve"> (24/01/2023) </w:t>
      </w:r>
      <w:hyperlink r:id="rId1" w:history="1">
        <w:r w:rsidRPr="00B96115">
          <w:rPr>
            <w:rStyle w:val="Hyperlink"/>
          </w:rPr>
          <w:t>https://www.bbc.com/news/world-europe-64383388</w:t>
        </w:r>
      </w:hyperlink>
      <w:r>
        <w:t xml:space="preserve"> [accessed 24/01/2023].</w:t>
      </w:r>
    </w:p>
  </w:footnote>
  <w:footnote w:id="4">
    <w:p w14:paraId="0141DBF1" w14:textId="657A0F80" w:rsidR="00896D9C" w:rsidRPr="00896D9C" w:rsidRDefault="00896D9C">
      <w:pPr>
        <w:pStyle w:val="FootnoteText"/>
      </w:pPr>
      <w:r>
        <w:rPr>
          <w:rStyle w:val="FootnoteReference"/>
        </w:rPr>
        <w:footnoteRef/>
      </w:r>
      <w:r>
        <w:t xml:space="preserve"> David Graeber, </w:t>
      </w:r>
      <w:r>
        <w:rPr>
          <w:i/>
          <w:iCs/>
        </w:rPr>
        <w:t>Debt, Violence And Impersonal Markets: Polanyian Meditations,</w:t>
      </w:r>
      <w:r>
        <w:t xml:space="preserve"> (2009).</w:t>
      </w:r>
    </w:p>
  </w:footnote>
  <w:footnote w:id="5">
    <w:p w14:paraId="63B23929" w14:textId="116029D5" w:rsidR="00505CFA" w:rsidRPr="00505CFA" w:rsidRDefault="00505CFA">
      <w:pPr>
        <w:pStyle w:val="FootnoteText"/>
      </w:pPr>
      <w:r>
        <w:rPr>
          <w:rStyle w:val="FootnoteReference"/>
        </w:rPr>
        <w:footnoteRef/>
      </w:r>
      <w:r>
        <w:t xml:space="preserve"> </w:t>
      </w:r>
      <w:r w:rsidR="00CB419F">
        <w:t>Chris</w:t>
      </w:r>
      <w:r>
        <w:t xml:space="preserve"> Hann and Keith Hart, </w:t>
      </w:r>
      <w:r>
        <w:rPr>
          <w:i/>
          <w:iCs/>
        </w:rPr>
        <w:t>Economic Anthropology</w:t>
      </w:r>
      <w:r>
        <w:t xml:space="preserve">, pp. 56 – 57. </w:t>
      </w:r>
    </w:p>
  </w:footnote>
  <w:footnote w:id="6">
    <w:p w14:paraId="6555F21B" w14:textId="08304499" w:rsidR="00CB419F" w:rsidRDefault="00CB419F">
      <w:pPr>
        <w:pStyle w:val="FootnoteText"/>
      </w:pPr>
      <w:r>
        <w:rPr>
          <w:rStyle w:val="FootnoteReference"/>
        </w:rPr>
        <w:footnoteRef/>
      </w:r>
      <w:r>
        <w:t xml:space="preserve"> Ibid, p. 57.</w:t>
      </w:r>
    </w:p>
  </w:footnote>
  <w:footnote w:id="7">
    <w:p w14:paraId="19A8BCA3" w14:textId="5348F268" w:rsidR="00120EE5" w:rsidRDefault="00120EE5">
      <w:pPr>
        <w:pStyle w:val="FootnoteText"/>
      </w:pPr>
      <w:r>
        <w:rPr>
          <w:rStyle w:val="FootnoteReference"/>
        </w:rPr>
        <w:footnoteRef/>
      </w:r>
      <w:r>
        <w:t xml:space="preserve"> Ibid, p.58. </w:t>
      </w:r>
    </w:p>
  </w:footnote>
  <w:footnote w:id="8">
    <w:p w14:paraId="4D1E09BD" w14:textId="555230FD" w:rsidR="00DC6A89" w:rsidRDefault="00DC6A89" w:rsidP="00DC6A89">
      <w:pPr>
        <w:pStyle w:val="FootnoteText"/>
      </w:pPr>
      <w:r>
        <w:rPr>
          <w:rStyle w:val="FootnoteReference"/>
        </w:rPr>
        <w:footnoteRef/>
      </w:r>
      <w:r>
        <w:t xml:space="preserve"> </w:t>
      </w:r>
      <w:r w:rsidR="003634C6">
        <w:t xml:space="preserve">Chris Hann and Keith Hart, </w:t>
      </w:r>
      <w:r w:rsidR="003634C6">
        <w:rPr>
          <w:i/>
          <w:iCs/>
        </w:rPr>
        <w:t xml:space="preserve">Economic Anthropology, </w:t>
      </w:r>
      <w:r>
        <w:t>p. 60.</w:t>
      </w:r>
    </w:p>
  </w:footnote>
  <w:footnote w:id="9">
    <w:p w14:paraId="1E63A9A6" w14:textId="13524CB1" w:rsidR="003634C6" w:rsidRDefault="003634C6">
      <w:pPr>
        <w:pStyle w:val="FootnoteText"/>
      </w:pPr>
      <w:r>
        <w:rPr>
          <w:rStyle w:val="FootnoteReference"/>
        </w:rPr>
        <w:footnoteRef/>
      </w:r>
      <w:r>
        <w:t xml:space="preserve"> Ibid. p.60.</w:t>
      </w:r>
    </w:p>
  </w:footnote>
  <w:footnote w:id="10">
    <w:p w14:paraId="0AA43A6B" w14:textId="16D589B2" w:rsidR="00492CFD" w:rsidRDefault="00492CFD" w:rsidP="00492CFD">
      <w:pPr>
        <w:pStyle w:val="FootnoteText"/>
        <w:jc w:val="left"/>
      </w:pPr>
      <w:r>
        <w:rPr>
          <w:rStyle w:val="FootnoteReference"/>
        </w:rPr>
        <w:footnoteRef/>
      </w:r>
      <w:r>
        <w:t xml:space="preserve">Adam Hayes, Investopedia, </w:t>
      </w:r>
      <w:r>
        <w:rPr>
          <w:i/>
          <w:iCs/>
        </w:rPr>
        <w:t>Boom And Bust Cycle: Definition, And How It Works</w:t>
      </w:r>
      <w:r>
        <w:t xml:space="preserve">, (2020)  </w:t>
      </w:r>
      <w:hyperlink r:id="rId2" w:history="1">
        <w:r w:rsidRPr="00B96115">
          <w:rPr>
            <w:rStyle w:val="Hyperlink"/>
          </w:rPr>
          <w:t>https://www.investopedia.com/terms/b/boom-and-bust-cycle.asp</w:t>
        </w:r>
      </w:hyperlink>
      <w:r>
        <w:t xml:space="preserve"> [accessed 26/01/2023].</w:t>
      </w:r>
    </w:p>
  </w:footnote>
  <w:footnote w:id="11">
    <w:p w14:paraId="42C4F518" w14:textId="3A9CE748" w:rsidR="003F6F0C" w:rsidRDefault="003F6F0C">
      <w:pPr>
        <w:pStyle w:val="FootnoteText"/>
      </w:pPr>
      <w:r>
        <w:rPr>
          <w:rStyle w:val="FootnoteReference"/>
        </w:rPr>
        <w:footnoteRef/>
      </w:r>
      <w:r>
        <w:t xml:space="preserve"> </w:t>
      </w:r>
      <w:r w:rsidR="00492CFD">
        <w:t xml:space="preserve">Chris Hann and Keith Hart, </w:t>
      </w:r>
      <w:r w:rsidR="00492CFD">
        <w:rPr>
          <w:i/>
          <w:iCs/>
        </w:rPr>
        <w:t>Economic Anthropology</w:t>
      </w:r>
      <w:r>
        <w:t>, pp. 60 – 61.</w:t>
      </w:r>
    </w:p>
  </w:footnote>
  <w:footnote w:id="12">
    <w:p w14:paraId="658B766D" w14:textId="3A0D9408" w:rsidR="00FE31DB" w:rsidRDefault="00FE31DB" w:rsidP="00492CFD">
      <w:pPr>
        <w:pStyle w:val="FootnoteText"/>
        <w:jc w:val="left"/>
      </w:pPr>
      <w:r>
        <w:rPr>
          <w:rStyle w:val="FootnoteReference"/>
        </w:rPr>
        <w:footnoteRef/>
      </w:r>
      <w:r>
        <w:t xml:space="preserve"> </w:t>
      </w:r>
      <w:r w:rsidR="00CD0B02">
        <w:t xml:space="preserve">Will Kenton, </w:t>
      </w:r>
      <w:r w:rsidR="00CD0B02" w:rsidRPr="00492CFD">
        <w:t>Investopedia</w:t>
      </w:r>
      <w:r w:rsidR="00CD0B02">
        <w:t xml:space="preserve">, </w:t>
      </w:r>
      <w:r w:rsidR="00492CFD">
        <w:rPr>
          <w:i/>
          <w:iCs/>
        </w:rPr>
        <w:t>Cash: Definition, Different Types And History</w:t>
      </w:r>
      <w:r w:rsidR="00492CFD">
        <w:t xml:space="preserve">, </w:t>
      </w:r>
      <w:r w:rsidR="00CD0B02">
        <w:t xml:space="preserve">(2021) </w:t>
      </w:r>
      <w:hyperlink r:id="rId3" w:history="1">
        <w:r w:rsidR="00492CFD" w:rsidRPr="00B96115">
          <w:rPr>
            <w:rStyle w:val="Hyperlink"/>
          </w:rPr>
          <w:t>https://www.investopedia.com/terms/c/cash.asp</w:t>
        </w:r>
      </w:hyperlink>
      <w:r w:rsidR="00CD0B02">
        <w:t xml:space="preserve"> [accessed 26/01/2023].</w:t>
      </w:r>
    </w:p>
  </w:footnote>
  <w:footnote w:id="13">
    <w:p w14:paraId="50531A4A" w14:textId="59507FB6" w:rsidR="008406DB" w:rsidRDefault="008406DB">
      <w:pPr>
        <w:pStyle w:val="FootnoteText"/>
      </w:pPr>
      <w:r>
        <w:rPr>
          <w:rStyle w:val="FootnoteReference"/>
        </w:rPr>
        <w:footnoteRef/>
      </w:r>
      <w:r>
        <w:t xml:space="preserve"> Chris Hann and Keith Hart, </w:t>
      </w:r>
      <w:r>
        <w:rPr>
          <w:i/>
          <w:iCs/>
        </w:rPr>
        <w:t xml:space="preserve">Economic Anthropology, </w:t>
      </w:r>
      <w:r>
        <w:t>p. 61.</w:t>
      </w:r>
    </w:p>
  </w:footnote>
  <w:footnote w:id="14">
    <w:p w14:paraId="5FFCFFA0" w14:textId="53311AD8" w:rsidR="00AB33C2" w:rsidRDefault="00AB33C2">
      <w:pPr>
        <w:pStyle w:val="FootnoteText"/>
      </w:pPr>
      <w:r>
        <w:rPr>
          <w:rStyle w:val="FootnoteReference"/>
        </w:rPr>
        <w:footnoteRef/>
      </w:r>
      <w:r>
        <w:t xml:space="preserve"> Ibid. p. 61.</w:t>
      </w:r>
    </w:p>
  </w:footnote>
  <w:footnote w:id="15">
    <w:p w14:paraId="758998F7" w14:textId="77777777" w:rsidR="00FA050B" w:rsidRDefault="00FA050B" w:rsidP="00FA050B">
      <w:pPr>
        <w:pStyle w:val="FootnoteText"/>
        <w:jc w:val="left"/>
      </w:pPr>
      <w:r>
        <w:rPr>
          <w:rStyle w:val="FootnoteReference"/>
        </w:rPr>
        <w:footnoteRef/>
      </w:r>
      <w:r>
        <w:t>Rebecca Whiting, ‘</w:t>
      </w:r>
      <w:r w:rsidRPr="00B20785">
        <w:t>Ancient Wisdom: What Tooth Decay Can Tell Us About The Past</w:t>
      </w:r>
      <w:r>
        <w:t>’</w:t>
      </w:r>
      <w:r w:rsidRPr="00B20785">
        <w:t>,</w:t>
      </w:r>
      <w:r>
        <w:rPr>
          <w:i/>
          <w:iCs/>
        </w:rPr>
        <w:t xml:space="preserve"> </w:t>
      </w:r>
      <w:r w:rsidRPr="00B20785">
        <w:rPr>
          <w:i/>
          <w:iCs/>
        </w:rPr>
        <w:t>British Museum</w:t>
      </w:r>
      <w:r>
        <w:t xml:space="preserve">, </w:t>
      </w:r>
      <w:r w:rsidRPr="00B20785">
        <w:t>(2017)</w:t>
      </w:r>
      <w:r>
        <w:t xml:space="preserve"> </w:t>
      </w:r>
      <w:hyperlink r:id="rId4" w:history="1">
        <w:r w:rsidRPr="00B96115">
          <w:rPr>
            <w:rStyle w:val="Hyperlink"/>
          </w:rPr>
          <w:t>https://www.britishmuseum.org/blog/ancient-wisdom-what-tooth-decay-can-tell-us-about-past</w:t>
        </w:r>
      </w:hyperlink>
      <w:r>
        <w:t xml:space="preserve"> [accessed 26/01/2023].</w:t>
      </w:r>
    </w:p>
  </w:footnote>
  <w:footnote w:id="16">
    <w:p w14:paraId="4BC803AF" w14:textId="77777777" w:rsidR="00537AC3" w:rsidRPr="00457B0D" w:rsidRDefault="00537AC3" w:rsidP="00537AC3">
      <w:pPr>
        <w:pStyle w:val="FootnoteText"/>
      </w:pPr>
      <w:r>
        <w:rPr>
          <w:rStyle w:val="FootnoteReference"/>
        </w:rPr>
        <w:footnoteRef/>
      </w:r>
      <w:r>
        <w:t xml:space="preserve"> Andrew George, </w:t>
      </w:r>
      <w:r>
        <w:rPr>
          <w:i/>
          <w:iCs/>
        </w:rPr>
        <w:t>The Epic Of Gilgamesh</w:t>
      </w:r>
      <w:r>
        <w:t>, (London: Penguin. 1999)  Tablet 1, pp.1 - 2.</w:t>
      </w:r>
    </w:p>
  </w:footnote>
  <w:footnote w:id="17">
    <w:p w14:paraId="44F75148" w14:textId="3F5277F0" w:rsidR="00A251B7" w:rsidRPr="00405B5E" w:rsidRDefault="00A251B7" w:rsidP="00A251B7">
      <w:pPr>
        <w:pStyle w:val="FootnoteText"/>
        <w:jc w:val="left"/>
        <w:rPr>
          <w:i/>
          <w:iCs/>
        </w:rPr>
      </w:pPr>
      <w:r>
        <w:rPr>
          <w:rStyle w:val="FootnoteReference"/>
        </w:rPr>
        <w:footnoteRef/>
      </w:r>
      <w:r>
        <w:t xml:space="preserve"> Edward S. Curtis, </w:t>
      </w:r>
      <w:r>
        <w:rPr>
          <w:i/>
          <w:iCs/>
        </w:rPr>
        <w:t>The North American Indian,</w:t>
      </w:r>
      <w:r>
        <w:t xml:space="preserve"> (Cologne, Taschen, 1997) pp. 6 – 10. </w:t>
      </w:r>
    </w:p>
  </w:footnote>
  <w:footnote w:id="18">
    <w:p w14:paraId="15E62991" w14:textId="6E1086E6" w:rsidR="00F74686" w:rsidRPr="00C829F2" w:rsidRDefault="00F74686" w:rsidP="00F74686">
      <w:pPr>
        <w:pStyle w:val="FootnoteText"/>
        <w:jc w:val="left"/>
      </w:pPr>
      <w:r>
        <w:rPr>
          <w:rStyle w:val="FootnoteReference"/>
        </w:rPr>
        <w:footnoteRef/>
      </w:r>
      <w:r>
        <w:t xml:space="preserve"> </w:t>
      </w:r>
      <w:r w:rsidR="00C829F2">
        <w:t xml:space="preserve">Tove </w:t>
      </w:r>
      <w:r w:rsidR="00C829F2" w:rsidRPr="00C829F2">
        <w:t>Ö</w:t>
      </w:r>
      <w:r w:rsidR="00C829F2">
        <w:t xml:space="preserve">stermann, ‘Cultural Relativism And Understanding Difference’, </w:t>
      </w:r>
      <w:r w:rsidR="00C829F2">
        <w:rPr>
          <w:i/>
          <w:iCs/>
        </w:rPr>
        <w:t>Language And Communication</w:t>
      </w:r>
      <w:r w:rsidR="00C829F2">
        <w:t xml:space="preserve">, 80 (2021) pp. 124 – 135, p, 125. </w:t>
      </w:r>
    </w:p>
  </w:footnote>
  <w:footnote w:id="19">
    <w:p w14:paraId="120C93AA" w14:textId="6FEC93C1" w:rsidR="0082779E" w:rsidRDefault="007245A1" w:rsidP="007245A1">
      <w:pPr>
        <w:pStyle w:val="FootnoteText"/>
        <w:jc w:val="left"/>
      </w:pPr>
      <w:r>
        <w:rPr>
          <w:rStyle w:val="FootnoteReference"/>
        </w:rPr>
        <w:footnoteRef/>
      </w:r>
      <w:r w:rsidR="0082779E">
        <w:t>Rachel Nowak and Will Knight, ‘Meet Our New Human Relatives</w:t>
      </w:r>
      <w:r w:rsidR="006F3DF6">
        <w:t>’,</w:t>
      </w:r>
      <w:r w:rsidR="0082779E">
        <w:t xml:space="preserve"> </w:t>
      </w:r>
      <w:r w:rsidR="0082779E">
        <w:rPr>
          <w:i/>
          <w:iCs/>
        </w:rPr>
        <w:t>New Scientist</w:t>
      </w:r>
      <w:r w:rsidR="0082779E">
        <w:t xml:space="preserve">, </w:t>
      </w:r>
      <w:r w:rsidR="006F3DF6">
        <w:t xml:space="preserve">print edition, </w:t>
      </w:r>
      <w:r w:rsidR="0082779E">
        <w:t xml:space="preserve">(27/10/2004) </w:t>
      </w:r>
      <w:hyperlink r:id="rId5" w:history="1">
        <w:r w:rsidR="0082779E" w:rsidRPr="00B96115">
          <w:rPr>
            <w:rStyle w:val="Hyperlink"/>
          </w:rPr>
          <w:t>https://www.newscientist.com/article/mg18424711-000-meet-our-new-human-relatives/</w:t>
        </w:r>
      </w:hyperlink>
      <w:r w:rsidR="0082779E">
        <w:t xml:space="preserve"> [accessed 28/01/2023].</w:t>
      </w:r>
    </w:p>
    <w:p w14:paraId="4D2E89E1" w14:textId="256796B0" w:rsidR="007245A1" w:rsidRDefault="007245A1" w:rsidP="007245A1">
      <w:pPr>
        <w:pStyle w:val="FootnoteText"/>
        <w:jc w:val="left"/>
      </w:pPr>
      <w:r>
        <w:t xml:space="preserve">Michael Marshal, ‘Volcanic Eruption May Have Helped Drive Real-Life Hobbits Extinct’, </w:t>
      </w:r>
      <w:r>
        <w:rPr>
          <w:i/>
          <w:iCs/>
        </w:rPr>
        <w:t>New Scientist.com</w:t>
      </w:r>
      <w:r>
        <w:t xml:space="preserve">, (20128) </w:t>
      </w:r>
      <w:hyperlink r:id="rId6" w:history="1">
        <w:r w:rsidRPr="00B96115">
          <w:rPr>
            <w:rStyle w:val="Hyperlink"/>
          </w:rPr>
          <w:t>https://www.newscientist.com/article/2179114-volcanic-eruption-may-have-helped-drive-real-life-hobbits-extinct/</w:t>
        </w:r>
      </w:hyperlink>
      <w:r>
        <w:t xml:space="preserve"> [accessed 28/01/2023].</w:t>
      </w:r>
    </w:p>
  </w:footnote>
  <w:footnote w:id="20">
    <w:p w14:paraId="7B8079DE" w14:textId="67A452DF" w:rsidR="00574815" w:rsidRDefault="00574815" w:rsidP="00574815">
      <w:pPr>
        <w:pStyle w:val="FootnoteText"/>
        <w:jc w:val="left"/>
      </w:pPr>
      <w:r>
        <w:rPr>
          <w:rStyle w:val="FootnoteReference"/>
        </w:rPr>
        <w:footnoteRef/>
      </w:r>
      <w:r>
        <w:t xml:space="preserve"> Andy Coglan, ‘Ancient Finger Bone May Reveal Humanities’ Path Out Of Africa’, </w:t>
      </w:r>
      <w:r>
        <w:rPr>
          <w:i/>
          <w:iCs/>
        </w:rPr>
        <w:t xml:space="preserve">New Scientist.com </w:t>
      </w:r>
      <w:r w:rsidRPr="00574815">
        <w:t>(09/04/2018)</w:t>
      </w:r>
      <w:r>
        <w:rPr>
          <w:i/>
          <w:iCs/>
        </w:rPr>
        <w:t xml:space="preserve"> </w:t>
      </w:r>
      <w:hyperlink r:id="rId7" w:history="1">
        <w:r w:rsidRPr="0073637B">
          <w:rPr>
            <w:rStyle w:val="Hyperlink"/>
          </w:rPr>
          <w:t>https://www.newscientist.com/article/2165771-ancient-finger-bone-may-reveal-humanitys-path-out-of-africa/</w:t>
        </w:r>
      </w:hyperlink>
      <w:r>
        <w:t xml:space="preserve"> [accessed 29/02/2023].</w:t>
      </w:r>
    </w:p>
  </w:footnote>
  <w:footnote w:id="21">
    <w:p w14:paraId="79C4B303" w14:textId="437B0522" w:rsidR="004D1752" w:rsidRDefault="004D1752" w:rsidP="004D1752">
      <w:pPr>
        <w:pStyle w:val="FootnoteText"/>
        <w:jc w:val="left"/>
      </w:pPr>
      <w:r>
        <w:rPr>
          <w:rStyle w:val="FootnoteReference"/>
        </w:rPr>
        <w:footnoteRef/>
      </w:r>
      <w:r>
        <w:t xml:space="preserve"> David Robson, ‘Puzzles Of evolution: Why Are Our Brains So Big?’ </w:t>
      </w:r>
      <w:r>
        <w:rPr>
          <w:i/>
          <w:iCs/>
        </w:rPr>
        <w:t xml:space="preserve">New Scientist.com, </w:t>
      </w:r>
      <w:r>
        <w:t xml:space="preserve">(21/03/2012), </w:t>
      </w:r>
      <w:hyperlink r:id="rId8" w:history="1">
        <w:r w:rsidRPr="0073637B">
          <w:rPr>
            <w:rStyle w:val="Hyperlink"/>
          </w:rPr>
          <w:t>https://www.newscientist.com/article/mg21328571-600-puzzles-of-evolution-why-are-our-brains-so-big/</w:t>
        </w:r>
      </w:hyperlink>
      <w:r>
        <w:t xml:space="preserve"> [accessed 29/01/2023].</w:t>
      </w:r>
    </w:p>
  </w:footnote>
  <w:footnote w:id="22">
    <w:p w14:paraId="629476A6" w14:textId="77777777" w:rsidR="00E47E3D" w:rsidRDefault="00E47E3D" w:rsidP="00E47E3D">
      <w:pPr>
        <w:pStyle w:val="FootnoteText"/>
        <w:jc w:val="left"/>
      </w:pPr>
      <w:r>
        <w:rPr>
          <w:rStyle w:val="FootnoteReference"/>
        </w:rPr>
        <w:footnoteRef/>
      </w:r>
      <w:r>
        <w:t xml:space="preserve"> Michael Marshal, ‘When Did Hominids Start Cooking? It Might Be Earlier Than We Thought’, </w:t>
      </w:r>
      <w:r>
        <w:rPr>
          <w:i/>
          <w:iCs/>
        </w:rPr>
        <w:t xml:space="preserve">New Scientist.com, </w:t>
      </w:r>
      <w:r>
        <w:t xml:space="preserve">(28/12/2022) </w:t>
      </w:r>
      <w:hyperlink r:id="rId9" w:history="1">
        <w:r w:rsidRPr="00B96115">
          <w:rPr>
            <w:rStyle w:val="Hyperlink"/>
          </w:rPr>
          <w:t>https://www.newscientist.com/article/mg25634180-300-when-did-hominins-start-cooking-it-might-be-earlier-than-we-thought/</w:t>
        </w:r>
      </w:hyperlink>
      <w:r>
        <w:t xml:space="preserve"> [accessed 28/01/2023].</w:t>
      </w:r>
    </w:p>
  </w:footnote>
  <w:footnote w:id="23">
    <w:p w14:paraId="069C8923" w14:textId="77777777" w:rsidR="005A6805" w:rsidRPr="005A6805" w:rsidRDefault="005A6805" w:rsidP="005A6805">
      <w:pPr>
        <w:pStyle w:val="FootnoteText"/>
        <w:jc w:val="left"/>
      </w:pPr>
      <w:r>
        <w:rPr>
          <w:rStyle w:val="FootnoteReference"/>
        </w:rPr>
        <w:footnoteRef/>
      </w:r>
      <w:r>
        <w:t xml:space="preserve"> Steven Pinker, </w:t>
      </w:r>
      <w:r>
        <w:rPr>
          <w:i/>
          <w:iCs/>
        </w:rPr>
        <w:t>The Better Angels Of Our Nature,</w:t>
      </w:r>
      <w:r>
        <w:t xml:space="preserve"> (Penguin: London, 2011), p. 755.</w:t>
      </w:r>
    </w:p>
  </w:footnote>
  <w:footnote w:id="24">
    <w:p w14:paraId="1A8B1A9B" w14:textId="46C9F65B" w:rsidR="002B4135" w:rsidRPr="008C6CF3" w:rsidRDefault="002B4135">
      <w:pPr>
        <w:pStyle w:val="FootnoteText"/>
      </w:pPr>
      <w:r>
        <w:rPr>
          <w:rStyle w:val="FootnoteReference"/>
        </w:rPr>
        <w:footnoteRef/>
      </w:r>
      <w:r>
        <w:t xml:space="preserve"> </w:t>
      </w:r>
      <w:r w:rsidR="008C6CF3">
        <w:t xml:space="preserve">Steven Pinker, </w:t>
      </w:r>
      <w:r w:rsidR="008C6CF3">
        <w:rPr>
          <w:i/>
          <w:iCs/>
        </w:rPr>
        <w:t>The Better</w:t>
      </w:r>
      <w:r w:rsidR="008C6CF3">
        <w:rPr>
          <w:i/>
          <w:iCs/>
        </w:rPr>
        <w:t xml:space="preserve">, </w:t>
      </w:r>
      <w:r w:rsidR="008C6CF3">
        <w:t>p. 1.</w:t>
      </w:r>
    </w:p>
  </w:footnote>
  <w:footnote w:id="25">
    <w:p w14:paraId="4DF017AE" w14:textId="07600965" w:rsidR="000D1AE6" w:rsidRDefault="000D1AE6" w:rsidP="000D1AE6">
      <w:pPr>
        <w:pStyle w:val="FootnoteText"/>
        <w:jc w:val="left"/>
      </w:pPr>
      <w:r>
        <w:rPr>
          <w:rStyle w:val="FootnoteReference"/>
        </w:rPr>
        <w:footnoteRef/>
      </w:r>
      <w:r>
        <w:t xml:space="preserve"> Jack Dutton, ‘Ukraine Fires Back At False 100,000 Death Toll, Releases Official Figure’, </w:t>
      </w:r>
      <w:r>
        <w:rPr>
          <w:i/>
          <w:iCs/>
        </w:rPr>
        <w:t>Newsweek,</w:t>
      </w:r>
      <w:r>
        <w:t xml:space="preserve"> (12/02/2022) </w:t>
      </w:r>
      <w:hyperlink r:id="rId10" w:history="1">
        <w:r w:rsidRPr="00B96115">
          <w:rPr>
            <w:rStyle w:val="Hyperlink"/>
          </w:rPr>
          <w:t>https://www.newsweek.com/ukraine-releases-official-russia-war-death-toll-1764233</w:t>
        </w:r>
      </w:hyperlink>
      <w:r>
        <w:t xml:space="preserve"> [accessed 29/01/2023].</w:t>
      </w:r>
    </w:p>
  </w:footnote>
  <w:footnote w:id="26">
    <w:p w14:paraId="20C43670" w14:textId="3FD6DBD8" w:rsidR="00696B9A" w:rsidRDefault="00696B9A" w:rsidP="0065705B">
      <w:pPr>
        <w:pStyle w:val="FootnoteText"/>
        <w:jc w:val="left"/>
      </w:pPr>
      <w:r>
        <w:rPr>
          <w:rStyle w:val="FootnoteReference"/>
        </w:rPr>
        <w:footnoteRef/>
      </w:r>
      <w:r>
        <w:t xml:space="preserve"> Steven Pinker, </w:t>
      </w:r>
      <w:r>
        <w:rPr>
          <w:i/>
          <w:iCs/>
        </w:rPr>
        <w:t>The Better Angels Of Our Nature,</w:t>
      </w:r>
      <w:r>
        <w:t xml:space="preserve"> (Penguin: London, 2011), p. 57.</w:t>
      </w:r>
    </w:p>
  </w:footnote>
  <w:footnote w:id="27">
    <w:p w14:paraId="078F34A5" w14:textId="77777777" w:rsidR="0068176D" w:rsidRPr="0065705B" w:rsidRDefault="0068176D" w:rsidP="0068176D">
      <w:pPr>
        <w:pStyle w:val="FootnoteText"/>
      </w:pPr>
      <w:r>
        <w:rPr>
          <w:rStyle w:val="FootnoteReference"/>
        </w:rPr>
        <w:footnoteRef/>
      </w:r>
      <w:r>
        <w:t xml:space="preserve"> Steven Pinker, </w:t>
      </w:r>
      <w:r>
        <w:rPr>
          <w:i/>
          <w:iCs/>
        </w:rPr>
        <w:t xml:space="preserve">The Better, </w:t>
      </w:r>
      <w:r>
        <w:t>p. 795.</w:t>
      </w:r>
    </w:p>
  </w:footnote>
  <w:footnote w:id="28">
    <w:p w14:paraId="502C92D7" w14:textId="2F85533F" w:rsidR="00E91A4A" w:rsidRDefault="00E91A4A" w:rsidP="00E91A4A">
      <w:pPr>
        <w:pStyle w:val="FootnoteText"/>
        <w:jc w:val="left"/>
      </w:pPr>
      <w:r>
        <w:rPr>
          <w:rStyle w:val="FootnoteReference"/>
        </w:rPr>
        <w:footnoteRef/>
      </w:r>
      <w:r>
        <w:t xml:space="preserve"> Theresa Rowe, ‘Those Who Forget Their History Are Doomed To Repeat’ </w:t>
      </w:r>
      <w:r>
        <w:rPr>
          <w:i/>
          <w:iCs/>
        </w:rPr>
        <w:t>The American Journal Of Medicine,</w:t>
      </w:r>
      <w:r>
        <w:t xml:space="preserve"> (2019) </w:t>
      </w:r>
      <w:hyperlink r:id="rId11" w:history="1">
        <w:r w:rsidRPr="00B96115">
          <w:rPr>
            <w:rStyle w:val="Hyperlink"/>
          </w:rPr>
          <w:t>https://www.amjmed.com/article/S0002-9343(10)00398-0/fulltext</w:t>
        </w:r>
      </w:hyperlink>
      <w:r>
        <w:t xml:space="preserve"> [accessed 29/01/2023].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1C0"/>
    <w:rsid w:val="000C140F"/>
    <w:rsid w:val="000D1AE6"/>
    <w:rsid w:val="000F3A63"/>
    <w:rsid w:val="001011C0"/>
    <w:rsid w:val="00114243"/>
    <w:rsid w:val="00120EE5"/>
    <w:rsid w:val="001544B3"/>
    <w:rsid w:val="00194AF0"/>
    <w:rsid w:val="001E5608"/>
    <w:rsid w:val="00205758"/>
    <w:rsid w:val="00240D97"/>
    <w:rsid w:val="0026575D"/>
    <w:rsid w:val="002709B9"/>
    <w:rsid w:val="00291C2B"/>
    <w:rsid w:val="00296773"/>
    <w:rsid w:val="002B1AC1"/>
    <w:rsid w:val="002B4135"/>
    <w:rsid w:val="002D3F19"/>
    <w:rsid w:val="002F185C"/>
    <w:rsid w:val="002F7E79"/>
    <w:rsid w:val="0035093F"/>
    <w:rsid w:val="003634C6"/>
    <w:rsid w:val="00366E16"/>
    <w:rsid w:val="0038728F"/>
    <w:rsid w:val="003C08C8"/>
    <w:rsid w:val="003D3644"/>
    <w:rsid w:val="003F6F0C"/>
    <w:rsid w:val="00405B5E"/>
    <w:rsid w:val="00457B0D"/>
    <w:rsid w:val="0046031C"/>
    <w:rsid w:val="00472136"/>
    <w:rsid w:val="00472336"/>
    <w:rsid w:val="004762CC"/>
    <w:rsid w:val="00492CFD"/>
    <w:rsid w:val="004D1752"/>
    <w:rsid w:val="004F33FE"/>
    <w:rsid w:val="00505CFA"/>
    <w:rsid w:val="00537AC3"/>
    <w:rsid w:val="00537D92"/>
    <w:rsid w:val="00574815"/>
    <w:rsid w:val="005A50CB"/>
    <w:rsid w:val="005A6805"/>
    <w:rsid w:val="005C3229"/>
    <w:rsid w:val="00647F06"/>
    <w:rsid w:val="0065705B"/>
    <w:rsid w:val="0068176D"/>
    <w:rsid w:val="00696B9A"/>
    <w:rsid w:val="006C3478"/>
    <w:rsid w:val="006F3DF6"/>
    <w:rsid w:val="007245A1"/>
    <w:rsid w:val="0076144B"/>
    <w:rsid w:val="00810F64"/>
    <w:rsid w:val="0082779E"/>
    <w:rsid w:val="008406DB"/>
    <w:rsid w:val="00892216"/>
    <w:rsid w:val="00896D9C"/>
    <w:rsid w:val="008B0CC1"/>
    <w:rsid w:val="008C6CF3"/>
    <w:rsid w:val="0090232F"/>
    <w:rsid w:val="00944994"/>
    <w:rsid w:val="009B7216"/>
    <w:rsid w:val="00A251B7"/>
    <w:rsid w:val="00A52F2D"/>
    <w:rsid w:val="00A63E92"/>
    <w:rsid w:val="00AB33C2"/>
    <w:rsid w:val="00B20785"/>
    <w:rsid w:val="00B67033"/>
    <w:rsid w:val="00B821AA"/>
    <w:rsid w:val="00BC1981"/>
    <w:rsid w:val="00BD0029"/>
    <w:rsid w:val="00BD2745"/>
    <w:rsid w:val="00BF4840"/>
    <w:rsid w:val="00C15ACB"/>
    <w:rsid w:val="00C62C60"/>
    <w:rsid w:val="00C829F2"/>
    <w:rsid w:val="00CB419F"/>
    <w:rsid w:val="00CD0B02"/>
    <w:rsid w:val="00CE29F7"/>
    <w:rsid w:val="00CF36A6"/>
    <w:rsid w:val="00D74764"/>
    <w:rsid w:val="00DC6A89"/>
    <w:rsid w:val="00DD1E3A"/>
    <w:rsid w:val="00DF3F55"/>
    <w:rsid w:val="00E20483"/>
    <w:rsid w:val="00E47E3D"/>
    <w:rsid w:val="00E91A4A"/>
    <w:rsid w:val="00EE6737"/>
    <w:rsid w:val="00F51FEB"/>
    <w:rsid w:val="00F56BAE"/>
    <w:rsid w:val="00F74686"/>
    <w:rsid w:val="00FA050B"/>
    <w:rsid w:val="00FC52EB"/>
    <w:rsid w:val="00FD315C"/>
    <w:rsid w:val="00FE31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D0EF5"/>
  <w15:chartTrackingRefBased/>
  <w15:docId w15:val="{C62BAFCB-F93B-494D-9863-E601899BC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85C"/>
    <w:pPr>
      <w:jc w:val="both"/>
    </w:pPr>
  </w:style>
  <w:style w:type="paragraph" w:styleId="Heading1">
    <w:name w:val="heading 1"/>
    <w:basedOn w:val="Normal"/>
    <w:next w:val="Normal"/>
    <w:link w:val="Heading1Char"/>
    <w:uiPriority w:val="9"/>
    <w:qFormat/>
    <w:rsid w:val="00944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F56BAE"/>
    <w:pPr>
      <w:spacing w:after="0" w:line="240" w:lineRule="auto"/>
      <w:contextualSpacing/>
    </w:pPr>
    <w:rPr>
      <w:rFonts w:asciiTheme="majorHAnsi" w:eastAsiaTheme="majorEastAsia" w:hAnsiTheme="majorHAnsi" w:cstheme="majorBidi"/>
      <w:color w:val="4472C4" w:themeColor="accent1"/>
      <w:spacing w:val="-10"/>
      <w:kern w:val="28"/>
      <w:sz w:val="56"/>
      <w:szCs w:val="56"/>
      <w:u w:val="single"/>
    </w:rPr>
  </w:style>
  <w:style w:type="character" w:customStyle="1" w:styleId="TitleChar">
    <w:name w:val="Title Char"/>
    <w:basedOn w:val="DefaultParagraphFont"/>
    <w:link w:val="Title"/>
    <w:uiPriority w:val="10"/>
    <w:rsid w:val="00F56BAE"/>
    <w:rPr>
      <w:rFonts w:asciiTheme="majorHAnsi" w:eastAsiaTheme="majorEastAsia" w:hAnsiTheme="majorHAnsi" w:cstheme="majorBidi"/>
      <w:color w:val="4472C4" w:themeColor="accent1"/>
      <w:spacing w:val="-10"/>
      <w:kern w:val="28"/>
      <w:sz w:val="56"/>
      <w:szCs w:val="56"/>
      <w:u w:val="single"/>
    </w:rPr>
  </w:style>
  <w:style w:type="paragraph" w:customStyle="1" w:styleId="Bibli1">
    <w:name w:val="Bibli1"/>
    <w:basedOn w:val="Normal"/>
    <w:qFormat/>
    <w:rsid w:val="0090232F"/>
  </w:style>
  <w:style w:type="character" w:customStyle="1" w:styleId="Heading1Char">
    <w:name w:val="Heading 1 Char"/>
    <w:basedOn w:val="DefaultParagraphFont"/>
    <w:link w:val="Heading1"/>
    <w:uiPriority w:val="9"/>
    <w:rsid w:val="0094499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44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994"/>
  </w:style>
  <w:style w:type="paragraph" w:styleId="Footer">
    <w:name w:val="footer"/>
    <w:basedOn w:val="Normal"/>
    <w:link w:val="FooterChar"/>
    <w:uiPriority w:val="99"/>
    <w:unhideWhenUsed/>
    <w:rsid w:val="00944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994"/>
  </w:style>
  <w:style w:type="paragraph" w:styleId="FootnoteText">
    <w:name w:val="footnote text"/>
    <w:basedOn w:val="Normal"/>
    <w:link w:val="FootnoteTextChar"/>
    <w:uiPriority w:val="99"/>
    <w:unhideWhenUsed/>
    <w:rsid w:val="008B0CC1"/>
    <w:pPr>
      <w:spacing w:after="0" w:line="240" w:lineRule="auto"/>
    </w:pPr>
    <w:rPr>
      <w:sz w:val="20"/>
      <w:szCs w:val="20"/>
    </w:rPr>
  </w:style>
  <w:style w:type="character" w:customStyle="1" w:styleId="FootnoteTextChar">
    <w:name w:val="Footnote Text Char"/>
    <w:basedOn w:val="DefaultParagraphFont"/>
    <w:link w:val="FootnoteText"/>
    <w:uiPriority w:val="99"/>
    <w:rsid w:val="008B0CC1"/>
    <w:rPr>
      <w:sz w:val="20"/>
      <w:szCs w:val="20"/>
    </w:rPr>
  </w:style>
  <w:style w:type="character" w:styleId="FootnoteReference">
    <w:name w:val="footnote reference"/>
    <w:basedOn w:val="DefaultParagraphFont"/>
    <w:uiPriority w:val="99"/>
    <w:semiHidden/>
    <w:unhideWhenUsed/>
    <w:rsid w:val="008B0CC1"/>
    <w:rPr>
      <w:vertAlign w:val="superscript"/>
    </w:rPr>
  </w:style>
  <w:style w:type="character" w:styleId="Hyperlink">
    <w:name w:val="Hyperlink"/>
    <w:basedOn w:val="DefaultParagraphFont"/>
    <w:uiPriority w:val="99"/>
    <w:unhideWhenUsed/>
    <w:rsid w:val="000F3A63"/>
    <w:rPr>
      <w:color w:val="0563C1" w:themeColor="hyperlink"/>
      <w:u w:val="single"/>
    </w:rPr>
  </w:style>
  <w:style w:type="character" w:styleId="UnresolvedMention">
    <w:name w:val="Unresolved Mention"/>
    <w:basedOn w:val="DefaultParagraphFont"/>
    <w:uiPriority w:val="99"/>
    <w:semiHidden/>
    <w:unhideWhenUsed/>
    <w:rsid w:val="000F3A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b/boom-and-bust-cycle.asp" TargetMode="External"/><Relationship Id="rId13" Type="http://schemas.openxmlformats.org/officeDocument/2006/relationships/hyperlink" Target="https://www.newscientist.com/article/mg21328571-600-puzzles-of-evolution-why-are-our-brains-so-bi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ewscientist.com/article/2165771-ancient-finger-bone-may-reveal-humanitys-path-out-of-africa/" TargetMode="External"/><Relationship Id="rId12" Type="http://schemas.openxmlformats.org/officeDocument/2006/relationships/hyperlink" Target="https://www.newscientist.com/article/mg18424711-000-meet-our-new-human-relativ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ewscientist.com/article/mg25634180-300-when-did-hominins-start-cooking-it-might-be-earlier-than-we-thought/" TargetMode="External"/><Relationship Id="rId5" Type="http://schemas.openxmlformats.org/officeDocument/2006/relationships/footnotes" Target="footnotes.xml"/><Relationship Id="rId15" Type="http://schemas.openxmlformats.org/officeDocument/2006/relationships/hyperlink" Target="https://www.britishmuseum.org/blog/ancient-wisdom-what-tooth-decay-can-tell-us-about-past" TargetMode="External"/><Relationship Id="rId10" Type="http://schemas.openxmlformats.org/officeDocument/2006/relationships/hyperlink" Target="https://www.newscientist.com/article/2179114-volcanic-eruption-may-have-helped-drive-real-life-hobbits-extinct/" TargetMode="External"/><Relationship Id="rId4" Type="http://schemas.openxmlformats.org/officeDocument/2006/relationships/webSettings" Target="webSettings.xml"/><Relationship Id="rId9" Type="http://schemas.openxmlformats.org/officeDocument/2006/relationships/hyperlink" Target="https://www.investopedia.com/terms/c/cash.asp" TargetMode="External"/><Relationship Id="rId14" Type="http://schemas.openxmlformats.org/officeDocument/2006/relationships/hyperlink" Target="https://www.bbc.com/news/world-europe-64383388"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ewscientist.com/article/mg21328571-600-puzzles-of-evolution-why-are-our-brains-so-big/" TargetMode="External"/><Relationship Id="rId3" Type="http://schemas.openxmlformats.org/officeDocument/2006/relationships/hyperlink" Target="https://www.investopedia.com/terms/c/cash.asp" TargetMode="External"/><Relationship Id="rId7" Type="http://schemas.openxmlformats.org/officeDocument/2006/relationships/hyperlink" Target="https://www.newscientist.com/article/2165771-ancient-finger-bone-may-reveal-humanitys-path-out-of-africa/" TargetMode="External"/><Relationship Id="rId2" Type="http://schemas.openxmlformats.org/officeDocument/2006/relationships/hyperlink" Target="https://www.investopedia.com/terms/b/boom-and-bust-cycle.asp" TargetMode="External"/><Relationship Id="rId1" Type="http://schemas.openxmlformats.org/officeDocument/2006/relationships/hyperlink" Target="https://www.bbc.com/news/world-europe-64383388" TargetMode="External"/><Relationship Id="rId6" Type="http://schemas.openxmlformats.org/officeDocument/2006/relationships/hyperlink" Target="https://www.newscientist.com/article/2179114-volcanic-eruption-may-have-helped-drive-real-life-hobbits-extinct/" TargetMode="External"/><Relationship Id="rId11" Type="http://schemas.openxmlformats.org/officeDocument/2006/relationships/hyperlink" Target="https://www.amjmed.com/article/S0002-9343(10)00398-0/fulltext" TargetMode="External"/><Relationship Id="rId5" Type="http://schemas.openxmlformats.org/officeDocument/2006/relationships/hyperlink" Target="https://www.newscientist.com/article/mg18424711-000-meet-our-new-human-relatives/" TargetMode="External"/><Relationship Id="rId10" Type="http://schemas.openxmlformats.org/officeDocument/2006/relationships/hyperlink" Target="https://www.newsweek.com/ukraine-releases-official-russia-war-death-toll-1764233" TargetMode="External"/><Relationship Id="rId4" Type="http://schemas.openxmlformats.org/officeDocument/2006/relationships/hyperlink" Target="https://www.britishmuseum.org/blog/ancient-wisdom-what-tooth-decay-can-tell-us-about-past" TargetMode="External"/><Relationship Id="rId9" Type="http://schemas.openxmlformats.org/officeDocument/2006/relationships/hyperlink" Target="https://www.newscientist.com/article/mg25634180-300-when-did-hominins-start-cooking-it-might-be-earlier-than-we-thou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4CE5B-74E9-4F03-8DD7-3D266A356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1912</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Wilson</dc:creator>
  <cp:keywords/>
  <dc:description/>
  <cp:lastModifiedBy>Keith Wilson</cp:lastModifiedBy>
  <cp:revision>9</cp:revision>
  <dcterms:created xsi:type="dcterms:W3CDTF">2023-01-29T11:33:00Z</dcterms:created>
  <dcterms:modified xsi:type="dcterms:W3CDTF">2023-01-29T18:11:00Z</dcterms:modified>
</cp:coreProperties>
</file>