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2083" w:rsidRDefault="00122A04">
      <w:pPr>
        <w:pStyle w:val="Body"/>
        <w:jc w:val="center"/>
        <w:rPr>
          <w:b/>
          <w:bCs/>
          <w:sz w:val="20"/>
          <w:szCs w:val="20"/>
        </w:rPr>
      </w:pPr>
      <w:r>
        <w:rPr>
          <w:rFonts w:ascii="Cambria" w:eastAsia="Cambria" w:hAnsi="Cambria" w:cs="Cambria"/>
          <w:b/>
          <w:bCs/>
          <w:spacing w:val="-10"/>
          <w:kern w:val="28"/>
          <w:sz w:val="48"/>
          <w:szCs w:val="48"/>
        </w:rPr>
        <w:t>Workplace Culture and its Impacts on Organisational Efficiency</w:t>
      </w:r>
    </w:p>
    <w:p w:rsidR="009D2083" w:rsidRDefault="009D2083">
      <w:pPr>
        <w:pStyle w:val="Body"/>
        <w:rPr>
          <w:b/>
          <w:bCs/>
          <w:sz w:val="20"/>
          <w:szCs w:val="20"/>
        </w:rPr>
      </w:pPr>
    </w:p>
    <w:p w:rsidR="009D2083" w:rsidRPr="00A14494" w:rsidRDefault="00122A04">
      <w:pPr>
        <w:pStyle w:val="Body"/>
        <w:rPr>
          <w:b/>
          <w:bCs/>
          <w:sz w:val="28"/>
          <w:szCs w:val="20"/>
        </w:rPr>
      </w:pPr>
      <w:bookmarkStart w:id="0" w:name="_GoBack"/>
      <w:r w:rsidRPr="00A14494">
        <w:rPr>
          <w:b/>
          <w:bCs/>
          <w:sz w:val="28"/>
          <w:szCs w:val="20"/>
        </w:rPr>
        <w:t xml:space="preserve">Title: Workplace Culture and its Impacts on Organisational Efficiency </w:t>
      </w:r>
    </w:p>
    <w:p w:rsidR="009D2083" w:rsidRPr="00A14494" w:rsidRDefault="00122A04">
      <w:pPr>
        <w:pStyle w:val="Body"/>
        <w:rPr>
          <w:b/>
          <w:bCs/>
          <w:sz w:val="28"/>
          <w:szCs w:val="20"/>
        </w:rPr>
      </w:pPr>
      <w:r w:rsidRPr="00A14494">
        <w:rPr>
          <w:b/>
          <w:bCs/>
          <w:sz w:val="28"/>
          <w:szCs w:val="20"/>
        </w:rPr>
        <w:t>Module Code:BMSK 5005</w:t>
      </w:r>
    </w:p>
    <w:p w:rsidR="009D2083" w:rsidRPr="00A14494" w:rsidRDefault="00122A04">
      <w:pPr>
        <w:pStyle w:val="Body"/>
        <w:rPr>
          <w:b/>
          <w:bCs/>
          <w:sz w:val="28"/>
          <w:szCs w:val="20"/>
        </w:rPr>
      </w:pPr>
      <w:r w:rsidRPr="00A14494">
        <w:rPr>
          <w:b/>
          <w:bCs/>
          <w:sz w:val="28"/>
          <w:szCs w:val="20"/>
        </w:rPr>
        <w:t>Student Name: Theresa King Addo-Danquah</w:t>
      </w:r>
    </w:p>
    <w:p w:rsidR="009D2083" w:rsidRPr="00A14494" w:rsidRDefault="00122A04">
      <w:pPr>
        <w:pStyle w:val="Body"/>
        <w:rPr>
          <w:b/>
          <w:bCs/>
          <w:sz w:val="28"/>
          <w:szCs w:val="20"/>
        </w:rPr>
      </w:pPr>
      <w:r w:rsidRPr="00A14494">
        <w:rPr>
          <w:b/>
          <w:bCs/>
          <w:sz w:val="28"/>
          <w:szCs w:val="20"/>
        </w:rPr>
        <w:t>Student Number: 1709425</w:t>
      </w:r>
    </w:p>
    <w:p w:rsidR="009D2083" w:rsidRDefault="00122A04">
      <w:pPr>
        <w:pStyle w:val="Body"/>
      </w:pPr>
      <w:r w:rsidRPr="00A14494">
        <w:rPr>
          <w:b/>
          <w:bCs/>
          <w:sz w:val="28"/>
          <w:szCs w:val="20"/>
        </w:rPr>
        <w:t>Lecture Name: MR: DR Mushfiqur Rahman</w:t>
      </w:r>
      <w:bookmarkEnd w:id="0"/>
      <w:r>
        <w:br w:type="page"/>
      </w:r>
    </w:p>
    <w:p w:rsidR="009D2083" w:rsidRDefault="00122A04">
      <w:pPr>
        <w:pStyle w:val="TOCHeading"/>
      </w:pPr>
      <w:r>
        <w:lastRenderedPageBreak/>
        <w:t>Table of Contents</w:t>
      </w:r>
    </w:p>
    <w:p w:rsidR="009D2083" w:rsidRDefault="00122A04">
      <w:pPr>
        <w:pStyle w:val="Body"/>
      </w:pPr>
      <w:r>
        <w:fldChar w:fldCharType="begin"/>
      </w:r>
      <w:r>
        <w:instrText xml:space="preserve"> TOC \o 1-2 </w:instrText>
      </w:r>
      <w:r>
        <w:fldChar w:fldCharType="separate"/>
      </w:r>
    </w:p>
    <w:p w:rsidR="009D2083" w:rsidRDefault="00122A04">
      <w:pPr>
        <w:pStyle w:val="TOC1"/>
      </w:pPr>
      <w:r>
        <w:t>Introduction: -</w:t>
      </w:r>
      <w:r>
        <w:tab/>
      </w:r>
      <w:r>
        <w:fldChar w:fldCharType="begin"/>
      </w:r>
      <w:r>
        <w:instrText xml:space="preserve"> PAGEREF _Toc \h </w:instrText>
      </w:r>
      <w:r>
        <w:fldChar w:fldCharType="separate"/>
      </w:r>
      <w:r>
        <w:t>i</w:t>
      </w:r>
      <w:r>
        <w:fldChar w:fldCharType="end"/>
      </w:r>
    </w:p>
    <w:p w:rsidR="009D2083" w:rsidRDefault="00122A04">
      <w:pPr>
        <w:pStyle w:val="TOC1"/>
      </w:pPr>
      <w:r>
        <w:t>1. Critically assessing the workplace culture of Sainsbury’s: -</w:t>
      </w:r>
      <w:r>
        <w:tab/>
      </w:r>
      <w:r>
        <w:fldChar w:fldCharType="begin"/>
      </w:r>
      <w:r>
        <w:instrText xml:space="preserve"> PAGEREF _Toc1 \h </w:instrText>
      </w:r>
      <w:r>
        <w:fldChar w:fldCharType="separate"/>
      </w:r>
      <w:r>
        <w:t>ii</w:t>
      </w:r>
      <w:r>
        <w:fldChar w:fldCharType="end"/>
      </w:r>
    </w:p>
    <w:p w:rsidR="009D2083" w:rsidRDefault="00122A04">
      <w:pPr>
        <w:pStyle w:val="TOC2"/>
      </w:pPr>
      <w:r>
        <w:t>Culture, ethics, and value: -</w:t>
      </w:r>
      <w:r>
        <w:tab/>
      </w:r>
      <w:r>
        <w:fldChar w:fldCharType="begin"/>
      </w:r>
      <w:r>
        <w:instrText xml:space="preserve"> PAGEREF _Toc2 \h </w:instrText>
      </w:r>
      <w:r>
        <w:fldChar w:fldCharType="separate"/>
      </w:r>
      <w:r>
        <w:t>ii</w:t>
      </w:r>
      <w:r>
        <w:fldChar w:fldCharType="end"/>
      </w:r>
    </w:p>
    <w:p w:rsidR="009D2083" w:rsidRDefault="00122A04">
      <w:pPr>
        <w:pStyle w:val="TOC2"/>
      </w:pPr>
      <w:r>
        <w:t>Organisational governance and objectives: -</w:t>
      </w:r>
      <w:r>
        <w:tab/>
      </w:r>
      <w:r>
        <w:fldChar w:fldCharType="begin"/>
      </w:r>
      <w:r>
        <w:instrText xml:space="preserve"> PAGEREF _Toc3 \h </w:instrText>
      </w:r>
      <w:r>
        <w:fldChar w:fldCharType="separate"/>
      </w:r>
      <w:r>
        <w:t>iii</w:t>
      </w:r>
      <w:r>
        <w:fldChar w:fldCharType="end"/>
      </w:r>
    </w:p>
    <w:p w:rsidR="009D2083" w:rsidRDefault="00122A04">
      <w:pPr>
        <w:pStyle w:val="TOC2"/>
      </w:pPr>
      <w:r>
        <w:t>Relationships between departments and people: -</w:t>
      </w:r>
      <w:r>
        <w:tab/>
      </w:r>
      <w:r>
        <w:fldChar w:fldCharType="begin"/>
      </w:r>
      <w:r>
        <w:instrText xml:space="preserve"> PAGEREF _Toc4 \h </w:instrText>
      </w:r>
      <w:r>
        <w:fldChar w:fldCharType="separate"/>
      </w:r>
      <w:r>
        <w:t>iii</w:t>
      </w:r>
      <w:r>
        <w:fldChar w:fldCharType="end"/>
      </w:r>
    </w:p>
    <w:p w:rsidR="009D2083" w:rsidRDefault="00122A04">
      <w:pPr>
        <w:pStyle w:val="TOC2"/>
      </w:pPr>
      <w:r>
        <w:t>Organisational chart and departments:-</w:t>
      </w:r>
      <w:r>
        <w:tab/>
      </w:r>
      <w:r>
        <w:fldChar w:fldCharType="begin"/>
      </w:r>
      <w:r>
        <w:instrText xml:space="preserve"> PAGEREF _Toc5 \h </w:instrText>
      </w:r>
      <w:r>
        <w:fldChar w:fldCharType="separate"/>
      </w:r>
      <w:r>
        <w:t>iv</w:t>
      </w:r>
      <w:r>
        <w:fldChar w:fldCharType="end"/>
      </w:r>
    </w:p>
    <w:p w:rsidR="009D2083" w:rsidRDefault="00122A04">
      <w:pPr>
        <w:pStyle w:val="TOC2"/>
      </w:pPr>
      <w:r>
        <w:t>Communication channel: -</w:t>
      </w:r>
      <w:r>
        <w:tab/>
      </w:r>
      <w:r>
        <w:fldChar w:fldCharType="begin"/>
      </w:r>
      <w:r>
        <w:instrText xml:space="preserve"> PAGEREF _Toc6 \h </w:instrText>
      </w:r>
      <w:r>
        <w:fldChar w:fldCharType="separate"/>
      </w:r>
      <w:r>
        <w:t>v</w:t>
      </w:r>
      <w:r>
        <w:fldChar w:fldCharType="end"/>
      </w:r>
    </w:p>
    <w:p w:rsidR="009D2083" w:rsidRDefault="00122A04">
      <w:pPr>
        <w:pStyle w:val="TOC2"/>
      </w:pPr>
      <w:r>
        <w:t>Formal and Informal relationship between departments and people: -</w:t>
      </w:r>
      <w:r>
        <w:tab/>
      </w:r>
      <w:r>
        <w:fldChar w:fldCharType="begin"/>
      </w:r>
      <w:r>
        <w:instrText xml:space="preserve"> PAGEREF _Toc7 \h </w:instrText>
      </w:r>
      <w:r>
        <w:fldChar w:fldCharType="separate"/>
      </w:r>
      <w:r>
        <w:t>vi</w:t>
      </w:r>
      <w:r>
        <w:fldChar w:fldCharType="end"/>
      </w:r>
    </w:p>
    <w:p w:rsidR="009D2083" w:rsidRDefault="00122A04">
      <w:pPr>
        <w:pStyle w:val="TOC2"/>
      </w:pPr>
      <w:r>
        <w:t>Barriers and ways of Effective functioning: -</w:t>
      </w:r>
      <w:r>
        <w:tab/>
      </w:r>
      <w:r>
        <w:fldChar w:fldCharType="begin"/>
      </w:r>
      <w:r>
        <w:instrText xml:space="preserve"> PAGEREF _Toc8 \h </w:instrText>
      </w:r>
      <w:r>
        <w:fldChar w:fldCharType="separate"/>
      </w:r>
      <w:r>
        <w:t>vi</w:t>
      </w:r>
      <w:r>
        <w:fldChar w:fldCharType="end"/>
      </w:r>
    </w:p>
    <w:p w:rsidR="009D2083" w:rsidRDefault="00122A04">
      <w:pPr>
        <w:pStyle w:val="TOC1"/>
      </w:pPr>
      <w:r>
        <w:t>2. Providing a critical evaluation of Sainsbury’s and the broader environment in which it operates: -</w:t>
      </w:r>
      <w:r>
        <w:tab/>
      </w:r>
      <w:r>
        <w:fldChar w:fldCharType="begin"/>
      </w:r>
      <w:r>
        <w:instrText xml:space="preserve"> PAGEREF _Toc9 \h </w:instrText>
      </w:r>
      <w:r>
        <w:fldChar w:fldCharType="separate"/>
      </w:r>
      <w:r>
        <w:t>viii</w:t>
      </w:r>
      <w:r>
        <w:fldChar w:fldCharType="end"/>
      </w:r>
    </w:p>
    <w:p w:rsidR="009D2083" w:rsidRDefault="00122A04">
      <w:pPr>
        <w:pStyle w:val="TOC2"/>
      </w:pPr>
      <w:r>
        <w:t>SWOT Analysis: -</w:t>
      </w:r>
      <w:r>
        <w:tab/>
      </w:r>
      <w:r>
        <w:fldChar w:fldCharType="begin"/>
      </w:r>
      <w:r>
        <w:instrText xml:space="preserve"> PAGEREF _Toc10 \h </w:instrText>
      </w:r>
      <w:r>
        <w:fldChar w:fldCharType="separate"/>
      </w:r>
      <w:r>
        <w:t>viii</w:t>
      </w:r>
      <w:r>
        <w:fldChar w:fldCharType="end"/>
      </w:r>
    </w:p>
    <w:p w:rsidR="009D2083" w:rsidRDefault="00122A04">
      <w:pPr>
        <w:pStyle w:val="TOC2"/>
      </w:pPr>
      <w:r>
        <w:t>PESTLE Analysis: -</w:t>
      </w:r>
      <w:r>
        <w:tab/>
      </w:r>
      <w:r>
        <w:fldChar w:fldCharType="begin"/>
      </w:r>
      <w:r>
        <w:instrText xml:space="preserve"> PAGEREF _Toc11 \h </w:instrText>
      </w:r>
      <w:r>
        <w:fldChar w:fldCharType="separate"/>
      </w:r>
      <w:r>
        <w:t>x</w:t>
      </w:r>
      <w:r>
        <w:fldChar w:fldCharType="end"/>
      </w:r>
    </w:p>
    <w:p w:rsidR="009D2083" w:rsidRDefault="00122A04">
      <w:pPr>
        <w:pStyle w:val="TOC2"/>
      </w:pPr>
      <w:r>
        <w:t>Impact of culture: -</w:t>
      </w:r>
      <w:r>
        <w:tab/>
      </w:r>
      <w:r>
        <w:fldChar w:fldCharType="begin"/>
      </w:r>
      <w:r>
        <w:instrText xml:space="preserve"> PAGEREF _Toc12 \h </w:instrText>
      </w:r>
      <w:r>
        <w:fldChar w:fldCharType="separate"/>
      </w:r>
      <w:r>
        <w:t>xiii</w:t>
      </w:r>
      <w:r>
        <w:fldChar w:fldCharType="end"/>
      </w:r>
    </w:p>
    <w:p w:rsidR="009D2083" w:rsidRDefault="00122A04">
      <w:pPr>
        <w:pStyle w:val="TOC1"/>
      </w:pPr>
      <w:r>
        <w:t>3. Critically evaluating the cultural and ethical behaviour present in Sainsbury’s and evaluate your own cultural and ethical behaviour in relation to Sainsbury’s: -</w:t>
      </w:r>
      <w:r>
        <w:tab/>
      </w:r>
      <w:r>
        <w:fldChar w:fldCharType="begin"/>
      </w:r>
      <w:r>
        <w:instrText xml:space="preserve"> PAGEREF _Toc13 \h </w:instrText>
      </w:r>
      <w:r>
        <w:fldChar w:fldCharType="separate"/>
      </w:r>
      <w:r>
        <w:t>xv</w:t>
      </w:r>
      <w:r>
        <w:fldChar w:fldCharType="end"/>
      </w:r>
    </w:p>
    <w:p w:rsidR="009D2083" w:rsidRDefault="00122A04">
      <w:pPr>
        <w:pStyle w:val="TOC2"/>
      </w:pPr>
      <w:r>
        <w:t>Ethical consideration and values: -</w:t>
      </w:r>
      <w:r>
        <w:tab/>
      </w:r>
      <w:r>
        <w:fldChar w:fldCharType="begin"/>
      </w:r>
      <w:r>
        <w:instrText xml:space="preserve"> PAGEREF _Toc14 \h </w:instrText>
      </w:r>
      <w:r>
        <w:fldChar w:fldCharType="separate"/>
      </w:r>
      <w:r>
        <w:t>xv</w:t>
      </w:r>
      <w:r>
        <w:fldChar w:fldCharType="end"/>
      </w:r>
    </w:p>
    <w:p w:rsidR="009D2083" w:rsidRDefault="00122A04">
      <w:pPr>
        <w:pStyle w:val="TOC2"/>
      </w:pPr>
      <w:r>
        <w:t>Corporate Social Responsibility: -</w:t>
      </w:r>
      <w:r>
        <w:tab/>
      </w:r>
      <w:r>
        <w:fldChar w:fldCharType="begin"/>
      </w:r>
      <w:r>
        <w:instrText xml:space="preserve"> PAGEREF _Toc15 \h </w:instrText>
      </w:r>
      <w:r>
        <w:fldChar w:fldCharType="separate"/>
      </w:r>
      <w:r>
        <w:t>xvi</w:t>
      </w:r>
      <w:r>
        <w:fldChar w:fldCharType="end"/>
      </w:r>
    </w:p>
    <w:p w:rsidR="009D2083" w:rsidRDefault="00122A04">
      <w:pPr>
        <w:pStyle w:val="TOC2"/>
      </w:pPr>
      <w:r>
        <w:t>Personal Value and Ethical Behaviours: -</w:t>
      </w:r>
      <w:r>
        <w:tab/>
      </w:r>
      <w:r>
        <w:fldChar w:fldCharType="begin"/>
      </w:r>
      <w:r>
        <w:instrText xml:space="preserve"> PAGEREF _Toc16 \h </w:instrText>
      </w:r>
      <w:r>
        <w:fldChar w:fldCharType="separate"/>
      </w:r>
      <w:r>
        <w:t>xvii</w:t>
      </w:r>
      <w:r>
        <w:fldChar w:fldCharType="end"/>
      </w:r>
    </w:p>
    <w:p w:rsidR="009D2083" w:rsidRDefault="00122A04">
      <w:pPr>
        <w:pStyle w:val="TOC1"/>
      </w:pPr>
      <w:r>
        <w:t>Conclusions: -</w:t>
      </w:r>
      <w:r>
        <w:tab/>
      </w:r>
      <w:r>
        <w:fldChar w:fldCharType="begin"/>
      </w:r>
      <w:r>
        <w:instrText xml:space="preserve"> PAGEREF _Toc17 \h </w:instrText>
      </w:r>
      <w:r>
        <w:fldChar w:fldCharType="separate"/>
      </w:r>
      <w:r>
        <w:t>xix</w:t>
      </w:r>
      <w:r>
        <w:fldChar w:fldCharType="end"/>
      </w:r>
    </w:p>
    <w:p w:rsidR="009D2083" w:rsidRDefault="00122A04">
      <w:pPr>
        <w:pStyle w:val="TOC1"/>
      </w:pPr>
      <w:r>
        <w:t>References: -</w:t>
      </w:r>
      <w:r>
        <w:tab/>
      </w:r>
      <w:r>
        <w:fldChar w:fldCharType="begin"/>
      </w:r>
      <w:r>
        <w:instrText xml:space="preserve"> PAGEREF _Toc18 \h </w:instrText>
      </w:r>
      <w:r>
        <w:fldChar w:fldCharType="separate"/>
      </w:r>
      <w:r>
        <w:t>xx</w:t>
      </w:r>
      <w:r>
        <w:fldChar w:fldCharType="end"/>
      </w:r>
    </w:p>
    <w:p w:rsidR="009D2083" w:rsidRDefault="00122A04">
      <w:pPr>
        <w:pStyle w:val="Body"/>
      </w:pPr>
      <w:r>
        <w:fldChar w:fldCharType="end"/>
      </w:r>
    </w:p>
    <w:p w:rsidR="009D2083" w:rsidRDefault="009D2083">
      <w:pPr>
        <w:pStyle w:val="Heading"/>
      </w:pPr>
    </w:p>
    <w:p w:rsidR="009D2083" w:rsidRDefault="00122A04">
      <w:pPr>
        <w:pStyle w:val="Body"/>
      </w:pPr>
      <w:r>
        <w:br w:type="page"/>
      </w:r>
    </w:p>
    <w:p w:rsidR="009D2083" w:rsidRDefault="009D2083">
      <w:pPr>
        <w:pStyle w:val="Heading"/>
        <w:sectPr w:rsidR="009D2083">
          <w:headerReference w:type="default" r:id="rId6"/>
          <w:footerReference w:type="default" r:id="rId7"/>
          <w:headerReference w:type="first" r:id="rId8"/>
          <w:footerReference w:type="first" r:id="rId9"/>
          <w:pgSz w:w="12240" w:h="15840"/>
          <w:pgMar w:top="1440" w:right="1440" w:bottom="1440" w:left="1440" w:header="720" w:footer="720" w:gutter="0"/>
          <w:cols w:space="720"/>
          <w:titlePg/>
        </w:sectPr>
      </w:pPr>
    </w:p>
    <w:p w:rsidR="009D2083" w:rsidRDefault="00122A04">
      <w:pPr>
        <w:pStyle w:val="Heading"/>
      </w:pPr>
      <w:bookmarkStart w:id="1" w:name="_Toc"/>
      <w:r>
        <w:rPr>
          <w:lang w:val="fr-FR"/>
        </w:rPr>
        <w:lastRenderedPageBreak/>
        <w:t>Introduction: -</w:t>
      </w:r>
      <w:bookmarkEnd w:id="1"/>
    </w:p>
    <w:p w:rsidR="009D2083" w:rsidRDefault="009D2083">
      <w:pPr>
        <w:pStyle w:val="Body"/>
      </w:pP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Every organisation wants to lead its employees in the right way to achieve the organisational goals and objectives through ensuring the best use of its human resources. So, the employees or workers of an organisation are the key factors to decide the firms’ success </w:t>
      </w:r>
      <w:r>
        <w:rPr>
          <w:rFonts w:ascii="Times New Roman" w:hAnsi="Times New Roman"/>
          <w:sz w:val="24"/>
          <w:szCs w:val="24"/>
          <w:shd w:val="clear" w:color="auto" w:fill="FFFFFF"/>
        </w:rPr>
        <w:t>(Nilsson, 2017)</w:t>
      </w:r>
      <w:r>
        <w:rPr>
          <w:rFonts w:ascii="Times New Roman" w:hAnsi="Times New Roman"/>
          <w:sz w:val="24"/>
          <w:szCs w:val="24"/>
        </w:rPr>
        <w:t xml:space="preserve">. In this case, the employees get influenced by their own culture, values, and ethics. So, to manipulate the employees and to direct all the employees towards the organisational goals, organisations try to build up their own organisational culture, values, and ethics throughout the entire business environment </w:t>
      </w:r>
      <w:r>
        <w:rPr>
          <w:rFonts w:ascii="Times New Roman" w:hAnsi="Times New Roman"/>
          <w:sz w:val="24"/>
          <w:szCs w:val="24"/>
          <w:shd w:val="clear" w:color="auto" w:fill="FFFFFF"/>
          <w:lang w:val="de-DE"/>
        </w:rPr>
        <w:t>(Schreck, 2018)</w:t>
      </w:r>
      <w:r>
        <w:rPr>
          <w:rFonts w:ascii="Times New Roman" w:hAnsi="Times New Roman"/>
          <w:sz w:val="24"/>
          <w:szCs w:val="24"/>
        </w:rPr>
        <w:t xml:space="preserve">. In this case, the practice of cultural value shapes the work performances of the employees. Moreover, the swift communication system also helps to build a strong relationship with the employees. The formal and informal relationship between department and people also help to build a suitable work environment </w:t>
      </w:r>
      <w:r>
        <w:rPr>
          <w:rFonts w:ascii="Times New Roman" w:hAnsi="Times New Roman"/>
          <w:sz w:val="24"/>
          <w:szCs w:val="24"/>
          <w:shd w:val="clear" w:color="auto" w:fill="FFFFFF"/>
        </w:rPr>
        <w:t>(Simpson and Taylor, 2017)</w:t>
      </w:r>
      <w:r>
        <w:rPr>
          <w:rFonts w:ascii="Times New Roman" w:hAnsi="Times New Roman"/>
          <w:sz w:val="24"/>
          <w:szCs w:val="24"/>
        </w:rPr>
        <w:t xml:space="preserve">. Moreover, different types of CSR activities and social responsibilities are performed to ensure a collaborative working practice within the organisation. Despite all of these factors, there are some internal and external factors that shape the culture, value, and ethics of the employees </w:t>
      </w:r>
      <w:r>
        <w:rPr>
          <w:rFonts w:ascii="Times New Roman" w:hAnsi="Times New Roman"/>
          <w:sz w:val="24"/>
          <w:szCs w:val="24"/>
          <w:shd w:val="clear" w:color="auto" w:fill="FFFFFF"/>
        </w:rPr>
        <w:t>(</w:t>
      </w:r>
      <w:r>
        <w:rPr>
          <w:rFonts w:ascii="Times New Roman" w:hAnsi="Times New Roman"/>
          <w:sz w:val="24"/>
          <w:szCs w:val="24"/>
        </w:rPr>
        <w:t xml:space="preserve">Craig, 2016). There are also some internal and external challenges which act as the barrier to develop a suitable workplace culture within an organisation (Yüksel, 2017). Sainsbury’s is the second largest retailing super shop in the UK market which started its business operation in 1869. Sainsbury’s has 1415 shops throughout the UK and has around 20,000 employees. Sainsbury’s mainly sells 1,141 types of food, different types of clothing materials, kitchen materials, cutlery etc through its different retail shops throughout the UK </w:t>
      </w:r>
      <w:r>
        <w:rPr>
          <w:rFonts w:ascii="Times New Roman" w:hAnsi="Times New Roman"/>
          <w:sz w:val="24"/>
          <w:szCs w:val="24"/>
          <w:shd w:val="clear" w:color="auto" w:fill="FFFFFF"/>
        </w:rPr>
        <w:t>(sainsburys.co.uk. 2019)</w:t>
      </w:r>
      <w:r>
        <w:rPr>
          <w:rFonts w:ascii="Times New Roman" w:hAnsi="Times New Roman"/>
          <w:sz w:val="24"/>
          <w:szCs w:val="24"/>
        </w:rPr>
        <w:t>. To maintain such a large number of employees, Sainsbury’s uses its organisational culture to direct and motivate the employees in the right way. So, in this report, we will discuss how Sainsbury’s maintains its workplace culture, communication process, social responsibilities and how it tackles the external and internal challenges to attain its organisational goals and objectives.</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
      </w:pPr>
      <w:bookmarkStart w:id="2" w:name="_Toc1"/>
      <w:r>
        <w:rPr>
          <w:lang w:val="en-US"/>
        </w:rPr>
        <w:lastRenderedPageBreak/>
        <w:t>1. Critically assessing the workplace culture of Sainsbury</w:t>
      </w:r>
      <w:r>
        <w:t>’s: -</w:t>
      </w:r>
      <w:bookmarkEnd w:id="2"/>
    </w:p>
    <w:p w:rsidR="009D2083" w:rsidRDefault="009D2083">
      <w:pPr>
        <w:pStyle w:val="Body"/>
      </w:pP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Workplace culture is a vital element of the internal business environment. Every business organisation tries to maintain a suitable and standards work culture in accordance with the organisational strategy and goals </w:t>
      </w:r>
      <w:r>
        <w:rPr>
          <w:rFonts w:ascii="Times New Roman" w:hAnsi="Times New Roman"/>
          <w:sz w:val="24"/>
          <w:szCs w:val="24"/>
          <w:shd w:val="clear" w:color="auto" w:fill="FFFFFF"/>
        </w:rPr>
        <w:t>(Nilsson, 2017)</w:t>
      </w:r>
      <w:r>
        <w:rPr>
          <w:rFonts w:ascii="Times New Roman" w:hAnsi="Times New Roman"/>
          <w:sz w:val="24"/>
          <w:szCs w:val="24"/>
        </w:rPr>
        <w:t>. Sainsbury’s tries to maintain sophisticated workplace culture which motivates the employees to give their best performances to attain the goals and objectives. The workplace culture is closely related to the communication process, ethical value, departmental relationships, and suitable organisational strategies.</w:t>
      </w:r>
    </w:p>
    <w:p w:rsidR="009D2083" w:rsidRDefault="00122A04">
      <w:pPr>
        <w:pStyle w:val="Heading2"/>
      </w:pPr>
      <w:bookmarkStart w:id="3" w:name="_Toc2"/>
      <w:r>
        <w:rPr>
          <w:lang w:val="en-US"/>
        </w:rPr>
        <w:t>Culture, ethics, and value: -</w:t>
      </w:r>
      <w:bookmarkEnd w:id="3"/>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Thoughts, views, morale, lifestyle, ethical standards, perception, and social value are some of the core ingredients of culture. The workplace culture basically depends on these facts as well as some internal facts like organisational policies, support, motivation, employee benefits and level of organisational belonging </w:t>
      </w:r>
      <w:r>
        <w:rPr>
          <w:rFonts w:ascii="Times New Roman" w:hAnsi="Times New Roman"/>
          <w:sz w:val="24"/>
          <w:szCs w:val="24"/>
          <w:shd w:val="clear" w:color="auto" w:fill="FFFFFF"/>
        </w:rPr>
        <w:t>(Worthington, 2018)</w:t>
      </w:r>
      <w:r>
        <w:rPr>
          <w:rFonts w:ascii="Times New Roman" w:hAnsi="Times New Roman"/>
          <w:sz w:val="24"/>
          <w:szCs w:val="24"/>
        </w:rPr>
        <w:t xml:space="preserve">. So, Sainsbury’s tries to adopt such organisational strategies and policies which go with the cultural values and ethical norms of the employees. In this case, an organisation can practice different types of workplace culture like dominative culture, interactive culture, participative work culture etc. Sainsbury’s ensures the work culture based on the employee perception, value, morale, and needs. Most of the time, Sainsbury’s tries to use either participative cultural practice or interactive cultural practices. Sainsbury’s tries not to use dominative work culture practice. The Bureau of Statistics showed that about 78% of employees don’t prefer dominative cultural practices </w:t>
      </w:r>
      <w:r>
        <w:rPr>
          <w:rFonts w:ascii="Times New Roman" w:hAnsi="Times New Roman"/>
          <w:sz w:val="24"/>
          <w:szCs w:val="24"/>
          <w:shd w:val="clear" w:color="auto" w:fill="FFFFFF"/>
        </w:rPr>
        <w:t>(Simpson and Taylor, 2017)</w:t>
      </w:r>
      <w:r>
        <w:rPr>
          <w:rFonts w:ascii="Times New Roman" w:hAnsi="Times New Roman"/>
          <w:sz w:val="24"/>
          <w:szCs w:val="24"/>
        </w:rPr>
        <w:t xml:space="preserve">. Another survey showed that employees feel more motivated in participative work culture practices over the interactive culture. That’s why Sainsbury’s tries to establish participative work culture practices in the organisation. Through this participative work culture, employees get the opportunity to participate in the decision-making process and they also become able to express their problems regarding the strategies and policies of the company </w:t>
      </w:r>
      <w:r>
        <w:rPr>
          <w:rFonts w:ascii="Times New Roman" w:hAnsi="Times New Roman"/>
          <w:sz w:val="24"/>
          <w:szCs w:val="24"/>
          <w:shd w:val="clear" w:color="auto" w:fill="FFFFFF"/>
          <w:lang w:val="de-DE"/>
        </w:rPr>
        <w:t>(Schreck, 2018)</w:t>
      </w:r>
      <w:r>
        <w:rPr>
          <w:rFonts w:ascii="Times New Roman" w:hAnsi="Times New Roman"/>
          <w:sz w:val="24"/>
          <w:szCs w:val="24"/>
        </w:rPr>
        <w:t xml:space="preserve">. Through this participative work culture practices, Sainsbury’s tries to keep its employees motivated and become able to develop a sense of belonging within the organisation. Moreover, according to the value perception, Sainsbury’s tries to justify the needs of the employees and try to provide those as the work benefits. Again, Sainsbury’s ensures the practice of work standards, ethical consideration, moral practices, religious lessons, and collaborative working practices to develop the work ethics of the employees </w:t>
      </w:r>
      <w:r>
        <w:rPr>
          <w:rFonts w:ascii="Times New Roman" w:hAnsi="Times New Roman"/>
          <w:sz w:val="24"/>
          <w:szCs w:val="24"/>
        </w:rPr>
        <w:lastRenderedPageBreak/>
        <w:t>so that they fulfil their work responsibilities completely for the sake of stakeholders and the customers.</w:t>
      </w:r>
    </w:p>
    <w:p w:rsidR="009D2083" w:rsidRDefault="00122A04">
      <w:pPr>
        <w:pStyle w:val="Heading2"/>
      </w:pPr>
      <w:bookmarkStart w:id="4" w:name="_Toc3"/>
      <w:r>
        <w:rPr>
          <w:lang w:val="en-US"/>
        </w:rPr>
        <w:t>Organisational governance and objectives: -</w:t>
      </w:r>
      <w:bookmarkEnd w:id="4"/>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The organisational culture of an organisation is closely related to its governance systems and objectives. Organisational governance implies all the organisational</w:t>
      </w:r>
      <w:r>
        <w:rPr>
          <w:rFonts w:ascii="Times New Roman" w:hAnsi="Times New Roman"/>
          <w:sz w:val="24"/>
          <w:szCs w:val="24"/>
          <w:lang w:val="fr-FR"/>
        </w:rPr>
        <w:t xml:space="preserve"> structures, hierarchy, </w:t>
      </w:r>
      <w:r>
        <w:rPr>
          <w:rFonts w:ascii="Times New Roman" w:hAnsi="Times New Roman"/>
          <w:sz w:val="24"/>
          <w:szCs w:val="24"/>
        </w:rPr>
        <w:t>organisational process and strategies which are intended to establish control on the employees as well as to direct all the employees towards the organisational</w:t>
      </w:r>
      <w:r>
        <w:rPr>
          <w:rFonts w:ascii="Times New Roman" w:hAnsi="Times New Roman"/>
          <w:sz w:val="24"/>
          <w:szCs w:val="24"/>
          <w:lang w:val="fr-FR"/>
        </w:rPr>
        <w:t xml:space="preserve"> objectives </w:t>
      </w:r>
      <w:r>
        <w:rPr>
          <w:rFonts w:ascii="Times New Roman" w:hAnsi="Times New Roman"/>
          <w:sz w:val="24"/>
          <w:szCs w:val="24"/>
          <w:shd w:val="clear" w:color="auto" w:fill="FFFFFF"/>
        </w:rPr>
        <w:t>(</w:t>
      </w:r>
      <w:r>
        <w:rPr>
          <w:rFonts w:ascii="Times New Roman" w:hAnsi="Times New Roman"/>
          <w:sz w:val="24"/>
          <w:szCs w:val="24"/>
        </w:rPr>
        <w:t xml:space="preserve">Craig, 2016). So, the organisational governance is associated with the goals and objectives of the organisation because governance or systems of Sainsbury’s are developed in such a way that the organisational goals are easily achieved. In this case, work culture is associated with organisational governance because the work culture and work environment is an integral part of governance </w:t>
      </w:r>
      <w:r>
        <w:rPr>
          <w:rFonts w:ascii="Times New Roman" w:hAnsi="Times New Roman"/>
          <w:sz w:val="24"/>
          <w:szCs w:val="24"/>
          <w:shd w:val="clear" w:color="auto" w:fill="FFFFFF"/>
          <w:lang w:val="fr-FR"/>
        </w:rPr>
        <w:t>(Allouche, 2017)</w:t>
      </w:r>
      <w:r>
        <w:rPr>
          <w:rFonts w:ascii="Times New Roman" w:hAnsi="Times New Roman"/>
          <w:sz w:val="24"/>
          <w:szCs w:val="24"/>
        </w:rPr>
        <w:t>. So, Sainsbury’s tries to develop the work culture in such a way that the organisational governance can be maintained as well as the organisational objectives can be attained too. For example, Sainsbury’s gives “Employee of the month” rewards not only to develop the dedicated work culture practice but also to attain the organisational goals and objectives.</w:t>
      </w:r>
    </w:p>
    <w:p w:rsidR="009D2083" w:rsidRDefault="00122A04">
      <w:pPr>
        <w:pStyle w:val="Heading2"/>
      </w:pPr>
      <w:bookmarkStart w:id="5" w:name="_Toc4"/>
      <w:r>
        <w:rPr>
          <w:lang w:val="en-US"/>
        </w:rPr>
        <w:t>Relationships between departments and people: -</w:t>
      </w:r>
      <w:bookmarkEnd w:id="5"/>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tries to build a collaborative working practice within the organisation and so Sainsbury’s builds strong bonding among the employees of its different departments of different product lines. </w:t>
      </w:r>
      <w:r>
        <w:rPr>
          <w:rFonts w:ascii="Times New Roman" w:hAnsi="Times New Roman"/>
          <w:b/>
          <w:bCs/>
          <w:sz w:val="24"/>
          <w:szCs w:val="24"/>
        </w:rPr>
        <w:t>For example</w:t>
      </w:r>
      <w:r>
        <w:rPr>
          <w:rFonts w:ascii="Times New Roman" w:hAnsi="Times New Roman"/>
          <w:sz w:val="24"/>
          <w:szCs w:val="24"/>
        </w:rPr>
        <w:t xml:space="preserve">, Sainsbury’s tries to ensure job rotation techniques to make an employee familiar with the tasks of all the departments. Such job rotation and different training opportunities help the employees to build a good relationship not only with the employees of the other departments but also with the higher authority. The higher authority develops such an organisational structure which helps the managers to build a relationship between the departments and people </w:t>
      </w:r>
      <w:r>
        <w:rPr>
          <w:rFonts w:ascii="Times New Roman" w:hAnsi="Times New Roman"/>
          <w:sz w:val="24"/>
          <w:szCs w:val="24"/>
          <w:shd w:val="clear" w:color="auto" w:fill="FFFFFF"/>
        </w:rPr>
        <w:t>(Nilsson, 2017)</w:t>
      </w:r>
      <w:r>
        <w:rPr>
          <w:rFonts w:ascii="Times New Roman" w:hAnsi="Times New Roman"/>
          <w:sz w:val="24"/>
          <w:szCs w:val="24"/>
        </w:rPr>
        <w:t>.</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2"/>
      </w:pPr>
      <w:bookmarkStart w:id="6" w:name="_Toc5"/>
      <w:r>
        <w:rPr>
          <w:lang w:val="en-US"/>
        </w:rPr>
        <w:lastRenderedPageBreak/>
        <w:t>Organisational chart and departments:-</w:t>
      </w:r>
      <w:bookmarkEnd w:id="6"/>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uses a matrix organisational structure to accomplish its retailing activities as well as to build a strong relationship with the employees.  Matrix organisation helps to maintain two-way communication process </w:t>
      </w:r>
      <w:r>
        <w:rPr>
          <w:rFonts w:ascii="Times New Roman" w:hAnsi="Times New Roman"/>
          <w:sz w:val="24"/>
          <w:szCs w:val="24"/>
          <w:shd w:val="clear" w:color="auto" w:fill="FFFFFF"/>
        </w:rPr>
        <w:t>(</w:t>
      </w:r>
      <w:r>
        <w:rPr>
          <w:rFonts w:ascii="Times New Roman" w:hAnsi="Times New Roman"/>
          <w:sz w:val="24"/>
          <w:szCs w:val="24"/>
        </w:rPr>
        <w:t>Craig, 2016).</w:t>
      </w:r>
    </w:p>
    <w:p w:rsidR="009D2083" w:rsidRDefault="00122A04">
      <w:pPr>
        <w:pStyle w:val="Body"/>
        <w:keepNext/>
        <w:spacing w:line="360" w:lineRule="auto"/>
        <w:jc w:val="center"/>
      </w:pPr>
      <w:r>
        <w:rPr>
          <w:rFonts w:ascii="Times New Roman" w:eastAsia="Times New Roman" w:hAnsi="Times New Roman" w:cs="Times New Roman"/>
          <w:noProof/>
          <w:sz w:val="24"/>
          <w:szCs w:val="24"/>
          <w:lang w:val="en-GB"/>
        </w:rPr>
        <w:drawing>
          <wp:inline distT="0" distB="0" distL="0" distR="0">
            <wp:extent cx="4646427" cy="3102764"/>
            <wp:effectExtent l="0" t="0" r="0" b="0"/>
            <wp:docPr id="1073741825" name="officeArt object" descr="main-qimg-90cf271b3bd0fc9cd619d9e9a7eb0172.jpg"/>
            <wp:cNvGraphicFramePr/>
            <a:graphic xmlns:a="http://schemas.openxmlformats.org/drawingml/2006/main">
              <a:graphicData uri="http://schemas.openxmlformats.org/drawingml/2006/picture">
                <pic:pic xmlns:pic="http://schemas.openxmlformats.org/drawingml/2006/picture">
                  <pic:nvPicPr>
                    <pic:cNvPr id="1073741825" name="main-qimg-90cf271b3bd0fc9cd619d9e9a7eb0172.jpg" descr="main-qimg-90cf271b3bd0fc9cd619d9e9a7eb0172.jpg"/>
                    <pic:cNvPicPr>
                      <a:picLocks noChangeAspect="1"/>
                    </pic:cNvPicPr>
                  </pic:nvPicPr>
                  <pic:blipFill>
                    <a:blip r:embed="rId10">
                      <a:extLst/>
                    </a:blip>
                    <a:stretch>
                      <a:fillRect/>
                    </a:stretch>
                  </pic:blipFill>
                  <pic:spPr>
                    <a:xfrm>
                      <a:off x="0" y="0"/>
                      <a:ext cx="4646427" cy="3102764"/>
                    </a:xfrm>
                    <a:prstGeom prst="rect">
                      <a:avLst/>
                    </a:prstGeom>
                    <a:ln w="19050" cap="flat">
                      <a:solidFill>
                        <a:srgbClr val="000000"/>
                      </a:solidFill>
                      <a:prstDash val="solid"/>
                      <a:round/>
                    </a:ln>
                    <a:effectLst/>
                  </pic:spPr>
                </pic:pic>
              </a:graphicData>
            </a:graphic>
          </wp:inline>
        </w:drawing>
      </w:r>
    </w:p>
    <w:p w:rsidR="009D2083" w:rsidRDefault="00122A04">
      <w:pPr>
        <w:pStyle w:val="Caption"/>
        <w:jc w:val="center"/>
        <w:rPr>
          <w:b w:val="0"/>
          <w:bCs w:val="0"/>
          <w:color w:val="000000"/>
          <w:sz w:val="20"/>
          <w:szCs w:val="20"/>
          <w:u w:color="000000"/>
        </w:rPr>
      </w:pPr>
      <w:r>
        <w:rPr>
          <w:b w:val="0"/>
          <w:bCs w:val="0"/>
          <w:color w:val="000000"/>
          <w:sz w:val="20"/>
          <w:szCs w:val="20"/>
          <w:u w:color="000000"/>
        </w:rPr>
        <w:t>Figure 1: - Organisational structure</w:t>
      </w:r>
    </w:p>
    <w:p w:rsidR="009D2083" w:rsidRDefault="00122A04">
      <w:pPr>
        <w:pStyle w:val="Body"/>
        <w:jc w:val="center"/>
      </w:pPr>
      <w:r>
        <w:rPr>
          <w:lang w:val="fr-FR"/>
        </w:rPr>
        <w:t>Source: (</w:t>
      </w:r>
      <w:r>
        <w:rPr>
          <w:rFonts w:ascii="Times New Roman" w:hAnsi="Times New Roman"/>
          <w:sz w:val="24"/>
          <w:szCs w:val="24"/>
          <w:shd w:val="clear" w:color="auto" w:fill="FFFFFF"/>
        </w:rPr>
        <w:t>Worthington, 2018)</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Sainsbury’s categories its organisational activities into several segments like manufacturing, sales, marketing, finance, and human resource department. As Sainsbury’s has over one thousand product lines it also assigns a different group of employees to the different product lines. To build a good relation among the employees and to ensure coordination and cooperation, Sainsbury’s uses a matrix organisational structure to maintain vertical and horizontal communication. Through matrix organisational</w:t>
      </w:r>
      <w:r>
        <w:rPr>
          <w:rFonts w:ascii="Times New Roman" w:hAnsi="Times New Roman"/>
          <w:sz w:val="24"/>
          <w:szCs w:val="24"/>
          <w:lang w:val="fr-FR"/>
        </w:rPr>
        <w:t xml:space="preserve"> structure, Sainsbury</w:t>
      </w:r>
      <w:r>
        <w:rPr>
          <w:rFonts w:ascii="Times New Roman" w:hAnsi="Times New Roman"/>
          <w:sz w:val="24"/>
          <w:szCs w:val="24"/>
        </w:rPr>
        <w:t xml:space="preserve">’s develops a culture of collaborative working which ultimately helps the top management to direct all the employees towards the organisational goals. In the matrix organisational structure, every employee has to report to two departmental managers </w:t>
      </w:r>
      <w:r>
        <w:rPr>
          <w:rFonts w:ascii="Times New Roman" w:hAnsi="Times New Roman"/>
          <w:sz w:val="24"/>
          <w:szCs w:val="24"/>
          <w:shd w:val="clear" w:color="auto" w:fill="FFFFFF"/>
        </w:rPr>
        <w:t>(Worthington, 2018)</w:t>
      </w:r>
      <w:r>
        <w:rPr>
          <w:rFonts w:ascii="Times New Roman" w:hAnsi="Times New Roman"/>
          <w:sz w:val="24"/>
          <w:szCs w:val="24"/>
        </w:rPr>
        <w:t xml:space="preserve">. </w:t>
      </w:r>
      <w:r>
        <w:rPr>
          <w:rFonts w:ascii="Times New Roman" w:hAnsi="Times New Roman"/>
          <w:b/>
          <w:bCs/>
          <w:sz w:val="24"/>
          <w:szCs w:val="24"/>
        </w:rPr>
        <w:t>For example,</w:t>
      </w:r>
      <w:r>
        <w:rPr>
          <w:rFonts w:ascii="Times New Roman" w:hAnsi="Times New Roman"/>
          <w:sz w:val="24"/>
          <w:szCs w:val="24"/>
        </w:rPr>
        <w:t xml:space="preserve"> the stuff of the manufacturing team has to report to both the manufacturing managers as well as to the project manager or to the product managers. So, this working practice enhances the accountability, responsibility, and efficiency of the employees </w:t>
      </w:r>
      <w:r>
        <w:rPr>
          <w:rFonts w:ascii="Times New Roman" w:hAnsi="Times New Roman"/>
          <w:sz w:val="24"/>
          <w:szCs w:val="24"/>
          <w:shd w:val="clear" w:color="auto" w:fill="FFFFFF"/>
        </w:rPr>
        <w:t>(</w:t>
      </w:r>
      <w:r>
        <w:rPr>
          <w:rFonts w:ascii="Times New Roman" w:hAnsi="Times New Roman"/>
          <w:sz w:val="24"/>
          <w:szCs w:val="24"/>
        </w:rPr>
        <w:t xml:space="preserve">Craig, 2016). So, participative and collaborative work culture is developed by Sainsbury’s within </w:t>
      </w:r>
      <w:r>
        <w:rPr>
          <w:rFonts w:ascii="Times New Roman" w:hAnsi="Times New Roman"/>
          <w:sz w:val="24"/>
          <w:szCs w:val="24"/>
        </w:rPr>
        <w:lastRenderedPageBreak/>
        <w:t>Sainsbury’s where employees get job rotation and also supports employees of other departments too. In this way, the employees of Sainsbury’s feel the attachment with the organisation and participate actively in each of the organisational</w:t>
      </w:r>
      <w:r>
        <w:rPr>
          <w:rFonts w:ascii="Times New Roman" w:hAnsi="Times New Roman"/>
          <w:sz w:val="24"/>
          <w:szCs w:val="24"/>
          <w:lang w:val="pt-PT"/>
        </w:rPr>
        <w:t xml:space="preserve"> processes.</w:t>
      </w:r>
    </w:p>
    <w:p w:rsidR="009D2083" w:rsidRDefault="00122A04">
      <w:pPr>
        <w:pStyle w:val="Heading2"/>
      </w:pPr>
      <w:bookmarkStart w:id="7" w:name="_Toc6"/>
      <w:r>
        <w:rPr>
          <w:lang w:val="fr-FR"/>
        </w:rPr>
        <w:t>Communication channel: -</w:t>
      </w:r>
      <w:bookmarkEnd w:id="7"/>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To establish a good working culture, the managers always try to maintain a swift communication process with all the employees </w:t>
      </w:r>
      <w:r>
        <w:rPr>
          <w:rFonts w:ascii="Times New Roman" w:hAnsi="Times New Roman"/>
          <w:sz w:val="24"/>
          <w:szCs w:val="24"/>
          <w:shd w:val="clear" w:color="auto" w:fill="FFFFFF"/>
        </w:rPr>
        <w:t>(Simpson and Taylor, 2017)</w:t>
      </w:r>
      <w:r>
        <w:rPr>
          <w:rFonts w:ascii="Times New Roman" w:hAnsi="Times New Roman"/>
          <w:sz w:val="24"/>
          <w:szCs w:val="24"/>
        </w:rPr>
        <w:t xml:space="preserve">. In this case, Sainsbury’s uses a matrix organisational structure which ensures two-way communication systems. In such an organisational structure, employees work under the direct control of the managers. As a result, the employees can easily exchange their thoughts and views with the managers </w:t>
      </w:r>
      <w:r>
        <w:rPr>
          <w:rFonts w:ascii="Times New Roman" w:hAnsi="Times New Roman"/>
          <w:sz w:val="24"/>
          <w:szCs w:val="24"/>
          <w:shd w:val="clear" w:color="auto" w:fill="FFFFFF"/>
        </w:rPr>
        <w:t>(</w:t>
      </w:r>
      <w:r>
        <w:rPr>
          <w:rFonts w:ascii="Times New Roman" w:hAnsi="Times New Roman"/>
          <w:sz w:val="24"/>
          <w:szCs w:val="24"/>
        </w:rPr>
        <w:t xml:space="preserve">Craig, 2016). Again, Sainsbury’s uses participative work culture practices which allow employees to share their ideas with the top hierarchy of Sainsbury’s. This helps Sainsbury’s to build a smooth communication channel within the top to bottom management. Again, Sainsbury’s has different beautiful work culture practices which also enhance the communication process. </w:t>
      </w:r>
      <w:r>
        <w:rPr>
          <w:rFonts w:ascii="Times New Roman" w:hAnsi="Times New Roman"/>
          <w:b/>
          <w:bCs/>
          <w:sz w:val="24"/>
          <w:szCs w:val="24"/>
        </w:rPr>
        <w:t>For example,</w:t>
      </w:r>
      <w:r>
        <w:rPr>
          <w:rFonts w:ascii="Times New Roman" w:hAnsi="Times New Roman"/>
          <w:sz w:val="24"/>
          <w:szCs w:val="24"/>
        </w:rPr>
        <w:t xml:space="preserve"> each week two or three employees of each shop meet the regional operation managers to convey their opinions, problems or suggestion regarding the current business situation. Moreover, Sainsbury’s uses two-way communication process which includes both formal and informal communication process. For the formal communication process, Sainsbury’s used to take interview sessions, consultation sessions, training sessions direct reporting systems, field interview systems etc. Sainsbury’s tries to establish mandatory reporting systems by setting its organisational policies to establish accountability and proper communication in the existing work culture. Again, as a part of the informal communication process, Sainsbury’s used to organise a picnic, workshops, discussion sessions, tours etc. as a part of the informal communication process.</w:t>
      </w:r>
    </w:p>
    <w:p w:rsidR="009D2083" w:rsidRDefault="00122A04">
      <w:pPr>
        <w:pStyle w:val="Heading2"/>
      </w:pPr>
      <w:bookmarkStart w:id="8" w:name="_Toc7"/>
      <w:r>
        <w:rPr>
          <w:lang w:val="en-US"/>
        </w:rPr>
        <w:t>Formal and Informal relationship between departments and people: -</w:t>
      </w:r>
      <w:bookmarkEnd w:id="8"/>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used to use the formal communication process for building the professional and formal relationship with the employees. Formal relationship helps to establish professionalism, accountability, sensibility, and responsiveness of the employees which will help the top management to attain the organisational goals and objectives </w:t>
      </w:r>
      <w:r>
        <w:rPr>
          <w:rFonts w:ascii="Times New Roman" w:hAnsi="Times New Roman"/>
          <w:sz w:val="24"/>
          <w:szCs w:val="24"/>
          <w:shd w:val="clear" w:color="auto" w:fill="FFFFFF"/>
        </w:rPr>
        <w:t>(Simpson and Taylor, 2017)</w:t>
      </w:r>
      <w:r>
        <w:rPr>
          <w:rFonts w:ascii="Times New Roman" w:hAnsi="Times New Roman"/>
          <w:sz w:val="24"/>
          <w:szCs w:val="24"/>
        </w:rPr>
        <w:t xml:space="preserve">. On the other hand, Sainsbury’s uses informal communication practices to build up a personal and interactive relationship with the employees to make them feel like an integral part of the organisation. </w:t>
      </w:r>
      <w:r>
        <w:rPr>
          <w:rFonts w:ascii="Times New Roman" w:hAnsi="Times New Roman"/>
          <w:b/>
          <w:bCs/>
          <w:sz w:val="24"/>
          <w:szCs w:val="24"/>
        </w:rPr>
        <w:t>For example,</w:t>
      </w:r>
      <w:r>
        <w:rPr>
          <w:rFonts w:ascii="Times New Roman" w:hAnsi="Times New Roman"/>
          <w:sz w:val="24"/>
          <w:szCs w:val="24"/>
        </w:rPr>
        <w:t xml:space="preserve"> Sainsbury’s organises half yearly tours for the employees to mitigate </w:t>
      </w:r>
      <w:r>
        <w:rPr>
          <w:rFonts w:ascii="Times New Roman" w:hAnsi="Times New Roman"/>
          <w:sz w:val="24"/>
          <w:szCs w:val="24"/>
        </w:rPr>
        <w:lastRenderedPageBreak/>
        <w:t>the gap between the top and bottom management and to build a relationship with all the departments which is full of friendliness, cooperation, and accountability. Sainsbury’s tries to maintain both formal and informal relationship to attain a sustainable relationship within the organisation. The study of the World Bank shows that about 80% of employees feel happy to work in an organisation if the work environment is friendly and cooperative (Blair and Hitchcock, 2018). This report also showed that employees get more dedicated and motivated to their responsibilities when the managers maintain informal friendly bonding with the employees.</w:t>
      </w:r>
    </w:p>
    <w:p w:rsidR="009D2083" w:rsidRDefault="00122A04">
      <w:pPr>
        <w:pStyle w:val="Heading2"/>
      </w:pPr>
      <w:bookmarkStart w:id="9" w:name="_Toc8"/>
      <w:r>
        <w:rPr>
          <w:lang w:val="en-US"/>
        </w:rPr>
        <w:t>Barriers and ways of Effective functioning: -</w:t>
      </w:r>
      <w:bookmarkEnd w:id="9"/>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There are some hindrances within the organisational strategies and organisational process which interrupt the swift communication among the employees and managers </w:t>
      </w:r>
      <w:r>
        <w:rPr>
          <w:rFonts w:ascii="Times New Roman" w:hAnsi="Times New Roman"/>
          <w:sz w:val="24"/>
          <w:szCs w:val="24"/>
          <w:shd w:val="clear" w:color="auto" w:fill="FFFFFF"/>
        </w:rPr>
        <w:t>(Nilsson, 2017)</w:t>
      </w:r>
      <w:r>
        <w:rPr>
          <w:rFonts w:ascii="Times New Roman" w:hAnsi="Times New Roman"/>
          <w:sz w:val="24"/>
          <w:szCs w:val="24"/>
        </w:rPr>
        <w:t>. Sainsbury’s has to identify the following problems and will have to take the following measures to alleviate such barriers.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Cultural gap and diversity: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There are over 20,000 employees working in different stores of Sainsbury’s. These employees belong to different types of cultural background </w:t>
      </w:r>
      <w:r>
        <w:rPr>
          <w:rFonts w:ascii="Times New Roman" w:hAnsi="Times New Roman"/>
          <w:sz w:val="24"/>
          <w:szCs w:val="24"/>
          <w:shd w:val="clear" w:color="auto" w:fill="FFFFFF"/>
        </w:rPr>
        <w:t>(sainsburys.co.uk. 2019)</w:t>
      </w:r>
      <w:r>
        <w:rPr>
          <w:rFonts w:ascii="Times New Roman" w:hAnsi="Times New Roman"/>
          <w:sz w:val="24"/>
          <w:szCs w:val="24"/>
        </w:rPr>
        <w:t xml:space="preserve">. Cultural diversity also cast an impact on the work culture too. So, different employees want to interact differently (Blair and Hitchcock, 2018). Some of the employees feel good to communicate formally whereas some employees don’t like to interact formally. Again, Sainsbury’s often finds it difficult to manage all the employees and the cultural gap and diversity often obstruct the managerial policies to be implemented. </w:t>
      </w:r>
      <w:r>
        <w:rPr>
          <w:rFonts w:ascii="Times New Roman" w:hAnsi="Times New Roman"/>
          <w:b/>
          <w:bCs/>
          <w:sz w:val="24"/>
          <w:szCs w:val="24"/>
        </w:rPr>
        <w:t>For example</w:t>
      </w:r>
      <w:r>
        <w:rPr>
          <w:rFonts w:ascii="Times New Roman" w:hAnsi="Times New Roman"/>
          <w:sz w:val="24"/>
          <w:szCs w:val="24"/>
        </w:rPr>
        <w:t>, Sainsbury’s wants to through a party to its employees for organisational achievement. In this case, some of the employees oppose to attend the parties and rather suggest religious work or other social activities. To solve this problem, Sainsbury’s will have to understand the cultural background of the employees and will have to arrange separate programs for different peer groups of employees.  Moreover, Sainsbury’s will have to increase the organisational cultural practices so that employees put less importance on their cultural backgrounds and they focus on the organisational culture.</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Communication gap and channel: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has more than one thousand product lines. So, Sainsbury’s employee's a different group of employees to different product lines. Now, based on the product lines the work culture, </w:t>
      </w:r>
      <w:r>
        <w:rPr>
          <w:rFonts w:ascii="Times New Roman" w:hAnsi="Times New Roman"/>
          <w:sz w:val="24"/>
          <w:szCs w:val="24"/>
        </w:rPr>
        <w:lastRenderedPageBreak/>
        <w:t xml:space="preserve">work strategy, team motivation varies (Blair and Hitchcock, 2018). So, Sainsbury’s often finds it very difficult to communicate with all the employees. </w:t>
      </w:r>
      <w:r>
        <w:rPr>
          <w:rFonts w:ascii="Times New Roman" w:hAnsi="Times New Roman"/>
          <w:b/>
          <w:bCs/>
          <w:sz w:val="24"/>
          <w:szCs w:val="24"/>
        </w:rPr>
        <w:t>For example,</w:t>
      </w:r>
      <w:r>
        <w:rPr>
          <w:rFonts w:ascii="Times New Roman" w:hAnsi="Times New Roman"/>
          <w:sz w:val="24"/>
          <w:szCs w:val="24"/>
        </w:rPr>
        <w:t xml:space="preserve"> Sainsbury’s call the team one or two representatives of a team to communicate with the other members. The representatives often fail to describe the work strategy properly which incurs the communication gap </w:t>
      </w:r>
      <w:r>
        <w:rPr>
          <w:rFonts w:ascii="Times New Roman" w:hAnsi="Times New Roman"/>
          <w:sz w:val="24"/>
          <w:szCs w:val="24"/>
          <w:shd w:val="clear" w:color="auto" w:fill="FFFFFF"/>
          <w:lang w:val="de-DE"/>
        </w:rPr>
        <w:t>(Schreck, 2018)</w:t>
      </w:r>
      <w:r>
        <w:rPr>
          <w:rFonts w:ascii="Times New Roman" w:hAnsi="Times New Roman"/>
          <w:sz w:val="24"/>
          <w:szCs w:val="24"/>
        </w:rPr>
        <w:t>. To eradicate this problem, Sainsbury’s should use video conferencing method to communicate with all the employees.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pt-PT"/>
        </w:rPr>
        <w:t xml:space="preserve">Complex </w:t>
      </w:r>
      <w:r>
        <w:rPr>
          <w:rFonts w:ascii="Times New Roman" w:hAnsi="Times New Roman"/>
          <w:b/>
          <w:bCs/>
          <w:sz w:val="24"/>
          <w:szCs w:val="24"/>
        </w:rPr>
        <w:t>organisational</w:t>
      </w:r>
      <w:r>
        <w:rPr>
          <w:rFonts w:ascii="Times New Roman" w:hAnsi="Times New Roman"/>
          <w:b/>
          <w:bCs/>
          <w:sz w:val="24"/>
          <w:szCs w:val="24"/>
          <w:lang w:val="fr-FR"/>
        </w:rPr>
        <w:t xml:space="preserve"> structure: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uses a matrix organisational structure where the employees have to report to two different divisional managers and this often creates confusions. </w:t>
      </w:r>
      <w:r>
        <w:rPr>
          <w:rFonts w:ascii="Times New Roman" w:hAnsi="Times New Roman"/>
          <w:b/>
          <w:bCs/>
          <w:sz w:val="24"/>
          <w:szCs w:val="24"/>
        </w:rPr>
        <w:t>For example,</w:t>
      </w:r>
      <w:r>
        <w:rPr>
          <w:rFonts w:ascii="Times New Roman" w:hAnsi="Times New Roman"/>
          <w:sz w:val="24"/>
          <w:szCs w:val="24"/>
        </w:rPr>
        <w:t xml:space="preserve"> employees often get perplexed and fail to understand their job responsibility and reporting systems. To eradicate this problem, Sainsbury’s will have to provide a written and specific job description to the employees so that they can know all the details of their responsibilities and their reporting authority.</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Organisational Rules and Policies: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Some of the organisational rules and policies of Sainsbury’s often discourage and demotivate the employees to participate actively in the organisational decision-making process. </w:t>
      </w:r>
      <w:r>
        <w:rPr>
          <w:rFonts w:ascii="Times New Roman" w:hAnsi="Times New Roman"/>
          <w:b/>
          <w:bCs/>
          <w:sz w:val="24"/>
          <w:szCs w:val="24"/>
        </w:rPr>
        <w:t>For example,</w:t>
      </w:r>
      <w:r>
        <w:rPr>
          <w:rFonts w:ascii="Times New Roman" w:hAnsi="Times New Roman"/>
          <w:sz w:val="24"/>
          <w:szCs w:val="24"/>
        </w:rPr>
        <w:t xml:space="preserve"> before meeting the divisional managers, employees of Sainsbury’s have to write an application regarding the purpose and context of the meeting which often incurs delays and hinders the quick decision-making process. To solve this problem, Sainsbury’s will have to reduce its bureaucratic organisational procedures to an optimum level (Caplan and Coleman, 2017).</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
        <w:jc w:val="both"/>
      </w:pPr>
      <w:bookmarkStart w:id="10" w:name="_Toc9"/>
      <w:r>
        <w:rPr>
          <w:lang w:val="en-US"/>
        </w:rPr>
        <w:t>2. Providing a critical evaluation of Sainsbury</w:t>
      </w:r>
      <w:r>
        <w:t>’</w:t>
      </w:r>
      <w:r>
        <w:rPr>
          <w:lang w:val="en-US"/>
        </w:rPr>
        <w:t>s and the broader environment in which it operates: -</w:t>
      </w:r>
      <w:bookmarkEnd w:id="10"/>
    </w:p>
    <w:p w:rsidR="009D2083" w:rsidRDefault="009D2083">
      <w:pPr>
        <w:pStyle w:val="Body"/>
      </w:pP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Every business organisation gets influenced by the external force of the business environment </w:t>
      </w:r>
      <w:r>
        <w:rPr>
          <w:rFonts w:ascii="Times New Roman" w:hAnsi="Times New Roman"/>
          <w:sz w:val="24"/>
          <w:szCs w:val="24"/>
          <w:shd w:val="clear" w:color="auto" w:fill="FFFFFF"/>
        </w:rPr>
        <w:t>(Nilsson, 2017)</w:t>
      </w:r>
      <w:r>
        <w:rPr>
          <w:rFonts w:ascii="Times New Roman" w:hAnsi="Times New Roman"/>
          <w:sz w:val="24"/>
          <w:szCs w:val="24"/>
        </w:rPr>
        <w:t>. In this case, the external elements of the business environment shape the organisational activities of Sainsbury’s. Sainsbury’s maintains a high standard work culture within the organisation but somehow the employees as well as Sainsbury’s get influenced by some internal and external forces which have been given below.</w:t>
      </w:r>
    </w:p>
    <w:p w:rsidR="009D2083" w:rsidRDefault="00122A04">
      <w:pPr>
        <w:pStyle w:val="Heading2"/>
      </w:pPr>
      <w:bookmarkStart w:id="11" w:name="_Toc10"/>
      <w:r>
        <w:rPr>
          <w:lang w:val="en-US"/>
        </w:rPr>
        <w:t>SWOT Analysis: -</w:t>
      </w:r>
      <w:bookmarkEnd w:id="11"/>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SWOT analysis not only describes the internal strengths and weakness it also describes the external opportunity and threats of the business organisation </w:t>
      </w:r>
      <w:r>
        <w:rPr>
          <w:rFonts w:ascii="Times New Roman" w:hAnsi="Times New Roman"/>
          <w:sz w:val="24"/>
          <w:szCs w:val="24"/>
          <w:shd w:val="clear" w:color="auto" w:fill="FFFFFF"/>
          <w:lang w:val="de-DE"/>
        </w:rPr>
        <w:t>(Schreck, 2018)</w:t>
      </w:r>
      <w:r>
        <w:rPr>
          <w:rFonts w:ascii="Times New Roman" w:hAnsi="Times New Roman"/>
          <w:sz w:val="24"/>
          <w:szCs w:val="24"/>
        </w:rPr>
        <w:t>. Sainsbury’s has to conduct a SWOT analysis for a critical evaluation of its business performances.</w:t>
      </w:r>
    </w:p>
    <w:p w:rsidR="009D2083" w:rsidRDefault="00122A04">
      <w:pPr>
        <w:pStyle w:val="Body"/>
        <w:keepNext/>
        <w:spacing w:line="360" w:lineRule="auto"/>
        <w:jc w:val="center"/>
      </w:pPr>
      <w:r>
        <w:rPr>
          <w:rFonts w:ascii="Times New Roman" w:eastAsia="Times New Roman" w:hAnsi="Times New Roman" w:cs="Times New Roman"/>
          <w:noProof/>
          <w:sz w:val="24"/>
          <w:szCs w:val="24"/>
          <w:lang w:val="en-GB"/>
        </w:rPr>
        <w:drawing>
          <wp:inline distT="0" distB="0" distL="0" distR="0">
            <wp:extent cx="4566916" cy="2296633"/>
            <wp:effectExtent l="0" t="0" r="0" b="0"/>
            <wp:docPr id="1073741826" name="officeArt object" descr="SWOT-image_03-1-1024x515.png"/>
            <wp:cNvGraphicFramePr/>
            <a:graphic xmlns:a="http://schemas.openxmlformats.org/drawingml/2006/main">
              <a:graphicData uri="http://schemas.openxmlformats.org/drawingml/2006/picture">
                <pic:pic xmlns:pic="http://schemas.openxmlformats.org/drawingml/2006/picture">
                  <pic:nvPicPr>
                    <pic:cNvPr id="1073741826" name="SWOT-image_03-1-1024x515.png" descr="SWOT-image_03-1-1024x515.png"/>
                    <pic:cNvPicPr>
                      <a:picLocks noChangeAspect="1"/>
                    </pic:cNvPicPr>
                  </pic:nvPicPr>
                  <pic:blipFill>
                    <a:blip r:embed="rId11">
                      <a:extLst/>
                    </a:blip>
                    <a:stretch>
                      <a:fillRect/>
                    </a:stretch>
                  </pic:blipFill>
                  <pic:spPr>
                    <a:xfrm>
                      <a:off x="0" y="0"/>
                      <a:ext cx="4566916" cy="2296633"/>
                    </a:xfrm>
                    <a:prstGeom prst="rect">
                      <a:avLst/>
                    </a:prstGeom>
                    <a:ln w="19050" cap="flat">
                      <a:solidFill>
                        <a:srgbClr val="000000"/>
                      </a:solidFill>
                      <a:prstDash val="solid"/>
                      <a:round/>
                    </a:ln>
                    <a:effectLst/>
                  </pic:spPr>
                </pic:pic>
              </a:graphicData>
            </a:graphic>
          </wp:inline>
        </w:drawing>
      </w:r>
    </w:p>
    <w:p w:rsidR="009D2083" w:rsidRDefault="00122A04">
      <w:pPr>
        <w:pStyle w:val="Caption"/>
        <w:jc w:val="center"/>
        <w:rPr>
          <w:rFonts w:ascii="Times New Roman" w:eastAsia="Times New Roman" w:hAnsi="Times New Roman" w:cs="Times New Roman"/>
          <w:b w:val="0"/>
          <w:bCs w:val="0"/>
          <w:color w:val="000000"/>
          <w:sz w:val="28"/>
          <w:szCs w:val="28"/>
          <w:u w:color="000000"/>
        </w:rPr>
      </w:pPr>
      <w:r>
        <w:rPr>
          <w:b w:val="0"/>
          <w:bCs w:val="0"/>
          <w:color w:val="000000"/>
          <w:sz w:val="20"/>
          <w:szCs w:val="20"/>
          <w:u w:color="000000"/>
        </w:rPr>
        <w:t>Figure 2: - SWOT Analysis</w:t>
      </w:r>
    </w:p>
    <w:p w:rsidR="009D2083" w:rsidRDefault="00122A04">
      <w:pPr>
        <w:pStyle w:val="Body"/>
        <w:spacing w:line="360" w:lineRule="auto"/>
        <w:jc w:val="center"/>
        <w:rPr>
          <w:rFonts w:ascii="Times New Roman" w:eastAsia="Times New Roman" w:hAnsi="Times New Roman" w:cs="Times New Roman"/>
          <w:sz w:val="24"/>
          <w:szCs w:val="24"/>
        </w:rPr>
      </w:pPr>
      <w:r>
        <w:rPr>
          <w:rFonts w:ascii="Times New Roman" w:hAnsi="Times New Roman"/>
          <w:sz w:val="24"/>
          <w:szCs w:val="24"/>
          <w:lang w:val="fr-FR"/>
        </w:rPr>
        <w:t xml:space="preserve">Source: - </w:t>
      </w:r>
      <w:r>
        <w:rPr>
          <w:rFonts w:ascii="Times New Roman" w:hAnsi="Times New Roman"/>
          <w:sz w:val="24"/>
          <w:szCs w:val="24"/>
          <w:shd w:val="clear" w:color="auto" w:fill="FFFFFF"/>
        </w:rPr>
        <w:t>(Worthington, 2018)</w:t>
      </w:r>
    </w:p>
    <w:p w:rsidR="009D2083" w:rsidRDefault="00122A04">
      <w:pPr>
        <w:pStyle w:val="Body"/>
        <w:spacing w:before="120" w:after="120" w:line="360" w:lineRule="auto"/>
        <w:jc w:val="both"/>
        <w:rPr>
          <w:rFonts w:ascii="Times New Roman" w:eastAsia="Times New Roman" w:hAnsi="Times New Roman" w:cs="Times New Roman"/>
          <w:sz w:val="24"/>
          <w:szCs w:val="24"/>
        </w:rPr>
      </w:pPr>
      <w:r>
        <w:rPr>
          <w:rFonts w:ascii="Times New Roman" w:hAnsi="Times New Roman"/>
          <w:b/>
          <w:bCs/>
          <w:sz w:val="24"/>
          <w:szCs w:val="24"/>
        </w:rPr>
        <w:t>Strengths: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Being the second largest super shop, Sainsbury’s has a very good reputation in the marketplace which helps Sainsbury’s to gain the market share. Again, Sainsbury’s has a very skilled workforce who ensures organisational efficiency and reduces the cost of waste. Moreover, the strong supply chain helps to distribute all the goods at a cheap rate </w:t>
      </w:r>
      <w:r>
        <w:rPr>
          <w:rFonts w:ascii="Times New Roman" w:hAnsi="Times New Roman"/>
          <w:sz w:val="24"/>
          <w:szCs w:val="24"/>
          <w:shd w:val="clear" w:color="auto" w:fill="FFFFFF"/>
        </w:rPr>
        <w:t>(Simpson and Taylor, 2017)</w:t>
      </w:r>
      <w:r>
        <w:rPr>
          <w:rFonts w:ascii="Times New Roman" w:hAnsi="Times New Roman"/>
          <w:sz w:val="24"/>
          <w:szCs w:val="24"/>
        </w:rPr>
        <w:t>. That’s why Sainsbury’s becomes able to sell its goods at an affordable price range. Sainsbury’s sells 20% of its goods by its own name which has made this brand familiar among the people.</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a-DK"/>
        </w:rPr>
        <w:t>Weakness: -</w:t>
      </w:r>
    </w:p>
    <w:p w:rsidR="009D2083" w:rsidRDefault="00122A04">
      <w:pPr>
        <w:pStyle w:val="NormalWeb"/>
        <w:shd w:val="clear" w:color="auto" w:fill="FFFFFF"/>
        <w:spacing w:before="120" w:after="120" w:line="360" w:lineRule="auto"/>
        <w:jc w:val="both"/>
      </w:pPr>
      <w:r>
        <w:lastRenderedPageBreak/>
        <w:t>Due to the increase of corporate tax, wage rate, inflation rate, interest rate etc., the product prices of Sainsbury’s have gone a little bit high which has reduced its sell to some extent. Moreover, the large number of employees, complex organisational structure, cultural diversity of the employees have been creating some challenges for Sainsbury’s to conduct its business activities swiftly.</w:t>
      </w:r>
    </w:p>
    <w:p w:rsidR="009D2083" w:rsidRDefault="00122A04">
      <w:pPr>
        <w:pStyle w:val="NormalWeb"/>
        <w:shd w:val="clear" w:color="auto" w:fill="FFFFFF"/>
        <w:spacing w:before="120" w:after="120" w:line="360" w:lineRule="auto"/>
        <w:jc w:val="both"/>
        <w:rPr>
          <w:b/>
          <w:bCs/>
        </w:rPr>
      </w:pPr>
      <w:r>
        <w:rPr>
          <w:b/>
          <w:bCs/>
        </w:rPr>
        <w:t>Opportunities: -</w:t>
      </w:r>
    </w:p>
    <w:p w:rsidR="009D2083" w:rsidRDefault="00122A04">
      <w:pPr>
        <w:pStyle w:val="NormalWeb"/>
        <w:shd w:val="clear" w:color="auto" w:fill="FFFFFF"/>
        <w:spacing w:before="120" w:after="120" w:line="360" w:lineRule="auto"/>
        <w:jc w:val="both"/>
      </w:pPr>
      <w:r>
        <w:t xml:space="preserve">Sainsbury’s can expand its business activities to the new regions through merger or acquisition if the deal is favourable to Sainsbury’s. Moreover, Sainsbury’s can expand its business activities across the border. </w:t>
      </w:r>
      <w:r>
        <w:rPr>
          <w:b/>
          <w:bCs/>
        </w:rPr>
        <w:t>For example,</w:t>
      </w:r>
      <w:r>
        <w:t xml:space="preserve"> Sainsbury’s can expand its business activities in the growing economy of Asia or Africa. Nowadays the self-checkout machine and automated shops have become very popular in the UK (Caplan and Coleman, 2017). In this case, through starting the use of self-check machine Sainsbury’s can keep its shop open 24 hours which will boost its sales too.</w:t>
      </w:r>
    </w:p>
    <w:p w:rsidR="009D2083" w:rsidRDefault="00122A04">
      <w:pPr>
        <w:pStyle w:val="NormalWeb"/>
        <w:shd w:val="clear" w:color="auto" w:fill="FFFFFF"/>
        <w:spacing w:before="120" w:after="120" w:line="360" w:lineRule="auto"/>
        <w:jc w:val="both"/>
        <w:rPr>
          <w:b/>
          <w:bCs/>
        </w:rPr>
      </w:pPr>
      <w:r>
        <w:rPr>
          <w:b/>
          <w:bCs/>
        </w:rPr>
        <w:t>Threats: -</w:t>
      </w:r>
    </w:p>
    <w:p w:rsidR="009D2083" w:rsidRDefault="00122A04">
      <w:pPr>
        <w:pStyle w:val="NormalWeb"/>
        <w:shd w:val="clear" w:color="auto" w:fill="FFFFFF"/>
        <w:spacing w:before="120" w:after="120" w:line="360" w:lineRule="auto"/>
        <w:jc w:val="both"/>
      </w:pPr>
      <w:r>
        <w:t>The biggest threat of Sainsbury’s is its market rivals like Asda, Walmart, Tesco, Boot etc. (Caplan and Coleman, 2017). The retailing industry is highly competitive its very difficult to gain the market share. Moreover, due to the globalisation and huge opportunity, there is a high possibility of new market entrants (Blair and Hitchcock, 2018). Moreover, Sainsbury’s faces many challenges to provide better quality innovative products at an affordable price to the customers to beat its competitors.</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2"/>
      </w:pPr>
      <w:bookmarkStart w:id="12" w:name="_Toc11"/>
      <w:r>
        <w:rPr>
          <w:lang w:val="de-DE"/>
        </w:rPr>
        <w:t>PESTLE Analysis: -</w:t>
      </w:r>
      <w:bookmarkEnd w:id="12"/>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PESTLE analysis describes the impacts of economic, political, social, legal, environmental, and technological forces of an organisation </w:t>
      </w:r>
      <w:r>
        <w:rPr>
          <w:rFonts w:ascii="Times New Roman" w:hAnsi="Times New Roman"/>
          <w:sz w:val="24"/>
          <w:szCs w:val="24"/>
          <w:shd w:val="clear" w:color="auto" w:fill="FFFFFF"/>
        </w:rPr>
        <w:t>(Simpson and Taylor, 2017)</w:t>
      </w:r>
      <w:r>
        <w:rPr>
          <w:rFonts w:ascii="Times New Roman" w:hAnsi="Times New Roman"/>
          <w:sz w:val="24"/>
          <w:szCs w:val="24"/>
        </w:rPr>
        <w:t>. To operate all the business activities smoothly, Sainsbury’s has to conduct a PESTLE analysis to consider the following issues.</w:t>
      </w:r>
    </w:p>
    <w:p w:rsidR="009D2083" w:rsidRDefault="00122A04">
      <w:pPr>
        <w:pStyle w:val="Body"/>
        <w:keepNext/>
        <w:spacing w:line="360" w:lineRule="auto"/>
        <w:jc w:val="center"/>
      </w:pPr>
      <w:r>
        <w:rPr>
          <w:rFonts w:ascii="Times New Roman" w:eastAsia="Times New Roman" w:hAnsi="Times New Roman" w:cs="Times New Roman"/>
          <w:noProof/>
          <w:sz w:val="24"/>
          <w:szCs w:val="24"/>
          <w:lang w:val="en-GB"/>
        </w:rPr>
        <w:lastRenderedPageBreak/>
        <w:drawing>
          <wp:inline distT="0" distB="0" distL="0" distR="0">
            <wp:extent cx="3529041" cy="3742662"/>
            <wp:effectExtent l="0" t="0" r="0" b="0"/>
            <wp:docPr id="1073741827" name="officeArt object" descr="PESTEL-Analysis.png"/>
            <wp:cNvGraphicFramePr/>
            <a:graphic xmlns:a="http://schemas.openxmlformats.org/drawingml/2006/main">
              <a:graphicData uri="http://schemas.openxmlformats.org/drawingml/2006/picture">
                <pic:pic xmlns:pic="http://schemas.openxmlformats.org/drawingml/2006/picture">
                  <pic:nvPicPr>
                    <pic:cNvPr id="1073741827" name="PESTEL-Analysis.png" descr="PESTEL-Analysis.png"/>
                    <pic:cNvPicPr>
                      <a:picLocks noChangeAspect="1"/>
                    </pic:cNvPicPr>
                  </pic:nvPicPr>
                  <pic:blipFill>
                    <a:blip r:embed="rId12">
                      <a:extLst/>
                    </a:blip>
                    <a:stretch>
                      <a:fillRect/>
                    </a:stretch>
                  </pic:blipFill>
                  <pic:spPr>
                    <a:xfrm>
                      <a:off x="0" y="0"/>
                      <a:ext cx="3529041" cy="3742662"/>
                    </a:xfrm>
                    <a:prstGeom prst="rect">
                      <a:avLst/>
                    </a:prstGeom>
                    <a:ln w="19050" cap="flat">
                      <a:solidFill>
                        <a:srgbClr val="000000"/>
                      </a:solidFill>
                      <a:prstDash val="solid"/>
                      <a:round/>
                    </a:ln>
                    <a:effectLst/>
                  </pic:spPr>
                </pic:pic>
              </a:graphicData>
            </a:graphic>
          </wp:inline>
        </w:drawing>
      </w:r>
    </w:p>
    <w:p w:rsidR="009D2083" w:rsidRDefault="00122A04">
      <w:pPr>
        <w:pStyle w:val="Caption"/>
        <w:jc w:val="center"/>
        <w:rPr>
          <w:rFonts w:ascii="Times New Roman" w:eastAsia="Times New Roman" w:hAnsi="Times New Roman" w:cs="Times New Roman"/>
          <w:b w:val="0"/>
          <w:bCs w:val="0"/>
          <w:color w:val="000000"/>
          <w:sz w:val="28"/>
          <w:szCs w:val="28"/>
          <w:u w:color="000000"/>
        </w:rPr>
      </w:pPr>
      <w:r>
        <w:rPr>
          <w:b w:val="0"/>
          <w:bCs w:val="0"/>
          <w:color w:val="000000"/>
          <w:sz w:val="20"/>
          <w:szCs w:val="20"/>
          <w:u w:color="000000"/>
        </w:rPr>
        <w:t>Figure 3: - PESTLE Analysis</w:t>
      </w:r>
    </w:p>
    <w:p w:rsidR="009D2083" w:rsidRDefault="00122A04">
      <w:pPr>
        <w:pStyle w:val="Body"/>
        <w:spacing w:line="360" w:lineRule="auto"/>
        <w:jc w:val="center"/>
        <w:rPr>
          <w:rFonts w:ascii="Times New Roman" w:eastAsia="Times New Roman" w:hAnsi="Times New Roman" w:cs="Times New Roman"/>
          <w:sz w:val="24"/>
          <w:szCs w:val="24"/>
        </w:rPr>
      </w:pPr>
      <w:r>
        <w:rPr>
          <w:rFonts w:ascii="Times New Roman" w:hAnsi="Times New Roman"/>
          <w:sz w:val="24"/>
          <w:szCs w:val="24"/>
        </w:rPr>
        <w:t>Source: - (Blair and Hitchcock, 2018)</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Political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 political stability, good governance, and low corruption rate make the UK one of the most favorables marketplaces for any kind of business organisation. For these favourable political factors, Sainsbury’s can smoothly conduct its business activities. Despite these positive sides, the recent chaos regarding the Brexit issue has made the political situation of the UK quite unstable. Moreover, due to the Brexit issue, the Foreign Direct Investment (FDI) has lessened to some extent which cast a negative impact on Sainsbury’s’s business activities (Caplan and Coleman, 2017). Moreover, the new regulatory complexity regarding new capital requirement and the impose of 8% surcharge on bank profit have made the business environment stable </w:t>
      </w:r>
      <w:r>
        <w:rPr>
          <w:rFonts w:ascii="Times New Roman" w:hAnsi="Times New Roman"/>
          <w:sz w:val="24"/>
          <w:szCs w:val="24"/>
          <w:lang w:val="it-IT"/>
        </w:rPr>
        <w:t>(World Bank. 2019).</w:t>
      </w:r>
      <w:r>
        <w:rPr>
          <w:rFonts w:ascii="Times New Roman" w:hAnsi="Times New Roman"/>
          <w:sz w:val="24"/>
          <w:szCs w:val="24"/>
        </w:rPr>
        <w:t xml:space="preserve"> On the contrary, the government has currently increased the corporate tax rate at 19% (Blair and Hitchcock, 2018). All these factors have created instability in the UK business environment and so Sainsbury’s has started to face some trouble in continuing its business activities.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nl-NL"/>
        </w:rPr>
        <w:t>Economic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According to the report of the World Bank, the UK is the 5</w:t>
      </w:r>
      <w:r>
        <w:rPr>
          <w:rFonts w:ascii="Times New Roman" w:hAnsi="Times New Roman"/>
          <w:sz w:val="24"/>
          <w:szCs w:val="24"/>
          <w:vertAlign w:val="superscript"/>
        </w:rPr>
        <w:t>th</w:t>
      </w:r>
      <w:r>
        <w:rPr>
          <w:rFonts w:ascii="Times New Roman" w:hAnsi="Times New Roman"/>
          <w:sz w:val="24"/>
          <w:szCs w:val="24"/>
        </w:rPr>
        <w:t xml:space="preserve"> largest economy of the world </w:t>
      </w:r>
      <w:r>
        <w:rPr>
          <w:rFonts w:ascii="Times New Roman" w:hAnsi="Times New Roman"/>
          <w:sz w:val="24"/>
          <w:szCs w:val="24"/>
          <w:shd w:val="clear" w:color="auto" w:fill="FFFFFF"/>
        </w:rPr>
        <w:t>(Simpson and Taylor, 2017)</w:t>
      </w:r>
      <w:r>
        <w:rPr>
          <w:rFonts w:ascii="Times New Roman" w:hAnsi="Times New Roman"/>
          <w:sz w:val="24"/>
          <w:szCs w:val="24"/>
        </w:rPr>
        <w:t xml:space="preserve">. So, the economic situation of the UK is overall good which shows a green flag to Sainsbury’s to continue its business activities smoothly. However, the recent Brexit issue has created a negative impact on the UK economy which has been creating troubles for Sainsbury’s to conduct its business activities smoothly. The inflation rate has risen to 3.1% and the growth rate has fallen to 1.3% (Bloomberg.com. 2019). Moreover, the debt will increase to 74.1% by 2023 </w:t>
      </w:r>
      <w:r>
        <w:rPr>
          <w:rFonts w:ascii="Times New Roman" w:hAnsi="Times New Roman"/>
          <w:sz w:val="24"/>
          <w:szCs w:val="24"/>
          <w:shd w:val="clear" w:color="auto" w:fill="FFFFFF"/>
          <w:lang w:val="fr-FR"/>
        </w:rPr>
        <w:t>(Allouche, 2017)</w:t>
      </w:r>
      <w:r>
        <w:rPr>
          <w:rFonts w:ascii="Times New Roman" w:hAnsi="Times New Roman"/>
          <w:sz w:val="24"/>
          <w:szCs w:val="24"/>
        </w:rPr>
        <w:t xml:space="preserve">. On the contrary, the UK will have to pay 500 million just to take preparation for Brexit. These factors have increased the bank interest rate and the wage rate has also risen to 4.9% </w:t>
      </w:r>
      <w:r>
        <w:rPr>
          <w:rFonts w:ascii="Times New Roman" w:hAnsi="Times New Roman"/>
          <w:sz w:val="24"/>
          <w:szCs w:val="24"/>
          <w:lang w:val="it-IT"/>
        </w:rPr>
        <w:t>(World Bank. 2019)</w:t>
      </w:r>
      <w:r>
        <w:rPr>
          <w:rFonts w:ascii="Times New Roman" w:hAnsi="Times New Roman"/>
          <w:sz w:val="24"/>
          <w:szCs w:val="24"/>
        </w:rPr>
        <w:t>. So, the operational cost and variable cost (labor, raw materials, utility) of Sainsbury’s has increased but Sainsbury’s couldn’t become able to raise the price that high. As a result, Sainsbury’s has been facing some troubles to reap sufficient profit from the retailing industry.</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a-DK"/>
        </w:rPr>
        <w:t>Social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 United Kingdom has a large population of 66 million which is predicted to increase to 74 million by 2039 (Blair and Hitchcock, 2018). Among these people, about 2.5% are above the age of 85 years and about 18% of people are above 65 years </w:t>
      </w:r>
      <w:r>
        <w:rPr>
          <w:rFonts w:ascii="Times New Roman" w:hAnsi="Times New Roman"/>
          <w:sz w:val="24"/>
          <w:szCs w:val="24"/>
          <w:lang w:val="it-IT"/>
        </w:rPr>
        <w:t>(World Bank. 2019)</w:t>
      </w:r>
      <w:r>
        <w:rPr>
          <w:rFonts w:ascii="Times New Roman" w:hAnsi="Times New Roman"/>
          <w:sz w:val="24"/>
          <w:szCs w:val="24"/>
        </w:rPr>
        <w:t>. This clearly shows the high population of the youth people which means the customers of Sainsbury’s are at high numbers because Sainsbury’s mainly focuses the millennials for its business. Moreover, it also indicates the high labor force of the UK which is also good for Sainsbury’s. Moreover, the UK is a multicultural nation so Sainsbury’s finds no difficulty to establish its new shops in different regions.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a-DK"/>
        </w:rPr>
        <w:t>Technological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The UK government has invested more than 28 billion in technological advancement. Moreover, the UK government has been giving tax benefits to the firms which have been bringing innovation (Yüksel, 2017). In this case, Sainsbury’s can develop its retailing technological tools through bringing modern machinery, equipment, and tools which will faster its operational activities and will reduce its cost. The good news is that Sainsbury’s will get full support from the government.</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a-DK"/>
        </w:rPr>
        <w:t>Environmental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Most of the people in the UK are educated and they are very conscious of environment pollution and sustainable development </w:t>
      </w:r>
      <w:r>
        <w:rPr>
          <w:rFonts w:ascii="Times New Roman" w:hAnsi="Times New Roman"/>
          <w:sz w:val="24"/>
          <w:szCs w:val="24"/>
          <w:shd w:val="clear" w:color="auto" w:fill="FFFFFF"/>
          <w:lang w:val="fr-FR"/>
        </w:rPr>
        <w:t>(Allouche, 2017)</w:t>
      </w:r>
      <w:r>
        <w:rPr>
          <w:rFonts w:ascii="Times New Roman" w:hAnsi="Times New Roman"/>
          <w:sz w:val="24"/>
          <w:szCs w:val="24"/>
        </w:rPr>
        <w:t>. So, Sainsbury’s has been focusing on an awareness campaign and sustainable development to draw the attention of all the stakeholders. Moreover, Sainsbury’s has a plan to do green business in the future. On the other hand, the government has enacted different laws for protecting the environment by reducing pollution. In this case, Sainsbury’s has been bringing pollution resistant materials, equipment, modern recycling material which has been incurring huge cost for Sainsbury’</w:t>
      </w:r>
      <w:r>
        <w:rPr>
          <w:rFonts w:ascii="Times New Roman" w:hAnsi="Times New Roman"/>
          <w:sz w:val="24"/>
          <w:szCs w:val="24"/>
          <w:lang w:val="pt-PT"/>
        </w:rPr>
        <w:t>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a-DK"/>
        </w:rPr>
        <w:t>Legal Factors: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Some of the legal factors like strict tax policy, strict law enforcement agencies, Health and Safety Act, Country Act, Company Act of the UK make it difficult for Sainsbury’s to operate its business activities smoothly </w:t>
      </w:r>
      <w:r>
        <w:rPr>
          <w:rFonts w:ascii="Times New Roman" w:hAnsi="Times New Roman"/>
          <w:sz w:val="24"/>
          <w:szCs w:val="24"/>
          <w:shd w:val="clear" w:color="auto" w:fill="FFFFFF"/>
          <w:lang w:val="de-DE"/>
        </w:rPr>
        <w:t>(Schreck, 2018)</w:t>
      </w:r>
      <w:r>
        <w:rPr>
          <w:rFonts w:ascii="Times New Roman" w:hAnsi="Times New Roman"/>
          <w:sz w:val="24"/>
          <w:szCs w:val="24"/>
        </w:rPr>
        <w:t xml:space="preserve">. </w:t>
      </w:r>
      <w:r>
        <w:rPr>
          <w:rFonts w:ascii="Times New Roman" w:hAnsi="Times New Roman"/>
          <w:b/>
          <w:bCs/>
          <w:sz w:val="24"/>
          <w:szCs w:val="24"/>
        </w:rPr>
        <w:t>For example,</w:t>
      </w:r>
      <w:r>
        <w:rPr>
          <w:rFonts w:ascii="Times New Roman" w:hAnsi="Times New Roman"/>
          <w:sz w:val="24"/>
          <w:szCs w:val="24"/>
        </w:rPr>
        <w:t xml:space="preserve"> the Employment Act, 1996 ensures that Sainsbury’s will have to provide minimum wage, holiday pay, sick pay, job security, job cancellation notice, maternity leave etc. to the employees. Moreover, the Equality Act, 2010 also ensures that Sainsbury’s provides equal opportunity to all the employees regardless of any discrimination. So, Sainsbury’s finds it difficult to continue business smoothly maintaining all these legal facts.</w:t>
      </w:r>
    </w:p>
    <w:p w:rsidR="009D2083" w:rsidRDefault="00122A04">
      <w:pPr>
        <w:pStyle w:val="Heading2"/>
      </w:pPr>
      <w:bookmarkStart w:id="13" w:name="_Toc12"/>
      <w:r>
        <w:rPr>
          <w:lang w:val="en-US"/>
        </w:rPr>
        <w:t>Impact of culture: -</w:t>
      </w:r>
      <w:bookmarkEnd w:id="13"/>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All these internal and external factors shape the cultural values of an employee in the following ways.</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Employee’s performance: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Now the employees don’t get satisfied only by monetary compensation. Now employee performances depend on work environment, sense of belonging to the firm, level of attachment, collaborative work culture, and recognition from the top management (Yüksel, 2017). Now, employees are aware of their rights. So, Sainsbury’s will have to maintain all the basic requirement of the employees according to the Employment Act, Health and Safety Act, Equality Act, Employment Act etc. Moreover, nowadays, employees want to work flexibility that’s why Sainsbury’s will have to provide workplace flexibility to the employees so that they can do their work staying at home. Moreover, a friendly, cooperative and collaborative work culture needs to be developed by Sainsbury’s to keep the employees motivated.</w:t>
      </w:r>
    </w:p>
    <w:p w:rsidR="009D2083" w:rsidRDefault="00122A04">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lastRenderedPageBreak/>
        <w:t>Corporate values and responsibility: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Now, employees depend so much on corporate ethics, values, work standards and work responsibilities. So, a standard working practice must be developed by Sainsbury’s to direct all the employees towards the organisational goals </w:t>
      </w:r>
      <w:r>
        <w:rPr>
          <w:rFonts w:ascii="Times New Roman" w:hAnsi="Times New Roman"/>
          <w:sz w:val="24"/>
          <w:szCs w:val="24"/>
          <w:shd w:val="clear" w:color="auto" w:fill="FFFFFF"/>
          <w:lang w:val="de-DE"/>
        </w:rPr>
        <w:t>(Schreck, 2018)</w:t>
      </w:r>
      <w:r>
        <w:rPr>
          <w:rFonts w:ascii="Times New Roman" w:hAnsi="Times New Roman"/>
          <w:sz w:val="24"/>
          <w:szCs w:val="24"/>
        </w:rPr>
        <w:t>. Moreover, Sainsbury’s will have to develop the organisational norms and ethics and will have to ensure the practice of honesty so that the employees can treat all the customers ethically and honestly. The practice of honesty and the norms of social values will have to be spread within the firm to influence the employees.</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b/>
          <w:bCs/>
          <w:sz w:val="24"/>
          <w:szCs w:val="24"/>
        </w:rPr>
        <w:t>Innovative actions and changes:</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Due to the technological revolution, employees seek for innovative actions through bringing innovation in the existing working methods and policies </w:t>
      </w:r>
      <w:r>
        <w:rPr>
          <w:rFonts w:ascii="Times New Roman" w:hAnsi="Times New Roman"/>
          <w:sz w:val="24"/>
          <w:szCs w:val="24"/>
          <w:shd w:val="clear" w:color="auto" w:fill="FFFFFF"/>
          <w:lang w:val="fr-FR"/>
        </w:rPr>
        <w:t>(Allouche, 2017)</w:t>
      </w:r>
      <w:r>
        <w:rPr>
          <w:rFonts w:ascii="Times New Roman" w:hAnsi="Times New Roman"/>
          <w:sz w:val="24"/>
          <w:szCs w:val="24"/>
        </w:rPr>
        <w:t>. In this case, Sainsbury’s will have to provide full authority to the employees to bring innovation in the current working procedures to bring more efficiency in the business operation. Moreover, the application of innovative technologies, modern tools, and advanced training facilities should be provided to the employees. Now employees like to make them skilled. So all these changes, innovation and growth opportunities will cast a positive impact on the work culture of the employees.</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
        <w:jc w:val="both"/>
      </w:pPr>
      <w:bookmarkStart w:id="14" w:name="_Toc13"/>
      <w:r>
        <w:rPr>
          <w:lang w:val="en-US"/>
        </w:rPr>
        <w:t>3. Critically evaluating the cultural and ethical behaviour present in Sainsbury</w:t>
      </w:r>
      <w:r>
        <w:t>’</w:t>
      </w:r>
      <w:r>
        <w:rPr>
          <w:lang w:val="en-US"/>
        </w:rPr>
        <w:t>s and evaluate your own cultural and ethical behaviour in relation to Sainsbury</w:t>
      </w:r>
      <w:r>
        <w:t>’s: -</w:t>
      </w:r>
      <w:bookmarkEnd w:id="14"/>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The success of a workplace culture depends on the cultural and ethical values of the organisation </w:t>
      </w:r>
      <w:r>
        <w:rPr>
          <w:rFonts w:ascii="Times New Roman" w:hAnsi="Times New Roman"/>
          <w:sz w:val="24"/>
          <w:szCs w:val="24"/>
          <w:shd w:val="clear" w:color="auto" w:fill="FFFFFF"/>
          <w:lang w:val="de-DE"/>
        </w:rPr>
        <w:t>(Schreck, 2018)</w:t>
      </w:r>
      <w:r>
        <w:rPr>
          <w:rFonts w:ascii="Times New Roman" w:hAnsi="Times New Roman"/>
          <w:sz w:val="24"/>
          <w:szCs w:val="24"/>
        </w:rPr>
        <w:t>. Sainsbury’s tries to maintain sophisticated ethical practice so that it can encourage its employees to act responsibly and ethically.</w:t>
      </w:r>
    </w:p>
    <w:p w:rsidR="009D2083" w:rsidRDefault="00122A04">
      <w:pPr>
        <w:pStyle w:val="Heading2"/>
      </w:pPr>
      <w:bookmarkStart w:id="15" w:name="_Toc14"/>
      <w:r>
        <w:rPr>
          <w:lang w:val="en-US"/>
        </w:rPr>
        <w:lastRenderedPageBreak/>
        <w:t>Ethical consideration and values: -</w:t>
      </w:r>
      <w:bookmarkEnd w:id="15"/>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Sainsbury’s tries to develop a strong ethical value among all the employees as a part of a work culture of the organisations. So, Sainsbury’s always asks the employees to treat the customers honestly and ethically. Sainsbury’s doesn’t consider the quality of products and with the customers’ discomfort. Sainsbury’s uses several control points to detect the defective goods. Moreover, Sainsbury’s provides rewards to the most dedicated and honest employees which also encourage the other employees to act ethically. Again, Sainsbury’s organises seminars, workshops, storytelling sessions of the ex-employees to encourage the existing employees to act ethically, honestly and politely. Sainsbury’s always aware the employees regarding the fraudulent activities so that employees can refrain themselves of such misconducts. Such activities develop the ethical values of the employees which help Sainsbury’s to develop a strong organisational culture.</w:t>
      </w:r>
    </w:p>
    <w:p w:rsidR="009D2083" w:rsidRDefault="00122A04">
      <w:pPr>
        <w:pStyle w:val="Heading2"/>
      </w:pPr>
      <w:bookmarkStart w:id="16" w:name="_Toc15"/>
      <w:r>
        <w:rPr>
          <w:lang w:val="en-US"/>
        </w:rPr>
        <w:t>Corporate Social Responsibility: -</w:t>
      </w:r>
      <w:bookmarkEnd w:id="16"/>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Sainsbury’s has been conducting several kinds of corporate social responsibilities for the community development, environment protection and for the development of the living standards of the poor people. Almost all the big retail companies conduct CSR activities to develop the society as well as to develop the community people </w:t>
      </w:r>
      <w:r>
        <w:rPr>
          <w:rFonts w:ascii="Times New Roman" w:hAnsi="Times New Roman"/>
          <w:sz w:val="24"/>
          <w:szCs w:val="24"/>
          <w:shd w:val="clear" w:color="auto" w:fill="FFFFFF"/>
        </w:rPr>
        <w:t>(Simpson and Taylor, 2017)</w:t>
      </w:r>
      <w:r>
        <w:rPr>
          <w:rFonts w:ascii="Times New Roman" w:hAnsi="Times New Roman"/>
          <w:sz w:val="24"/>
          <w:szCs w:val="24"/>
        </w:rPr>
        <w:t>.</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According to different market research, it is found that among all the UK supermarket giants, Tesco, Asda, Morrisons and Sainsbury’s are the companies who conduct most of the CSR activities. In the case of CSR, Sainsbury’s conducts different types of donations, charity events, free food campaign etc. Sainsbury’s supports the UN for the SDG project to alleviate poverty, inequality and environment protection </w:t>
      </w:r>
      <w:r>
        <w:rPr>
          <w:rFonts w:ascii="Times New Roman" w:hAnsi="Times New Roman"/>
          <w:sz w:val="24"/>
          <w:szCs w:val="24"/>
          <w:shd w:val="clear" w:color="auto" w:fill="FFFFFF"/>
        </w:rPr>
        <w:t>(sainsburys.co.uk. 2019).</w:t>
      </w:r>
      <w:r>
        <w:rPr>
          <w:rFonts w:ascii="Times New Roman" w:hAnsi="Times New Roman"/>
          <w:sz w:val="24"/>
          <w:szCs w:val="24"/>
        </w:rPr>
        <w:t xml:space="preserve"> Sainsbury’s has been encouraging the children to have healthy foods and so it has been arranging seminars in schools and colleges. Moreover, Sainsbury’s has reduced the use of chemical and antibiotics in different food materials to make the food more healthy. Recently, Sainsbury’s initiated a charity program of “The gift of giving” where the different person came to the shops and donated different food materials </w:t>
      </w:r>
      <w:r>
        <w:rPr>
          <w:rFonts w:ascii="Times New Roman" w:hAnsi="Times New Roman"/>
          <w:sz w:val="24"/>
          <w:szCs w:val="24"/>
          <w:shd w:val="clear" w:color="auto" w:fill="FFFFFF"/>
        </w:rPr>
        <w:t>(sainsburys.co.uk. 2019)</w:t>
      </w:r>
      <w:r>
        <w:rPr>
          <w:rFonts w:ascii="Times New Roman" w:hAnsi="Times New Roman"/>
          <w:sz w:val="24"/>
          <w:szCs w:val="24"/>
        </w:rPr>
        <w:t>. Again, Sainsbury’s has been helping the seasonal farmers in their living. Moreover, in the case of food waste, Sainsbury’s holds a campaign against that. Again, Sainsbury’s sells different types of food materials at half prices which expiry date is very close. Moreover, Sainsbury’s has been lessened its plastic usage by 28%.</w:t>
      </w:r>
    </w:p>
    <w:p w:rsidR="009D2083" w:rsidRDefault="00122A04">
      <w:pPr>
        <w:pStyle w:val="Body"/>
        <w:keepNext/>
        <w:spacing w:line="360" w:lineRule="auto"/>
        <w:jc w:val="center"/>
      </w:pPr>
      <w:r>
        <w:rPr>
          <w:rFonts w:ascii="Times New Roman" w:eastAsia="Times New Roman" w:hAnsi="Times New Roman" w:cs="Times New Roman"/>
          <w:noProof/>
          <w:sz w:val="24"/>
          <w:szCs w:val="24"/>
          <w:lang w:val="en-GB"/>
        </w:rPr>
        <w:lastRenderedPageBreak/>
        <w:drawing>
          <wp:inline distT="0" distB="0" distL="0" distR="0">
            <wp:extent cx="2519917" cy="2562447"/>
            <wp:effectExtent l="0" t="0" r="0" b="0"/>
            <wp:docPr id="1073741828" name="officeArt object" descr="Indian-CSR.jpg"/>
            <wp:cNvGraphicFramePr/>
            <a:graphic xmlns:a="http://schemas.openxmlformats.org/drawingml/2006/main">
              <a:graphicData uri="http://schemas.openxmlformats.org/drawingml/2006/picture">
                <pic:pic xmlns:pic="http://schemas.openxmlformats.org/drawingml/2006/picture">
                  <pic:nvPicPr>
                    <pic:cNvPr id="1073741828" name="Indian-CSR.jpg" descr="Indian-CSR.jpg"/>
                    <pic:cNvPicPr>
                      <a:picLocks noChangeAspect="1"/>
                    </pic:cNvPicPr>
                  </pic:nvPicPr>
                  <pic:blipFill>
                    <a:blip r:embed="rId13">
                      <a:extLst/>
                    </a:blip>
                    <a:srcRect l="20602" r="24537" b="6939"/>
                    <a:stretch>
                      <a:fillRect/>
                    </a:stretch>
                  </pic:blipFill>
                  <pic:spPr>
                    <a:xfrm>
                      <a:off x="0" y="0"/>
                      <a:ext cx="2519917" cy="2562447"/>
                    </a:xfrm>
                    <a:prstGeom prst="rect">
                      <a:avLst/>
                    </a:prstGeom>
                    <a:ln w="12700" cap="flat">
                      <a:solidFill>
                        <a:srgbClr val="000000"/>
                      </a:solidFill>
                      <a:prstDash val="solid"/>
                      <a:round/>
                    </a:ln>
                    <a:effectLst/>
                  </pic:spPr>
                </pic:pic>
              </a:graphicData>
            </a:graphic>
          </wp:inline>
        </w:drawing>
      </w:r>
    </w:p>
    <w:p w:rsidR="009D2083" w:rsidRDefault="00122A04">
      <w:pPr>
        <w:pStyle w:val="Caption"/>
        <w:jc w:val="center"/>
        <w:rPr>
          <w:rFonts w:ascii="Times New Roman" w:eastAsia="Times New Roman" w:hAnsi="Times New Roman" w:cs="Times New Roman"/>
          <w:b w:val="0"/>
          <w:bCs w:val="0"/>
          <w:color w:val="000000"/>
          <w:sz w:val="28"/>
          <w:szCs w:val="28"/>
          <w:u w:color="000000"/>
        </w:rPr>
      </w:pPr>
      <w:r>
        <w:rPr>
          <w:b w:val="0"/>
          <w:bCs w:val="0"/>
          <w:color w:val="000000"/>
          <w:sz w:val="20"/>
          <w:szCs w:val="20"/>
          <w:u w:color="000000"/>
        </w:rPr>
        <w:t>Figure 4: - General scenario of CSR activities of UK</w:t>
      </w:r>
    </w:p>
    <w:p w:rsidR="009D2083" w:rsidRDefault="00122A04">
      <w:pPr>
        <w:pStyle w:val="Body"/>
        <w:spacing w:after="0" w:line="360" w:lineRule="auto"/>
        <w:jc w:val="center"/>
        <w:rPr>
          <w:rFonts w:ascii="Times New Roman" w:eastAsia="Times New Roman" w:hAnsi="Times New Roman" w:cs="Times New Roman"/>
          <w:b/>
          <w:bCs/>
          <w:sz w:val="24"/>
          <w:szCs w:val="24"/>
        </w:rPr>
      </w:pPr>
      <w:r>
        <w:rPr>
          <w:rFonts w:ascii="Times New Roman" w:hAnsi="Times New Roman"/>
          <w:sz w:val="24"/>
          <w:szCs w:val="24"/>
          <w:lang w:val="fr-FR"/>
        </w:rPr>
        <w:t>Source: -</w:t>
      </w:r>
      <w:r>
        <w:rPr>
          <w:rFonts w:ascii="Times New Roman" w:hAnsi="Times New Roman"/>
          <w:b/>
          <w:bCs/>
          <w:sz w:val="24"/>
          <w:szCs w:val="24"/>
        </w:rPr>
        <w:t xml:space="preserve"> </w:t>
      </w:r>
      <w:r>
        <w:rPr>
          <w:rFonts w:ascii="Times New Roman" w:hAnsi="Times New Roman"/>
          <w:sz w:val="24"/>
          <w:szCs w:val="24"/>
          <w:shd w:val="clear" w:color="auto" w:fill="FFFFFF"/>
        </w:rPr>
        <w:t>(Simpson and Taylor, 2017)</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According to the CSR report, Sainsbury’s conducts CSR activities through donating foods, cash, clothing, home equipment etc. According to the report, Sainsbury’s provides almost 12% of its CSR amount as donations to different types of poor people </w:t>
      </w:r>
      <w:r>
        <w:rPr>
          <w:rFonts w:ascii="Times New Roman" w:hAnsi="Times New Roman"/>
          <w:sz w:val="24"/>
          <w:szCs w:val="24"/>
          <w:shd w:val="clear" w:color="auto" w:fill="FFFFFF"/>
        </w:rPr>
        <w:t>(Simpson and Taylor, 2017)</w:t>
      </w:r>
      <w:r>
        <w:rPr>
          <w:rFonts w:ascii="Times New Roman" w:hAnsi="Times New Roman"/>
          <w:sz w:val="24"/>
          <w:szCs w:val="24"/>
        </w:rPr>
        <w:t>. Sainsbury’s invests 5% of its CSR fund for sustainable development (Bloomberg.com. 2019). Sainsbury’s invests most of its charitable fund in non-profit organisations and trust foundations which is about 64% of the CSR fund. Sainsbury’s invests about 19% of its CSR fund for the unprivileged people who got deprived of education (World Bank, 2018).</w:t>
      </w:r>
    </w:p>
    <w:p w:rsidR="009D2083" w:rsidRDefault="00122A04">
      <w:pPr>
        <w:pStyle w:val="Heading2"/>
      </w:pPr>
      <w:bookmarkStart w:id="17" w:name="_Toc16"/>
      <w:r>
        <w:rPr>
          <w:lang w:val="en-US"/>
        </w:rPr>
        <w:t>Personal Value and Ethical Behaviours</w:t>
      </w:r>
      <w:r>
        <w:t>: -</w:t>
      </w:r>
      <w:bookmarkEnd w:id="17"/>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Every person gets influenced by the workplace culture where he or she has been working for a long time </w:t>
      </w:r>
      <w:r>
        <w:rPr>
          <w:rFonts w:ascii="Times New Roman" w:hAnsi="Times New Roman"/>
          <w:sz w:val="24"/>
          <w:szCs w:val="24"/>
          <w:shd w:val="clear" w:color="auto" w:fill="FFFFFF"/>
          <w:lang w:val="fr-FR"/>
        </w:rPr>
        <w:t>(Allouche, 2017)</w:t>
      </w:r>
      <w:r>
        <w:rPr>
          <w:rFonts w:ascii="Times New Roman" w:hAnsi="Times New Roman"/>
          <w:sz w:val="24"/>
          <w:szCs w:val="24"/>
        </w:rPr>
        <w:t xml:space="preserve">. In this case, I also could develop my personal value and ethical behaviours working in Sainsbury’s. Sainsbury’s teachers its employees high personal, social and ethical values which shape their behaviours in the public. </w:t>
      </w:r>
    </w:p>
    <w:p w:rsidR="009D2083" w:rsidRDefault="00122A04">
      <w:pPr>
        <w:pStyle w:val="Body"/>
        <w:keepNext/>
        <w:spacing w:after="0" w:line="360" w:lineRule="auto"/>
        <w:jc w:val="center"/>
      </w:pPr>
      <w:r>
        <w:rPr>
          <w:rFonts w:ascii="Times New Roman" w:eastAsia="Times New Roman" w:hAnsi="Times New Roman" w:cs="Times New Roman"/>
          <w:noProof/>
          <w:sz w:val="24"/>
          <w:szCs w:val="24"/>
          <w:lang w:val="en-GB"/>
        </w:rPr>
        <w:lastRenderedPageBreak/>
        <w:drawing>
          <wp:inline distT="0" distB="0" distL="0" distR="0">
            <wp:extent cx="3838354" cy="4132630"/>
            <wp:effectExtent l="0" t="0" r="0" b="0"/>
            <wp:docPr id="1073741829" name="officeArt object" descr="figure1-600.gif"/>
            <wp:cNvGraphicFramePr/>
            <a:graphic xmlns:a="http://schemas.openxmlformats.org/drawingml/2006/main">
              <a:graphicData uri="http://schemas.openxmlformats.org/drawingml/2006/picture">
                <pic:pic xmlns:pic="http://schemas.openxmlformats.org/drawingml/2006/picture">
                  <pic:nvPicPr>
                    <pic:cNvPr id="1073741829" name="figure1-600.gif" descr="figure1-600.gif"/>
                    <pic:cNvPicPr>
                      <a:picLocks noChangeAspect="1"/>
                    </pic:cNvPicPr>
                  </pic:nvPicPr>
                  <pic:blipFill>
                    <a:blip r:embed="rId14">
                      <a:extLst/>
                    </a:blip>
                    <a:stretch>
                      <a:fillRect/>
                    </a:stretch>
                  </pic:blipFill>
                  <pic:spPr>
                    <a:xfrm>
                      <a:off x="0" y="0"/>
                      <a:ext cx="3838354" cy="4132630"/>
                    </a:xfrm>
                    <a:prstGeom prst="rect">
                      <a:avLst/>
                    </a:prstGeom>
                    <a:ln w="19050" cap="flat">
                      <a:solidFill>
                        <a:srgbClr val="953735"/>
                      </a:solidFill>
                      <a:prstDash val="solid"/>
                      <a:round/>
                    </a:ln>
                    <a:effectLst/>
                  </pic:spPr>
                </pic:pic>
              </a:graphicData>
            </a:graphic>
          </wp:inline>
        </w:drawing>
      </w:r>
    </w:p>
    <w:p w:rsidR="009D2083" w:rsidRDefault="00122A04">
      <w:pPr>
        <w:pStyle w:val="Caption"/>
        <w:jc w:val="center"/>
        <w:rPr>
          <w:rFonts w:ascii="Times New Roman" w:eastAsia="Times New Roman" w:hAnsi="Times New Roman" w:cs="Times New Roman"/>
          <w:b w:val="0"/>
          <w:bCs w:val="0"/>
          <w:color w:val="000000"/>
          <w:sz w:val="22"/>
          <w:szCs w:val="22"/>
          <w:u w:color="000000"/>
        </w:rPr>
      </w:pPr>
      <w:r>
        <w:rPr>
          <w:rFonts w:ascii="Times New Roman" w:hAnsi="Times New Roman"/>
          <w:b w:val="0"/>
          <w:bCs w:val="0"/>
          <w:color w:val="000000"/>
          <w:sz w:val="22"/>
          <w:szCs w:val="22"/>
          <w:u w:color="000000"/>
        </w:rPr>
        <w:t>Figure 5: - Basic ingredients of values, standards, and beliefs</w:t>
      </w:r>
    </w:p>
    <w:p w:rsidR="009D2083" w:rsidRDefault="00122A04">
      <w:pPr>
        <w:pStyle w:val="Body"/>
        <w:spacing w:after="0" w:line="360" w:lineRule="auto"/>
        <w:jc w:val="center"/>
        <w:rPr>
          <w:rFonts w:ascii="Times New Roman" w:eastAsia="Times New Roman" w:hAnsi="Times New Roman" w:cs="Times New Roman"/>
          <w:sz w:val="24"/>
          <w:szCs w:val="24"/>
        </w:rPr>
      </w:pPr>
      <w:r>
        <w:rPr>
          <w:rFonts w:ascii="Times New Roman" w:hAnsi="Times New Roman"/>
          <w:sz w:val="24"/>
          <w:szCs w:val="24"/>
          <w:lang w:val="fr-FR"/>
        </w:rPr>
        <w:t xml:space="preserve">Source: </w:t>
      </w:r>
      <w:r>
        <w:rPr>
          <w:rFonts w:ascii="Times New Roman" w:hAnsi="Times New Roman"/>
          <w:sz w:val="24"/>
          <w:szCs w:val="24"/>
          <w:shd w:val="clear" w:color="auto" w:fill="FFFFFF"/>
          <w:lang w:val="de-DE"/>
        </w:rPr>
        <w:t>(Schreck, 2018)</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Personal value and ethical behaviour are the combinations of our belief, values, norms, and attitudes. Belief is the ideas we keep in our mind to judge a situation </w:t>
      </w:r>
      <w:r>
        <w:rPr>
          <w:rFonts w:ascii="Times New Roman" w:hAnsi="Times New Roman"/>
          <w:sz w:val="24"/>
          <w:szCs w:val="24"/>
          <w:shd w:val="clear" w:color="auto" w:fill="FFFFFF"/>
        </w:rPr>
        <w:t>(Simpson and Taylor, 2017)</w:t>
      </w:r>
      <w:r>
        <w:rPr>
          <w:rFonts w:ascii="Times New Roman" w:hAnsi="Times New Roman"/>
          <w:sz w:val="24"/>
          <w:szCs w:val="24"/>
        </w:rPr>
        <w:t xml:space="preserve">. While working at Sainsbury’s, I could develop my belief through sophisticated organisational cultural practices. Sainsbury’s shapes the belief of the employees and eradicate the negative thoughts of the minds through mitigating the distance between the top and bottom management. Again, the value is something that a person thinks important for him. In the sophisticated work culture, Sainsbury’s shapes the values of the employees. For example, many employes think that money is the main motto of hardworking but Sainsbury’s’s work culture shows that collective working practice and teamwork is the success of anyone’s hard work. The statistics of Pennsylvania shows that in about 84% of cases people show positive attitude when they possess good cultural values (Caplan and Coleman, 2017). Sainsbury’s organises consulting sessions, workshops, motivational sessions as well as training sessions to teach the importance of a positive attitude and positive mindset which ultimately leads an employee towards exposing positive </w:t>
      </w:r>
      <w:r>
        <w:rPr>
          <w:rFonts w:ascii="Times New Roman" w:hAnsi="Times New Roman"/>
          <w:sz w:val="24"/>
          <w:szCs w:val="24"/>
        </w:rPr>
        <w:lastRenderedPageBreak/>
        <w:t>behaviours. Positive attitude and a positive mindset help the employee to act positively with the employers, customers, suppliers and other stakeholders. So, it’s clear that the organisational culture of Sainsbury’s shapes an employees beliefs, values, attitudes and behaviours in a positive way and I am not an exception in this case. The positive work culture of Sainsbury’s has taught me to fulfil my responsibilities sincerely, honestly, dedicatedly and professionally.</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
      </w:pPr>
      <w:bookmarkStart w:id="18" w:name="_Toc17"/>
      <w:r>
        <w:rPr>
          <w:lang w:val="fr-FR"/>
        </w:rPr>
        <w:t>Conclusions: -</w:t>
      </w:r>
      <w:bookmarkEnd w:id="18"/>
    </w:p>
    <w:p w:rsidR="009D2083" w:rsidRDefault="009D2083">
      <w:pPr>
        <w:pStyle w:val="Body"/>
      </w:pP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Organisational culture shapes the thoughts, views, beliefs, values, attitudes, and behaviours f the employees of an organisation. So, Sainsbury’s tries to maintain a sophisticated organisational</w:t>
      </w:r>
      <w:r>
        <w:rPr>
          <w:rFonts w:ascii="Times New Roman" w:hAnsi="Times New Roman"/>
          <w:sz w:val="24"/>
          <w:szCs w:val="24"/>
          <w:lang w:val="pt-PT"/>
        </w:rPr>
        <w:t xml:space="preserve"> culture. To do so, Sainsbury</w:t>
      </w:r>
      <w:r>
        <w:rPr>
          <w:rFonts w:ascii="Times New Roman" w:hAnsi="Times New Roman"/>
          <w:sz w:val="24"/>
          <w:szCs w:val="24"/>
        </w:rPr>
        <w:t xml:space="preserve">’s maintains swift communication with the employees and also builds a good relationship with the employees to make them feel an integral part of the organisations. However, some internal and external factors have been affecting the values and morale of the </w:t>
      </w:r>
      <w:r>
        <w:rPr>
          <w:rFonts w:ascii="Times New Roman" w:hAnsi="Times New Roman"/>
          <w:sz w:val="24"/>
          <w:szCs w:val="24"/>
        </w:rPr>
        <w:lastRenderedPageBreak/>
        <w:t>employees. So, Sainsbury’s will have to conduct regular consultation sessions and will have to justify the cultural differences to justify the needs of the employees which will allow Sainsbury’s to develop a sophisticated workplace culture within the firm to attain the organisational goals and objectives.</w:t>
      </w: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9D2083">
      <w:pPr>
        <w:pStyle w:val="Body"/>
        <w:spacing w:line="360" w:lineRule="auto"/>
        <w:jc w:val="both"/>
        <w:rPr>
          <w:rFonts w:ascii="Times New Roman" w:eastAsia="Times New Roman" w:hAnsi="Times New Roman" w:cs="Times New Roman"/>
          <w:sz w:val="24"/>
          <w:szCs w:val="24"/>
        </w:rPr>
      </w:pPr>
    </w:p>
    <w:p w:rsidR="009D2083" w:rsidRDefault="00122A04">
      <w:pPr>
        <w:pStyle w:val="Heading"/>
      </w:pPr>
      <w:bookmarkStart w:id="19" w:name="_Toc18"/>
      <w:r>
        <w:rPr>
          <w:lang w:val="fr-FR"/>
        </w:rPr>
        <w:t>References: -</w:t>
      </w:r>
      <w:bookmarkEnd w:id="19"/>
    </w:p>
    <w:p w:rsidR="009D2083" w:rsidRDefault="009D2083">
      <w:pPr>
        <w:pStyle w:val="Body"/>
      </w:pPr>
    </w:p>
    <w:p w:rsidR="009D2083" w:rsidRDefault="00122A04">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fr-FR"/>
        </w:rPr>
        <w:t>Allouche, J. (2017).</w:t>
      </w:r>
      <w:r>
        <w:rPr>
          <w:rFonts w:ascii="Times New Roman" w:hAnsi="Times New Roman"/>
          <w:sz w:val="24"/>
          <w:szCs w:val="24"/>
          <w:shd w:val="clear" w:color="auto" w:fill="FFFFFF"/>
        </w:rPr>
        <w:t> </w:t>
      </w:r>
      <w:r>
        <w:rPr>
          <w:rFonts w:ascii="Times New Roman" w:hAnsi="Times New Roman"/>
          <w:i/>
          <w:iCs/>
          <w:sz w:val="24"/>
          <w:szCs w:val="24"/>
          <w:shd w:val="clear" w:color="auto" w:fill="FFFFFF"/>
        </w:rPr>
        <w:t>Corporate social responsibility</w:t>
      </w:r>
      <w:r>
        <w:rPr>
          <w:rFonts w:ascii="Times New Roman" w:hAnsi="Times New Roman"/>
          <w:sz w:val="24"/>
          <w:szCs w:val="24"/>
          <w:shd w:val="clear" w:color="auto" w:fill="FFFFFF"/>
        </w:rPr>
        <w:t>. Hampshire: Palgrave Macmillan.</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Blair, A. and Hitchcock, D. (2018). </w:t>
      </w:r>
      <w:r>
        <w:rPr>
          <w:rFonts w:ascii="Times New Roman" w:hAnsi="Times New Roman"/>
          <w:i/>
          <w:iCs/>
          <w:sz w:val="24"/>
          <w:szCs w:val="24"/>
        </w:rPr>
        <w:t>Environment and business</w:t>
      </w:r>
      <w:r>
        <w:rPr>
          <w:rFonts w:ascii="Times New Roman" w:hAnsi="Times New Roman"/>
          <w:sz w:val="24"/>
          <w:szCs w:val="24"/>
        </w:rPr>
        <w:t>. London: Routledge.</w:t>
      </w:r>
    </w:p>
    <w:p w:rsidR="009D2083" w:rsidRDefault="00122A04">
      <w:pPr>
        <w:pStyle w:val="NormalWeb"/>
        <w:spacing w:before="0" w:after="0" w:line="360" w:lineRule="auto"/>
        <w:jc w:val="both"/>
      </w:pPr>
      <w:r>
        <w:lastRenderedPageBreak/>
        <w:t xml:space="preserve">Bloomberg.com. (2019). Bloomberg - Are you a robot?. [online] Available at: https://www.bloomberg.com/research/stocks/private/snapshot.asp?privcapId=312886806 [Accessed 16 Mar. 2019]. </w:t>
      </w:r>
    </w:p>
    <w:p w:rsidR="009D2083" w:rsidRDefault="00122A04">
      <w:pPr>
        <w:pStyle w:val="Body"/>
        <w:widowControl w:val="0"/>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Caplan, F. and Coleman, J. (2017). </w:t>
      </w:r>
      <w:r>
        <w:rPr>
          <w:rFonts w:ascii="Times New Roman" w:hAnsi="Times New Roman"/>
          <w:i/>
          <w:iCs/>
          <w:sz w:val="24"/>
          <w:szCs w:val="24"/>
        </w:rPr>
        <w:t>Operational Mid-Level Management for Police</w:t>
      </w:r>
      <w:r>
        <w:rPr>
          <w:rFonts w:ascii="Times New Roman" w:hAnsi="Times New Roman"/>
          <w:sz w:val="24"/>
          <w:szCs w:val="24"/>
        </w:rPr>
        <w:t xml:space="preserve">. Springfield: Charles C Thomas. </w:t>
      </w:r>
    </w:p>
    <w:p w:rsidR="009D2083" w:rsidRDefault="00122A04">
      <w:pPr>
        <w:pStyle w:val="NormalWeb"/>
        <w:spacing w:before="0" w:after="0" w:line="360" w:lineRule="auto"/>
        <w:jc w:val="both"/>
      </w:pPr>
      <w:r>
        <w:t>Craig, T. (2016). Organisations and the business environment. [Place of publication not identified]: TAYLOR &amp; FRANCIS.</w:t>
      </w:r>
      <w:r>
        <w:rPr>
          <w:shd w:val="clear" w:color="auto" w:fill="FFFFFF"/>
        </w:rPr>
        <w:t xml:space="preserve"> </w:t>
      </w:r>
    </w:p>
    <w:p w:rsidR="009D2083" w:rsidRDefault="00122A04">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shd w:val="clear" w:color="auto" w:fill="FFFFFF"/>
        </w:rPr>
        <w:t>Nilsson, J. (2017). </w:t>
      </w:r>
      <w:r>
        <w:rPr>
          <w:rFonts w:ascii="Times New Roman" w:hAnsi="Times New Roman"/>
          <w:i/>
          <w:iCs/>
          <w:sz w:val="24"/>
          <w:szCs w:val="24"/>
          <w:shd w:val="clear" w:color="auto" w:fill="FFFFFF"/>
        </w:rPr>
        <w:t>Consumer decision making in a complex environment</w:t>
      </w:r>
      <w:r>
        <w:rPr>
          <w:rFonts w:ascii="Times New Roman" w:hAnsi="Times New Roman"/>
          <w:sz w:val="24"/>
          <w:szCs w:val="24"/>
          <w:shd w:val="clear" w:color="auto" w:fill="FFFFFF"/>
          <w:lang w:val="pt-PT"/>
        </w:rPr>
        <w:t>. Umea</w:t>
      </w:r>
      <w:r>
        <w:rPr>
          <w:rFonts w:ascii="Times New Roman" w:hAnsi="Times New Roman"/>
          <w:sz w:val="24"/>
          <w:szCs w:val="24"/>
          <w:shd w:val="clear" w:color="auto" w:fill="FFFFFF"/>
        </w:rPr>
        <w:t>̊</w:t>
      </w:r>
      <w:r>
        <w:rPr>
          <w:rFonts w:ascii="Times New Roman" w:hAnsi="Times New Roman"/>
          <w:sz w:val="24"/>
          <w:szCs w:val="24"/>
          <w:shd w:val="clear" w:color="auto" w:fill="FFFFFF"/>
          <w:lang w:val="pt-PT"/>
        </w:rPr>
        <w:t>: Umea</w:t>
      </w:r>
      <w:r>
        <w:rPr>
          <w:rFonts w:ascii="Times New Roman" w:hAnsi="Times New Roman"/>
          <w:sz w:val="24"/>
          <w:szCs w:val="24"/>
          <w:shd w:val="clear" w:color="auto" w:fill="FFFFFF"/>
        </w:rPr>
        <w:t xml:space="preserve">̊ School of Business, Umeå University. </w:t>
      </w:r>
    </w:p>
    <w:p w:rsidR="009D2083" w:rsidRDefault="00122A04">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de-DE"/>
        </w:rPr>
        <w:t>Schreck, P. (2018).</w:t>
      </w:r>
      <w:r>
        <w:rPr>
          <w:rFonts w:ascii="Times New Roman" w:hAnsi="Times New Roman"/>
          <w:sz w:val="24"/>
          <w:szCs w:val="24"/>
          <w:shd w:val="clear" w:color="auto" w:fill="FFFFFF"/>
        </w:rPr>
        <w:t> </w:t>
      </w:r>
      <w:r>
        <w:rPr>
          <w:rFonts w:ascii="Times New Roman" w:hAnsi="Times New Roman"/>
          <w:i/>
          <w:iCs/>
          <w:sz w:val="24"/>
          <w:szCs w:val="24"/>
          <w:shd w:val="clear" w:color="auto" w:fill="FFFFFF"/>
        </w:rPr>
        <w:t>The business case for corporate social responsibility</w:t>
      </w:r>
      <w:r>
        <w:rPr>
          <w:rFonts w:ascii="Times New Roman" w:hAnsi="Times New Roman"/>
          <w:sz w:val="24"/>
          <w:szCs w:val="24"/>
          <w:shd w:val="clear" w:color="auto" w:fill="FFFFFF"/>
          <w:lang w:val="de-DE"/>
        </w:rPr>
        <w:t xml:space="preserve">. Heidelberg: Physica-Verlag. </w:t>
      </w:r>
    </w:p>
    <w:p w:rsidR="009D2083" w:rsidRDefault="00122A04">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Simpson, J. and Taylor, J. (2017). </w:t>
      </w:r>
      <w:r>
        <w:rPr>
          <w:rFonts w:ascii="Times New Roman" w:hAnsi="Times New Roman"/>
          <w:i/>
          <w:iCs/>
          <w:sz w:val="24"/>
          <w:szCs w:val="24"/>
          <w:shd w:val="clear" w:color="auto" w:fill="FFFFFF"/>
        </w:rPr>
        <w:t>Corporate governance, ethics, and CSR</w:t>
      </w:r>
      <w:r>
        <w:rPr>
          <w:rFonts w:ascii="Times New Roman" w:hAnsi="Times New Roman"/>
          <w:sz w:val="24"/>
          <w:szCs w:val="24"/>
          <w:shd w:val="clear" w:color="auto" w:fill="FFFFFF"/>
        </w:rPr>
        <w:t>. London: Kogan Page.</w:t>
      </w:r>
    </w:p>
    <w:p w:rsidR="009D2083" w:rsidRDefault="00122A04">
      <w:pPr>
        <w:pStyle w:val="NormalWeb"/>
        <w:spacing w:before="0" w:after="0" w:line="360" w:lineRule="auto"/>
        <w:jc w:val="both"/>
      </w:pPr>
      <w:r>
        <w:t>World Bank. (2019). Annual Report 2018. [online] Available at: http://www.worldbank.org/en/about/annual-report [Accessed 16 Mar. 2019].</w:t>
      </w:r>
    </w:p>
    <w:p w:rsidR="009D2083" w:rsidRDefault="00122A04">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Worthington, I., Britton, C. and Thompson, E. (2018). </w:t>
      </w:r>
      <w:r>
        <w:rPr>
          <w:rFonts w:ascii="Times New Roman" w:hAnsi="Times New Roman"/>
          <w:i/>
          <w:iCs/>
          <w:sz w:val="24"/>
          <w:szCs w:val="24"/>
          <w:shd w:val="clear" w:color="auto" w:fill="FFFFFF"/>
        </w:rPr>
        <w:t>The Business Environment</w:t>
      </w:r>
      <w:r>
        <w:rPr>
          <w:rFonts w:ascii="Times New Roman" w:hAnsi="Times New Roman"/>
          <w:sz w:val="24"/>
          <w:szCs w:val="24"/>
          <w:shd w:val="clear" w:color="auto" w:fill="FFFFFF"/>
        </w:rPr>
        <w:t xml:space="preserve">. Harlow, United Kingdom: Pearson Education Limited. </w:t>
      </w:r>
    </w:p>
    <w:p w:rsidR="009D2083" w:rsidRDefault="00122A04">
      <w:pPr>
        <w:pStyle w:val="NormalWeb"/>
        <w:spacing w:before="0" w:after="0" w:line="360" w:lineRule="auto"/>
        <w:jc w:val="both"/>
      </w:pPr>
      <w:r>
        <w:t xml:space="preserve">Yüksel, I. (2017). Developing a Multi-Criteria Decision Making Model for PESTEL Analysis. International Journal of Business and Management, 7(24). </w:t>
      </w:r>
    </w:p>
    <w:p w:rsidR="009D2083" w:rsidRDefault="009D2083">
      <w:pPr>
        <w:pStyle w:val="NormalWeb"/>
        <w:spacing w:before="0" w:after="0" w:line="360" w:lineRule="auto"/>
        <w:jc w:val="both"/>
      </w:pPr>
    </w:p>
    <w:p w:rsidR="009D2083" w:rsidRDefault="00122A04">
      <w:pPr>
        <w:pStyle w:val="Body"/>
        <w:spacing w:line="360"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it-IT"/>
        </w:rPr>
        <w:t>About.sainsburys.co.uk. (2019).</w:t>
      </w:r>
      <w:r>
        <w:rPr>
          <w:rFonts w:ascii="Times New Roman" w:hAnsi="Times New Roman"/>
          <w:sz w:val="24"/>
          <w:szCs w:val="24"/>
          <w:shd w:val="clear" w:color="auto" w:fill="FFFFFF"/>
        </w:rPr>
        <w:t> </w:t>
      </w:r>
      <w:r>
        <w:rPr>
          <w:rFonts w:ascii="Times New Roman" w:hAnsi="Times New Roman"/>
          <w:i/>
          <w:iCs/>
          <w:sz w:val="24"/>
          <w:szCs w:val="24"/>
          <w:shd w:val="clear" w:color="auto" w:fill="FFFFFF"/>
          <w:lang w:val="fr-FR"/>
        </w:rPr>
        <w:t>Our stories</w:t>
      </w:r>
      <w:r>
        <w:rPr>
          <w:rFonts w:ascii="Times New Roman" w:hAnsi="Times New Roman"/>
          <w:sz w:val="24"/>
          <w:szCs w:val="24"/>
          <w:shd w:val="clear" w:color="auto" w:fill="FFFFFF"/>
        </w:rPr>
        <w:t>. [online] Available at: https://www.about.sainsburys.co.uk/making-a-difference/our-values/our-stories [Accessed 16 Mar. 2019].</w:t>
      </w:r>
    </w:p>
    <w:p w:rsidR="009D2083" w:rsidRDefault="00122A04">
      <w:pPr>
        <w:pStyle w:val="Body"/>
        <w:spacing w:line="360" w:lineRule="auto"/>
        <w:jc w:val="both"/>
      </w:pPr>
      <w:r>
        <w:rPr>
          <w:rFonts w:ascii="Times New Roman" w:hAnsi="Times New Roman"/>
          <w:sz w:val="24"/>
          <w:szCs w:val="24"/>
          <w:shd w:val="clear" w:color="auto" w:fill="FFFFFF"/>
        </w:rPr>
        <w:t xml:space="preserve">Theresa King Addo-Danquah 1709425 student Number </w:t>
      </w:r>
    </w:p>
    <w:sectPr w:rsidR="009D2083">
      <w:head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3D71" w:rsidRDefault="00933D71">
      <w:r>
        <w:separator/>
      </w:r>
    </w:p>
  </w:endnote>
  <w:endnote w:type="continuationSeparator" w:id="0">
    <w:p w:rsidR="00933D71" w:rsidRDefault="00933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Helvetica Neue">
    <w:altName w:val="Corbel"/>
    <w:charset w:val="00"/>
    <w:family w:val="auto"/>
    <w:pitch w:val="variable"/>
    <w:sig w:usb0="00000003"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083" w:rsidRDefault="00122A04">
    <w:pPr>
      <w:pStyle w:val="Footer"/>
      <w:tabs>
        <w:tab w:val="clear" w:pos="9360"/>
        <w:tab w:val="right" w:pos="9340"/>
      </w:tabs>
      <w:jc w:val="center"/>
    </w:pPr>
    <w:r>
      <w:fldChar w:fldCharType="begin"/>
    </w:r>
    <w:r>
      <w:instrText xml:space="preserve"> PAGE </w:instrText>
    </w:r>
    <w:r>
      <w:fldChar w:fldCharType="separate"/>
    </w:r>
    <w:r w:rsidR="00A14494">
      <w:rPr>
        <w:noProof/>
      </w:rPr>
      <w:t>2</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083" w:rsidRDefault="009D2083">
    <w:pPr>
      <w:pStyle w:val="Header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3D71" w:rsidRDefault="00933D71">
      <w:r>
        <w:separator/>
      </w:r>
    </w:p>
  </w:footnote>
  <w:footnote w:type="continuationSeparator" w:id="0">
    <w:p w:rsidR="00933D71" w:rsidRDefault="00933D7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083" w:rsidRDefault="009D2083">
    <w:pPr>
      <w:pStyle w:val="HeaderFoot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083" w:rsidRDefault="009D2083">
    <w:pPr>
      <w:pStyle w:val="HeaderFoot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2083" w:rsidRDefault="009D2083">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083"/>
    <w:rsid w:val="00122A04"/>
    <w:rsid w:val="00711F0E"/>
    <w:rsid w:val="00933D71"/>
    <w:rsid w:val="009D2083"/>
    <w:rsid w:val="00A14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9D367EC-4AC8-384C-8FED-2060363D7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jc w:val="both"/>
      <w:outlineLvl w:val="1"/>
    </w:pPr>
    <w:rPr>
      <w:rFonts w:ascii="Cambria" w:eastAsia="Cambria" w:hAnsi="Cambria" w:cs="Cambria"/>
      <w:color w:val="000000"/>
      <w:sz w:val="28"/>
      <w:szCs w:val="28"/>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pPr>
      <w:tabs>
        <w:tab w:val="center" w:pos="4680"/>
        <w:tab w:val="right" w:pos="9360"/>
      </w:tabs>
    </w:pPr>
    <w:rPr>
      <w:rFonts w:ascii="Calibri" w:eastAsia="Calibri" w:hAnsi="Calibri" w:cs="Calibri"/>
      <w:color w:val="000000"/>
      <w:sz w:val="22"/>
      <w:szCs w:val="22"/>
      <w:u w:color="000000"/>
      <w:lang w:val="en-US"/>
    </w:rPr>
  </w:style>
  <w:style w:type="paragraph" w:customStyle="1" w:styleId="Body">
    <w:name w:val="Body"/>
    <w:pPr>
      <w:spacing w:after="200" w:line="276" w:lineRule="auto"/>
    </w:pPr>
    <w:rPr>
      <w:rFonts w:ascii="Calibri" w:eastAsia="Calibri" w:hAnsi="Calibri" w:cs="Calibri"/>
      <w:color w:val="000000"/>
      <w:sz w:val="22"/>
      <w:szCs w:val="22"/>
      <w:u w:color="000000"/>
      <w:lang w:val="en-US"/>
    </w:rPr>
  </w:style>
  <w:style w:type="paragraph" w:styleId="TOCHeading">
    <w:name w:val="TOC Heading"/>
    <w:next w:val="Body"/>
    <w:pPr>
      <w:keepNext/>
      <w:keepLines/>
      <w:spacing w:before="480" w:line="276" w:lineRule="auto"/>
    </w:pPr>
    <w:rPr>
      <w:rFonts w:ascii="Cambria" w:eastAsia="Cambria" w:hAnsi="Cambria" w:cs="Cambria"/>
      <w:b/>
      <w:bCs/>
      <w:color w:val="365F91"/>
      <w:sz w:val="28"/>
      <w:szCs w:val="28"/>
      <w:u w:color="365F91"/>
      <w:lang w:val="en-US"/>
    </w:rPr>
  </w:style>
  <w:style w:type="paragraph" w:styleId="TOC1">
    <w:name w:val="toc 1"/>
    <w:pPr>
      <w:tabs>
        <w:tab w:val="right" w:leader="dot" w:pos="9340"/>
      </w:tabs>
      <w:spacing w:after="100" w:line="276"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480" w:line="276" w:lineRule="auto"/>
      <w:outlineLvl w:val="0"/>
    </w:pPr>
    <w:rPr>
      <w:rFonts w:ascii="Cambria" w:eastAsia="Cambria" w:hAnsi="Cambria" w:cs="Cambria"/>
      <w:color w:val="000000"/>
      <w:sz w:val="32"/>
      <w:szCs w:val="32"/>
      <w:u w:color="000000"/>
    </w:rPr>
  </w:style>
  <w:style w:type="paragraph" w:styleId="TOC2">
    <w:name w:val="toc 2"/>
    <w:pPr>
      <w:tabs>
        <w:tab w:val="right" w:leader="dot" w:pos="9340"/>
      </w:tabs>
      <w:spacing w:after="100" w:line="276" w:lineRule="auto"/>
      <w:ind w:left="220"/>
    </w:pPr>
    <w:rPr>
      <w:rFonts w:ascii="Calibri" w:eastAsia="Calibri" w:hAnsi="Calibri" w:cs="Calibri"/>
      <w:color w:val="000000"/>
      <w:sz w:val="22"/>
      <w:szCs w:val="22"/>
      <w:u w:color="000000"/>
      <w:lang w:val="en-US"/>
    </w:rPr>
  </w:style>
  <w:style w:type="paragraph" w:styleId="Caption">
    <w:name w:val="caption"/>
    <w:next w:val="Body"/>
    <w:pPr>
      <w:spacing w:after="200"/>
    </w:pPr>
    <w:rPr>
      <w:rFonts w:ascii="Calibri" w:eastAsia="Calibri" w:hAnsi="Calibri" w:cs="Calibri"/>
      <w:b/>
      <w:bCs/>
      <w:color w:val="4F81BD"/>
      <w:sz w:val="18"/>
      <w:szCs w:val="18"/>
      <w:u w:color="4F81BD"/>
      <w:lang w:val="en-US"/>
    </w:rPr>
  </w:style>
  <w:style w:type="paragraph" w:styleId="NormalWeb">
    <w:name w:val="Normal (Web)"/>
    <w:pPr>
      <w:spacing w:before="100" w:after="100"/>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457200" rtl="0" fontAlgn="auto" latinLnBrk="0" hangingPunct="0">
          <a:lnSpc>
            <a:spcPct val="100000"/>
          </a:lnSpc>
          <a:spcBef>
            <a:spcPts val="1000"/>
          </a:spcBef>
          <a:spcAft>
            <a:spcPts val="0"/>
          </a:spcAft>
          <a:buClrTx/>
          <a:buSzTx/>
          <a:buFontTx/>
          <a:buNone/>
          <a:tabLst/>
          <a:defRPr kumimoji="0" sz="900" b="1" i="0" u="none" strike="noStrike" cap="none" spc="0" normalizeH="0" baseline="0">
            <a:ln>
              <a:noFill/>
            </a:ln>
            <a:solidFill>
              <a:schemeClr val="accent1"/>
            </a:solidFill>
            <a:effectLst/>
            <a:uFill>
              <a:solidFill>
                <a:schemeClr val="accent1"/>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5270</Words>
  <Characters>30041</Characters>
  <Application>Microsoft Office Word</Application>
  <DocSecurity>0</DocSecurity>
  <Lines>250</Lines>
  <Paragraphs>70</Paragraphs>
  <ScaleCrop>false</ScaleCrop>
  <Company/>
  <LinksUpToDate>false</LinksUpToDate>
  <CharactersWithSpaces>35241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3</cp:revision>
  <dcterms:created xsi:type="dcterms:W3CDTF">2019-04-28T20:15:00Z</dcterms:created>
  <dcterms:modified xsi:type="dcterms:W3CDTF">2019-04-28T20:21:00Z</dcterms:modified>
</cp:coreProperties>
</file>