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579C6A" w14:textId="1293752B" w:rsidR="004F5104" w:rsidRPr="00561932" w:rsidRDefault="00625BAB" w:rsidP="00561932">
      <w:pPr>
        <w:jc w:val="center"/>
        <w:rPr>
          <w:rFonts w:asciiTheme="minorBidi" w:hAnsiTheme="minorBidi"/>
        </w:rPr>
      </w:pPr>
      <w:r w:rsidRPr="00561932">
        <w:rPr>
          <w:rFonts w:asciiTheme="minorBidi" w:hAnsiTheme="minorBidi"/>
        </w:rPr>
        <w:fldChar w:fldCharType="begin"/>
      </w:r>
      <w:r w:rsidRPr="00561932">
        <w:rPr>
          <w:rFonts w:asciiTheme="minorBidi" w:hAnsiTheme="minorBidi"/>
        </w:rPr>
        <w:instrText xml:space="preserve"> INCLUDEPICTURE "https://encrypted-tbn0.gstatic.com/images?q=tbn:ANd9GcRe9hMbQZroz4nvQojcLYoy-_41Wni-adjRO3QN1L21Qg&amp;s=10" \* MERGEFORMATINET </w:instrText>
      </w:r>
      <w:r w:rsidRPr="00561932">
        <w:rPr>
          <w:rFonts w:asciiTheme="minorBidi" w:hAnsiTheme="minorBidi"/>
        </w:rPr>
        <w:fldChar w:fldCharType="separate"/>
      </w:r>
      <w:r w:rsidRPr="00561932">
        <w:rPr>
          <w:rFonts w:asciiTheme="minorBidi" w:hAnsiTheme="minorBidi"/>
          <w:noProof/>
        </w:rPr>
        <w:drawing>
          <wp:inline distT="0" distB="0" distL="0" distR="0" wp14:anchorId="00DCA1C4" wp14:editId="18D2F6C0">
            <wp:extent cx="2641600" cy="1468596"/>
            <wp:effectExtent l="0" t="0" r="0" b="5080"/>
            <wp:docPr id="166542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8751" cy="1478131"/>
                    </a:xfrm>
                    <a:prstGeom prst="rect">
                      <a:avLst/>
                    </a:prstGeom>
                    <a:noFill/>
                    <a:ln>
                      <a:noFill/>
                    </a:ln>
                  </pic:spPr>
                </pic:pic>
              </a:graphicData>
            </a:graphic>
          </wp:inline>
        </w:drawing>
      </w:r>
      <w:r w:rsidRPr="00561932">
        <w:rPr>
          <w:rFonts w:asciiTheme="minorBidi" w:hAnsiTheme="minorBidi"/>
        </w:rPr>
        <w:fldChar w:fldCharType="end"/>
      </w:r>
    </w:p>
    <w:p w14:paraId="59F02397" w14:textId="77777777" w:rsidR="00561932" w:rsidRPr="00561932" w:rsidRDefault="00561932" w:rsidP="00561932">
      <w:pPr>
        <w:spacing w:before="100" w:beforeAutospacing="1" w:after="100" w:afterAutospacing="1"/>
        <w:jc w:val="center"/>
        <w:outlineLvl w:val="0"/>
        <w:rPr>
          <w:rFonts w:asciiTheme="minorBidi" w:eastAsia="Times New Roman" w:hAnsiTheme="minorBidi"/>
          <w:b/>
          <w:bCs/>
          <w:kern w:val="36"/>
          <w:sz w:val="48"/>
          <w:szCs w:val="48"/>
          <w:lang w:eastAsia="en-GB"/>
        </w:rPr>
      </w:pPr>
      <w:bookmarkStart w:id="0" w:name="_Toc243553846"/>
      <w:r w:rsidRPr="00561932">
        <w:rPr>
          <w:rFonts w:asciiTheme="minorBidi" w:eastAsia="Times New Roman" w:hAnsiTheme="minorBidi"/>
          <w:b/>
          <w:bCs/>
          <w:kern w:val="36"/>
          <w:sz w:val="48"/>
          <w:szCs w:val="48"/>
          <w:lang w:eastAsia="en-GB"/>
        </w:rPr>
        <w:t>BHP: Marketing Environment Analysis and Sustainable Growth Strategy</w:t>
      </w:r>
      <w:bookmarkEnd w:id="0"/>
    </w:p>
    <w:p w14:paraId="6C924EB0" w14:textId="18A1FE9B" w:rsidR="00561932" w:rsidRPr="00561932" w:rsidRDefault="00561932" w:rsidP="00561932">
      <w:pPr>
        <w:spacing w:before="100" w:beforeAutospacing="1" w:after="100" w:afterAutospacing="1"/>
        <w:jc w:val="center"/>
        <w:rPr>
          <w:rFonts w:asciiTheme="minorBidi" w:eastAsia="Times New Roman" w:hAnsiTheme="minorBidi"/>
          <w:lang w:eastAsia="en-GB"/>
        </w:rPr>
      </w:pPr>
      <w:r w:rsidRPr="00561932">
        <w:rPr>
          <w:rFonts w:asciiTheme="minorBidi" w:eastAsia="Times New Roman" w:hAnsiTheme="minorBidi"/>
          <w:b/>
          <w:bCs/>
          <w:lang w:eastAsia="en-GB"/>
        </w:rPr>
        <w:t>Module:</w:t>
      </w:r>
      <w:r w:rsidRPr="00561932">
        <w:rPr>
          <w:rFonts w:asciiTheme="minorBidi" w:eastAsia="Times New Roman" w:hAnsiTheme="minorBidi"/>
          <w:lang w:eastAsia="en-GB"/>
        </w:rPr>
        <w:t xml:space="preserve"> LCMB7024 — MBA Marketing Management</w:t>
      </w:r>
      <w:r w:rsidRPr="00561932">
        <w:rPr>
          <w:rFonts w:asciiTheme="minorBidi" w:eastAsia="Times New Roman" w:hAnsiTheme="minorBidi"/>
          <w:lang w:eastAsia="en-GB"/>
        </w:rPr>
        <w:br/>
      </w:r>
      <w:r w:rsidRPr="00561932">
        <w:rPr>
          <w:rFonts w:asciiTheme="minorBidi" w:eastAsia="Times New Roman" w:hAnsiTheme="minorBidi"/>
          <w:b/>
          <w:bCs/>
          <w:lang w:eastAsia="en-GB"/>
        </w:rPr>
        <w:t>Assessment:</w:t>
      </w:r>
      <w:r w:rsidRPr="00561932">
        <w:rPr>
          <w:rFonts w:asciiTheme="minorBidi" w:eastAsia="Times New Roman" w:hAnsiTheme="minorBidi"/>
          <w:lang w:eastAsia="en-GB"/>
        </w:rPr>
        <w:t xml:space="preserve"> Marketing Environment Analysis</w:t>
      </w:r>
      <w:r w:rsidRPr="00561932">
        <w:rPr>
          <w:rFonts w:asciiTheme="minorBidi" w:eastAsia="Times New Roman" w:hAnsiTheme="minorBidi"/>
          <w:lang w:eastAsia="en-GB"/>
        </w:rPr>
        <w:br/>
      </w:r>
      <w:r w:rsidRPr="00561932">
        <w:rPr>
          <w:rFonts w:asciiTheme="minorBidi" w:eastAsia="Times New Roman" w:hAnsiTheme="minorBidi"/>
          <w:b/>
          <w:bCs/>
          <w:lang w:eastAsia="en-GB"/>
        </w:rPr>
        <w:t>Student name:</w:t>
      </w:r>
      <w:r w:rsidRPr="00561932">
        <w:rPr>
          <w:rFonts w:asciiTheme="minorBidi" w:eastAsia="Times New Roman" w:hAnsiTheme="minorBidi"/>
          <w:lang w:eastAsia="en-GB"/>
        </w:rPr>
        <w:t xml:space="preserve"> PRAKASH KARABHAI ODEDARA</w:t>
      </w:r>
      <w:r w:rsidRPr="00561932">
        <w:rPr>
          <w:rFonts w:asciiTheme="minorBidi" w:eastAsia="Times New Roman" w:hAnsiTheme="minorBidi"/>
          <w:lang w:eastAsia="en-GB"/>
        </w:rPr>
        <w:br/>
      </w:r>
      <w:r w:rsidRPr="00561932">
        <w:rPr>
          <w:rFonts w:asciiTheme="minorBidi" w:eastAsia="Times New Roman" w:hAnsiTheme="minorBidi"/>
          <w:b/>
          <w:bCs/>
          <w:lang w:eastAsia="en-GB"/>
        </w:rPr>
        <w:t>Student ID:</w:t>
      </w:r>
      <w:r w:rsidRPr="00561932">
        <w:rPr>
          <w:rFonts w:asciiTheme="minorBidi" w:eastAsia="Times New Roman" w:hAnsiTheme="minorBidi"/>
          <w:lang w:eastAsia="en-GB"/>
        </w:rPr>
        <w:t xml:space="preserve"> 2507466</w:t>
      </w:r>
      <w:r w:rsidRPr="00561932">
        <w:rPr>
          <w:rFonts w:asciiTheme="minorBidi" w:eastAsia="Times New Roman" w:hAnsiTheme="minorBidi"/>
          <w:lang w:eastAsia="en-GB"/>
        </w:rPr>
        <w:br/>
      </w:r>
      <w:r w:rsidRPr="00561932">
        <w:rPr>
          <w:rFonts w:asciiTheme="minorBidi" w:eastAsia="Times New Roman" w:hAnsiTheme="minorBidi"/>
          <w:b/>
          <w:bCs/>
          <w:lang w:eastAsia="en-GB"/>
        </w:rPr>
        <w:t>Lecturer:</w:t>
      </w:r>
      <w:r w:rsidRPr="00561932">
        <w:rPr>
          <w:rFonts w:asciiTheme="minorBidi" w:eastAsia="Times New Roman" w:hAnsiTheme="minorBidi"/>
          <w:lang w:eastAsia="en-GB"/>
        </w:rPr>
        <w:t xml:space="preserve"> Taonga Kaonga Sobere-Snithers </w:t>
      </w:r>
      <w:r w:rsidRPr="00561932">
        <w:rPr>
          <w:rFonts w:asciiTheme="minorBidi" w:eastAsia="Times New Roman" w:hAnsiTheme="minorBidi"/>
          <w:lang w:eastAsia="en-GB"/>
        </w:rPr>
        <w:br/>
      </w:r>
      <w:r w:rsidRPr="00561932">
        <w:rPr>
          <w:rFonts w:asciiTheme="minorBidi" w:eastAsia="Times New Roman" w:hAnsiTheme="minorBidi"/>
          <w:b/>
          <w:bCs/>
          <w:lang w:eastAsia="en-GB"/>
        </w:rPr>
        <w:t>Word count:</w:t>
      </w:r>
      <w:r w:rsidRPr="00561932">
        <w:rPr>
          <w:rFonts w:asciiTheme="minorBidi" w:eastAsia="Times New Roman" w:hAnsiTheme="minorBidi"/>
          <w:lang w:eastAsia="en-GB"/>
        </w:rPr>
        <w:t xml:space="preserve"> </w:t>
      </w:r>
      <w:r w:rsidRPr="00561932">
        <w:rPr>
          <w:rFonts w:asciiTheme="minorBidi" w:eastAsia="Times New Roman" w:hAnsiTheme="minorBidi"/>
          <w:lang w:eastAsia="en-GB"/>
        </w:rPr>
        <w:t>2673</w:t>
      </w:r>
    </w:p>
    <w:p w14:paraId="157FBE80" w14:textId="1DFFB433" w:rsidR="00561932" w:rsidRPr="00561932" w:rsidRDefault="00561932" w:rsidP="00561932">
      <w:pPr>
        <w:spacing w:before="100" w:beforeAutospacing="1" w:after="100" w:afterAutospacing="1"/>
        <w:jc w:val="center"/>
        <w:rPr>
          <w:rFonts w:asciiTheme="minorBidi" w:eastAsia="Times New Roman" w:hAnsiTheme="minorBidi"/>
          <w:lang w:eastAsia="en-GB"/>
        </w:rPr>
      </w:pPr>
      <w:r w:rsidRPr="00561932">
        <w:rPr>
          <w:rFonts w:asciiTheme="minorBidi" w:hAnsiTheme="minorBidi"/>
        </w:rPr>
        <w:fldChar w:fldCharType="begin"/>
      </w:r>
      <w:r w:rsidRPr="00561932">
        <w:rPr>
          <w:rFonts w:asciiTheme="minorBidi" w:hAnsiTheme="minorBidi"/>
        </w:rPr>
        <w:instrText xml:space="preserve"> INCLUDEPICTURE "https://encrypted-tbn0.gstatic.com/images?q=tbn:ANd9GcQlp0QiQGhOUCq7v_IOXh1YKFn85Hy6H0Qj4MJLHbsbww&amp;s=10" \* MERGEFORMATINET </w:instrText>
      </w:r>
      <w:r w:rsidRPr="00561932">
        <w:rPr>
          <w:rFonts w:asciiTheme="minorBidi" w:hAnsiTheme="minorBidi"/>
        </w:rPr>
        <w:fldChar w:fldCharType="separate"/>
      </w:r>
      <w:r w:rsidRPr="00561932">
        <w:rPr>
          <w:rFonts w:asciiTheme="minorBidi" w:hAnsiTheme="minorBidi"/>
          <w:noProof/>
        </w:rPr>
        <w:drawing>
          <wp:inline distT="0" distB="0" distL="0" distR="0" wp14:anchorId="20D1F2D5" wp14:editId="7E79B41D">
            <wp:extent cx="5731510" cy="3987800"/>
            <wp:effectExtent l="0" t="0" r="0" b="0"/>
            <wp:docPr id="1027998297" name="Picture 2" descr="BHP gives back to Pilbara healthcare - Australian M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HP gives back to Pilbara healthcare - Australian Mi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87800"/>
                    </a:xfrm>
                    <a:prstGeom prst="rect">
                      <a:avLst/>
                    </a:prstGeom>
                    <a:noFill/>
                    <a:ln>
                      <a:noFill/>
                    </a:ln>
                  </pic:spPr>
                </pic:pic>
              </a:graphicData>
            </a:graphic>
          </wp:inline>
        </w:drawing>
      </w:r>
      <w:r w:rsidRPr="00561932">
        <w:rPr>
          <w:rFonts w:asciiTheme="minorBidi" w:hAnsiTheme="minorBidi"/>
        </w:rPr>
        <w:fldChar w:fldCharType="end"/>
      </w:r>
    </w:p>
    <w:p w14:paraId="367259C3" w14:textId="77777777" w:rsidR="00625BAB" w:rsidRDefault="00625BAB" w:rsidP="00561932"/>
    <w:p w14:paraId="74217F16" w14:textId="77777777" w:rsidR="00561932" w:rsidRDefault="00561932" w:rsidP="00561932"/>
    <w:p w14:paraId="1608CD5B" w14:textId="7C4D6372" w:rsidR="00561932" w:rsidRDefault="00561932" w:rsidP="00561932">
      <w:pPr>
        <w:rPr>
          <w:rFonts w:ascii="Times New Roman" w:eastAsia="Times New Roman" w:hAnsi="Times New Roman" w:cs="Times New Roman"/>
          <w:lang w:eastAsia="en-GB"/>
        </w:rPr>
      </w:pPr>
    </w:p>
    <w:p w14:paraId="325209DD" w14:textId="77777777" w:rsidR="00AC215F" w:rsidRDefault="00AC215F" w:rsidP="00561932">
      <w:pPr>
        <w:rPr>
          <w:rFonts w:ascii="Times New Roman" w:eastAsia="Times New Roman" w:hAnsi="Times New Roman" w:cs="Times New Roman"/>
          <w:lang w:eastAsia="en-GB"/>
        </w:rPr>
      </w:pPr>
    </w:p>
    <w:sdt>
      <w:sdtPr>
        <w:id w:val="-2021379717"/>
        <w:docPartObj>
          <w:docPartGallery w:val="Table of Contents"/>
          <w:docPartUnique/>
        </w:docPartObj>
      </w:sdtPr>
      <w:sdtEndPr>
        <w:rPr>
          <w:rFonts w:eastAsiaTheme="minorEastAsia"/>
          <w:noProof/>
          <w:sz w:val="24"/>
          <w:szCs w:val="24"/>
        </w:rPr>
      </w:sdtEndPr>
      <w:sdtContent>
        <w:p w14:paraId="011C5D82" w14:textId="3105BA22" w:rsidR="00AC215F" w:rsidRPr="00401ECD" w:rsidRDefault="00AC215F" w:rsidP="00401ECD">
          <w:pPr>
            <w:pStyle w:val="TOCHeading"/>
            <w:numPr>
              <w:ilvl w:val="0"/>
              <w:numId w:val="0"/>
            </w:numPr>
            <w:spacing w:line="360" w:lineRule="auto"/>
            <w:ind w:left="432" w:hanging="432"/>
            <w:jc w:val="both"/>
            <w:rPr>
              <w:sz w:val="24"/>
              <w:szCs w:val="24"/>
            </w:rPr>
          </w:pPr>
          <w:r w:rsidRPr="00401ECD">
            <w:rPr>
              <w:sz w:val="24"/>
              <w:szCs w:val="24"/>
            </w:rPr>
            <w:t>Table of Contents</w:t>
          </w:r>
        </w:p>
        <w:p w14:paraId="1AF861F6" w14:textId="3F2FCD2E" w:rsidR="00AC215F" w:rsidRPr="00401ECD" w:rsidRDefault="00AC215F" w:rsidP="00401ECD">
          <w:pPr>
            <w:pStyle w:val="TOC1"/>
            <w:tabs>
              <w:tab w:val="right" w:leader="dot" w:pos="9016"/>
            </w:tabs>
            <w:spacing w:line="360" w:lineRule="auto"/>
            <w:jc w:val="both"/>
            <w:rPr>
              <w:rFonts w:asciiTheme="minorBidi" w:hAnsiTheme="minorBidi" w:cstheme="minorBidi"/>
              <w:b w:val="0"/>
              <w:bCs w:val="0"/>
              <w:i w:val="0"/>
              <w:iCs w:val="0"/>
              <w:noProof/>
              <w:color w:val="000000" w:themeColor="text1"/>
              <w:kern w:val="2"/>
              <w:szCs w:val="24"/>
              <w:lang w:eastAsia="en-GB"/>
              <w14:ligatures w14:val="standardContextual"/>
            </w:rPr>
          </w:pPr>
          <w:r w:rsidRPr="00401ECD">
            <w:rPr>
              <w:rFonts w:asciiTheme="minorBidi" w:hAnsiTheme="minorBidi" w:cstheme="minorBidi"/>
              <w:b w:val="0"/>
              <w:bCs w:val="0"/>
              <w:color w:val="000000" w:themeColor="text1"/>
              <w:szCs w:val="24"/>
            </w:rPr>
            <w:fldChar w:fldCharType="begin"/>
          </w:r>
          <w:r w:rsidRPr="00401ECD">
            <w:rPr>
              <w:rFonts w:asciiTheme="minorBidi" w:hAnsiTheme="minorBidi" w:cstheme="minorBidi"/>
              <w:color w:val="000000" w:themeColor="text1"/>
              <w:szCs w:val="24"/>
            </w:rPr>
            <w:instrText xml:space="preserve"> TOC \o "1-3" \h \z \u </w:instrText>
          </w:r>
          <w:r w:rsidRPr="00401ECD">
            <w:rPr>
              <w:rFonts w:asciiTheme="minorBidi" w:hAnsiTheme="minorBidi" w:cstheme="minorBidi"/>
              <w:b w:val="0"/>
              <w:bCs w:val="0"/>
              <w:color w:val="000000" w:themeColor="text1"/>
              <w:szCs w:val="24"/>
            </w:rPr>
            <w:fldChar w:fldCharType="separate"/>
          </w:r>
          <w:hyperlink w:anchor="_Toc243553846" w:history="1">
            <w:r w:rsidRPr="00401ECD">
              <w:rPr>
                <w:rStyle w:val="Hyperlink"/>
                <w:rFonts w:asciiTheme="minorBidi" w:eastAsia="Times New Roman" w:hAnsiTheme="minorBidi" w:cstheme="minorBidi"/>
                <w:noProof/>
                <w:color w:val="000000" w:themeColor="text1"/>
                <w:kern w:val="36"/>
                <w:szCs w:val="24"/>
                <w:lang w:eastAsia="en-GB"/>
              </w:rPr>
              <w:t>BHP: Marketing Environment Analysis and Sustainable Growth Strategy</w:t>
            </w:r>
            <w:r w:rsidRPr="00401ECD">
              <w:rPr>
                <w:rFonts w:asciiTheme="minorBidi" w:hAnsiTheme="minorBidi" w:cstheme="minorBidi"/>
                <w:noProof/>
                <w:webHidden/>
                <w:color w:val="000000" w:themeColor="text1"/>
                <w:szCs w:val="24"/>
              </w:rPr>
              <w:tab/>
            </w:r>
            <w:r w:rsidRPr="00401ECD">
              <w:rPr>
                <w:rFonts w:asciiTheme="minorBidi" w:hAnsiTheme="minorBidi" w:cstheme="minorBidi"/>
                <w:noProof/>
                <w:webHidden/>
                <w:color w:val="000000" w:themeColor="text1"/>
                <w:szCs w:val="24"/>
              </w:rPr>
              <w:fldChar w:fldCharType="begin"/>
            </w:r>
            <w:r w:rsidRPr="00401ECD">
              <w:rPr>
                <w:rFonts w:asciiTheme="minorBidi" w:hAnsiTheme="minorBidi" w:cstheme="minorBidi"/>
                <w:noProof/>
                <w:webHidden/>
                <w:color w:val="000000" w:themeColor="text1"/>
                <w:szCs w:val="24"/>
              </w:rPr>
              <w:instrText xml:space="preserve"> PAGEREF _Toc243553846 \h </w:instrText>
            </w:r>
            <w:r w:rsidRPr="00401ECD">
              <w:rPr>
                <w:rFonts w:asciiTheme="minorBidi" w:hAnsiTheme="minorBidi" w:cstheme="minorBidi"/>
                <w:noProof/>
                <w:webHidden/>
                <w:color w:val="000000" w:themeColor="text1"/>
                <w:szCs w:val="24"/>
              </w:rPr>
            </w:r>
            <w:r w:rsidRPr="00401ECD">
              <w:rPr>
                <w:rFonts w:asciiTheme="minorBidi" w:hAnsiTheme="minorBidi" w:cstheme="minorBidi"/>
                <w:noProof/>
                <w:webHidden/>
                <w:color w:val="000000" w:themeColor="text1"/>
                <w:szCs w:val="24"/>
              </w:rPr>
              <w:fldChar w:fldCharType="separate"/>
            </w:r>
            <w:r w:rsidRPr="00401ECD">
              <w:rPr>
                <w:rFonts w:asciiTheme="minorBidi" w:hAnsiTheme="minorBidi" w:cstheme="minorBidi"/>
                <w:noProof/>
                <w:webHidden/>
                <w:color w:val="000000" w:themeColor="text1"/>
                <w:szCs w:val="24"/>
              </w:rPr>
              <w:t>1</w:t>
            </w:r>
            <w:r w:rsidRPr="00401ECD">
              <w:rPr>
                <w:rFonts w:asciiTheme="minorBidi" w:hAnsiTheme="minorBidi" w:cstheme="minorBidi"/>
                <w:noProof/>
                <w:webHidden/>
                <w:color w:val="000000" w:themeColor="text1"/>
                <w:szCs w:val="24"/>
              </w:rPr>
              <w:fldChar w:fldCharType="end"/>
            </w:r>
          </w:hyperlink>
        </w:p>
        <w:p w14:paraId="45D2CE5E" w14:textId="37776403" w:rsidR="00AC215F" w:rsidRPr="00401ECD" w:rsidRDefault="00AC215F" w:rsidP="00401ECD">
          <w:pPr>
            <w:pStyle w:val="TOC1"/>
            <w:tabs>
              <w:tab w:val="left" w:pos="880"/>
              <w:tab w:val="right" w:leader="dot" w:pos="9016"/>
            </w:tabs>
            <w:spacing w:line="360"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43553847" w:history="1">
            <w:r w:rsidRPr="00401ECD">
              <w:rPr>
                <w:rStyle w:val="Hyperlink"/>
                <w:rFonts w:asciiTheme="minorBidi" w:hAnsiTheme="minorBidi" w:cstheme="minorBidi"/>
                <w:noProof/>
                <w:color w:val="000000" w:themeColor="text1"/>
                <w:szCs w:val="24"/>
              </w:rPr>
              <w:t>1</w:t>
            </w:r>
            <w:r w:rsidRPr="00401ECD">
              <w:rPr>
                <w:rFonts w:asciiTheme="minorBidi" w:hAnsiTheme="minorBidi" w:cstheme="minorBidi"/>
                <w:b w:val="0"/>
                <w:bCs w:val="0"/>
                <w:i w:val="0"/>
                <w:iCs w:val="0"/>
                <w:noProof/>
                <w:color w:val="000000" w:themeColor="text1"/>
                <w:kern w:val="2"/>
                <w:szCs w:val="24"/>
                <w:lang w:eastAsia="en-GB"/>
                <w14:ligatures w14:val="standardContextual"/>
              </w:rPr>
              <w:tab/>
            </w:r>
            <w:r w:rsidRPr="00401ECD">
              <w:rPr>
                <w:rStyle w:val="Hyperlink"/>
                <w:rFonts w:asciiTheme="minorBidi" w:hAnsiTheme="minorBidi" w:cstheme="minorBidi"/>
                <w:noProof/>
                <w:color w:val="000000" w:themeColor="text1"/>
                <w:szCs w:val="24"/>
              </w:rPr>
              <w:t>Task 1: Critical Analysis of Two External Marketing Environment Actors</w:t>
            </w:r>
            <w:r w:rsidRPr="00401ECD">
              <w:rPr>
                <w:rFonts w:asciiTheme="minorBidi" w:hAnsiTheme="minorBidi" w:cstheme="minorBidi"/>
                <w:noProof/>
                <w:webHidden/>
                <w:color w:val="000000" w:themeColor="text1"/>
                <w:szCs w:val="24"/>
              </w:rPr>
              <w:tab/>
            </w:r>
            <w:r w:rsidRPr="00401ECD">
              <w:rPr>
                <w:rFonts w:asciiTheme="minorBidi" w:hAnsiTheme="minorBidi" w:cstheme="minorBidi"/>
                <w:noProof/>
                <w:webHidden/>
                <w:color w:val="000000" w:themeColor="text1"/>
                <w:szCs w:val="24"/>
              </w:rPr>
              <w:fldChar w:fldCharType="begin"/>
            </w:r>
            <w:r w:rsidRPr="00401ECD">
              <w:rPr>
                <w:rFonts w:asciiTheme="minorBidi" w:hAnsiTheme="minorBidi" w:cstheme="minorBidi"/>
                <w:noProof/>
                <w:webHidden/>
                <w:color w:val="000000" w:themeColor="text1"/>
                <w:szCs w:val="24"/>
              </w:rPr>
              <w:instrText xml:space="preserve"> PAGEREF _Toc243553847 \h </w:instrText>
            </w:r>
            <w:r w:rsidRPr="00401ECD">
              <w:rPr>
                <w:rFonts w:asciiTheme="minorBidi" w:hAnsiTheme="minorBidi" w:cstheme="minorBidi"/>
                <w:noProof/>
                <w:webHidden/>
                <w:color w:val="000000" w:themeColor="text1"/>
                <w:szCs w:val="24"/>
              </w:rPr>
            </w:r>
            <w:r w:rsidRPr="00401ECD">
              <w:rPr>
                <w:rFonts w:asciiTheme="minorBidi" w:hAnsiTheme="minorBidi" w:cstheme="minorBidi"/>
                <w:noProof/>
                <w:webHidden/>
                <w:color w:val="000000" w:themeColor="text1"/>
                <w:szCs w:val="24"/>
              </w:rPr>
              <w:fldChar w:fldCharType="separate"/>
            </w:r>
            <w:r w:rsidRPr="00401ECD">
              <w:rPr>
                <w:rFonts w:asciiTheme="minorBidi" w:hAnsiTheme="minorBidi" w:cstheme="minorBidi"/>
                <w:noProof/>
                <w:webHidden/>
                <w:color w:val="000000" w:themeColor="text1"/>
                <w:szCs w:val="24"/>
              </w:rPr>
              <w:t>3</w:t>
            </w:r>
            <w:r w:rsidRPr="00401ECD">
              <w:rPr>
                <w:rFonts w:asciiTheme="minorBidi" w:hAnsiTheme="minorBidi" w:cstheme="minorBidi"/>
                <w:noProof/>
                <w:webHidden/>
                <w:color w:val="000000" w:themeColor="text1"/>
                <w:szCs w:val="24"/>
              </w:rPr>
              <w:fldChar w:fldCharType="end"/>
            </w:r>
          </w:hyperlink>
        </w:p>
        <w:p w14:paraId="4343C83C" w14:textId="322CE6AF"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48" w:history="1">
            <w:r w:rsidRPr="00401ECD">
              <w:rPr>
                <w:rStyle w:val="Hyperlink"/>
                <w:rFonts w:asciiTheme="minorBidi" w:hAnsiTheme="minorBidi" w:cstheme="minorBidi"/>
                <w:noProof/>
                <w:color w:val="000000" w:themeColor="text1"/>
                <w:sz w:val="24"/>
                <w:szCs w:val="24"/>
              </w:rPr>
              <w:t>1.1</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rPr>
              <w:t>Organisational Context</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_Toc243553848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3</w:t>
            </w:r>
            <w:r w:rsidRPr="00401ECD">
              <w:rPr>
                <w:rFonts w:asciiTheme="minorBidi" w:hAnsiTheme="minorBidi" w:cstheme="minorBidi"/>
                <w:noProof/>
                <w:webHidden/>
                <w:color w:val="000000" w:themeColor="text1"/>
                <w:sz w:val="24"/>
                <w:szCs w:val="24"/>
              </w:rPr>
              <w:fldChar w:fldCharType="end"/>
            </w:r>
          </w:hyperlink>
        </w:p>
        <w:p w14:paraId="1A6588B4" w14:textId="66581D68"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49" w:history="1">
            <w:r w:rsidRPr="00401ECD">
              <w:rPr>
                <w:rStyle w:val="Hyperlink"/>
                <w:rFonts w:asciiTheme="minorBidi" w:hAnsiTheme="minorBidi" w:cstheme="minorBidi"/>
                <w:noProof/>
                <w:color w:val="000000" w:themeColor="text1"/>
                <w:sz w:val="24"/>
                <w:szCs w:val="24"/>
                <w:lang w:eastAsia="en-GB"/>
              </w:rPr>
              <w:t>1.2</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lang w:eastAsia="en-GB"/>
              </w:rPr>
              <w:t>The Natural Environment</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_Toc243553849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3</w:t>
            </w:r>
            <w:r w:rsidRPr="00401ECD">
              <w:rPr>
                <w:rFonts w:asciiTheme="minorBidi" w:hAnsiTheme="minorBidi" w:cstheme="minorBidi"/>
                <w:noProof/>
                <w:webHidden/>
                <w:color w:val="000000" w:themeColor="text1"/>
                <w:sz w:val="24"/>
                <w:szCs w:val="24"/>
              </w:rPr>
              <w:fldChar w:fldCharType="end"/>
            </w:r>
          </w:hyperlink>
        </w:p>
        <w:p w14:paraId="443A323D" w14:textId="3CB80D53" w:rsidR="00AC215F" w:rsidRPr="00401ECD" w:rsidRDefault="00AC215F" w:rsidP="00401ECD">
          <w:pPr>
            <w:pStyle w:val="TOC3"/>
            <w:tabs>
              <w:tab w:val="left" w:pos="1540"/>
              <w:tab w:val="right" w:leader="dot" w:pos="9016"/>
            </w:tabs>
            <w:spacing w:line="360" w:lineRule="auto"/>
            <w:jc w:val="both"/>
            <w:rPr>
              <w:rFonts w:asciiTheme="minorBidi" w:hAnsiTheme="minorBidi" w:cstheme="minorBidi"/>
              <w:noProof/>
              <w:color w:val="000000" w:themeColor="text1"/>
              <w:kern w:val="2"/>
              <w:sz w:val="24"/>
              <w:lang w:eastAsia="en-GB"/>
              <w14:ligatures w14:val="standardContextual"/>
            </w:rPr>
          </w:pPr>
          <w:hyperlink w:anchor="_Toc243553850" w:history="1">
            <w:r w:rsidRPr="00401ECD">
              <w:rPr>
                <w:rStyle w:val="Hyperlink"/>
                <w:rFonts w:asciiTheme="minorBidi" w:hAnsiTheme="minorBidi" w:cstheme="minorBidi"/>
                <w:noProof/>
                <w:color w:val="000000" w:themeColor="text1"/>
                <w:sz w:val="24"/>
              </w:rPr>
              <w:t>1.2.1</w:t>
            </w:r>
            <w:r w:rsidRPr="00401ECD">
              <w:rPr>
                <w:rFonts w:asciiTheme="minorBidi" w:hAnsiTheme="minorBidi" w:cstheme="minorBidi"/>
                <w:noProof/>
                <w:color w:val="000000" w:themeColor="text1"/>
                <w:kern w:val="2"/>
                <w:sz w:val="24"/>
                <w:lang w:eastAsia="en-GB"/>
                <w14:ligatures w14:val="standardContextual"/>
              </w:rPr>
              <w:tab/>
            </w:r>
            <w:r w:rsidRPr="00401ECD">
              <w:rPr>
                <w:rStyle w:val="Hyperlink"/>
                <w:rFonts w:asciiTheme="minorBidi" w:hAnsiTheme="minorBidi" w:cstheme="minorBidi"/>
                <w:noProof/>
                <w:color w:val="000000" w:themeColor="text1"/>
                <w:sz w:val="24"/>
              </w:rPr>
              <w:t>Climate Change and the Boundaries of Environmental Claims</w:t>
            </w:r>
            <w:r w:rsidRPr="00401ECD">
              <w:rPr>
                <w:rFonts w:asciiTheme="minorBidi" w:hAnsiTheme="minorBidi" w:cstheme="minorBidi"/>
                <w:noProof/>
                <w:webHidden/>
                <w:color w:val="000000" w:themeColor="text1"/>
                <w:sz w:val="24"/>
              </w:rPr>
              <w:tab/>
            </w:r>
            <w:r w:rsidRPr="00401ECD">
              <w:rPr>
                <w:rFonts w:asciiTheme="minorBidi" w:hAnsiTheme="minorBidi" w:cstheme="minorBidi"/>
                <w:noProof/>
                <w:webHidden/>
                <w:color w:val="000000" w:themeColor="text1"/>
                <w:sz w:val="24"/>
              </w:rPr>
              <w:fldChar w:fldCharType="begin"/>
            </w:r>
            <w:r w:rsidRPr="00401ECD">
              <w:rPr>
                <w:rFonts w:asciiTheme="minorBidi" w:hAnsiTheme="minorBidi" w:cstheme="minorBidi"/>
                <w:noProof/>
                <w:webHidden/>
                <w:color w:val="000000" w:themeColor="text1"/>
                <w:sz w:val="24"/>
              </w:rPr>
              <w:instrText xml:space="preserve"> PAGEREF _Toc243553850 \h </w:instrText>
            </w:r>
            <w:r w:rsidRPr="00401ECD">
              <w:rPr>
                <w:rFonts w:asciiTheme="minorBidi" w:hAnsiTheme="minorBidi" w:cstheme="minorBidi"/>
                <w:noProof/>
                <w:webHidden/>
                <w:color w:val="000000" w:themeColor="text1"/>
                <w:sz w:val="24"/>
              </w:rPr>
            </w:r>
            <w:r w:rsidRPr="00401ECD">
              <w:rPr>
                <w:rFonts w:asciiTheme="minorBidi" w:hAnsiTheme="minorBidi" w:cstheme="minorBidi"/>
                <w:noProof/>
                <w:webHidden/>
                <w:color w:val="000000" w:themeColor="text1"/>
                <w:sz w:val="24"/>
              </w:rPr>
              <w:fldChar w:fldCharType="separate"/>
            </w:r>
            <w:r w:rsidRPr="00401ECD">
              <w:rPr>
                <w:rFonts w:asciiTheme="minorBidi" w:hAnsiTheme="minorBidi" w:cstheme="minorBidi"/>
                <w:noProof/>
                <w:webHidden/>
                <w:color w:val="000000" w:themeColor="text1"/>
                <w:sz w:val="24"/>
              </w:rPr>
              <w:t>3</w:t>
            </w:r>
            <w:r w:rsidRPr="00401ECD">
              <w:rPr>
                <w:rFonts w:asciiTheme="minorBidi" w:hAnsiTheme="minorBidi" w:cstheme="minorBidi"/>
                <w:noProof/>
                <w:webHidden/>
                <w:color w:val="000000" w:themeColor="text1"/>
                <w:sz w:val="24"/>
              </w:rPr>
              <w:fldChar w:fldCharType="end"/>
            </w:r>
          </w:hyperlink>
        </w:p>
        <w:p w14:paraId="07A627A1" w14:textId="757BDA22" w:rsidR="00AC215F" w:rsidRPr="00401ECD" w:rsidRDefault="00AC215F" w:rsidP="00401ECD">
          <w:pPr>
            <w:pStyle w:val="TOC3"/>
            <w:tabs>
              <w:tab w:val="left" w:pos="1540"/>
              <w:tab w:val="right" w:leader="dot" w:pos="9016"/>
            </w:tabs>
            <w:spacing w:line="360" w:lineRule="auto"/>
            <w:jc w:val="both"/>
            <w:rPr>
              <w:rFonts w:asciiTheme="minorBidi" w:hAnsiTheme="minorBidi" w:cstheme="minorBidi"/>
              <w:noProof/>
              <w:color w:val="000000" w:themeColor="text1"/>
              <w:kern w:val="2"/>
              <w:sz w:val="24"/>
              <w:lang w:eastAsia="en-GB"/>
              <w14:ligatures w14:val="standardContextual"/>
            </w:rPr>
          </w:pPr>
          <w:hyperlink w:anchor="_Toc243553851" w:history="1">
            <w:r w:rsidRPr="00401ECD">
              <w:rPr>
                <w:rStyle w:val="Hyperlink"/>
                <w:rFonts w:asciiTheme="minorBidi" w:hAnsiTheme="minorBidi" w:cstheme="minorBidi"/>
                <w:noProof/>
                <w:color w:val="000000" w:themeColor="text1"/>
                <w:sz w:val="24"/>
              </w:rPr>
              <w:t>1.2.2</w:t>
            </w:r>
            <w:r w:rsidRPr="00401ECD">
              <w:rPr>
                <w:rFonts w:asciiTheme="minorBidi" w:hAnsiTheme="minorBidi" w:cstheme="minorBidi"/>
                <w:noProof/>
                <w:color w:val="000000" w:themeColor="text1"/>
                <w:kern w:val="2"/>
                <w:sz w:val="24"/>
                <w:lang w:eastAsia="en-GB"/>
                <w14:ligatures w14:val="standardContextual"/>
              </w:rPr>
              <w:tab/>
            </w:r>
            <w:r w:rsidRPr="00401ECD">
              <w:rPr>
                <w:rStyle w:val="Hyperlink"/>
                <w:rFonts w:asciiTheme="minorBidi" w:hAnsiTheme="minorBidi" w:cstheme="minorBidi"/>
                <w:noProof/>
                <w:color w:val="000000" w:themeColor="text1"/>
                <w:sz w:val="24"/>
              </w:rPr>
              <w:t>Energy, Ore Quality and Water Constraints</w:t>
            </w:r>
            <w:r w:rsidRPr="00401ECD">
              <w:rPr>
                <w:rFonts w:asciiTheme="minorBidi" w:hAnsiTheme="minorBidi" w:cstheme="minorBidi"/>
                <w:noProof/>
                <w:webHidden/>
                <w:color w:val="000000" w:themeColor="text1"/>
                <w:sz w:val="24"/>
              </w:rPr>
              <w:tab/>
            </w:r>
            <w:r w:rsidRPr="00401ECD">
              <w:rPr>
                <w:rFonts w:asciiTheme="minorBidi" w:hAnsiTheme="minorBidi" w:cstheme="minorBidi"/>
                <w:noProof/>
                <w:webHidden/>
                <w:color w:val="000000" w:themeColor="text1"/>
                <w:sz w:val="24"/>
              </w:rPr>
              <w:fldChar w:fldCharType="begin"/>
            </w:r>
            <w:r w:rsidRPr="00401ECD">
              <w:rPr>
                <w:rFonts w:asciiTheme="minorBidi" w:hAnsiTheme="minorBidi" w:cstheme="minorBidi"/>
                <w:noProof/>
                <w:webHidden/>
                <w:color w:val="000000" w:themeColor="text1"/>
                <w:sz w:val="24"/>
              </w:rPr>
              <w:instrText xml:space="preserve"> PAGEREF _Toc243553851 \h </w:instrText>
            </w:r>
            <w:r w:rsidRPr="00401ECD">
              <w:rPr>
                <w:rFonts w:asciiTheme="minorBidi" w:hAnsiTheme="minorBidi" w:cstheme="minorBidi"/>
                <w:noProof/>
                <w:webHidden/>
                <w:color w:val="000000" w:themeColor="text1"/>
                <w:sz w:val="24"/>
              </w:rPr>
            </w:r>
            <w:r w:rsidRPr="00401ECD">
              <w:rPr>
                <w:rFonts w:asciiTheme="minorBidi" w:hAnsiTheme="minorBidi" w:cstheme="minorBidi"/>
                <w:noProof/>
                <w:webHidden/>
                <w:color w:val="000000" w:themeColor="text1"/>
                <w:sz w:val="24"/>
              </w:rPr>
              <w:fldChar w:fldCharType="separate"/>
            </w:r>
            <w:r w:rsidRPr="00401ECD">
              <w:rPr>
                <w:rFonts w:asciiTheme="minorBidi" w:hAnsiTheme="minorBidi" w:cstheme="minorBidi"/>
                <w:noProof/>
                <w:webHidden/>
                <w:color w:val="000000" w:themeColor="text1"/>
                <w:sz w:val="24"/>
              </w:rPr>
              <w:t>4</w:t>
            </w:r>
            <w:r w:rsidRPr="00401ECD">
              <w:rPr>
                <w:rFonts w:asciiTheme="minorBidi" w:hAnsiTheme="minorBidi" w:cstheme="minorBidi"/>
                <w:noProof/>
                <w:webHidden/>
                <w:color w:val="000000" w:themeColor="text1"/>
                <w:sz w:val="24"/>
              </w:rPr>
              <w:fldChar w:fldCharType="end"/>
            </w:r>
          </w:hyperlink>
        </w:p>
        <w:p w14:paraId="0C4AFA52" w14:textId="717E1D79" w:rsidR="00AC215F" w:rsidRPr="00401ECD" w:rsidRDefault="00AC215F" w:rsidP="00401ECD">
          <w:pPr>
            <w:pStyle w:val="TOC3"/>
            <w:tabs>
              <w:tab w:val="left" w:pos="1540"/>
              <w:tab w:val="right" w:leader="dot" w:pos="9016"/>
            </w:tabs>
            <w:spacing w:line="360" w:lineRule="auto"/>
            <w:jc w:val="both"/>
            <w:rPr>
              <w:rFonts w:asciiTheme="minorBidi" w:hAnsiTheme="minorBidi" w:cstheme="minorBidi"/>
              <w:noProof/>
              <w:color w:val="000000" w:themeColor="text1"/>
              <w:kern w:val="2"/>
              <w:sz w:val="24"/>
              <w:lang w:eastAsia="en-GB"/>
              <w14:ligatures w14:val="standardContextual"/>
            </w:rPr>
          </w:pPr>
          <w:hyperlink w:anchor="_Toc243553852" w:history="1">
            <w:r w:rsidRPr="00401ECD">
              <w:rPr>
                <w:rStyle w:val="Hyperlink"/>
                <w:rFonts w:asciiTheme="minorBidi" w:hAnsiTheme="minorBidi" w:cstheme="minorBidi"/>
                <w:noProof/>
                <w:color w:val="000000" w:themeColor="text1"/>
                <w:sz w:val="24"/>
              </w:rPr>
              <w:t>1.2.3</w:t>
            </w:r>
            <w:r w:rsidRPr="00401ECD">
              <w:rPr>
                <w:rFonts w:asciiTheme="minorBidi" w:hAnsiTheme="minorBidi" w:cstheme="minorBidi"/>
                <w:noProof/>
                <w:color w:val="000000" w:themeColor="text1"/>
                <w:kern w:val="2"/>
                <w:sz w:val="24"/>
                <w:lang w:eastAsia="en-GB"/>
                <w14:ligatures w14:val="standardContextual"/>
              </w:rPr>
              <w:tab/>
            </w:r>
            <w:r w:rsidRPr="00401ECD">
              <w:rPr>
                <w:rStyle w:val="Hyperlink"/>
                <w:rFonts w:asciiTheme="minorBidi" w:hAnsiTheme="minorBidi" w:cstheme="minorBidi"/>
                <w:noProof/>
                <w:color w:val="000000" w:themeColor="text1"/>
                <w:sz w:val="24"/>
              </w:rPr>
              <w:t>Biodiversity, Land and Community Relationships</w:t>
            </w:r>
            <w:r w:rsidRPr="00401ECD">
              <w:rPr>
                <w:rFonts w:asciiTheme="minorBidi" w:hAnsiTheme="minorBidi" w:cstheme="minorBidi"/>
                <w:noProof/>
                <w:webHidden/>
                <w:color w:val="000000" w:themeColor="text1"/>
                <w:sz w:val="24"/>
              </w:rPr>
              <w:tab/>
            </w:r>
            <w:r w:rsidRPr="00401ECD">
              <w:rPr>
                <w:rFonts w:asciiTheme="minorBidi" w:hAnsiTheme="minorBidi" w:cstheme="minorBidi"/>
                <w:noProof/>
                <w:webHidden/>
                <w:color w:val="000000" w:themeColor="text1"/>
                <w:sz w:val="24"/>
              </w:rPr>
              <w:fldChar w:fldCharType="begin"/>
            </w:r>
            <w:r w:rsidRPr="00401ECD">
              <w:rPr>
                <w:rFonts w:asciiTheme="minorBidi" w:hAnsiTheme="minorBidi" w:cstheme="minorBidi"/>
                <w:noProof/>
                <w:webHidden/>
                <w:color w:val="000000" w:themeColor="text1"/>
                <w:sz w:val="24"/>
              </w:rPr>
              <w:instrText xml:space="preserve"> PAGEREF _Toc243553852 \h </w:instrText>
            </w:r>
            <w:r w:rsidRPr="00401ECD">
              <w:rPr>
                <w:rFonts w:asciiTheme="minorBidi" w:hAnsiTheme="minorBidi" w:cstheme="minorBidi"/>
                <w:noProof/>
                <w:webHidden/>
                <w:color w:val="000000" w:themeColor="text1"/>
                <w:sz w:val="24"/>
              </w:rPr>
            </w:r>
            <w:r w:rsidRPr="00401ECD">
              <w:rPr>
                <w:rFonts w:asciiTheme="minorBidi" w:hAnsiTheme="minorBidi" w:cstheme="minorBidi"/>
                <w:noProof/>
                <w:webHidden/>
                <w:color w:val="000000" w:themeColor="text1"/>
                <w:sz w:val="24"/>
              </w:rPr>
              <w:fldChar w:fldCharType="separate"/>
            </w:r>
            <w:r w:rsidRPr="00401ECD">
              <w:rPr>
                <w:rFonts w:asciiTheme="minorBidi" w:hAnsiTheme="minorBidi" w:cstheme="minorBidi"/>
                <w:noProof/>
                <w:webHidden/>
                <w:color w:val="000000" w:themeColor="text1"/>
                <w:sz w:val="24"/>
              </w:rPr>
              <w:t>4</w:t>
            </w:r>
            <w:r w:rsidRPr="00401ECD">
              <w:rPr>
                <w:rFonts w:asciiTheme="minorBidi" w:hAnsiTheme="minorBidi" w:cstheme="minorBidi"/>
                <w:noProof/>
                <w:webHidden/>
                <w:color w:val="000000" w:themeColor="text1"/>
                <w:sz w:val="24"/>
              </w:rPr>
              <w:fldChar w:fldCharType="end"/>
            </w:r>
          </w:hyperlink>
        </w:p>
        <w:p w14:paraId="3371E36C" w14:textId="6C2754BB"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53" w:history="1">
            <w:r w:rsidRPr="00401ECD">
              <w:rPr>
                <w:rStyle w:val="Hyperlink"/>
                <w:rFonts w:asciiTheme="minorBidi" w:hAnsiTheme="minorBidi" w:cstheme="minorBidi"/>
                <w:noProof/>
                <w:color w:val="000000" w:themeColor="text1"/>
                <w:sz w:val="24"/>
                <w:szCs w:val="24"/>
                <w:lang w:eastAsia="en-GB"/>
              </w:rPr>
              <w:t>1.3</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lang w:eastAsia="en-GB"/>
              </w:rPr>
              <w:t>The Political–Legal Environment</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_Toc243553853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4</w:t>
            </w:r>
            <w:r w:rsidRPr="00401ECD">
              <w:rPr>
                <w:rFonts w:asciiTheme="minorBidi" w:hAnsiTheme="minorBidi" w:cstheme="minorBidi"/>
                <w:noProof/>
                <w:webHidden/>
                <w:color w:val="000000" w:themeColor="text1"/>
                <w:sz w:val="24"/>
                <w:szCs w:val="24"/>
              </w:rPr>
              <w:fldChar w:fldCharType="end"/>
            </w:r>
          </w:hyperlink>
        </w:p>
        <w:p w14:paraId="332E7296" w14:textId="2F0D1A89" w:rsidR="00AC215F" w:rsidRPr="00401ECD" w:rsidRDefault="00AC215F" w:rsidP="00401ECD">
          <w:pPr>
            <w:pStyle w:val="TOC3"/>
            <w:tabs>
              <w:tab w:val="left" w:pos="1540"/>
              <w:tab w:val="right" w:leader="dot" w:pos="9016"/>
            </w:tabs>
            <w:spacing w:line="360" w:lineRule="auto"/>
            <w:jc w:val="both"/>
            <w:rPr>
              <w:rFonts w:asciiTheme="minorBidi" w:hAnsiTheme="minorBidi" w:cstheme="minorBidi"/>
              <w:noProof/>
              <w:color w:val="000000" w:themeColor="text1"/>
              <w:kern w:val="2"/>
              <w:sz w:val="24"/>
              <w:lang w:eastAsia="en-GB"/>
              <w14:ligatures w14:val="standardContextual"/>
            </w:rPr>
          </w:pPr>
          <w:hyperlink w:anchor="_Toc243553854" w:history="1">
            <w:r w:rsidRPr="00401ECD">
              <w:rPr>
                <w:rStyle w:val="Hyperlink"/>
                <w:rFonts w:asciiTheme="minorBidi" w:hAnsiTheme="minorBidi" w:cstheme="minorBidi"/>
                <w:noProof/>
                <w:color w:val="000000" w:themeColor="text1"/>
                <w:sz w:val="24"/>
              </w:rPr>
              <w:t>1.3.1</w:t>
            </w:r>
            <w:r w:rsidRPr="00401ECD">
              <w:rPr>
                <w:rFonts w:asciiTheme="minorBidi" w:hAnsiTheme="minorBidi" w:cstheme="minorBidi"/>
                <w:noProof/>
                <w:color w:val="000000" w:themeColor="text1"/>
                <w:kern w:val="2"/>
                <w:sz w:val="24"/>
                <w:lang w:eastAsia="en-GB"/>
                <w14:ligatures w14:val="standardContextual"/>
              </w:rPr>
              <w:tab/>
            </w:r>
            <w:r w:rsidRPr="00401ECD">
              <w:rPr>
                <w:rStyle w:val="Hyperlink"/>
                <w:rFonts w:asciiTheme="minorBidi" w:hAnsiTheme="minorBidi" w:cstheme="minorBidi"/>
                <w:noProof/>
                <w:color w:val="000000" w:themeColor="text1"/>
                <w:sz w:val="24"/>
              </w:rPr>
              <w:t>Carbon Policy and Uneven Competitive Effects</w:t>
            </w:r>
            <w:r w:rsidRPr="00401ECD">
              <w:rPr>
                <w:rFonts w:asciiTheme="minorBidi" w:hAnsiTheme="minorBidi" w:cstheme="minorBidi"/>
                <w:noProof/>
                <w:webHidden/>
                <w:color w:val="000000" w:themeColor="text1"/>
                <w:sz w:val="24"/>
              </w:rPr>
              <w:tab/>
            </w:r>
            <w:r w:rsidRPr="00401ECD">
              <w:rPr>
                <w:rFonts w:asciiTheme="minorBidi" w:hAnsiTheme="minorBidi" w:cstheme="minorBidi"/>
                <w:noProof/>
                <w:webHidden/>
                <w:color w:val="000000" w:themeColor="text1"/>
                <w:sz w:val="24"/>
              </w:rPr>
              <w:fldChar w:fldCharType="begin"/>
            </w:r>
            <w:r w:rsidRPr="00401ECD">
              <w:rPr>
                <w:rFonts w:asciiTheme="minorBidi" w:hAnsiTheme="minorBidi" w:cstheme="minorBidi"/>
                <w:noProof/>
                <w:webHidden/>
                <w:color w:val="000000" w:themeColor="text1"/>
                <w:sz w:val="24"/>
              </w:rPr>
              <w:instrText xml:space="preserve"> PAGEREF _Toc243553854 \h </w:instrText>
            </w:r>
            <w:r w:rsidRPr="00401ECD">
              <w:rPr>
                <w:rFonts w:asciiTheme="minorBidi" w:hAnsiTheme="minorBidi" w:cstheme="minorBidi"/>
                <w:noProof/>
                <w:webHidden/>
                <w:color w:val="000000" w:themeColor="text1"/>
                <w:sz w:val="24"/>
              </w:rPr>
            </w:r>
            <w:r w:rsidRPr="00401ECD">
              <w:rPr>
                <w:rFonts w:asciiTheme="minorBidi" w:hAnsiTheme="minorBidi" w:cstheme="minorBidi"/>
                <w:noProof/>
                <w:webHidden/>
                <w:color w:val="000000" w:themeColor="text1"/>
                <w:sz w:val="24"/>
              </w:rPr>
              <w:fldChar w:fldCharType="separate"/>
            </w:r>
            <w:r w:rsidRPr="00401ECD">
              <w:rPr>
                <w:rFonts w:asciiTheme="minorBidi" w:hAnsiTheme="minorBidi" w:cstheme="minorBidi"/>
                <w:noProof/>
                <w:webHidden/>
                <w:color w:val="000000" w:themeColor="text1"/>
                <w:sz w:val="24"/>
              </w:rPr>
              <w:t>4</w:t>
            </w:r>
            <w:r w:rsidRPr="00401ECD">
              <w:rPr>
                <w:rFonts w:asciiTheme="minorBidi" w:hAnsiTheme="minorBidi" w:cstheme="minorBidi"/>
                <w:noProof/>
                <w:webHidden/>
                <w:color w:val="000000" w:themeColor="text1"/>
                <w:sz w:val="24"/>
              </w:rPr>
              <w:fldChar w:fldCharType="end"/>
            </w:r>
          </w:hyperlink>
        </w:p>
        <w:p w14:paraId="17EEC1DB" w14:textId="6CBE8982" w:rsidR="00AC215F" w:rsidRPr="00401ECD" w:rsidRDefault="00AC215F" w:rsidP="00401ECD">
          <w:pPr>
            <w:pStyle w:val="TOC3"/>
            <w:tabs>
              <w:tab w:val="left" w:pos="1540"/>
              <w:tab w:val="right" w:leader="dot" w:pos="9016"/>
            </w:tabs>
            <w:spacing w:line="360" w:lineRule="auto"/>
            <w:jc w:val="both"/>
            <w:rPr>
              <w:rFonts w:asciiTheme="minorBidi" w:hAnsiTheme="minorBidi" w:cstheme="minorBidi"/>
              <w:noProof/>
              <w:color w:val="000000" w:themeColor="text1"/>
              <w:kern w:val="2"/>
              <w:sz w:val="24"/>
              <w:lang w:eastAsia="en-GB"/>
              <w14:ligatures w14:val="standardContextual"/>
            </w:rPr>
          </w:pPr>
          <w:hyperlink w:anchor="_Toc243553855" w:history="1">
            <w:r w:rsidRPr="00401ECD">
              <w:rPr>
                <w:rStyle w:val="Hyperlink"/>
                <w:rFonts w:asciiTheme="minorBidi" w:hAnsiTheme="minorBidi" w:cstheme="minorBidi"/>
                <w:noProof/>
                <w:color w:val="000000" w:themeColor="text1"/>
                <w:sz w:val="24"/>
              </w:rPr>
              <w:t>1.3.2</w:t>
            </w:r>
            <w:r w:rsidRPr="00401ECD">
              <w:rPr>
                <w:rFonts w:asciiTheme="minorBidi" w:hAnsiTheme="minorBidi" w:cstheme="minorBidi"/>
                <w:noProof/>
                <w:color w:val="000000" w:themeColor="text1"/>
                <w:kern w:val="2"/>
                <w:sz w:val="24"/>
                <w:lang w:eastAsia="en-GB"/>
                <w14:ligatures w14:val="standardContextual"/>
              </w:rPr>
              <w:tab/>
            </w:r>
            <w:r w:rsidRPr="00401ECD">
              <w:rPr>
                <w:rStyle w:val="Hyperlink"/>
                <w:rFonts w:asciiTheme="minorBidi" w:hAnsiTheme="minorBidi" w:cstheme="minorBidi"/>
                <w:noProof/>
                <w:color w:val="000000" w:themeColor="text1"/>
                <w:sz w:val="24"/>
              </w:rPr>
              <w:t>Resource Governance and Credible Disclosure</w:t>
            </w:r>
            <w:r w:rsidRPr="00401ECD">
              <w:rPr>
                <w:rFonts w:asciiTheme="minorBidi" w:hAnsiTheme="minorBidi" w:cstheme="minorBidi"/>
                <w:noProof/>
                <w:webHidden/>
                <w:color w:val="000000" w:themeColor="text1"/>
                <w:sz w:val="24"/>
              </w:rPr>
              <w:tab/>
            </w:r>
            <w:r w:rsidRPr="00401ECD">
              <w:rPr>
                <w:rFonts w:asciiTheme="minorBidi" w:hAnsiTheme="minorBidi" w:cstheme="minorBidi"/>
                <w:noProof/>
                <w:webHidden/>
                <w:color w:val="000000" w:themeColor="text1"/>
                <w:sz w:val="24"/>
              </w:rPr>
              <w:fldChar w:fldCharType="begin"/>
            </w:r>
            <w:r w:rsidRPr="00401ECD">
              <w:rPr>
                <w:rFonts w:asciiTheme="minorBidi" w:hAnsiTheme="minorBidi" w:cstheme="minorBidi"/>
                <w:noProof/>
                <w:webHidden/>
                <w:color w:val="000000" w:themeColor="text1"/>
                <w:sz w:val="24"/>
              </w:rPr>
              <w:instrText xml:space="preserve"> PAGEREF _Toc243553855 \h </w:instrText>
            </w:r>
            <w:r w:rsidRPr="00401ECD">
              <w:rPr>
                <w:rFonts w:asciiTheme="minorBidi" w:hAnsiTheme="minorBidi" w:cstheme="minorBidi"/>
                <w:noProof/>
                <w:webHidden/>
                <w:color w:val="000000" w:themeColor="text1"/>
                <w:sz w:val="24"/>
              </w:rPr>
            </w:r>
            <w:r w:rsidRPr="00401ECD">
              <w:rPr>
                <w:rFonts w:asciiTheme="minorBidi" w:hAnsiTheme="minorBidi" w:cstheme="minorBidi"/>
                <w:noProof/>
                <w:webHidden/>
                <w:color w:val="000000" w:themeColor="text1"/>
                <w:sz w:val="24"/>
              </w:rPr>
              <w:fldChar w:fldCharType="separate"/>
            </w:r>
            <w:r w:rsidRPr="00401ECD">
              <w:rPr>
                <w:rFonts w:asciiTheme="minorBidi" w:hAnsiTheme="minorBidi" w:cstheme="minorBidi"/>
                <w:noProof/>
                <w:webHidden/>
                <w:color w:val="000000" w:themeColor="text1"/>
                <w:sz w:val="24"/>
              </w:rPr>
              <w:t>5</w:t>
            </w:r>
            <w:r w:rsidRPr="00401ECD">
              <w:rPr>
                <w:rFonts w:asciiTheme="minorBidi" w:hAnsiTheme="minorBidi" w:cstheme="minorBidi"/>
                <w:noProof/>
                <w:webHidden/>
                <w:color w:val="000000" w:themeColor="text1"/>
                <w:sz w:val="24"/>
              </w:rPr>
              <w:fldChar w:fldCharType="end"/>
            </w:r>
          </w:hyperlink>
        </w:p>
        <w:p w14:paraId="3D8FAE79" w14:textId="088F144E" w:rsidR="00AC215F" w:rsidRPr="00401ECD" w:rsidRDefault="00AC215F" w:rsidP="00401ECD">
          <w:pPr>
            <w:pStyle w:val="TOC1"/>
            <w:tabs>
              <w:tab w:val="left" w:pos="880"/>
              <w:tab w:val="right" w:leader="dot" w:pos="9016"/>
            </w:tabs>
            <w:spacing w:line="360"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43553856" w:history="1">
            <w:r w:rsidRPr="00401ECD">
              <w:rPr>
                <w:rStyle w:val="Hyperlink"/>
                <w:rFonts w:asciiTheme="minorBidi" w:eastAsia="Times New Roman" w:hAnsiTheme="minorBidi" w:cstheme="minorBidi"/>
                <w:noProof/>
                <w:color w:val="000000" w:themeColor="text1"/>
                <w:szCs w:val="24"/>
                <w:lang w:eastAsia="en-GB"/>
              </w:rPr>
              <w:t>2</w:t>
            </w:r>
            <w:r w:rsidRPr="00401ECD">
              <w:rPr>
                <w:rFonts w:asciiTheme="minorBidi" w:hAnsiTheme="minorBidi" w:cstheme="minorBidi"/>
                <w:b w:val="0"/>
                <w:bCs w:val="0"/>
                <w:i w:val="0"/>
                <w:iCs w:val="0"/>
                <w:noProof/>
                <w:color w:val="000000" w:themeColor="text1"/>
                <w:kern w:val="2"/>
                <w:szCs w:val="24"/>
                <w:lang w:eastAsia="en-GB"/>
                <w14:ligatures w14:val="standardContextual"/>
              </w:rPr>
              <w:tab/>
            </w:r>
            <w:r w:rsidRPr="00401ECD">
              <w:rPr>
                <w:rStyle w:val="Hyperlink"/>
                <w:rFonts w:asciiTheme="minorBidi" w:eastAsia="Times New Roman" w:hAnsiTheme="minorBidi" w:cstheme="minorBidi"/>
                <w:noProof/>
                <w:color w:val="000000" w:themeColor="text1"/>
                <w:szCs w:val="24"/>
                <w:lang w:eastAsia="en-GB"/>
              </w:rPr>
              <w:t>Task 2: Growth Strategy and Competitive Advantage</w:t>
            </w:r>
            <w:r w:rsidRPr="00401ECD">
              <w:rPr>
                <w:rFonts w:asciiTheme="minorBidi" w:hAnsiTheme="minorBidi" w:cstheme="minorBidi"/>
                <w:noProof/>
                <w:webHidden/>
                <w:color w:val="000000" w:themeColor="text1"/>
                <w:szCs w:val="24"/>
              </w:rPr>
              <w:tab/>
            </w:r>
            <w:r w:rsidRPr="00401ECD">
              <w:rPr>
                <w:rFonts w:asciiTheme="minorBidi" w:hAnsiTheme="minorBidi" w:cstheme="minorBidi"/>
                <w:noProof/>
                <w:webHidden/>
                <w:color w:val="000000" w:themeColor="text1"/>
                <w:szCs w:val="24"/>
              </w:rPr>
              <w:fldChar w:fldCharType="begin"/>
            </w:r>
            <w:r w:rsidRPr="00401ECD">
              <w:rPr>
                <w:rFonts w:asciiTheme="minorBidi" w:hAnsiTheme="minorBidi" w:cstheme="minorBidi"/>
                <w:noProof/>
                <w:webHidden/>
                <w:color w:val="000000" w:themeColor="text1"/>
                <w:szCs w:val="24"/>
              </w:rPr>
              <w:instrText xml:space="preserve"> PAGEREF _Toc243553856 \h </w:instrText>
            </w:r>
            <w:r w:rsidRPr="00401ECD">
              <w:rPr>
                <w:rFonts w:asciiTheme="minorBidi" w:hAnsiTheme="minorBidi" w:cstheme="minorBidi"/>
                <w:noProof/>
                <w:webHidden/>
                <w:color w:val="000000" w:themeColor="text1"/>
                <w:szCs w:val="24"/>
              </w:rPr>
            </w:r>
            <w:r w:rsidRPr="00401ECD">
              <w:rPr>
                <w:rFonts w:asciiTheme="minorBidi" w:hAnsiTheme="minorBidi" w:cstheme="minorBidi"/>
                <w:noProof/>
                <w:webHidden/>
                <w:color w:val="000000" w:themeColor="text1"/>
                <w:szCs w:val="24"/>
              </w:rPr>
              <w:fldChar w:fldCharType="separate"/>
            </w:r>
            <w:r w:rsidRPr="00401ECD">
              <w:rPr>
                <w:rFonts w:asciiTheme="minorBidi" w:hAnsiTheme="minorBidi" w:cstheme="minorBidi"/>
                <w:noProof/>
                <w:webHidden/>
                <w:color w:val="000000" w:themeColor="text1"/>
                <w:szCs w:val="24"/>
              </w:rPr>
              <w:t>5</w:t>
            </w:r>
            <w:r w:rsidRPr="00401ECD">
              <w:rPr>
                <w:rFonts w:asciiTheme="minorBidi" w:hAnsiTheme="minorBidi" w:cstheme="minorBidi"/>
                <w:noProof/>
                <w:webHidden/>
                <w:color w:val="000000" w:themeColor="text1"/>
                <w:szCs w:val="24"/>
              </w:rPr>
              <w:fldChar w:fldCharType="end"/>
            </w:r>
          </w:hyperlink>
        </w:p>
        <w:p w14:paraId="4C252F79" w14:textId="5872C11F"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57" w:history="1">
            <w:r w:rsidRPr="00401ECD">
              <w:rPr>
                <w:rStyle w:val="Hyperlink"/>
                <w:rFonts w:asciiTheme="minorBidi" w:hAnsiTheme="minorBidi" w:cstheme="minorBidi"/>
                <w:noProof/>
                <w:color w:val="000000" w:themeColor="text1"/>
                <w:sz w:val="24"/>
                <w:szCs w:val="24"/>
                <w:lang w:eastAsia="en-GB"/>
              </w:rPr>
              <w:t>2.1</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lang w:eastAsia="en-GB"/>
              </w:rPr>
              <w:t>Evaluating Growth through the Ansoff Framework</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_Toc243553857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5</w:t>
            </w:r>
            <w:r w:rsidRPr="00401ECD">
              <w:rPr>
                <w:rFonts w:asciiTheme="minorBidi" w:hAnsiTheme="minorBidi" w:cstheme="minorBidi"/>
                <w:noProof/>
                <w:webHidden/>
                <w:color w:val="000000" w:themeColor="text1"/>
                <w:sz w:val="24"/>
                <w:szCs w:val="24"/>
              </w:rPr>
              <w:fldChar w:fldCharType="end"/>
            </w:r>
          </w:hyperlink>
        </w:p>
        <w:p w14:paraId="499B14CA" w14:textId="33551DB0"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58" w:history="1">
            <w:r w:rsidRPr="00401ECD">
              <w:rPr>
                <w:rStyle w:val="Hyperlink"/>
                <w:rFonts w:asciiTheme="minorBidi" w:hAnsiTheme="minorBidi" w:cstheme="minorBidi"/>
                <w:noProof/>
                <w:color w:val="000000" w:themeColor="text1"/>
                <w:sz w:val="24"/>
                <w:szCs w:val="24"/>
                <w:lang w:eastAsia="en-GB"/>
              </w:rPr>
              <w:t>2.2</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lang w:eastAsia="en-GB"/>
              </w:rPr>
              <w:t>Porter’s Competitive Strategies</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_Toc243553858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6</w:t>
            </w:r>
            <w:r w:rsidRPr="00401ECD">
              <w:rPr>
                <w:rFonts w:asciiTheme="minorBidi" w:hAnsiTheme="minorBidi" w:cstheme="minorBidi"/>
                <w:noProof/>
                <w:webHidden/>
                <w:color w:val="000000" w:themeColor="text1"/>
                <w:sz w:val="24"/>
                <w:szCs w:val="24"/>
              </w:rPr>
              <w:fldChar w:fldCharType="end"/>
            </w:r>
          </w:hyperlink>
        </w:p>
        <w:p w14:paraId="5D796F6F" w14:textId="0F1AC0A1" w:rsidR="00AC215F" w:rsidRPr="00401ECD" w:rsidRDefault="00AC215F" w:rsidP="00401ECD">
          <w:pPr>
            <w:pStyle w:val="TOC3"/>
            <w:tabs>
              <w:tab w:val="left" w:pos="1540"/>
              <w:tab w:val="right" w:leader="dot" w:pos="9016"/>
            </w:tabs>
            <w:spacing w:line="360" w:lineRule="auto"/>
            <w:jc w:val="both"/>
            <w:rPr>
              <w:rFonts w:asciiTheme="minorBidi" w:hAnsiTheme="minorBidi" w:cstheme="minorBidi"/>
              <w:noProof/>
              <w:color w:val="000000" w:themeColor="text1"/>
              <w:kern w:val="2"/>
              <w:sz w:val="24"/>
              <w:lang w:eastAsia="en-GB"/>
              <w14:ligatures w14:val="standardContextual"/>
            </w:rPr>
          </w:pPr>
          <w:hyperlink w:anchor="_Toc243553859" w:history="1">
            <w:r w:rsidRPr="00401ECD">
              <w:rPr>
                <w:rStyle w:val="Hyperlink"/>
                <w:rFonts w:asciiTheme="minorBidi" w:hAnsiTheme="minorBidi" w:cstheme="minorBidi"/>
                <w:noProof/>
                <w:color w:val="000000" w:themeColor="text1"/>
                <w:sz w:val="24"/>
              </w:rPr>
              <w:t>2.2.1</w:t>
            </w:r>
            <w:r w:rsidRPr="00401ECD">
              <w:rPr>
                <w:rFonts w:asciiTheme="minorBidi" w:hAnsiTheme="minorBidi" w:cstheme="minorBidi"/>
                <w:noProof/>
                <w:color w:val="000000" w:themeColor="text1"/>
                <w:kern w:val="2"/>
                <w:sz w:val="24"/>
                <w:lang w:eastAsia="en-GB"/>
                <w14:ligatures w14:val="standardContextual"/>
              </w:rPr>
              <w:tab/>
            </w:r>
            <w:r w:rsidRPr="00401ECD">
              <w:rPr>
                <w:rStyle w:val="Hyperlink"/>
                <w:rFonts w:asciiTheme="minorBidi" w:hAnsiTheme="minorBidi" w:cstheme="minorBidi"/>
                <w:noProof/>
                <w:color w:val="000000" w:themeColor="text1"/>
                <w:sz w:val="24"/>
              </w:rPr>
              <w:t>Differentiation with Cost Discipline</w:t>
            </w:r>
            <w:r w:rsidRPr="00401ECD">
              <w:rPr>
                <w:rFonts w:asciiTheme="minorBidi" w:hAnsiTheme="minorBidi" w:cstheme="minorBidi"/>
                <w:noProof/>
                <w:webHidden/>
                <w:color w:val="000000" w:themeColor="text1"/>
                <w:sz w:val="24"/>
              </w:rPr>
              <w:tab/>
            </w:r>
            <w:r w:rsidRPr="00401ECD">
              <w:rPr>
                <w:rFonts w:asciiTheme="minorBidi" w:hAnsiTheme="minorBidi" w:cstheme="minorBidi"/>
                <w:noProof/>
                <w:webHidden/>
                <w:color w:val="000000" w:themeColor="text1"/>
                <w:sz w:val="24"/>
              </w:rPr>
              <w:fldChar w:fldCharType="begin"/>
            </w:r>
            <w:r w:rsidRPr="00401ECD">
              <w:rPr>
                <w:rFonts w:asciiTheme="minorBidi" w:hAnsiTheme="minorBidi" w:cstheme="minorBidi"/>
                <w:noProof/>
                <w:webHidden/>
                <w:color w:val="000000" w:themeColor="text1"/>
                <w:sz w:val="24"/>
              </w:rPr>
              <w:instrText xml:space="preserve"> PAGEREF _Toc243553859 \h </w:instrText>
            </w:r>
            <w:r w:rsidRPr="00401ECD">
              <w:rPr>
                <w:rFonts w:asciiTheme="minorBidi" w:hAnsiTheme="minorBidi" w:cstheme="minorBidi"/>
                <w:noProof/>
                <w:webHidden/>
                <w:color w:val="000000" w:themeColor="text1"/>
                <w:sz w:val="24"/>
              </w:rPr>
            </w:r>
            <w:r w:rsidRPr="00401ECD">
              <w:rPr>
                <w:rFonts w:asciiTheme="minorBidi" w:hAnsiTheme="minorBidi" w:cstheme="minorBidi"/>
                <w:noProof/>
                <w:webHidden/>
                <w:color w:val="000000" w:themeColor="text1"/>
                <w:sz w:val="24"/>
              </w:rPr>
              <w:fldChar w:fldCharType="separate"/>
            </w:r>
            <w:r w:rsidRPr="00401ECD">
              <w:rPr>
                <w:rFonts w:asciiTheme="minorBidi" w:hAnsiTheme="minorBidi" w:cstheme="minorBidi"/>
                <w:noProof/>
                <w:webHidden/>
                <w:color w:val="000000" w:themeColor="text1"/>
                <w:sz w:val="24"/>
              </w:rPr>
              <w:t>6</w:t>
            </w:r>
            <w:r w:rsidRPr="00401ECD">
              <w:rPr>
                <w:rFonts w:asciiTheme="minorBidi" w:hAnsiTheme="minorBidi" w:cstheme="minorBidi"/>
                <w:noProof/>
                <w:webHidden/>
                <w:color w:val="000000" w:themeColor="text1"/>
                <w:sz w:val="24"/>
              </w:rPr>
              <w:fldChar w:fldCharType="end"/>
            </w:r>
          </w:hyperlink>
        </w:p>
        <w:p w14:paraId="16B4DE4D" w14:textId="495D8B25" w:rsidR="00AC215F" w:rsidRPr="00401ECD" w:rsidRDefault="00AC215F" w:rsidP="00401ECD">
          <w:pPr>
            <w:pStyle w:val="TOC3"/>
            <w:tabs>
              <w:tab w:val="left" w:pos="1540"/>
              <w:tab w:val="right" w:leader="dot" w:pos="9016"/>
            </w:tabs>
            <w:spacing w:line="360" w:lineRule="auto"/>
            <w:jc w:val="both"/>
            <w:rPr>
              <w:rFonts w:asciiTheme="minorBidi" w:hAnsiTheme="minorBidi" w:cstheme="minorBidi"/>
              <w:noProof/>
              <w:color w:val="000000" w:themeColor="text1"/>
              <w:kern w:val="2"/>
              <w:sz w:val="24"/>
              <w:lang w:eastAsia="en-GB"/>
              <w14:ligatures w14:val="standardContextual"/>
            </w:rPr>
          </w:pPr>
          <w:hyperlink w:anchor="_Toc243553860" w:history="1">
            <w:r w:rsidRPr="00401ECD">
              <w:rPr>
                <w:rStyle w:val="Hyperlink"/>
                <w:rFonts w:asciiTheme="minorBidi" w:hAnsiTheme="minorBidi" w:cstheme="minorBidi"/>
                <w:noProof/>
                <w:color w:val="000000" w:themeColor="text1"/>
                <w:sz w:val="24"/>
              </w:rPr>
              <w:t>2.2.2</w:t>
            </w:r>
            <w:r w:rsidRPr="00401ECD">
              <w:rPr>
                <w:rFonts w:asciiTheme="minorBidi" w:hAnsiTheme="minorBidi" w:cstheme="minorBidi"/>
                <w:noProof/>
                <w:color w:val="000000" w:themeColor="text1"/>
                <w:kern w:val="2"/>
                <w:sz w:val="24"/>
                <w:lang w:eastAsia="en-GB"/>
                <w14:ligatures w14:val="standardContextual"/>
              </w:rPr>
              <w:tab/>
            </w:r>
            <w:r w:rsidRPr="00401ECD">
              <w:rPr>
                <w:rStyle w:val="Hyperlink"/>
                <w:rFonts w:asciiTheme="minorBidi" w:hAnsiTheme="minorBidi" w:cstheme="minorBidi"/>
                <w:noProof/>
                <w:color w:val="000000" w:themeColor="text1"/>
                <w:sz w:val="24"/>
              </w:rPr>
              <w:t>Defensibility and the Risk of Imitation</w:t>
            </w:r>
            <w:r w:rsidRPr="00401ECD">
              <w:rPr>
                <w:rFonts w:asciiTheme="minorBidi" w:hAnsiTheme="minorBidi" w:cstheme="minorBidi"/>
                <w:noProof/>
                <w:webHidden/>
                <w:color w:val="000000" w:themeColor="text1"/>
                <w:sz w:val="24"/>
              </w:rPr>
              <w:tab/>
            </w:r>
            <w:r w:rsidRPr="00401ECD">
              <w:rPr>
                <w:rFonts w:asciiTheme="minorBidi" w:hAnsiTheme="minorBidi" w:cstheme="minorBidi"/>
                <w:noProof/>
                <w:webHidden/>
                <w:color w:val="000000" w:themeColor="text1"/>
                <w:sz w:val="24"/>
              </w:rPr>
              <w:fldChar w:fldCharType="begin"/>
            </w:r>
            <w:r w:rsidRPr="00401ECD">
              <w:rPr>
                <w:rFonts w:asciiTheme="minorBidi" w:hAnsiTheme="minorBidi" w:cstheme="minorBidi"/>
                <w:noProof/>
                <w:webHidden/>
                <w:color w:val="000000" w:themeColor="text1"/>
                <w:sz w:val="24"/>
              </w:rPr>
              <w:instrText xml:space="preserve"> PAGEREF _Toc243553860 \h </w:instrText>
            </w:r>
            <w:r w:rsidRPr="00401ECD">
              <w:rPr>
                <w:rFonts w:asciiTheme="minorBidi" w:hAnsiTheme="minorBidi" w:cstheme="minorBidi"/>
                <w:noProof/>
                <w:webHidden/>
                <w:color w:val="000000" w:themeColor="text1"/>
                <w:sz w:val="24"/>
              </w:rPr>
            </w:r>
            <w:r w:rsidRPr="00401ECD">
              <w:rPr>
                <w:rFonts w:asciiTheme="minorBidi" w:hAnsiTheme="minorBidi" w:cstheme="minorBidi"/>
                <w:noProof/>
                <w:webHidden/>
                <w:color w:val="000000" w:themeColor="text1"/>
                <w:sz w:val="24"/>
              </w:rPr>
              <w:fldChar w:fldCharType="separate"/>
            </w:r>
            <w:r w:rsidRPr="00401ECD">
              <w:rPr>
                <w:rFonts w:asciiTheme="minorBidi" w:hAnsiTheme="minorBidi" w:cstheme="minorBidi"/>
                <w:noProof/>
                <w:webHidden/>
                <w:color w:val="000000" w:themeColor="text1"/>
                <w:sz w:val="24"/>
              </w:rPr>
              <w:t>6</w:t>
            </w:r>
            <w:r w:rsidRPr="00401ECD">
              <w:rPr>
                <w:rFonts w:asciiTheme="minorBidi" w:hAnsiTheme="minorBidi" w:cstheme="minorBidi"/>
                <w:noProof/>
                <w:webHidden/>
                <w:color w:val="000000" w:themeColor="text1"/>
                <w:sz w:val="24"/>
              </w:rPr>
              <w:fldChar w:fldCharType="end"/>
            </w:r>
          </w:hyperlink>
        </w:p>
        <w:p w14:paraId="33C0F5CF" w14:textId="0C2E6050"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61" w:history="1">
            <w:r w:rsidRPr="00401ECD">
              <w:rPr>
                <w:rStyle w:val="Hyperlink"/>
                <w:rFonts w:asciiTheme="minorBidi" w:hAnsiTheme="minorBidi" w:cstheme="minorBidi"/>
                <w:noProof/>
                <w:color w:val="000000" w:themeColor="text1"/>
                <w:sz w:val="24"/>
                <w:szCs w:val="24"/>
                <w:lang w:eastAsia="en-GB"/>
              </w:rPr>
              <w:t>2.3</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lang w:eastAsia="en-GB"/>
              </w:rPr>
              <w:t>Designing the Offering around Industrial Procurement</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_Toc243553861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7</w:t>
            </w:r>
            <w:r w:rsidRPr="00401ECD">
              <w:rPr>
                <w:rFonts w:asciiTheme="minorBidi" w:hAnsiTheme="minorBidi" w:cstheme="minorBidi"/>
                <w:noProof/>
                <w:webHidden/>
                <w:color w:val="000000" w:themeColor="text1"/>
                <w:sz w:val="24"/>
                <w:szCs w:val="24"/>
              </w:rPr>
              <w:fldChar w:fldCharType="end"/>
            </w:r>
          </w:hyperlink>
        </w:p>
        <w:p w14:paraId="0CA2C4C5" w14:textId="0B128958"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62" w:history="1">
            <w:r w:rsidRPr="00401ECD">
              <w:rPr>
                <w:rStyle w:val="Hyperlink"/>
                <w:rFonts w:asciiTheme="minorBidi" w:hAnsiTheme="minorBidi" w:cstheme="minorBidi"/>
                <w:noProof/>
                <w:color w:val="000000" w:themeColor="text1"/>
                <w:sz w:val="24"/>
                <w:szCs w:val="24"/>
                <w:lang w:eastAsia="en-GB"/>
              </w:rPr>
              <w:t>2.4</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lang w:eastAsia="en-GB"/>
              </w:rPr>
              <w:t>Digital Technology and the Marketing Contribution</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_Toc243553862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7</w:t>
            </w:r>
            <w:r w:rsidRPr="00401ECD">
              <w:rPr>
                <w:rFonts w:asciiTheme="minorBidi" w:hAnsiTheme="minorBidi" w:cstheme="minorBidi"/>
                <w:noProof/>
                <w:webHidden/>
                <w:color w:val="000000" w:themeColor="text1"/>
                <w:sz w:val="24"/>
                <w:szCs w:val="24"/>
              </w:rPr>
              <w:fldChar w:fldCharType="end"/>
            </w:r>
          </w:hyperlink>
        </w:p>
        <w:p w14:paraId="5B636061" w14:textId="60B6886F"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63" w:history="1">
            <w:r w:rsidRPr="00401ECD">
              <w:rPr>
                <w:rStyle w:val="Hyperlink"/>
                <w:rFonts w:asciiTheme="minorBidi" w:hAnsiTheme="minorBidi" w:cstheme="minorBidi"/>
                <w:noProof/>
                <w:color w:val="000000" w:themeColor="text1"/>
                <w:sz w:val="24"/>
                <w:szCs w:val="24"/>
                <w:lang w:eastAsia="en-GB"/>
              </w:rPr>
              <w:t>2.5</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lang w:eastAsia="en-GB"/>
              </w:rPr>
              <w:t>Implementation and Performance Evaluation</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_Toc243553863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7</w:t>
            </w:r>
            <w:r w:rsidRPr="00401ECD">
              <w:rPr>
                <w:rFonts w:asciiTheme="minorBidi" w:hAnsiTheme="minorBidi" w:cstheme="minorBidi"/>
                <w:noProof/>
                <w:webHidden/>
                <w:color w:val="000000" w:themeColor="text1"/>
                <w:sz w:val="24"/>
                <w:szCs w:val="24"/>
              </w:rPr>
              <w:fldChar w:fldCharType="end"/>
            </w:r>
          </w:hyperlink>
        </w:p>
        <w:p w14:paraId="0E754687" w14:textId="7F292E15" w:rsidR="00AC215F" w:rsidRPr="00401ECD" w:rsidRDefault="00AC215F" w:rsidP="00401ECD">
          <w:pPr>
            <w:pStyle w:val="TOC1"/>
            <w:tabs>
              <w:tab w:val="left" w:pos="880"/>
              <w:tab w:val="right" w:leader="dot" w:pos="9016"/>
            </w:tabs>
            <w:spacing w:line="360"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43553864" w:history="1">
            <w:r w:rsidRPr="00401ECD">
              <w:rPr>
                <w:rStyle w:val="Hyperlink"/>
                <w:rFonts w:asciiTheme="minorBidi" w:hAnsiTheme="minorBidi" w:cstheme="minorBidi"/>
                <w:noProof/>
                <w:color w:val="000000" w:themeColor="text1"/>
                <w:szCs w:val="24"/>
              </w:rPr>
              <w:t>3</w:t>
            </w:r>
            <w:r w:rsidRPr="00401ECD">
              <w:rPr>
                <w:rFonts w:asciiTheme="minorBidi" w:hAnsiTheme="minorBidi" w:cstheme="minorBidi"/>
                <w:b w:val="0"/>
                <w:bCs w:val="0"/>
                <w:i w:val="0"/>
                <w:iCs w:val="0"/>
                <w:noProof/>
                <w:color w:val="000000" w:themeColor="text1"/>
                <w:kern w:val="2"/>
                <w:szCs w:val="24"/>
                <w:lang w:eastAsia="en-GB"/>
                <w14:ligatures w14:val="standardContextual"/>
              </w:rPr>
              <w:tab/>
            </w:r>
            <w:r w:rsidRPr="00401ECD">
              <w:rPr>
                <w:rStyle w:val="Hyperlink"/>
                <w:rFonts w:asciiTheme="minorBidi" w:hAnsiTheme="minorBidi" w:cstheme="minorBidi"/>
                <w:noProof/>
                <w:color w:val="000000" w:themeColor="text1"/>
                <w:szCs w:val="24"/>
              </w:rPr>
              <w:t>Task 3: Managerial and Professional Reflection</w:t>
            </w:r>
            <w:r w:rsidRPr="00401ECD">
              <w:rPr>
                <w:rFonts w:asciiTheme="minorBidi" w:hAnsiTheme="minorBidi" w:cstheme="minorBidi"/>
                <w:noProof/>
                <w:webHidden/>
                <w:color w:val="000000" w:themeColor="text1"/>
                <w:szCs w:val="24"/>
              </w:rPr>
              <w:tab/>
            </w:r>
            <w:r w:rsidRPr="00401ECD">
              <w:rPr>
                <w:rFonts w:asciiTheme="minorBidi" w:hAnsiTheme="minorBidi" w:cstheme="minorBidi"/>
                <w:noProof/>
                <w:webHidden/>
                <w:color w:val="000000" w:themeColor="text1"/>
                <w:szCs w:val="24"/>
              </w:rPr>
              <w:fldChar w:fldCharType="begin"/>
            </w:r>
            <w:r w:rsidRPr="00401ECD">
              <w:rPr>
                <w:rFonts w:asciiTheme="minorBidi" w:hAnsiTheme="minorBidi" w:cstheme="minorBidi"/>
                <w:noProof/>
                <w:webHidden/>
                <w:color w:val="000000" w:themeColor="text1"/>
                <w:szCs w:val="24"/>
              </w:rPr>
              <w:instrText xml:space="preserve"> PAGEREF _Toc243553864 \h </w:instrText>
            </w:r>
            <w:r w:rsidRPr="00401ECD">
              <w:rPr>
                <w:rFonts w:asciiTheme="minorBidi" w:hAnsiTheme="minorBidi" w:cstheme="minorBidi"/>
                <w:noProof/>
                <w:webHidden/>
                <w:color w:val="000000" w:themeColor="text1"/>
                <w:szCs w:val="24"/>
              </w:rPr>
            </w:r>
            <w:r w:rsidRPr="00401ECD">
              <w:rPr>
                <w:rFonts w:asciiTheme="minorBidi" w:hAnsiTheme="minorBidi" w:cstheme="minorBidi"/>
                <w:noProof/>
                <w:webHidden/>
                <w:color w:val="000000" w:themeColor="text1"/>
                <w:szCs w:val="24"/>
              </w:rPr>
              <w:fldChar w:fldCharType="separate"/>
            </w:r>
            <w:r w:rsidRPr="00401ECD">
              <w:rPr>
                <w:rFonts w:asciiTheme="minorBidi" w:hAnsiTheme="minorBidi" w:cstheme="minorBidi"/>
                <w:noProof/>
                <w:webHidden/>
                <w:color w:val="000000" w:themeColor="text1"/>
                <w:szCs w:val="24"/>
              </w:rPr>
              <w:t>8</w:t>
            </w:r>
            <w:r w:rsidRPr="00401ECD">
              <w:rPr>
                <w:rFonts w:asciiTheme="minorBidi" w:hAnsiTheme="minorBidi" w:cstheme="minorBidi"/>
                <w:noProof/>
                <w:webHidden/>
                <w:color w:val="000000" w:themeColor="text1"/>
                <w:szCs w:val="24"/>
              </w:rPr>
              <w:fldChar w:fldCharType="end"/>
            </w:r>
          </w:hyperlink>
        </w:p>
        <w:p w14:paraId="441F61FD" w14:textId="63AB64F4"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65" w:history="1">
            <w:r w:rsidRPr="00401ECD">
              <w:rPr>
                <w:rStyle w:val="Hyperlink"/>
                <w:rFonts w:asciiTheme="minorBidi" w:hAnsiTheme="minorBidi" w:cstheme="minorBidi"/>
                <w:noProof/>
                <w:color w:val="000000" w:themeColor="text1"/>
                <w:sz w:val="24"/>
                <w:szCs w:val="24"/>
              </w:rPr>
              <w:t>3.1</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rPr>
              <w:t>Company Selection and Strategic Focus</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_Toc243553865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8</w:t>
            </w:r>
            <w:r w:rsidRPr="00401ECD">
              <w:rPr>
                <w:rFonts w:asciiTheme="minorBidi" w:hAnsiTheme="minorBidi" w:cstheme="minorBidi"/>
                <w:noProof/>
                <w:webHidden/>
                <w:color w:val="000000" w:themeColor="text1"/>
                <w:sz w:val="24"/>
                <w:szCs w:val="24"/>
              </w:rPr>
              <w:fldChar w:fldCharType="end"/>
            </w:r>
          </w:hyperlink>
        </w:p>
        <w:p w14:paraId="02FF028D" w14:textId="3CC631B8"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66" w:history="1">
            <w:r w:rsidRPr="00401ECD">
              <w:rPr>
                <w:rStyle w:val="Hyperlink"/>
                <w:rFonts w:asciiTheme="minorBidi" w:hAnsiTheme="minorBidi" w:cstheme="minorBidi"/>
                <w:noProof/>
                <w:color w:val="000000" w:themeColor="text1"/>
                <w:sz w:val="24"/>
                <w:szCs w:val="24"/>
              </w:rPr>
              <w:t>3.2</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rPr>
              <w:t>Selection of Environmental Actors</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_Toc243553866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8</w:t>
            </w:r>
            <w:r w:rsidRPr="00401ECD">
              <w:rPr>
                <w:rFonts w:asciiTheme="minorBidi" w:hAnsiTheme="minorBidi" w:cstheme="minorBidi"/>
                <w:noProof/>
                <w:webHidden/>
                <w:color w:val="000000" w:themeColor="text1"/>
                <w:sz w:val="24"/>
                <w:szCs w:val="24"/>
              </w:rPr>
              <w:fldChar w:fldCharType="end"/>
            </w:r>
          </w:hyperlink>
        </w:p>
        <w:p w14:paraId="0C119452" w14:textId="13318E88"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67" w:history="1">
            <w:r w:rsidRPr="00401ECD">
              <w:rPr>
                <w:rStyle w:val="Hyperlink"/>
                <w:rFonts w:asciiTheme="minorBidi" w:hAnsiTheme="minorBidi" w:cstheme="minorBidi"/>
                <w:noProof/>
                <w:color w:val="000000" w:themeColor="text1"/>
                <w:sz w:val="24"/>
                <w:szCs w:val="24"/>
              </w:rPr>
              <w:t>3.3</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rPr>
              <w:t>Reflection on the Growth Recommendation</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_Toc243553867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8</w:t>
            </w:r>
            <w:r w:rsidRPr="00401ECD">
              <w:rPr>
                <w:rFonts w:asciiTheme="minorBidi" w:hAnsiTheme="minorBidi" w:cstheme="minorBidi"/>
                <w:noProof/>
                <w:webHidden/>
                <w:color w:val="000000" w:themeColor="text1"/>
                <w:sz w:val="24"/>
                <w:szCs w:val="24"/>
              </w:rPr>
              <w:fldChar w:fldCharType="end"/>
            </w:r>
          </w:hyperlink>
        </w:p>
        <w:p w14:paraId="1973D101" w14:textId="7A78FFCB"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68" w:history="1">
            <w:r w:rsidRPr="00401ECD">
              <w:rPr>
                <w:rStyle w:val="Hyperlink"/>
                <w:rFonts w:asciiTheme="minorBidi" w:hAnsiTheme="minorBidi" w:cstheme="minorBidi"/>
                <w:noProof/>
                <w:color w:val="000000" w:themeColor="text1"/>
                <w:sz w:val="24"/>
                <w:szCs w:val="24"/>
              </w:rPr>
              <w:t>3.4</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rPr>
              <w:t>Limitations and Further Information Required</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_Toc243553868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9</w:t>
            </w:r>
            <w:r w:rsidRPr="00401ECD">
              <w:rPr>
                <w:rFonts w:asciiTheme="minorBidi" w:hAnsiTheme="minorBidi" w:cstheme="minorBidi"/>
                <w:noProof/>
                <w:webHidden/>
                <w:color w:val="000000" w:themeColor="text1"/>
                <w:sz w:val="24"/>
                <w:szCs w:val="24"/>
              </w:rPr>
              <w:fldChar w:fldCharType="end"/>
            </w:r>
          </w:hyperlink>
        </w:p>
        <w:p w14:paraId="0B25DB37" w14:textId="2A728E25" w:rsidR="00AC215F" w:rsidRPr="00401ECD" w:rsidRDefault="00AC215F" w:rsidP="00401ECD">
          <w:pPr>
            <w:pStyle w:val="TOC2"/>
            <w:tabs>
              <w:tab w:val="left" w:pos="1320"/>
              <w:tab w:val="right" w:leader="dot" w:pos="9016"/>
            </w:tabs>
            <w:spacing w:line="360" w:lineRule="auto"/>
            <w:jc w:val="both"/>
            <w:rPr>
              <w:rFonts w:asciiTheme="minorBidi" w:hAnsiTheme="minorBidi" w:cstheme="minorBidi"/>
              <w:b w:val="0"/>
              <w:bCs w:val="0"/>
              <w:noProof/>
              <w:color w:val="000000" w:themeColor="text1"/>
              <w:kern w:val="2"/>
              <w:sz w:val="24"/>
              <w:szCs w:val="24"/>
              <w:lang w:eastAsia="en-GB"/>
              <w14:ligatures w14:val="standardContextual"/>
            </w:rPr>
          </w:pPr>
          <w:hyperlink w:anchor="_Toc243553869" w:history="1">
            <w:r w:rsidRPr="00401ECD">
              <w:rPr>
                <w:rStyle w:val="Hyperlink"/>
                <w:rFonts w:asciiTheme="minorBidi" w:hAnsiTheme="minorBidi" w:cstheme="minorBidi"/>
                <w:noProof/>
                <w:color w:val="000000" w:themeColor="text1"/>
                <w:sz w:val="24"/>
                <w:szCs w:val="24"/>
              </w:rPr>
              <w:t>3.5</w:t>
            </w:r>
            <w:r w:rsidRPr="00401ECD">
              <w:rPr>
                <w:rFonts w:asciiTheme="minorBidi" w:hAnsiTheme="minorBidi" w:cstheme="minorBidi"/>
                <w:b w:val="0"/>
                <w:bCs w:val="0"/>
                <w:noProof/>
                <w:color w:val="000000" w:themeColor="text1"/>
                <w:kern w:val="2"/>
                <w:sz w:val="24"/>
                <w:szCs w:val="24"/>
                <w:lang w:eastAsia="en-GB"/>
                <w14:ligatures w14:val="standardContextual"/>
              </w:rPr>
              <w:tab/>
            </w:r>
            <w:r w:rsidRPr="00401ECD">
              <w:rPr>
                <w:rStyle w:val="Hyperlink"/>
                <w:rFonts w:asciiTheme="minorBidi" w:hAnsiTheme="minorBidi" w:cstheme="minorBidi"/>
                <w:noProof/>
                <w:color w:val="000000" w:themeColor="text1"/>
                <w:sz w:val="24"/>
                <w:szCs w:val="24"/>
              </w:rPr>
              <w:t>Implications for Senior Leadership</w:t>
            </w:r>
            <w:r w:rsidRPr="00401ECD">
              <w:rPr>
                <w:rFonts w:asciiTheme="minorBidi" w:hAnsiTheme="minorBidi" w:cstheme="minorBidi"/>
                <w:noProof/>
                <w:webHidden/>
                <w:color w:val="000000" w:themeColor="text1"/>
                <w:sz w:val="24"/>
                <w:szCs w:val="24"/>
              </w:rPr>
              <w:tab/>
            </w:r>
            <w:r w:rsidRPr="00401ECD">
              <w:rPr>
                <w:rFonts w:asciiTheme="minorBidi" w:hAnsiTheme="minorBidi" w:cstheme="minorBidi"/>
                <w:noProof/>
                <w:webHidden/>
                <w:color w:val="000000" w:themeColor="text1"/>
                <w:sz w:val="24"/>
                <w:szCs w:val="24"/>
              </w:rPr>
              <w:fldChar w:fldCharType="begin"/>
            </w:r>
            <w:r w:rsidRPr="00401ECD">
              <w:rPr>
                <w:rFonts w:asciiTheme="minorBidi" w:hAnsiTheme="minorBidi" w:cstheme="minorBidi"/>
                <w:noProof/>
                <w:webHidden/>
                <w:color w:val="000000" w:themeColor="text1"/>
                <w:sz w:val="24"/>
                <w:szCs w:val="24"/>
              </w:rPr>
              <w:instrText xml:space="preserve"> PAGEREF _Toc243553869 \h </w:instrText>
            </w:r>
            <w:r w:rsidRPr="00401ECD">
              <w:rPr>
                <w:rFonts w:asciiTheme="minorBidi" w:hAnsiTheme="minorBidi" w:cstheme="minorBidi"/>
                <w:noProof/>
                <w:webHidden/>
                <w:color w:val="000000" w:themeColor="text1"/>
                <w:sz w:val="24"/>
                <w:szCs w:val="24"/>
              </w:rPr>
            </w:r>
            <w:r w:rsidRPr="00401ECD">
              <w:rPr>
                <w:rFonts w:asciiTheme="minorBidi" w:hAnsiTheme="minorBidi" w:cstheme="minorBidi"/>
                <w:noProof/>
                <w:webHidden/>
                <w:color w:val="000000" w:themeColor="text1"/>
                <w:sz w:val="24"/>
                <w:szCs w:val="24"/>
              </w:rPr>
              <w:fldChar w:fldCharType="separate"/>
            </w:r>
            <w:r w:rsidRPr="00401ECD">
              <w:rPr>
                <w:rFonts w:asciiTheme="minorBidi" w:hAnsiTheme="minorBidi" w:cstheme="minorBidi"/>
                <w:noProof/>
                <w:webHidden/>
                <w:color w:val="000000" w:themeColor="text1"/>
                <w:sz w:val="24"/>
                <w:szCs w:val="24"/>
              </w:rPr>
              <w:t>9</w:t>
            </w:r>
            <w:r w:rsidRPr="00401ECD">
              <w:rPr>
                <w:rFonts w:asciiTheme="minorBidi" w:hAnsiTheme="minorBidi" w:cstheme="minorBidi"/>
                <w:noProof/>
                <w:webHidden/>
                <w:color w:val="000000" w:themeColor="text1"/>
                <w:sz w:val="24"/>
                <w:szCs w:val="24"/>
              </w:rPr>
              <w:fldChar w:fldCharType="end"/>
            </w:r>
          </w:hyperlink>
        </w:p>
        <w:p w14:paraId="465778A0" w14:textId="043E2E53" w:rsidR="00AC215F" w:rsidRPr="00401ECD" w:rsidRDefault="00AC215F" w:rsidP="00401ECD">
          <w:pPr>
            <w:pStyle w:val="TOC1"/>
            <w:tabs>
              <w:tab w:val="left" w:pos="880"/>
              <w:tab w:val="right" w:leader="dot" w:pos="9016"/>
            </w:tabs>
            <w:spacing w:line="360" w:lineRule="auto"/>
            <w:jc w:val="both"/>
            <w:rPr>
              <w:rFonts w:asciiTheme="minorBidi" w:hAnsiTheme="minorBidi" w:cstheme="minorBidi"/>
              <w:b w:val="0"/>
              <w:bCs w:val="0"/>
              <w:i w:val="0"/>
              <w:iCs w:val="0"/>
              <w:noProof/>
              <w:color w:val="000000" w:themeColor="text1"/>
              <w:kern w:val="2"/>
              <w:szCs w:val="24"/>
              <w:lang w:eastAsia="en-GB"/>
              <w14:ligatures w14:val="standardContextual"/>
            </w:rPr>
          </w:pPr>
          <w:hyperlink w:anchor="_Toc243553870" w:history="1">
            <w:r w:rsidRPr="00401ECD">
              <w:rPr>
                <w:rStyle w:val="Hyperlink"/>
                <w:rFonts w:asciiTheme="minorBidi" w:eastAsia="Times New Roman" w:hAnsiTheme="minorBidi" w:cstheme="minorBidi"/>
                <w:noProof/>
                <w:color w:val="000000" w:themeColor="text1"/>
                <w:szCs w:val="24"/>
                <w:lang w:eastAsia="en-GB"/>
              </w:rPr>
              <w:t>4</w:t>
            </w:r>
            <w:r w:rsidRPr="00401ECD">
              <w:rPr>
                <w:rFonts w:asciiTheme="minorBidi" w:hAnsiTheme="minorBidi" w:cstheme="minorBidi"/>
                <w:b w:val="0"/>
                <w:bCs w:val="0"/>
                <w:i w:val="0"/>
                <w:iCs w:val="0"/>
                <w:noProof/>
                <w:color w:val="000000" w:themeColor="text1"/>
                <w:kern w:val="2"/>
                <w:szCs w:val="24"/>
                <w:lang w:eastAsia="en-GB"/>
                <w14:ligatures w14:val="standardContextual"/>
              </w:rPr>
              <w:tab/>
            </w:r>
            <w:r w:rsidRPr="00401ECD">
              <w:rPr>
                <w:rStyle w:val="Hyperlink"/>
                <w:rFonts w:asciiTheme="minorBidi" w:eastAsia="Times New Roman" w:hAnsiTheme="minorBidi" w:cstheme="minorBidi"/>
                <w:noProof/>
                <w:color w:val="000000" w:themeColor="text1"/>
                <w:szCs w:val="24"/>
                <w:lang w:eastAsia="en-GB"/>
              </w:rPr>
              <w:t>References</w:t>
            </w:r>
            <w:r w:rsidRPr="00401ECD">
              <w:rPr>
                <w:rFonts w:asciiTheme="minorBidi" w:hAnsiTheme="minorBidi" w:cstheme="minorBidi"/>
                <w:noProof/>
                <w:webHidden/>
                <w:color w:val="000000" w:themeColor="text1"/>
                <w:szCs w:val="24"/>
              </w:rPr>
              <w:tab/>
            </w:r>
            <w:r w:rsidRPr="00401ECD">
              <w:rPr>
                <w:rFonts w:asciiTheme="minorBidi" w:hAnsiTheme="minorBidi" w:cstheme="minorBidi"/>
                <w:noProof/>
                <w:webHidden/>
                <w:color w:val="000000" w:themeColor="text1"/>
                <w:szCs w:val="24"/>
              </w:rPr>
              <w:fldChar w:fldCharType="begin"/>
            </w:r>
            <w:r w:rsidRPr="00401ECD">
              <w:rPr>
                <w:rFonts w:asciiTheme="minorBidi" w:hAnsiTheme="minorBidi" w:cstheme="minorBidi"/>
                <w:noProof/>
                <w:webHidden/>
                <w:color w:val="000000" w:themeColor="text1"/>
                <w:szCs w:val="24"/>
              </w:rPr>
              <w:instrText xml:space="preserve"> PAGEREF _Toc243553870 \h </w:instrText>
            </w:r>
            <w:r w:rsidRPr="00401ECD">
              <w:rPr>
                <w:rFonts w:asciiTheme="minorBidi" w:hAnsiTheme="minorBidi" w:cstheme="minorBidi"/>
                <w:noProof/>
                <w:webHidden/>
                <w:color w:val="000000" w:themeColor="text1"/>
                <w:szCs w:val="24"/>
              </w:rPr>
            </w:r>
            <w:r w:rsidRPr="00401ECD">
              <w:rPr>
                <w:rFonts w:asciiTheme="minorBidi" w:hAnsiTheme="minorBidi" w:cstheme="minorBidi"/>
                <w:noProof/>
                <w:webHidden/>
                <w:color w:val="000000" w:themeColor="text1"/>
                <w:szCs w:val="24"/>
              </w:rPr>
              <w:fldChar w:fldCharType="separate"/>
            </w:r>
            <w:r w:rsidRPr="00401ECD">
              <w:rPr>
                <w:rFonts w:asciiTheme="minorBidi" w:hAnsiTheme="minorBidi" w:cstheme="minorBidi"/>
                <w:noProof/>
                <w:webHidden/>
                <w:color w:val="000000" w:themeColor="text1"/>
                <w:szCs w:val="24"/>
              </w:rPr>
              <w:t>9</w:t>
            </w:r>
            <w:r w:rsidRPr="00401ECD">
              <w:rPr>
                <w:rFonts w:asciiTheme="minorBidi" w:hAnsiTheme="minorBidi" w:cstheme="minorBidi"/>
                <w:noProof/>
                <w:webHidden/>
                <w:color w:val="000000" w:themeColor="text1"/>
                <w:szCs w:val="24"/>
              </w:rPr>
              <w:fldChar w:fldCharType="end"/>
            </w:r>
          </w:hyperlink>
        </w:p>
        <w:p w14:paraId="24A68EB9" w14:textId="6442976C" w:rsidR="00AC215F" w:rsidRPr="00401ECD" w:rsidRDefault="00AC215F" w:rsidP="00401ECD">
          <w:pPr>
            <w:spacing w:line="360" w:lineRule="auto"/>
            <w:jc w:val="both"/>
            <w:rPr>
              <w:rFonts w:asciiTheme="minorBidi" w:hAnsiTheme="minorBidi"/>
              <w:color w:val="000000" w:themeColor="text1"/>
              <w:sz w:val="24"/>
              <w:szCs w:val="24"/>
            </w:rPr>
          </w:pPr>
          <w:r w:rsidRPr="00401ECD">
            <w:rPr>
              <w:rFonts w:asciiTheme="minorBidi" w:hAnsiTheme="minorBidi"/>
              <w:b/>
              <w:bCs/>
              <w:noProof/>
              <w:color w:val="000000" w:themeColor="text1"/>
              <w:sz w:val="24"/>
              <w:szCs w:val="24"/>
            </w:rPr>
            <w:fldChar w:fldCharType="end"/>
          </w:r>
        </w:p>
      </w:sdtContent>
    </w:sdt>
    <w:p w14:paraId="7D4EBB0D" w14:textId="77777777" w:rsidR="00AC215F" w:rsidRPr="00401ECD" w:rsidRDefault="00AC215F" w:rsidP="00401ECD">
      <w:pPr>
        <w:pStyle w:val="NoSpacing"/>
        <w:spacing w:line="360" w:lineRule="auto"/>
        <w:jc w:val="both"/>
        <w:rPr>
          <w:rFonts w:asciiTheme="minorBidi" w:eastAsia="Times New Roman" w:hAnsiTheme="minorBidi"/>
          <w:color w:val="000000" w:themeColor="text1"/>
          <w:sz w:val="24"/>
          <w:szCs w:val="24"/>
          <w:lang w:eastAsia="en-GB"/>
        </w:rPr>
      </w:pPr>
    </w:p>
    <w:p w14:paraId="6ABACB90" w14:textId="77777777" w:rsidR="00561932" w:rsidRPr="00401ECD" w:rsidRDefault="00561932" w:rsidP="00401ECD">
      <w:pPr>
        <w:pStyle w:val="Heading1"/>
        <w:spacing w:line="360" w:lineRule="auto"/>
        <w:jc w:val="both"/>
        <w:rPr>
          <w:sz w:val="24"/>
          <w:szCs w:val="24"/>
        </w:rPr>
      </w:pPr>
      <w:bookmarkStart w:id="1" w:name="_Toc243553847"/>
      <w:r w:rsidRPr="00401ECD">
        <w:rPr>
          <w:sz w:val="24"/>
          <w:szCs w:val="24"/>
        </w:rPr>
        <w:t>Task 1: Critical Analysis of Two External Marketing Environment Actors</w:t>
      </w:r>
      <w:bookmarkEnd w:id="1"/>
    </w:p>
    <w:p w14:paraId="1B20334C" w14:textId="6C647E62" w:rsidR="00561932" w:rsidRPr="00401ECD" w:rsidRDefault="00561932" w:rsidP="00401ECD">
      <w:pPr>
        <w:pStyle w:val="Heading2"/>
        <w:spacing w:line="360" w:lineRule="auto"/>
        <w:jc w:val="both"/>
      </w:pPr>
      <w:bookmarkStart w:id="2" w:name="_Toc243553848"/>
      <w:r w:rsidRPr="00401ECD">
        <w:t>Organisational Context</w:t>
      </w:r>
      <w:bookmarkEnd w:id="2"/>
    </w:p>
    <w:p w14:paraId="67647B5E"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BHP's customers are in markets where industrial customers evaluate mineral quality, reliability of supply, price and now in many instances environmental attributes of supply. Therefore, its marketing department must be able to relate to the changing external environment to come up with commercially viable products and services. This is more than an argument about the role of copper in electrification – as greater demand for minerals comes with greater emissions during production, including environmental impacts and community resistance (Jowitt et al., 2020; Lèbre et al., 2020; Sovacool et al., 2020).</w:t>
      </w:r>
    </w:p>
    <w:p w14:paraId="4C72B3B1" w14:textId="25B59530"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This analysis focuses on two external factors: the natural environment and the political–legal environment. Their interaction provides room for BHP to distinguish their copper by having their environmental information verified, but also restricts how this can be communicated. The main premise is that environmental performance is only beneficial to a marketing strategy if the customer is able to assess differences in environmental performance that are credible and relevant to the competition between different supplies.</w:t>
      </w:r>
    </w:p>
    <w:p w14:paraId="1AAB45FE" w14:textId="4ACF07FD" w:rsidR="00561932" w:rsidRPr="00401ECD" w:rsidRDefault="00561932" w:rsidP="00401ECD">
      <w:pPr>
        <w:pStyle w:val="Heading2"/>
        <w:spacing w:line="360" w:lineRule="auto"/>
        <w:jc w:val="both"/>
        <w:rPr>
          <w:lang w:eastAsia="en-GB"/>
        </w:rPr>
      </w:pPr>
      <w:bookmarkStart w:id="3" w:name="_Toc243553849"/>
      <w:r w:rsidRPr="00401ECD">
        <w:rPr>
          <w:lang w:eastAsia="en-GB"/>
        </w:rPr>
        <w:t>The Natural Environment</w:t>
      </w:r>
      <w:bookmarkEnd w:id="3"/>
    </w:p>
    <w:p w14:paraId="37A8D8CC" w14:textId="157F8D41" w:rsidR="00561932" w:rsidRPr="00401ECD" w:rsidRDefault="00561932" w:rsidP="00401ECD">
      <w:pPr>
        <w:pStyle w:val="Heading3"/>
        <w:spacing w:line="360" w:lineRule="auto"/>
        <w:jc w:val="both"/>
      </w:pPr>
      <w:bookmarkStart w:id="4" w:name="_Toc243553850"/>
      <w:r w:rsidRPr="00401ECD">
        <w:t>Climate Change and the Boundaries of Environmental Claims</w:t>
      </w:r>
      <w:bookmarkEnd w:id="4"/>
    </w:p>
    <w:p w14:paraId="37AF58C1"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Decarbonisation produces a contradiction commercial environment. Copper is used to power electricity systems and low carbon technologies, and its extraction and processing requires energy and emits emissions. Thus, the notion of energy transition-related demand does not necessarily lead to the sustainability of particular mining activities. Assessments need to account for the positive impacts of mineral use downstream and the environmental costs of mineral production (Azadi et al., 2020; Rötzer &amp; Schmidt, 2020; Sovacool et al., 2020).</w:t>
      </w:r>
    </w:p>
    <w:p w14:paraId="6FD0BF0C" w14:textId="40419784"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The FY2026 Scope 3 inventory reported by BHP is 429.0 Mt CO</w:t>
      </w:r>
      <w:r w:rsidRPr="00401ECD">
        <w:rPr>
          <w:rFonts w:ascii="Cambria Math" w:hAnsi="Cambria Math" w:cs="Cambria Math"/>
          <w:color w:val="000000" w:themeColor="text1"/>
          <w:sz w:val="24"/>
          <w:szCs w:val="24"/>
        </w:rPr>
        <w:t>₂</w:t>
      </w:r>
      <w:r w:rsidRPr="00401ECD">
        <w:rPr>
          <w:rFonts w:asciiTheme="minorBidi" w:hAnsiTheme="minorBidi"/>
          <w:color w:val="000000" w:themeColor="text1"/>
          <w:sz w:val="24"/>
          <w:szCs w:val="24"/>
        </w:rPr>
        <w:t xml:space="preserve">-e. The volume of sold products that were processed is 367.2 million tonnes, which is significantly higher than other categories. It is important to note that focusing only on emissions </w:t>
      </w:r>
      <w:r w:rsidRPr="00401ECD">
        <w:rPr>
          <w:rFonts w:asciiTheme="minorBidi" w:hAnsiTheme="minorBidi"/>
          <w:color w:val="000000" w:themeColor="text1"/>
          <w:sz w:val="24"/>
          <w:szCs w:val="24"/>
        </w:rPr>
        <w:lastRenderedPageBreak/>
        <w:t xml:space="preserve">from BHP's own business operations will not give a complete picture of BHP's value-chain exposure, as can be seen in Figure 1 (BHP, 2026a). </w:t>
      </w:r>
    </w:p>
    <w:p w14:paraId="298B473A" w14:textId="631B7CFB" w:rsidR="00401ECD" w:rsidRPr="00401ECD" w:rsidRDefault="00401ECD" w:rsidP="00401ECD">
      <w:pPr>
        <w:spacing w:line="360" w:lineRule="auto"/>
        <w:ind w:firstLine="0"/>
        <w:jc w:val="both"/>
        <w:rPr>
          <w:rFonts w:asciiTheme="minorBidi" w:hAnsiTheme="minorBidi"/>
          <w:color w:val="000000" w:themeColor="text1"/>
          <w:sz w:val="24"/>
          <w:szCs w:val="24"/>
        </w:rPr>
      </w:pPr>
      <w:r w:rsidRPr="00401ECD">
        <w:rPr>
          <w:rFonts w:asciiTheme="minorBidi" w:hAnsiTheme="minorBidi"/>
          <w:color w:val="000000" w:themeColor="text1"/>
          <w:sz w:val="24"/>
          <w:szCs w:val="24"/>
        </w:rPr>
        <w:drawing>
          <wp:inline distT="0" distB="0" distL="0" distR="0" wp14:anchorId="30969365" wp14:editId="4398304D">
            <wp:extent cx="5731510" cy="3586480"/>
            <wp:effectExtent l="0" t="0" r="0" b="0"/>
            <wp:docPr id="375772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772079" name=""/>
                    <pic:cNvPicPr/>
                  </pic:nvPicPr>
                  <pic:blipFill>
                    <a:blip r:embed="rId10"/>
                    <a:stretch>
                      <a:fillRect/>
                    </a:stretch>
                  </pic:blipFill>
                  <pic:spPr>
                    <a:xfrm>
                      <a:off x="0" y="0"/>
                      <a:ext cx="5731510" cy="3586480"/>
                    </a:xfrm>
                    <a:prstGeom prst="rect">
                      <a:avLst/>
                    </a:prstGeom>
                  </pic:spPr>
                </pic:pic>
              </a:graphicData>
            </a:graphic>
          </wp:inline>
        </w:drawing>
      </w:r>
    </w:p>
    <w:p w14:paraId="5CB0AD5F" w14:textId="045A53DA"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b/>
          <w:bCs/>
          <w:color w:val="000000" w:themeColor="text1"/>
          <w:sz w:val="24"/>
          <w:szCs w:val="24"/>
          <w:lang w:eastAsia="en-GB"/>
        </w:rPr>
        <w:t>Figure 1. Composition of BHP’s reported FY2026 Scope 3 emissions</w:t>
      </w:r>
      <w:r w:rsidR="00AC215F" w:rsidRPr="00401ECD">
        <w:rPr>
          <w:rFonts w:asciiTheme="minorBidi" w:eastAsia="Times New Roman" w:hAnsiTheme="minorBidi"/>
          <w:color w:val="000000" w:themeColor="text1"/>
          <w:sz w:val="24"/>
          <w:szCs w:val="24"/>
          <w:lang w:eastAsia="en-GB"/>
        </w:rPr>
        <w:t xml:space="preserve">, </w:t>
      </w:r>
      <w:r w:rsidRPr="00401ECD">
        <w:rPr>
          <w:rFonts w:asciiTheme="minorBidi" w:eastAsia="Times New Roman" w:hAnsiTheme="minorBidi"/>
          <w:i/>
          <w:iCs/>
          <w:color w:val="000000" w:themeColor="text1"/>
          <w:sz w:val="24"/>
          <w:szCs w:val="24"/>
          <w:lang w:eastAsia="en-GB"/>
        </w:rPr>
        <w:t>Source:</w:t>
      </w:r>
      <w:r w:rsidRPr="00401ECD">
        <w:rPr>
          <w:rFonts w:asciiTheme="minorBidi" w:eastAsia="Times New Roman" w:hAnsiTheme="minorBidi"/>
          <w:color w:val="000000" w:themeColor="text1"/>
          <w:sz w:val="24"/>
          <w:szCs w:val="24"/>
          <w:lang w:eastAsia="en-GB"/>
        </w:rPr>
        <w:t xml:space="preserve"> Author’s own work based on BHP (2026a).</w:t>
      </w:r>
    </w:p>
    <w:p w14:paraId="58EBB223"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There are also some cautions regarding corporate emissions. BHP has seen a net rise in operational inventory from 8.7 million tonnes to 9.4 million tonnes from FY2025 to FY2026 as shown in Figure 2. The totals are not comparable because of activity and methodological changes; they do not provide any information about the carbon-intensity of a specific copper shipment (BHP, 2026a).</w:t>
      </w:r>
    </w:p>
    <w:p w14:paraId="50233EAC" w14:textId="5787DC96" w:rsidR="00401ECD" w:rsidRPr="00401ECD" w:rsidRDefault="00401ECD" w:rsidP="00401ECD">
      <w:pPr>
        <w:spacing w:line="360" w:lineRule="auto"/>
        <w:ind w:firstLine="0"/>
        <w:jc w:val="both"/>
        <w:rPr>
          <w:rFonts w:asciiTheme="minorBidi" w:hAnsiTheme="minorBidi"/>
          <w:color w:val="000000" w:themeColor="text1"/>
          <w:sz w:val="24"/>
          <w:szCs w:val="24"/>
        </w:rPr>
      </w:pPr>
      <w:r w:rsidRPr="00401ECD">
        <w:rPr>
          <w:rFonts w:asciiTheme="minorBidi" w:hAnsiTheme="minorBidi"/>
          <w:color w:val="000000" w:themeColor="text1"/>
          <w:sz w:val="24"/>
          <w:szCs w:val="24"/>
        </w:rPr>
        <w:lastRenderedPageBreak/>
        <w:drawing>
          <wp:inline distT="0" distB="0" distL="0" distR="0" wp14:anchorId="12264E92" wp14:editId="4CAF97EB">
            <wp:extent cx="5731510" cy="3216275"/>
            <wp:effectExtent l="0" t="0" r="0" b="0"/>
            <wp:docPr id="835568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568111" name=""/>
                    <pic:cNvPicPr/>
                  </pic:nvPicPr>
                  <pic:blipFill>
                    <a:blip r:embed="rId11"/>
                    <a:stretch>
                      <a:fillRect/>
                    </a:stretch>
                  </pic:blipFill>
                  <pic:spPr>
                    <a:xfrm>
                      <a:off x="0" y="0"/>
                      <a:ext cx="5731510" cy="3216275"/>
                    </a:xfrm>
                    <a:prstGeom prst="rect">
                      <a:avLst/>
                    </a:prstGeom>
                  </pic:spPr>
                </pic:pic>
              </a:graphicData>
            </a:graphic>
          </wp:inline>
        </w:drawing>
      </w:r>
    </w:p>
    <w:p w14:paraId="79BF5B00" w14:textId="09DE7211"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b/>
          <w:bCs/>
          <w:color w:val="000000" w:themeColor="text1"/>
          <w:sz w:val="24"/>
          <w:szCs w:val="24"/>
          <w:lang w:eastAsia="en-GB"/>
        </w:rPr>
        <w:t>Figure 2. Change in BHP’s unadjusted operational emissions</w:t>
      </w:r>
      <w:r w:rsidRPr="00401ECD">
        <w:rPr>
          <w:rFonts w:asciiTheme="minorBidi" w:eastAsia="Times New Roman" w:hAnsiTheme="minorBidi"/>
          <w:color w:val="000000" w:themeColor="text1"/>
          <w:sz w:val="24"/>
          <w:szCs w:val="24"/>
          <w:lang w:eastAsia="en-GB"/>
        </w:rPr>
        <w:t xml:space="preserve">, </w:t>
      </w:r>
      <w:r w:rsidRPr="00401ECD">
        <w:rPr>
          <w:rFonts w:asciiTheme="minorBidi" w:eastAsia="Times New Roman" w:hAnsiTheme="minorBidi"/>
          <w:i/>
          <w:iCs/>
          <w:color w:val="000000" w:themeColor="text1"/>
          <w:sz w:val="24"/>
          <w:szCs w:val="24"/>
          <w:lang w:eastAsia="en-GB"/>
        </w:rPr>
        <w:t>Source:</w:t>
      </w:r>
      <w:r w:rsidRPr="00401ECD">
        <w:rPr>
          <w:rFonts w:asciiTheme="minorBidi" w:eastAsia="Times New Roman" w:hAnsiTheme="minorBidi"/>
          <w:color w:val="000000" w:themeColor="text1"/>
          <w:sz w:val="24"/>
          <w:szCs w:val="24"/>
          <w:lang w:eastAsia="en-GB"/>
        </w:rPr>
        <w:t xml:space="preserve"> Author’s own work based on BHP (2026a).</w:t>
      </w:r>
    </w:p>
    <w:p w14:paraId="14AF6E0D" w14:textId="13F7CFBF"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The marketing implication is that the progress of the company and the performance of its products are two separate things – and they need proof. Life cycle assessments rely on the definition of the system boundaries, as well as assumptions concerning electricity and allocation and data quality. These differences can be overlooked in the comparisons that are made, and this can make the product benefits seem even better (Azadi et al., 2020; Rachid et al., 2023). Marketing should therefore not build up general sustainability claims, but rather bring the technically proven information to the procurement process.</w:t>
      </w:r>
    </w:p>
    <w:p w14:paraId="20352450" w14:textId="184F77AA" w:rsidR="00561932" w:rsidRPr="00401ECD" w:rsidRDefault="00561932" w:rsidP="00401ECD">
      <w:pPr>
        <w:pStyle w:val="Heading3"/>
        <w:spacing w:line="360" w:lineRule="auto"/>
        <w:jc w:val="both"/>
      </w:pPr>
      <w:bookmarkStart w:id="5" w:name="_Toc243553851"/>
      <w:r w:rsidRPr="00401ECD">
        <w:t>Energy, Ore Quality and Water Constraints</w:t>
      </w:r>
      <w:bookmarkEnd w:id="5"/>
    </w:p>
    <w:p w14:paraId="0AF09EE0"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6" w:name="_Toc243553852"/>
      <w:r w:rsidRPr="00401ECD">
        <w:rPr>
          <w:rFonts w:asciiTheme="minorBidi" w:hAnsiTheme="minorBidi"/>
          <w:color w:val="000000" w:themeColor="text1"/>
          <w:sz w:val="24"/>
          <w:szCs w:val="24"/>
        </w:rPr>
        <w:t>Production costs and reliability of production are also dependent on environmental conditions. A decrease in ore grades may lead to an increase in material processed per tonne of copper, which can lead to higher energy consumption unless technological advances counter this trend. Renewable electricity may help with the reduction of some emissions, but the extent to which this can contribute will depend on the energy needs of specific operations and the infrastructure in place (Li et al., 2024; Rötzer &amp; Schmidt, 2020).</w:t>
      </w:r>
    </w:p>
    <w:p w14:paraId="4C0BA348"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lastRenderedPageBreak/>
        <w:t>There is an opportunity for electrification but there is a difference between technical potential and demonstrated commercial performance. Aydogdu et al (2024) model the potential for emissions reduction for copper-mine haulage systems, but do not determine the same reduction potential in the case of BHP. Likewise, at copper mines in China, evidence was found to identify potential areas for improvement, but cannot be readily translated to mines with different geology or electricity conditions (Lu et al., 2023).</w:t>
      </w:r>
    </w:p>
    <w:p w14:paraId="7583EBED"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In a water scarce environment there are further trade-offs. More electricity or infrastructure could result from measures to improve water security, shifting environmental pressures instead of alleviating them. Thus, Negrete et al. (2024) show the need to consider the decarbonisation in relation to broader socio–environmental impacts. For BHP's marketing team, promises should consider these operating requirements rather than its core business being uninterrupted.</w:t>
      </w:r>
    </w:p>
    <w:p w14:paraId="0B43F503" w14:textId="792FD8D0" w:rsidR="00561932" w:rsidRPr="00401ECD" w:rsidRDefault="00561932" w:rsidP="00401ECD">
      <w:pPr>
        <w:pStyle w:val="Heading3"/>
        <w:spacing w:line="360" w:lineRule="auto"/>
        <w:jc w:val="both"/>
      </w:pPr>
      <w:r w:rsidRPr="00401ECD">
        <w:t>Biodiversity, Land and Community Relationships</w:t>
      </w:r>
      <w:bookmarkEnd w:id="6"/>
    </w:p>
    <w:p w14:paraId="2963FEDE"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7" w:name="_Toc243553853"/>
      <w:r w:rsidRPr="00401ECD">
        <w:rPr>
          <w:rFonts w:asciiTheme="minorBidi" w:hAnsiTheme="minorBidi"/>
          <w:color w:val="000000" w:themeColor="text1"/>
          <w:sz w:val="24"/>
          <w:szCs w:val="24"/>
        </w:rPr>
        <w:t>Communication can gloss over the issue of climate and make biodiversity and social impacts seem invisible. There are potential conflicts between mineral extraction for renewable energy and biodiversity protection as identified by Sonter et al. (2020) Lèbre et al. (2020) also demonstrate that energy-transition minerals are linked to intricate environmental and social situations. It is therefore not possible to automatically compensate for ecosystem and/or livelihood damage by a climate-related benefit.</w:t>
      </w:r>
    </w:p>
    <w:p w14:paraId="7C3554C0"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Owen et al. (2023) also provide evidence of the land–people nexus of transition minerals. Relationships with the community should therefore be interpreted as a precondition of responsible production, and not as a promotional asset. While BHP's marketing can share statements of substantiated commitments and customer-relevant evidence, it cannot take the place of consultation, operational accountability or independent scrutiny. All of these constraints make environmental differentiation a cross functional responsibility.</w:t>
      </w:r>
    </w:p>
    <w:p w14:paraId="06F248FA" w14:textId="2383066B" w:rsidR="00561932" w:rsidRPr="00401ECD" w:rsidRDefault="00561932" w:rsidP="00401ECD">
      <w:pPr>
        <w:pStyle w:val="Heading2"/>
        <w:spacing w:line="360" w:lineRule="auto"/>
        <w:jc w:val="both"/>
        <w:rPr>
          <w:lang w:eastAsia="en-GB"/>
        </w:rPr>
      </w:pPr>
      <w:r w:rsidRPr="00401ECD">
        <w:rPr>
          <w:lang w:eastAsia="en-GB"/>
        </w:rPr>
        <w:t>The Political–Legal Environment</w:t>
      </w:r>
      <w:bookmarkEnd w:id="7"/>
    </w:p>
    <w:p w14:paraId="17E64CAE" w14:textId="16122CD5" w:rsidR="00561932" w:rsidRPr="00401ECD" w:rsidRDefault="00561932" w:rsidP="00401ECD">
      <w:pPr>
        <w:pStyle w:val="Heading3"/>
        <w:spacing w:line="360" w:lineRule="auto"/>
        <w:jc w:val="both"/>
      </w:pPr>
      <w:bookmarkStart w:id="8" w:name="_Toc243553854"/>
      <w:r w:rsidRPr="00401ECD">
        <w:t>Carbon Policy and Uneven Competitive Effects</w:t>
      </w:r>
      <w:bookmarkEnd w:id="8"/>
    </w:p>
    <w:p w14:paraId="20A4733F"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9" w:name="_Toc243553855"/>
      <w:r w:rsidRPr="00401ECD">
        <w:rPr>
          <w:rFonts w:asciiTheme="minorBidi" w:hAnsiTheme="minorBidi"/>
          <w:color w:val="000000" w:themeColor="text1"/>
          <w:sz w:val="24"/>
          <w:szCs w:val="24"/>
        </w:rPr>
        <w:lastRenderedPageBreak/>
        <w:t>Carbon policy can change relative attractiveness of mineral portfolios and production routes. But impacts are different for different commodities and across jurisdictions. Cox et al. (2022) simulate a global carbon tax and conclude that the impacts are different for various mining operations. Their analysis also suggests that exposure may be worth examining, and that carbon pricing doesn't necessarily have a negative impact on a mining firm.</w:t>
      </w:r>
    </w:p>
    <w:p w14:paraId="5FE5ECC9"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Customers' exposure, competing suppliers' performance and availability of comparable emissions information are factors that affect BHP in regards to policy related opportunities. If a customer has more stringent carbon related responsibilities, that customer may want reliable environmental information, but does not necessarily represent a willingness to pay a premium. The risk of mineral supply also differs by commodity and therefore procurement is impacted by concentration, disruption, and substitution (Nassar et al., 2020).</w:t>
      </w:r>
    </w:p>
    <w:p w14:paraId="2B40B7E1" w14:textId="06859718" w:rsidR="00561932" w:rsidRPr="00401ECD" w:rsidRDefault="00561932" w:rsidP="00401ECD">
      <w:pPr>
        <w:pStyle w:val="Heading3"/>
        <w:spacing w:line="360" w:lineRule="auto"/>
        <w:jc w:val="both"/>
      </w:pPr>
      <w:r w:rsidRPr="00401ECD">
        <w:t>Resource Governance and Credible Disclosure</w:t>
      </w:r>
      <w:bookmarkEnd w:id="9"/>
    </w:p>
    <w:p w14:paraId="06A26D14"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Resource governance influences the potential for promised demand to be reliable supply. Geological availability does not imply economic and/or social viability of production. Project delays can occur when there are large amounts of resources available, but the project is constrained by environmental factors, governance issues, and/or stakeholder conflicts (Jowitt et al., 2020; Watari, Nansai, Nakajima, &amp; Giurco, 2021).</w:t>
      </w:r>
    </w:p>
    <w:p w14:paraId="203F45F9"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That is why a disciplined disclosure process is necessary for marketing. Environmental information should provide details as to the period covered, the boundaries, the assurance and limitations. The research by Gholami et al. (2024) and Rachid et al. (2023) both suggest there is a need to explore climate matters throughout the life cycle of mines and methodological variation in environmental assessment. These discoveries support the idea of specific, qualified communication rather than overly broad terms like ‘sustainable copper.’</w:t>
      </w:r>
    </w:p>
    <w:p w14:paraId="366C33A7"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The commercial implications have been summarised in Table 1. There is a need to involve marketing in both, to provide market intelligence and evidence management; operational teams to provide production results.</w:t>
      </w:r>
    </w:p>
    <w:p w14:paraId="37A59847" w14:textId="77777777"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b/>
          <w:bCs/>
          <w:color w:val="000000" w:themeColor="text1"/>
          <w:sz w:val="24"/>
          <w:szCs w:val="24"/>
          <w:lang w:eastAsia="en-GB"/>
        </w:rPr>
        <w:t>Table 1. Implications of the two external influences</w:t>
      </w:r>
    </w:p>
    <w:tbl>
      <w:tblPr>
        <w:tblStyle w:val="GridTable4-Accent5"/>
        <w:tblW w:w="0" w:type="auto"/>
        <w:tblLook w:val="04A0" w:firstRow="1" w:lastRow="0" w:firstColumn="1" w:lastColumn="0" w:noHBand="0" w:noVBand="1"/>
      </w:tblPr>
      <w:tblGrid>
        <w:gridCol w:w="1873"/>
        <w:gridCol w:w="2510"/>
        <w:gridCol w:w="2195"/>
        <w:gridCol w:w="2438"/>
      </w:tblGrid>
      <w:tr w:rsidR="00561932" w:rsidRPr="00401ECD" w14:paraId="7B519597" w14:textId="77777777" w:rsidTr="00AC21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CFBD46" w14:textId="77777777" w:rsidR="00561932" w:rsidRPr="00401ECD" w:rsidRDefault="00561932" w:rsidP="00401ECD">
            <w:pPr>
              <w:pStyle w:val="NoSpacing"/>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lastRenderedPageBreak/>
              <w:t>External influence</w:t>
            </w:r>
          </w:p>
        </w:tc>
        <w:tc>
          <w:tcPr>
            <w:tcW w:w="0" w:type="auto"/>
            <w:hideMark/>
          </w:tcPr>
          <w:p w14:paraId="4A9D0C55" w14:textId="77777777" w:rsidR="00561932" w:rsidRPr="00401ECD" w:rsidRDefault="00561932" w:rsidP="00401ECD">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Commercial opportunity</w:t>
            </w:r>
          </w:p>
        </w:tc>
        <w:tc>
          <w:tcPr>
            <w:tcW w:w="0" w:type="auto"/>
            <w:hideMark/>
          </w:tcPr>
          <w:p w14:paraId="05EEF3EC" w14:textId="77777777" w:rsidR="00561932" w:rsidRPr="00401ECD" w:rsidRDefault="00561932" w:rsidP="00401ECD">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Principal constraint</w:t>
            </w:r>
          </w:p>
        </w:tc>
        <w:tc>
          <w:tcPr>
            <w:tcW w:w="0" w:type="auto"/>
            <w:hideMark/>
          </w:tcPr>
          <w:p w14:paraId="3B104C72" w14:textId="77777777" w:rsidR="00561932" w:rsidRPr="00401ECD" w:rsidRDefault="00561932" w:rsidP="00401ECD">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Marketing response</w:t>
            </w:r>
          </w:p>
        </w:tc>
      </w:tr>
      <w:tr w:rsidR="00561932" w:rsidRPr="00401ECD" w14:paraId="186BAD46" w14:textId="77777777" w:rsidTr="00AC21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E4BC71" w14:textId="77777777" w:rsidR="00561932" w:rsidRPr="00401ECD" w:rsidRDefault="00561932" w:rsidP="00401ECD">
            <w:pPr>
              <w:pStyle w:val="NoSpacing"/>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Natural environment</w:t>
            </w:r>
          </w:p>
        </w:tc>
        <w:tc>
          <w:tcPr>
            <w:tcW w:w="0" w:type="auto"/>
            <w:hideMark/>
          </w:tcPr>
          <w:p w14:paraId="791DF4D1"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Demand for copper with credible environmental attributes</w:t>
            </w:r>
          </w:p>
        </w:tc>
        <w:tc>
          <w:tcPr>
            <w:tcW w:w="0" w:type="auto"/>
            <w:hideMark/>
          </w:tcPr>
          <w:p w14:paraId="0D45F7DB"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Emissions, water, biodiversity and community trade-offs</w:t>
            </w:r>
          </w:p>
        </w:tc>
        <w:tc>
          <w:tcPr>
            <w:tcW w:w="0" w:type="auto"/>
            <w:hideMark/>
          </w:tcPr>
          <w:p w14:paraId="50423EAF"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Communicate verified product information and explicit limitations</w:t>
            </w:r>
          </w:p>
        </w:tc>
      </w:tr>
      <w:tr w:rsidR="00561932" w:rsidRPr="00401ECD" w14:paraId="1F8A1659" w14:textId="77777777" w:rsidTr="00AC215F">
        <w:tc>
          <w:tcPr>
            <w:cnfStyle w:val="001000000000" w:firstRow="0" w:lastRow="0" w:firstColumn="1" w:lastColumn="0" w:oddVBand="0" w:evenVBand="0" w:oddHBand="0" w:evenHBand="0" w:firstRowFirstColumn="0" w:firstRowLastColumn="0" w:lastRowFirstColumn="0" w:lastRowLastColumn="0"/>
            <w:tcW w:w="0" w:type="auto"/>
            <w:hideMark/>
          </w:tcPr>
          <w:p w14:paraId="75E306E8" w14:textId="77777777" w:rsidR="00561932" w:rsidRPr="00401ECD" w:rsidRDefault="00561932" w:rsidP="00401ECD">
            <w:pPr>
              <w:pStyle w:val="NoSpacing"/>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Political–legal environment</w:t>
            </w:r>
          </w:p>
        </w:tc>
        <w:tc>
          <w:tcPr>
            <w:tcW w:w="0" w:type="auto"/>
            <w:hideMark/>
          </w:tcPr>
          <w:p w14:paraId="218CE021"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Customer demand for traceability and defensible procurement evidence</w:t>
            </w:r>
          </w:p>
        </w:tc>
        <w:tc>
          <w:tcPr>
            <w:tcW w:w="0" w:type="auto"/>
            <w:hideMark/>
          </w:tcPr>
          <w:p w14:paraId="347F1068"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Uneven policy exposure and inconsistent assessment methods</w:t>
            </w:r>
          </w:p>
        </w:tc>
        <w:tc>
          <w:tcPr>
            <w:tcW w:w="0" w:type="auto"/>
            <w:hideMark/>
          </w:tcPr>
          <w:p w14:paraId="09A52506"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Investigate account requirements and maintain controlled disclosure</w:t>
            </w:r>
          </w:p>
        </w:tc>
      </w:tr>
    </w:tbl>
    <w:p w14:paraId="715579B9" w14:textId="5B25E256"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i/>
          <w:iCs/>
          <w:color w:val="000000" w:themeColor="text1"/>
          <w:sz w:val="24"/>
          <w:szCs w:val="24"/>
          <w:lang w:eastAsia="en-GB"/>
        </w:rPr>
        <w:t>Source:</w:t>
      </w:r>
      <w:r w:rsidRPr="00401ECD">
        <w:rPr>
          <w:rFonts w:asciiTheme="minorBidi" w:eastAsia="Times New Roman" w:hAnsiTheme="minorBidi"/>
          <w:color w:val="000000" w:themeColor="text1"/>
          <w:sz w:val="24"/>
          <w:szCs w:val="24"/>
          <w:lang w:eastAsia="en-GB"/>
        </w:rPr>
        <w:t xml:space="preserve"> Author’s own synthesis based on Azadi et al. (2020), Jowitt et al. (2020), Cox et al. (2022) and Rachid et al. (2023).</w:t>
      </w:r>
    </w:p>
    <w:p w14:paraId="772B9083" w14:textId="77777777" w:rsidR="00561932" w:rsidRPr="00401ECD" w:rsidRDefault="00561932" w:rsidP="00401ECD">
      <w:pPr>
        <w:pStyle w:val="Heading1"/>
        <w:spacing w:line="360" w:lineRule="auto"/>
        <w:jc w:val="both"/>
        <w:rPr>
          <w:rFonts w:eastAsia="Times New Roman"/>
          <w:sz w:val="24"/>
          <w:szCs w:val="24"/>
          <w:lang w:eastAsia="en-GB"/>
        </w:rPr>
      </w:pPr>
      <w:bookmarkStart w:id="10" w:name="_Toc243553856"/>
      <w:r w:rsidRPr="00401ECD">
        <w:rPr>
          <w:rFonts w:eastAsia="Times New Roman"/>
          <w:sz w:val="24"/>
          <w:szCs w:val="24"/>
          <w:lang w:eastAsia="en-GB"/>
        </w:rPr>
        <w:t>Task 2: Growth Strategy and Competitive Advantage</w:t>
      </w:r>
      <w:bookmarkEnd w:id="10"/>
    </w:p>
    <w:p w14:paraId="5D53D76A" w14:textId="60BB0C4A" w:rsidR="00561932" w:rsidRPr="00401ECD" w:rsidRDefault="00561932" w:rsidP="00401ECD">
      <w:pPr>
        <w:pStyle w:val="Heading2"/>
        <w:spacing w:line="360" w:lineRule="auto"/>
        <w:jc w:val="both"/>
        <w:rPr>
          <w:lang w:eastAsia="en-GB"/>
        </w:rPr>
      </w:pPr>
      <w:bookmarkStart w:id="11" w:name="_Toc243553857"/>
      <w:r w:rsidRPr="00401ECD">
        <w:rPr>
          <w:lang w:eastAsia="en-GB"/>
        </w:rPr>
        <w:t>Evaluating Growth through the Ansoff Framework</w:t>
      </w:r>
      <w:bookmarkEnd w:id="11"/>
    </w:p>
    <w:p w14:paraId="5BEEBB7A"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Ansoff's framework helps to differentiate growth through existing products, existing markets vs. new products, new markets. It is useful for recognising the various sources of uncertainty, but the categories provide no indication of whether an investment will be successful or not (Hooley et al., 2020). Therefore, for BHP, growth must be measured in the light of customer evidence, demands for implementation and environmental credibility.</w:t>
      </w:r>
    </w:p>
    <w:p w14:paraId="709B1654"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Financial context is provided in Figure 3: copper revenue and bottom-up EBITDA has risen even though production has declined. This split does not illustrate an environmental premium; commodity prices, costs and other operating factors can impact financial results (BHP, 2026b). </w:t>
      </w:r>
    </w:p>
    <w:p w14:paraId="221006C5" w14:textId="019B3B3E" w:rsidR="00401ECD" w:rsidRPr="00401ECD" w:rsidRDefault="00401ECD" w:rsidP="00401ECD">
      <w:pPr>
        <w:spacing w:line="360" w:lineRule="auto"/>
        <w:ind w:firstLine="0"/>
        <w:jc w:val="both"/>
        <w:rPr>
          <w:rFonts w:asciiTheme="minorBidi" w:hAnsiTheme="minorBidi"/>
          <w:color w:val="000000" w:themeColor="text1"/>
          <w:sz w:val="24"/>
          <w:szCs w:val="24"/>
        </w:rPr>
      </w:pPr>
      <w:r w:rsidRPr="00401ECD">
        <w:rPr>
          <w:rFonts w:asciiTheme="minorBidi" w:hAnsiTheme="minorBidi"/>
          <w:color w:val="000000" w:themeColor="text1"/>
          <w:sz w:val="24"/>
          <w:szCs w:val="24"/>
        </w:rPr>
        <w:lastRenderedPageBreak/>
        <w:drawing>
          <wp:inline distT="0" distB="0" distL="0" distR="0" wp14:anchorId="3B3C7C70" wp14:editId="3335D1BA">
            <wp:extent cx="5731510" cy="3354705"/>
            <wp:effectExtent l="0" t="0" r="0" b="0"/>
            <wp:docPr id="1781704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704490" name=""/>
                    <pic:cNvPicPr/>
                  </pic:nvPicPr>
                  <pic:blipFill>
                    <a:blip r:embed="rId12"/>
                    <a:stretch>
                      <a:fillRect/>
                    </a:stretch>
                  </pic:blipFill>
                  <pic:spPr>
                    <a:xfrm>
                      <a:off x="0" y="0"/>
                      <a:ext cx="5731510" cy="3354705"/>
                    </a:xfrm>
                    <a:prstGeom prst="rect">
                      <a:avLst/>
                    </a:prstGeom>
                  </pic:spPr>
                </pic:pic>
              </a:graphicData>
            </a:graphic>
          </wp:inline>
        </w:drawing>
      </w:r>
    </w:p>
    <w:p w14:paraId="252990BF" w14:textId="6D08EC96"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b/>
          <w:bCs/>
          <w:color w:val="000000" w:themeColor="text1"/>
          <w:sz w:val="24"/>
          <w:szCs w:val="24"/>
          <w:lang w:eastAsia="en-GB"/>
        </w:rPr>
        <w:t>Figure 3. Indexed change in BHP’s copper performance</w:t>
      </w:r>
      <w:r w:rsidRPr="00401ECD">
        <w:rPr>
          <w:rFonts w:asciiTheme="minorBidi" w:eastAsia="Times New Roman" w:hAnsiTheme="minorBidi"/>
          <w:color w:val="000000" w:themeColor="text1"/>
          <w:sz w:val="24"/>
          <w:szCs w:val="24"/>
          <w:lang w:eastAsia="en-GB"/>
        </w:rPr>
        <w:t xml:space="preserve">, </w:t>
      </w:r>
      <w:r w:rsidRPr="00401ECD">
        <w:rPr>
          <w:rFonts w:asciiTheme="minorBidi" w:eastAsia="Times New Roman" w:hAnsiTheme="minorBidi"/>
          <w:i/>
          <w:iCs/>
          <w:color w:val="000000" w:themeColor="text1"/>
          <w:sz w:val="24"/>
          <w:szCs w:val="24"/>
          <w:lang w:eastAsia="en-GB"/>
        </w:rPr>
        <w:t>Source:</w:t>
      </w:r>
      <w:r w:rsidRPr="00401ECD">
        <w:rPr>
          <w:rFonts w:asciiTheme="minorBidi" w:eastAsia="Times New Roman" w:hAnsiTheme="minorBidi"/>
          <w:color w:val="000000" w:themeColor="text1"/>
          <w:sz w:val="24"/>
          <w:szCs w:val="24"/>
          <w:lang w:eastAsia="en-GB"/>
        </w:rPr>
        <w:t xml:space="preserve"> Author’s own work based on BHP (2026a, 2026b).</w:t>
      </w:r>
    </w:p>
    <w:p w14:paraId="6BCFA19B" w14:textId="77777777"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b/>
          <w:bCs/>
          <w:color w:val="000000" w:themeColor="text1"/>
          <w:sz w:val="24"/>
          <w:szCs w:val="24"/>
          <w:lang w:eastAsia="en-GB"/>
        </w:rPr>
        <w:t>Table 2. Evaluation of Ansoff growth options for BHP</w:t>
      </w:r>
    </w:p>
    <w:tbl>
      <w:tblPr>
        <w:tblStyle w:val="GridTable4-Accent6"/>
        <w:tblW w:w="0" w:type="auto"/>
        <w:tblLook w:val="04A0" w:firstRow="1" w:lastRow="0" w:firstColumn="1" w:lastColumn="0" w:noHBand="0" w:noVBand="1"/>
      </w:tblPr>
      <w:tblGrid>
        <w:gridCol w:w="2039"/>
        <w:gridCol w:w="3965"/>
        <w:gridCol w:w="3012"/>
      </w:tblGrid>
      <w:tr w:rsidR="00561932" w:rsidRPr="00401ECD" w14:paraId="2BA4FC4E" w14:textId="77777777" w:rsidTr="00AC21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77A348" w14:textId="77777777" w:rsidR="00561932" w:rsidRPr="00401ECD" w:rsidRDefault="00561932" w:rsidP="00401ECD">
            <w:pPr>
              <w:pStyle w:val="NoSpacing"/>
              <w:spacing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Direction</w:t>
            </w:r>
          </w:p>
        </w:tc>
        <w:tc>
          <w:tcPr>
            <w:tcW w:w="0" w:type="auto"/>
            <w:hideMark/>
          </w:tcPr>
          <w:p w14:paraId="63BFD141" w14:textId="77777777" w:rsidR="00561932" w:rsidRPr="00401ECD" w:rsidRDefault="00561932" w:rsidP="00401ECD">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Application</w:t>
            </w:r>
          </w:p>
        </w:tc>
        <w:tc>
          <w:tcPr>
            <w:tcW w:w="0" w:type="auto"/>
            <w:hideMark/>
          </w:tcPr>
          <w:p w14:paraId="50CB8B1F" w14:textId="77777777" w:rsidR="00561932" w:rsidRPr="00401ECD" w:rsidRDefault="00561932" w:rsidP="00401ECD">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Evaluation</w:t>
            </w:r>
          </w:p>
        </w:tc>
      </w:tr>
      <w:tr w:rsidR="00561932" w:rsidRPr="00401ECD" w14:paraId="4572E6F0" w14:textId="77777777" w:rsidTr="00AC21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700038" w14:textId="77777777" w:rsidR="00561932" w:rsidRPr="00401ECD" w:rsidRDefault="00561932" w:rsidP="00401ECD">
            <w:pPr>
              <w:pStyle w:val="NoSpacing"/>
              <w:spacing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Market penetration</w:t>
            </w:r>
          </w:p>
        </w:tc>
        <w:tc>
          <w:tcPr>
            <w:tcW w:w="0" w:type="auto"/>
            <w:hideMark/>
          </w:tcPr>
          <w:p w14:paraId="2AC553EA"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Increase conventional copper sales to existing customers</w:t>
            </w:r>
          </w:p>
        </w:tc>
        <w:tc>
          <w:tcPr>
            <w:tcW w:w="0" w:type="auto"/>
            <w:hideMark/>
          </w:tcPr>
          <w:p w14:paraId="6F30FD50"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Builds on relationships but offers limited differentiation</w:t>
            </w:r>
          </w:p>
        </w:tc>
      </w:tr>
      <w:tr w:rsidR="00561932" w:rsidRPr="00401ECD" w14:paraId="13EF3A8A" w14:textId="77777777" w:rsidTr="00AC215F">
        <w:tc>
          <w:tcPr>
            <w:cnfStyle w:val="001000000000" w:firstRow="0" w:lastRow="0" w:firstColumn="1" w:lastColumn="0" w:oddVBand="0" w:evenVBand="0" w:oddHBand="0" w:evenHBand="0" w:firstRowFirstColumn="0" w:firstRowLastColumn="0" w:lastRowFirstColumn="0" w:lastRowLastColumn="0"/>
            <w:tcW w:w="0" w:type="auto"/>
            <w:hideMark/>
          </w:tcPr>
          <w:p w14:paraId="64126F36" w14:textId="77777777" w:rsidR="00561932" w:rsidRPr="00401ECD" w:rsidRDefault="00561932" w:rsidP="00401ECD">
            <w:pPr>
              <w:pStyle w:val="NoSpacing"/>
              <w:spacing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Market development</w:t>
            </w:r>
          </w:p>
        </w:tc>
        <w:tc>
          <w:tcPr>
            <w:tcW w:w="0" w:type="auto"/>
            <w:hideMark/>
          </w:tcPr>
          <w:p w14:paraId="32414548"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Sell existing copper products to new industrial customers</w:t>
            </w:r>
          </w:p>
        </w:tc>
        <w:tc>
          <w:tcPr>
            <w:tcW w:w="0" w:type="auto"/>
            <w:hideMark/>
          </w:tcPr>
          <w:p w14:paraId="0D0BACC2"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Expands reach but introduces qualification and relationship costs</w:t>
            </w:r>
          </w:p>
        </w:tc>
      </w:tr>
      <w:tr w:rsidR="00561932" w:rsidRPr="00401ECD" w14:paraId="327F0972" w14:textId="77777777" w:rsidTr="00AC21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A56C1D" w14:textId="77777777" w:rsidR="00561932" w:rsidRPr="00401ECD" w:rsidRDefault="00561932" w:rsidP="00401ECD">
            <w:pPr>
              <w:pStyle w:val="NoSpacing"/>
              <w:spacing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Product development</w:t>
            </w:r>
          </w:p>
        </w:tc>
        <w:tc>
          <w:tcPr>
            <w:tcW w:w="0" w:type="auto"/>
            <w:hideMark/>
          </w:tcPr>
          <w:p w14:paraId="74318646"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Offer existing customers copper with validated environmental specifications, traceability and procurement services</w:t>
            </w:r>
          </w:p>
        </w:tc>
        <w:tc>
          <w:tcPr>
            <w:tcW w:w="0" w:type="auto"/>
            <w:hideMark/>
          </w:tcPr>
          <w:p w14:paraId="2AF9214B"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Recommended, subject to evidence of customer value</w:t>
            </w:r>
          </w:p>
        </w:tc>
      </w:tr>
      <w:tr w:rsidR="00561932" w:rsidRPr="00401ECD" w14:paraId="6BB11842" w14:textId="77777777" w:rsidTr="00AC215F">
        <w:tc>
          <w:tcPr>
            <w:cnfStyle w:val="001000000000" w:firstRow="0" w:lastRow="0" w:firstColumn="1" w:lastColumn="0" w:oddVBand="0" w:evenVBand="0" w:oddHBand="0" w:evenHBand="0" w:firstRowFirstColumn="0" w:firstRowLastColumn="0" w:lastRowFirstColumn="0" w:lastRowLastColumn="0"/>
            <w:tcW w:w="0" w:type="auto"/>
            <w:hideMark/>
          </w:tcPr>
          <w:p w14:paraId="4E9A3407" w14:textId="77777777" w:rsidR="00561932" w:rsidRPr="00401ECD" w:rsidRDefault="00561932" w:rsidP="00401ECD">
            <w:pPr>
              <w:pStyle w:val="NoSpacing"/>
              <w:spacing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Diversification</w:t>
            </w:r>
          </w:p>
        </w:tc>
        <w:tc>
          <w:tcPr>
            <w:tcW w:w="0" w:type="auto"/>
            <w:hideMark/>
          </w:tcPr>
          <w:p w14:paraId="0CCAD3AD"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Enter unfamiliar products and customer markets</w:t>
            </w:r>
          </w:p>
        </w:tc>
        <w:tc>
          <w:tcPr>
            <w:tcW w:w="0" w:type="auto"/>
            <w:hideMark/>
          </w:tcPr>
          <w:p w14:paraId="5C27533C"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Adds technological and commercial uncertainty</w:t>
            </w:r>
          </w:p>
        </w:tc>
      </w:tr>
    </w:tbl>
    <w:p w14:paraId="03FC98A9" w14:textId="77777777"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i/>
          <w:iCs/>
          <w:color w:val="000000" w:themeColor="text1"/>
          <w:sz w:val="24"/>
          <w:szCs w:val="24"/>
          <w:lang w:eastAsia="en-GB"/>
        </w:rPr>
        <w:t>Source:</w:t>
      </w:r>
      <w:r w:rsidRPr="00401ECD">
        <w:rPr>
          <w:rFonts w:asciiTheme="minorBidi" w:eastAsia="Times New Roman" w:hAnsiTheme="minorBidi"/>
          <w:color w:val="000000" w:themeColor="text1"/>
          <w:sz w:val="24"/>
          <w:szCs w:val="24"/>
          <w:lang w:eastAsia="en-GB"/>
        </w:rPr>
        <w:t xml:space="preserve"> Author’s own application of Hooley et al. (2020).</w:t>
      </w:r>
    </w:p>
    <w:p w14:paraId="16B541A2"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12" w:name="_Toc243553858"/>
      <w:r w:rsidRPr="00401ECD">
        <w:rPr>
          <w:rFonts w:asciiTheme="minorBidi" w:hAnsiTheme="minorBidi"/>
          <w:color w:val="000000" w:themeColor="text1"/>
          <w:sz w:val="24"/>
          <w:szCs w:val="24"/>
        </w:rPr>
        <w:lastRenderedPageBreak/>
        <w:t>Product development for existing industrial customers - recommended approach. The proposed offering will be a copper product with an appropriate specification and traceable environmental information and contractual service commitments. Current customer relationships can be utilized as a source of customer requirements, however, that's no replacement for formal testing.</w:t>
      </w:r>
    </w:p>
    <w:p w14:paraId="42A3A5B7"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Care must be taken in classification – if copper is given a new label and not changed, it is promotion/penetration, not product development. The proposal qualifies, if there is a material difference in the verified specifications, qualification procedures or associated services from the customer offering. Research on circular business models (CBMs) can help explore value creation and value capture and is a reminder that environmental aspirations cannot guarantee commercial viability (Hina et al., 2022; 2023).</w:t>
      </w:r>
    </w:p>
    <w:p w14:paraId="0B077EF9" w14:textId="38521A6C" w:rsidR="00561932" w:rsidRPr="00401ECD" w:rsidRDefault="00561932" w:rsidP="00401ECD">
      <w:pPr>
        <w:pStyle w:val="Heading2"/>
        <w:spacing w:line="360" w:lineRule="auto"/>
        <w:jc w:val="both"/>
        <w:rPr>
          <w:lang w:eastAsia="en-GB"/>
        </w:rPr>
      </w:pPr>
      <w:r w:rsidRPr="00401ECD">
        <w:rPr>
          <w:lang w:eastAsia="en-GB"/>
        </w:rPr>
        <w:t>Porter’s Competitive Strategies</w:t>
      </w:r>
      <w:bookmarkEnd w:id="12"/>
    </w:p>
    <w:p w14:paraId="399EC7E9" w14:textId="410663E8" w:rsidR="00561932" w:rsidRPr="00401ECD" w:rsidRDefault="00561932" w:rsidP="00401ECD">
      <w:pPr>
        <w:pStyle w:val="Heading3"/>
        <w:spacing w:line="360" w:lineRule="auto"/>
        <w:jc w:val="both"/>
      </w:pPr>
      <w:bookmarkStart w:id="13" w:name="_Toc243553859"/>
      <w:r w:rsidRPr="00401ECD">
        <w:t>Differentiation with Cost Discipline</w:t>
      </w:r>
      <w:bookmarkEnd w:id="13"/>
    </w:p>
    <w:p w14:paraId="516F87BE"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14" w:name="_Toc243553860"/>
      <w:r w:rsidRPr="00401ECD">
        <w:rPr>
          <w:rFonts w:asciiTheme="minorBidi" w:hAnsiTheme="minorBidi"/>
          <w:color w:val="000000" w:themeColor="text1"/>
          <w:sz w:val="24"/>
          <w:szCs w:val="24"/>
        </w:rPr>
        <w:t>Porter's framework leads to the focus of the foundation and span of competitive advantage. Differentiation has more credibility than cost leadership in the absence of cost comparisons (Hooley et al., 2020). BHP should strive to be recognized for the characteristics which can be assessed by the customer: reliability of environmental data, traceability, technical consistency, delivery performance.</w:t>
      </w:r>
    </w:p>
    <w:p w14:paraId="3EB7558C"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Differentiation is still subject to financial considerations. There may be a case for the customer to value verified info but reject a premium as a result of alternative suppliers meet a minimum. The proposition needs to therefore show the procurement benefits, such as less assessment effort or better visibility of the supply chain. Digital circular-economy research indicates that information can be used as a tool for coordinating and managing the product, but only in conjunction with the organization's capabilities and practicability (Kristoffersen et al., 2020; Rusch et al., 2023).</w:t>
      </w:r>
    </w:p>
    <w:p w14:paraId="4EFA6FCB" w14:textId="0348E890" w:rsidR="00561932" w:rsidRPr="00401ECD" w:rsidRDefault="00561932" w:rsidP="00401ECD">
      <w:pPr>
        <w:pStyle w:val="Heading3"/>
        <w:spacing w:line="360" w:lineRule="auto"/>
        <w:jc w:val="both"/>
      </w:pPr>
      <w:r w:rsidRPr="00401ECD">
        <w:t>Defensibility and the Risk of Imitation</w:t>
      </w:r>
      <w:bookmarkEnd w:id="14"/>
    </w:p>
    <w:p w14:paraId="12121632"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15" w:name="_Toc243553861"/>
      <w:r w:rsidRPr="00401ECD">
        <w:rPr>
          <w:rFonts w:asciiTheme="minorBidi" w:hAnsiTheme="minorBidi"/>
          <w:color w:val="000000" w:themeColor="text1"/>
          <w:sz w:val="24"/>
          <w:szCs w:val="24"/>
        </w:rPr>
        <w:t xml:space="preserve">Certificates as well as digital interfaces are replicable. A better argument would be the operational information, coupled with customer integration, with independent assurance and the built-up technical know-how. However, these are likely to turn out </w:t>
      </w:r>
      <w:r w:rsidRPr="00401ECD">
        <w:rPr>
          <w:rFonts w:asciiTheme="minorBidi" w:hAnsiTheme="minorBidi"/>
          <w:color w:val="000000" w:themeColor="text1"/>
          <w:sz w:val="24"/>
          <w:szCs w:val="24"/>
        </w:rPr>
        <w:lastRenderedPageBreak/>
        <w:t>to be market entry conditions instead of sustained return conditions (Hooley et al., 2020; Chauhan et al., 2022).</w:t>
      </w:r>
    </w:p>
    <w:p w14:paraId="5AEA3928"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It's important for marketing, therefore, not to simply take transparency as a guarantee of difference. In cases where buyers perceive competing products as being equal, extra reporting expenses may also squeeze profit. Contract trials should be used to determine if the contract attributes under discussion impact real buying choices, not just positive surveys.</w:t>
      </w:r>
    </w:p>
    <w:p w14:paraId="341978A1" w14:textId="0E7FF19A" w:rsidR="00561932" w:rsidRPr="00401ECD" w:rsidRDefault="00561932" w:rsidP="00401ECD">
      <w:pPr>
        <w:pStyle w:val="Heading2"/>
        <w:spacing w:line="360" w:lineRule="auto"/>
        <w:jc w:val="both"/>
        <w:rPr>
          <w:lang w:eastAsia="en-GB"/>
        </w:rPr>
      </w:pPr>
      <w:r w:rsidRPr="00401ECD">
        <w:rPr>
          <w:lang w:eastAsia="en-GB"/>
        </w:rPr>
        <w:t>Designing the Offering around Industrial Procurement</w:t>
      </w:r>
      <w:bookmarkEnd w:id="15"/>
    </w:p>
    <w:p w14:paraId="312AEFE6"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BHP should start with a small number of existing customers that are specifically looking for environmental performance in their procurement process. Technical tolerances, reporting limits, assurance requirements and acceptable contract practices should be determined through research. These account-level questions can be addressed only by commodity-demand forecasting, and the former has been characterised by a high degree of uncertainty (Watari, Nansai, &amp; Nakajima, 2021).</w:t>
      </w:r>
    </w:p>
    <w:p w14:paraId="5742297D"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The proposed qualification process is shown in figure 4. Marketing aligns evidence and customer needs and operations and assurance functions determine if the claims are supportable.</w:t>
      </w:r>
    </w:p>
    <w:p w14:paraId="60AA4152" w14:textId="3FBD631F" w:rsidR="00401ECD" w:rsidRPr="00401ECD" w:rsidRDefault="00401ECD" w:rsidP="00401ECD">
      <w:pPr>
        <w:spacing w:line="360" w:lineRule="auto"/>
        <w:ind w:firstLine="0"/>
        <w:jc w:val="both"/>
        <w:rPr>
          <w:rFonts w:asciiTheme="minorBidi" w:hAnsiTheme="minorBidi"/>
          <w:color w:val="000000" w:themeColor="text1"/>
          <w:sz w:val="24"/>
          <w:szCs w:val="24"/>
        </w:rPr>
      </w:pPr>
      <w:r w:rsidRPr="00401ECD">
        <w:rPr>
          <w:rFonts w:asciiTheme="minorBidi" w:hAnsiTheme="minorBidi"/>
          <w:color w:val="000000" w:themeColor="text1"/>
          <w:sz w:val="24"/>
          <w:szCs w:val="24"/>
        </w:rPr>
        <w:drawing>
          <wp:inline distT="0" distB="0" distL="0" distR="0" wp14:anchorId="5F907D84" wp14:editId="4C0C42D0">
            <wp:extent cx="5731510" cy="3703955"/>
            <wp:effectExtent l="0" t="0" r="0" b="4445"/>
            <wp:docPr id="1446915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15479" name=""/>
                    <pic:cNvPicPr/>
                  </pic:nvPicPr>
                  <pic:blipFill>
                    <a:blip r:embed="rId13"/>
                    <a:stretch>
                      <a:fillRect/>
                    </a:stretch>
                  </pic:blipFill>
                  <pic:spPr>
                    <a:xfrm>
                      <a:off x="0" y="0"/>
                      <a:ext cx="5731510" cy="3703955"/>
                    </a:xfrm>
                    <a:prstGeom prst="rect">
                      <a:avLst/>
                    </a:prstGeom>
                  </pic:spPr>
                </pic:pic>
              </a:graphicData>
            </a:graphic>
          </wp:inline>
        </w:drawing>
      </w:r>
    </w:p>
    <w:p w14:paraId="160253F6" w14:textId="19FCC3C8"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b/>
          <w:bCs/>
          <w:color w:val="000000" w:themeColor="text1"/>
          <w:sz w:val="24"/>
          <w:szCs w:val="24"/>
          <w:lang w:eastAsia="en-GB"/>
        </w:rPr>
        <w:lastRenderedPageBreak/>
        <w:t>Figure 4. Proposed customer qualification and assurance process</w:t>
      </w:r>
      <w:r w:rsidRPr="00401ECD">
        <w:rPr>
          <w:rFonts w:asciiTheme="minorBidi" w:eastAsia="Times New Roman" w:hAnsiTheme="minorBidi"/>
          <w:color w:val="000000" w:themeColor="text1"/>
          <w:sz w:val="24"/>
          <w:szCs w:val="24"/>
          <w:lang w:eastAsia="en-GB"/>
        </w:rPr>
        <w:t xml:space="preserve">, </w:t>
      </w:r>
      <w:r w:rsidRPr="00401ECD">
        <w:rPr>
          <w:rFonts w:asciiTheme="minorBidi" w:eastAsia="Times New Roman" w:hAnsiTheme="minorBidi"/>
          <w:i/>
          <w:iCs/>
          <w:color w:val="000000" w:themeColor="text1"/>
          <w:sz w:val="24"/>
          <w:szCs w:val="24"/>
          <w:lang w:eastAsia="en-GB"/>
        </w:rPr>
        <w:t>Source:</w:t>
      </w:r>
      <w:r w:rsidRPr="00401ECD">
        <w:rPr>
          <w:rFonts w:asciiTheme="minorBidi" w:eastAsia="Times New Roman" w:hAnsiTheme="minorBidi"/>
          <w:color w:val="000000" w:themeColor="text1"/>
          <w:sz w:val="24"/>
          <w:szCs w:val="24"/>
          <w:lang w:eastAsia="en-GB"/>
        </w:rPr>
        <w:t xml:space="preserve"> Author’s own work based on Azadi et al. (2020), Rachid et al. (2023) and Rusch et al. (2023).</w:t>
      </w:r>
    </w:p>
    <w:p w14:paraId="24A7A54A"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16" w:name="_Toc243553862"/>
      <w:r w:rsidRPr="00401ECD">
        <w:rPr>
          <w:rFonts w:asciiTheme="minorBidi" w:hAnsiTheme="minorBidi"/>
          <w:color w:val="000000" w:themeColor="text1"/>
          <w:sz w:val="24"/>
          <w:szCs w:val="24"/>
        </w:rPr>
        <w:t>Circularity is also embraced in this process. Information of value to customers may exist for material recovery or secondary material strategies; however, circularity is not synonymous with reduced impact. Benefits are energy dependent, material quality, collection systems and commercial incentives (Kristoffersen et al., 2020; Hinak, 2022).</w:t>
      </w:r>
    </w:p>
    <w:p w14:paraId="470CC416" w14:textId="78B849CB" w:rsidR="00561932" w:rsidRPr="00401ECD" w:rsidRDefault="00561932" w:rsidP="00401ECD">
      <w:pPr>
        <w:pStyle w:val="Heading2"/>
        <w:spacing w:line="360" w:lineRule="auto"/>
        <w:jc w:val="both"/>
        <w:rPr>
          <w:lang w:eastAsia="en-GB"/>
        </w:rPr>
      </w:pPr>
      <w:r w:rsidRPr="00401ECD">
        <w:rPr>
          <w:lang w:eastAsia="en-GB"/>
        </w:rPr>
        <w:t>Digital Technology and the Marketing Contribution</w:t>
      </w:r>
      <w:bookmarkEnd w:id="16"/>
    </w:p>
    <w:p w14:paraId="27D25465"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17" w:name="_Toc243553863"/>
      <w:r w:rsidRPr="00401ECD">
        <w:rPr>
          <w:rFonts w:asciiTheme="minorBidi" w:hAnsiTheme="minorBidi"/>
          <w:color w:val="000000" w:themeColor="text1"/>
          <w:sz w:val="24"/>
          <w:szCs w:val="24"/>
        </w:rPr>
        <w:t>Digital systems can provide a link between the shipment records, environmental evidence and customer specifications. They are most effective when they help in narrowing down the information gap and administrative burden. However, barriers cited in reviews include integration, access to data and organisational capability – technology is only part of the solution to sustainability gains.</w:t>
      </w:r>
    </w:p>
    <w:p w14:paraId="4AFC78D0"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AI can help with account segmentation, document classification and answer initial procurement questions. But, explanations that are generated should be limited to approved evidence. Fluently produced outputs may include information which is not supported by the source, and fabricated citations may lend credibility (Ji et al., 2023; Walters &amp; Wilder, 2023). So that environmental claims can be used in customer communication, human approval is required.</w:t>
      </w:r>
    </w:p>
    <w:p w14:paraId="5CEB5F7A" w14:textId="517B4E6B" w:rsidR="00561932" w:rsidRPr="00401ECD" w:rsidRDefault="00561932" w:rsidP="00401ECD">
      <w:pPr>
        <w:pStyle w:val="Heading2"/>
        <w:spacing w:line="360" w:lineRule="auto"/>
        <w:jc w:val="both"/>
        <w:rPr>
          <w:lang w:eastAsia="en-GB"/>
        </w:rPr>
      </w:pPr>
      <w:r w:rsidRPr="00401ECD">
        <w:rPr>
          <w:lang w:eastAsia="en-GB"/>
        </w:rPr>
        <w:t>Implementation and Performance Evaluation</w:t>
      </w:r>
      <w:bookmarkEnd w:id="17"/>
    </w:p>
    <w:p w14:paraId="4CBAB5B8" w14:textId="77777777"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The proposal should proceed through a limited pilot with explicit decision gates. Figure 5 presents an illustrative six-month sequence, rather than a published BHP commitment.</w:t>
      </w:r>
    </w:p>
    <w:p w14:paraId="034BC2EE" w14:textId="2013B35B" w:rsidR="00401ECD" w:rsidRPr="00401ECD" w:rsidRDefault="00401ECD" w:rsidP="00401ECD">
      <w:pPr>
        <w:spacing w:before="100" w:beforeAutospacing="1" w:after="100" w:afterAutospacing="1" w:line="360" w:lineRule="auto"/>
        <w:ind w:firstLine="0"/>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lastRenderedPageBreak/>
        <w:drawing>
          <wp:inline distT="0" distB="0" distL="0" distR="0" wp14:anchorId="2ED46FF8" wp14:editId="1B0973D3">
            <wp:extent cx="5731510" cy="3462655"/>
            <wp:effectExtent l="0" t="0" r="0" b="4445"/>
            <wp:docPr id="204945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5096" name=""/>
                    <pic:cNvPicPr/>
                  </pic:nvPicPr>
                  <pic:blipFill>
                    <a:blip r:embed="rId14"/>
                    <a:stretch>
                      <a:fillRect/>
                    </a:stretch>
                  </pic:blipFill>
                  <pic:spPr>
                    <a:xfrm>
                      <a:off x="0" y="0"/>
                      <a:ext cx="5731510" cy="3462655"/>
                    </a:xfrm>
                    <a:prstGeom prst="rect">
                      <a:avLst/>
                    </a:prstGeom>
                  </pic:spPr>
                </pic:pic>
              </a:graphicData>
            </a:graphic>
          </wp:inline>
        </w:drawing>
      </w:r>
    </w:p>
    <w:p w14:paraId="0C86BA37" w14:textId="429CF614"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b/>
          <w:bCs/>
          <w:color w:val="000000" w:themeColor="text1"/>
          <w:sz w:val="24"/>
          <w:szCs w:val="24"/>
          <w:lang w:eastAsia="en-GB"/>
        </w:rPr>
        <w:t>Figure 5. Illustrative implementation schedule</w:t>
      </w:r>
      <w:r w:rsidRPr="00401ECD">
        <w:rPr>
          <w:rFonts w:asciiTheme="minorBidi" w:eastAsia="Times New Roman" w:hAnsiTheme="minorBidi"/>
          <w:color w:val="000000" w:themeColor="text1"/>
          <w:sz w:val="24"/>
          <w:szCs w:val="24"/>
          <w:lang w:eastAsia="en-GB"/>
        </w:rPr>
        <w:t xml:space="preserve">, </w:t>
      </w:r>
      <w:r w:rsidRPr="00401ECD">
        <w:rPr>
          <w:rFonts w:asciiTheme="minorBidi" w:eastAsia="Times New Roman" w:hAnsiTheme="minorBidi"/>
          <w:i/>
          <w:iCs/>
          <w:color w:val="000000" w:themeColor="text1"/>
          <w:sz w:val="24"/>
          <w:szCs w:val="24"/>
          <w:lang w:eastAsia="en-GB"/>
        </w:rPr>
        <w:t>Source:</w:t>
      </w:r>
      <w:r w:rsidRPr="00401ECD">
        <w:rPr>
          <w:rFonts w:asciiTheme="minorBidi" w:eastAsia="Times New Roman" w:hAnsiTheme="minorBidi"/>
          <w:color w:val="000000" w:themeColor="text1"/>
          <w:sz w:val="24"/>
          <w:szCs w:val="24"/>
          <w:lang w:eastAsia="en-GB"/>
        </w:rPr>
        <w:t xml:space="preserve"> Author’s own work based on Hooley et al. (2020), Hina et al. (2023) and Rusch et al. (2023).</w:t>
      </w:r>
    </w:p>
    <w:p w14:paraId="27A290B8" w14:textId="77777777"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color w:val="000000" w:themeColor="text1"/>
          <w:sz w:val="24"/>
          <w:szCs w:val="24"/>
          <w:lang w:eastAsia="en-GB"/>
        </w:rPr>
        <w:t>Table 3 connects marketing activity with measurable organisational outcomes. Targets should be established after baseline assessment, avoiding invented performance expectations.</w:t>
      </w:r>
    </w:p>
    <w:p w14:paraId="2296BA4A" w14:textId="77777777"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b/>
          <w:bCs/>
          <w:color w:val="000000" w:themeColor="text1"/>
          <w:sz w:val="24"/>
          <w:szCs w:val="24"/>
          <w:lang w:eastAsia="en-GB"/>
        </w:rPr>
        <w:t>Table 3. Proposed pilot evaluation measures</w:t>
      </w:r>
    </w:p>
    <w:tbl>
      <w:tblPr>
        <w:tblStyle w:val="GridTable4-Accent5"/>
        <w:tblW w:w="0" w:type="auto"/>
        <w:tblLook w:val="04A0" w:firstRow="1" w:lastRow="0" w:firstColumn="1" w:lastColumn="0" w:noHBand="0" w:noVBand="1"/>
      </w:tblPr>
      <w:tblGrid>
        <w:gridCol w:w="2212"/>
        <w:gridCol w:w="3592"/>
        <w:gridCol w:w="3212"/>
      </w:tblGrid>
      <w:tr w:rsidR="00561932" w:rsidRPr="00401ECD" w14:paraId="0493D6C4" w14:textId="77777777" w:rsidTr="00AC21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755B63" w14:textId="77777777" w:rsidR="00561932" w:rsidRPr="00401ECD" w:rsidRDefault="00561932" w:rsidP="00401ECD">
            <w:pPr>
              <w:pStyle w:val="NoSpacing"/>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Measure</w:t>
            </w:r>
          </w:p>
        </w:tc>
        <w:tc>
          <w:tcPr>
            <w:tcW w:w="0" w:type="auto"/>
            <w:hideMark/>
          </w:tcPr>
          <w:p w14:paraId="303FA8C7" w14:textId="77777777" w:rsidR="00561932" w:rsidRPr="00401ECD" w:rsidRDefault="00561932" w:rsidP="00401ECD">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Definition</w:t>
            </w:r>
          </w:p>
        </w:tc>
        <w:tc>
          <w:tcPr>
            <w:tcW w:w="0" w:type="auto"/>
            <w:hideMark/>
          </w:tcPr>
          <w:p w14:paraId="153A9C88" w14:textId="77777777" w:rsidR="00561932" w:rsidRPr="00401ECD" w:rsidRDefault="00561932" w:rsidP="00401ECD">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Decision supported</w:t>
            </w:r>
          </w:p>
        </w:tc>
      </w:tr>
      <w:tr w:rsidR="00561932" w:rsidRPr="00401ECD" w14:paraId="1C455CF4" w14:textId="77777777" w:rsidTr="00AC21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A2CA03" w14:textId="77777777" w:rsidR="00561932" w:rsidRPr="00401ECD" w:rsidRDefault="00561932" w:rsidP="00401ECD">
            <w:pPr>
              <w:pStyle w:val="NoSpacing"/>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Qualification rate</w:t>
            </w:r>
          </w:p>
        </w:tc>
        <w:tc>
          <w:tcPr>
            <w:tcW w:w="0" w:type="auto"/>
            <w:hideMark/>
          </w:tcPr>
          <w:p w14:paraId="1E2CA065"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Customers accepting the specification ÷ customers assessed</w:t>
            </w:r>
          </w:p>
        </w:tc>
        <w:tc>
          <w:tcPr>
            <w:tcW w:w="0" w:type="auto"/>
            <w:hideMark/>
          </w:tcPr>
          <w:p w14:paraId="31120B39"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Whether the offering meets procurement requirements</w:t>
            </w:r>
          </w:p>
        </w:tc>
      </w:tr>
      <w:tr w:rsidR="00561932" w:rsidRPr="00401ECD" w14:paraId="303DDF86" w14:textId="77777777" w:rsidTr="00AC215F">
        <w:tc>
          <w:tcPr>
            <w:cnfStyle w:val="001000000000" w:firstRow="0" w:lastRow="0" w:firstColumn="1" w:lastColumn="0" w:oddVBand="0" w:evenVBand="0" w:oddHBand="0" w:evenHBand="0" w:firstRowFirstColumn="0" w:firstRowLastColumn="0" w:lastRowFirstColumn="0" w:lastRowLastColumn="0"/>
            <w:tcW w:w="0" w:type="auto"/>
            <w:hideMark/>
          </w:tcPr>
          <w:p w14:paraId="2C0BCEEA" w14:textId="77777777" w:rsidR="00561932" w:rsidRPr="00401ECD" w:rsidRDefault="00561932" w:rsidP="00401ECD">
            <w:pPr>
              <w:pStyle w:val="NoSpacing"/>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Incremental contribution</w:t>
            </w:r>
          </w:p>
        </w:tc>
        <w:tc>
          <w:tcPr>
            <w:tcW w:w="0" w:type="auto"/>
            <w:hideMark/>
          </w:tcPr>
          <w:p w14:paraId="5C0DAB6A"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Additional revenue less additional delivery, assurance and service costs</w:t>
            </w:r>
          </w:p>
        </w:tc>
        <w:tc>
          <w:tcPr>
            <w:tcW w:w="0" w:type="auto"/>
            <w:hideMark/>
          </w:tcPr>
          <w:p w14:paraId="1375FB7E"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Whether differentiation creates commercial value</w:t>
            </w:r>
          </w:p>
        </w:tc>
      </w:tr>
      <w:tr w:rsidR="00561932" w:rsidRPr="00401ECD" w14:paraId="71698142" w14:textId="77777777" w:rsidTr="00AC21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B4EDD9" w14:textId="77777777" w:rsidR="00561932" w:rsidRPr="00401ECD" w:rsidRDefault="00561932" w:rsidP="00401ECD">
            <w:pPr>
              <w:pStyle w:val="NoSpacing"/>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Evidence completeness</w:t>
            </w:r>
          </w:p>
        </w:tc>
        <w:tc>
          <w:tcPr>
            <w:tcW w:w="0" w:type="auto"/>
            <w:hideMark/>
          </w:tcPr>
          <w:p w14:paraId="48157353"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Shipments with complete approved evidence ÷ pilot shipments</w:t>
            </w:r>
          </w:p>
        </w:tc>
        <w:tc>
          <w:tcPr>
            <w:tcW w:w="0" w:type="auto"/>
            <w:hideMark/>
          </w:tcPr>
          <w:p w14:paraId="79F61AA7"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Whether the proposition is consistently supportable</w:t>
            </w:r>
          </w:p>
        </w:tc>
      </w:tr>
      <w:tr w:rsidR="00561932" w:rsidRPr="00401ECD" w14:paraId="7265890C" w14:textId="77777777" w:rsidTr="00AC215F">
        <w:tc>
          <w:tcPr>
            <w:cnfStyle w:val="001000000000" w:firstRow="0" w:lastRow="0" w:firstColumn="1" w:lastColumn="0" w:oddVBand="0" w:evenVBand="0" w:oddHBand="0" w:evenHBand="0" w:firstRowFirstColumn="0" w:firstRowLastColumn="0" w:lastRowFirstColumn="0" w:lastRowLastColumn="0"/>
            <w:tcW w:w="0" w:type="auto"/>
            <w:hideMark/>
          </w:tcPr>
          <w:p w14:paraId="7790C645" w14:textId="77777777" w:rsidR="00561932" w:rsidRPr="00401ECD" w:rsidRDefault="00561932" w:rsidP="00401ECD">
            <w:pPr>
              <w:pStyle w:val="NoSpacing"/>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lastRenderedPageBreak/>
              <w:t>Delivery reliability</w:t>
            </w:r>
          </w:p>
        </w:tc>
        <w:tc>
          <w:tcPr>
            <w:tcW w:w="0" w:type="auto"/>
            <w:hideMark/>
          </w:tcPr>
          <w:p w14:paraId="08134AAB"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Deliveries meeting agreed terms ÷ pilot deliveries</w:t>
            </w:r>
          </w:p>
        </w:tc>
        <w:tc>
          <w:tcPr>
            <w:tcW w:w="0" w:type="auto"/>
            <w:hideMark/>
          </w:tcPr>
          <w:p w14:paraId="67243080" w14:textId="77777777" w:rsidR="00561932" w:rsidRPr="00401ECD" w:rsidRDefault="00561932" w:rsidP="00401ECD">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Whether operational performance sustains customer value</w:t>
            </w:r>
          </w:p>
        </w:tc>
      </w:tr>
      <w:tr w:rsidR="00561932" w:rsidRPr="00401ECD" w14:paraId="6B5893E6" w14:textId="77777777" w:rsidTr="00AC21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477670" w14:textId="77777777" w:rsidR="00561932" w:rsidRPr="00401ECD" w:rsidRDefault="00561932" w:rsidP="00401ECD">
            <w:pPr>
              <w:pStyle w:val="NoSpacing"/>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Renewal behaviour</w:t>
            </w:r>
          </w:p>
        </w:tc>
        <w:tc>
          <w:tcPr>
            <w:tcW w:w="0" w:type="auto"/>
            <w:hideMark/>
          </w:tcPr>
          <w:p w14:paraId="1C9781E1"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Customers renewing after the pilot ÷ eligible pilot customers</w:t>
            </w:r>
          </w:p>
        </w:tc>
        <w:tc>
          <w:tcPr>
            <w:tcW w:w="0" w:type="auto"/>
            <w:hideMark/>
          </w:tcPr>
          <w:p w14:paraId="7B5E4A62" w14:textId="77777777" w:rsidR="00561932" w:rsidRPr="00401ECD" w:rsidRDefault="00561932" w:rsidP="00401ECD">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themeColor="text1"/>
                <w:sz w:val="24"/>
                <w:szCs w:val="24"/>
              </w:rPr>
            </w:pPr>
            <w:r w:rsidRPr="00401ECD">
              <w:rPr>
                <w:rFonts w:asciiTheme="minorBidi" w:hAnsiTheme="minorBidi"/>
                <w:color w:val="000000" w:themeColor="text1"/>
                <w:sz w:val="24"/>
                <w:szCs w:val="24"/>
              </w:rPr>
              <w:t>Whether expressed interest becomes repeat purchasing</w:t>
            </w:r>
          </w:p>
        </w:tc>
      </w:tr>
    </w:tbl>
    <w:p w14:paraId="402ED9F6" w14:textId="77777777" w:rsidR="00561932" w:rsidRPr="00401ECD" w:rsidRDefault="00561932" w:rsidP="00401ECD">
      <w:pPr>
        <w:spacing w:before="100" w:beforeAutospacing="1" w:after="100" w:afterAutospacing="1" w:line="360" w:lineRule="auto"/>
        <w:jc w:val="both"/>
        <w:rPr>
          <w:rFonts w:asciiTheme="minorBidi" w:eastAsia="Times New Roman" w:hAnsiTheme="minorBidi"/>
          <w:color w:val="000000" w:themeColor="text1"/>
          <w:sz w:val="24"/>
          <w:szCs w:val="24"/>
          <w:lang w:eastAsia="en-GB"/>
        </w:rPr>
      </w:pPr>
      <w:r w:rsidRPr="00401ECD">
        <w:rPr>
          <w:rFonts w:asciiTheme="minorBidi" w:eastAsia="Times New Roman" w:hAnsiTheme="minorBidi"/>
          <w:i/>
          <w:iCs/>
          <w:color w:val="000000" w:themeColor="text1"/>
          <w:sz w:val="24"/>
          <w:szCs w:val="24"/>
          <w:lang w:eastAsia="en-GB"/>
        </w:rPr>
        <w:t>Source:</w:t>
      </w:r>
      <w:r w:rsidRPr="00401ECD">
        <w:rPr>
          <w:rFonts w:asciiTheme="minorBidi" w:eastAsia="Times New Roman" w:hAnsiTheme="minorBidi"/>
          <w:color w:val="000000" w:themeColor="text1"/>
          <w:sz w:val="24"/>
          <w:szCs w:val="24"/>
          <w:lang w:eastAsia="en-GB"/>
        </w:rPr>
        <w:t xml:space="preserve"> Author’s own proposed measures.</w:t>
      </w:r>
    </w:p>
    <w:p w14:paraId="699EB1EB"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18" w:name="_Toc243553864"/>
      <w:r w:rsidRPr="00401ECD">
        <w:rPr>
          <w:rFonts w:asciiTheme="minorBidi" w:hAnsiTheme="minorBidi"/>
          <w:color w:val="000000" w:themeColor="text1"/>
          <w:sz w:val="24"/>
          <w:szCs w:val="24"/>
        </w:rPr>
        <w:t>Scaling up must be based on commercial viability and sound environmental data. Even the best sales can't fix bad claims and the most sophisticated reporting can't compensate for an offering customers won't buy. This combines marketing's strategic input and operational responsibility.</w:t>
      </w:r>
    </w:p>
    <w:p w14:paraId="6C860107" w14:textId="77777777" w:rsidR="00AC215F" w:rsidRPr="00401ECD" w:rsidRDefault="00AC215F" w:rsidP="00401ECD">
      <w:pPr>
        <w:pStyle w:val="Heading1"/>
        <w:spacing w:line="360" w:lineRule="auto"/>
        <w:jc w:val="both"/>
        <w:rPr>
          <w:sz w:val="24"/>
          <w:szCs w:val="24"/>
        </w:rPr>
      </w:pPr>
      <w:r w:rsidRPr="00401ECD">
        <w:rPr>
          <w:sz w:val="24"/>
          <w:szCs w:val="24"/>
        </w:rPr>
        <w:t>Task 3: Managerial and Professional Reflection</w:t>
      </w:r>
      <w:bookmarkEnd w:id="18"/>
    </w:p>
    <w:p w14:paraId="6BE25FDA" w14:textId="0C6D0472" w:rsidR="00AC215F" w:rsidRPr="00401ECD" w:rsidRDefault="00AC215F" w:rsidP="00401ECD">
      <w:pPr>
        <w:pStyle w:val="Heading2"/>
        <w:spacing w:line="360" w:lineRule="auto"/>
        <w:jc w:val="both"/>
      </w:pPr>
      <w:bookmarkStart w:id="19" w:name="_Toc243553865"/>
      <w:r w:rsidRPr="00401ECD">
        <w:t>Company Selection and Strategic Focus</w:t>
      </w:r>
      <w:bookmarkEnd w:id="19"/>
    </w:p>
    <w:p w14:paraId="0A49D5F3"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20" w:name="_Toc243553866"/>
      <w:r w:rsidRPr="00401ECD">
        <w:rPr>
          <w:rFonts w:asciiTheme="minorBidi" w:hAnsiTheme="minorBidi"/>
          <w:color w:val="000000" w:themeColor="text1"/>
          <w:sz w:val="24"/>
          <w:szCs w:val="24"/>
        </w:rPr>
        <w:t>I chose BHP because their involvement in the minerals that are key to electrification makes it an interesting management problem: providing energy transition is no guarantee of environmental sustainability with extraction. It renders the company appropriate for the analysis of marketing as a means of communicating environmental performance to customers in a way that doesn't promise more than the company delivers. Hence, for my analysis, I focused on the credibility of the proposed offering as compared to the belief that an increase in copper demand necessarily translates to a competitive advantage. This separation is in recognition of the environmental and social limitations to mineral development that have been found in the literature (Jowitt et al., 2020; Lèbre et al., 2020).</w:t>
      </w:r>
    </w:p>
    <w:p w14:paraId="76E0DD37" w14:textId="70FA19B8" w:rsidR="00AC215F" w:rsidRPr="00401ECD" w:rsidRDefault="00AC215F" w:rsidP="00401ECD">
      <w:pPr>
        <w:pStyle w:val="Heading2"/>
        <w:spacing w:line="360" w:lineRule="auto"/>
        <w:jc w:val="both"/>
      </w:pPr>
      <w:r w:rsidRPr="00401ECD">
        <w:t>Selection of Environmental Actors</w:t>
      </w:r>
      <w:bookmarkEnd w:id="20"/>
    </w:p>
    <w:p w14:paraId="0636156B"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21" w:name="_Toc243553867"/>
      <w:r w:rsidRPr="00401ECD">
        <w:rPr>
          <w:rFonts w:asciiTheme="minorBidi" w:hAnsiTheme="minorBidi"/>
          <w:color w:val="000000" w:themeColor="text1"/>
          <w:sz w:val="24"/>
          <w:szCs w:val="24"/>
        </w:rPr>
        <w:t>Natural and political–legal environments were given the highest priority as their interplay directly impacts the feasibility and credibility of 'environmental differentiation'. Emissions, availability of water, biodiversity and reliability of production are affected by natural conditions. These pressures can interact with political and governance conditions to impact investment and disclosure and expectations of stakeholders.</w:t>
      </w:r>
    </w:p>
    <w:p w14:paraId="63E05AB9"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lastRenderedPageBreak/>
        <w:t>But, this option restricted the analysis. Other factors, such as the state of the economy, competitor behaviors and industrial purchasing practices also affect commercial results. In meetings with senior leadership, I would present to them that the selected actors give a focused assessment as opposed to a full picture of BHP's outside environment. Environmental opportunities should not be separated from the commercial realities and responsible resource governance (Sovacool et al., 2020; Watari, Nansai, Nakajima, &amp; Giurco, 2021).</w:t>
      </w:r>
    </w:p>
    <w:p w14:paraId="17A4C6C1" w14:textId="70A2A156" w:rsidR="00AC215F" w:rsidRPr="00401ECD" w:rsidRDefault="00AC215F" w:rsidP="00401ECD">
      <w:pPr>
        <w:pStyle w:val="Heading2"/>
        <w:spacing w:line="360" w:lineRule="auto"/>
        <w:jc w:val="both"/>
      </w:pPr>
      <w:r w:rsidRPr="00401ECD">
        <w:t>Reflection on the Growth Recommendation</w:t>
      </w:r>
      <w:bookmarkEnd w:id="21"/>
    </w:p>
    <w:p w14:paraId="3F735B54"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22" w:name="_Toc243553868"/>
      <w:r w:rsidRPr="00401ECD">
        <w:rPr>
          <w:rFonts w:asciiTheme="minorBidi" w:hAnsiTheme="minorBidi"/>
          <w:color w:val="000000" w:themeColor="text1"/>
          <w:sz w:val="24"/>
          <w:szCs w:val="24"/>
        </w:rPr>
        <w:t>I suggested product development for the already existing industrial customers, as a relationship already exists and this relationship will serve as a realistic basis for assessing a more challenging product offering. Value could be added above and beyond the traditional product attributes with verified environment specification, traceability and supporting procurement services.</w:t>
      </w:r>
    </w:p>
    <w:p w14:paraId="47837397"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The most questionable is that customers would pay back these benefits enough to cover its costs. Buyers may want environmental data as a minimum condition for purchasing, but not as an attribute to differentiate with. In addition, if the product doesn't change, it isn't substantive product development to simply relabel it. So I would put this forward as an experiment — a testable proposition — and a phased investment, not a great growth spurt. This method acknowledges that strategic frameworks may coordinate choices yet they can't make client request or benefit (Hooley et al., 2020).</w:t>
      </w:r>
    </w:p>
    <w:p w14:paraId="6B4D5D4F" w14:textId="77A83567" w:rsidR="00AC215F" w:rsidRPr="00401ECD" w:rsidRDefault="00AC215F" w:rsidP="00401ECD">
      <w:pPr>
        <w:pStyle w:val="Heading2"/>
        <w:spacing w:line="360" w:lineRule="auto"/>
        <w:jc w:val="both"/>
      </w:pPr>
      <w:r w:rsidRPr="00401ECD">
        <w:t>Limitations and Further Information Required</w:t>
      </w:r>
      <w:bookmarkEnd w:id="22"/>
    </w:p>
    <w:p w14:paraId="5C0662B3" w14:textId="77777777" w:rsidR="00401ECD" w:rsidRPr="00401ECD" w:rsidRDefault="00401ECD" w:rsidP="00401ECD">
      <w:pPr>
        <w:spacing w:line="360" w:lineRule="auto"/>
        <w:jc w:val="both"/>
        <w:rPr>
          <w:rFonts w:asciiTheme="minorBidi" w:hAnsiTheme="minorBidi"/>
          <w:color w:val="000000" w:themeColor="text1"/>
          <w:sz w:val="24"/>
          <w:szCs w:val="24"/>
        </w:rPr>
      </w:pPr>
      <w:bookmarkStart w:id="23" w:name="_Toc243553869"/>
      <w:r w:rsidRPr="00401ECD">
        <w:rPr>
          <w:rFonts w:asciiTheme="minorBidi" w:hAnsiTheme="minorBidi"/>
          <w:color w:val="000000" w:themeColor="text1"/>
          <w:sz w:val="24"/>
          <w:szCs w:val="24"/>
        </w:rPr>
        <w:t>Analysis is based on secondary evidence and corporate information. There are no confidential operating costs, comparison of competitors or product specific assurance records included. Corporate inventories of emissions also do not provide information about the environmental properties of individual shipments. Further, disparities in the assessment thresholds make it difficult to compare (Azadi et al., 2020; Rachid et al., 2023).</w:t>
      </w:r>
    </w:p>
    <w:p w14:paraId="7C055551"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A consultant should perform a qualification inquiry to understand customers' qualification requirements, willingness to pay and contractual expectations before making final recommendations. BHP would also have to have some good estimates for the costs of assurances, the cost of the data systems, capacity of the operations </w:t>
      </w:r>
      <w:r w:rsidRPr="00401ECD">
        <w:rPr>
          <w:rFonts w:asciiTheme="minorBidi" w:hAnsiTheme="minorBidi"/>
          <w:color w:val="000000" w:themeColor="text1"/>
          <w:sz w:val="24"/>
          <w:szCs w:val="24"/>
        </w:rPr>
        <w:lastRenderedPageBreak/>
        <w:t>and incremental contribution margins. It would be better to have independent verification of product claims and to involve appropriate operational and community stakeholders in the assessment.</w:t>
      </w:r>
    </w:p>
    <w:p w14:paraId="480F908F" w14:textId="1CB027E7" w:rsidR="00AC215F" w:rsidRPr="00401ECD" w:rsidRDefault="00AC215F" w:rsidP="00401ECD">
      <w:pPr>
        <w:pStyle w:val="Heading2"/>
        <w:spacing w:line="360" w:lineRule="auto"/>
        <w:jc w:val="both"/>
      </w:pPr>
      <w:r w:rsidRPr="00401ECD">
        <w:t>Implications for Senior Leadership</w:t>
      </w:r>
      <w:bookmarkEnd w:id="23"/>
    </w:p>
    <w:p w14:paraId="72E4F274" w14:textId="77777777" w:rsidR="00401ECD" w:rsidRPr="00401ECD" w:rsidRDefault="00401ECD" w:rsidP="00401ECD">
      <w:pPr>
        <w:spacing w:line="360" w:lineRule="auto"/>
        <w:jc w:val="both"/>
        <w:rPr>
          <w:rFonts w:asciiTheme="minorBidi" w:hAnsiTheme="minorBidi"/>
          <w:color w:val="000000" w:themeColor="text1"/>
          <w:sz w:val="24"/>
          <w:szCs w:val="24"/>
        </w:rPr>
      </w:pPr>
      <w:r w:rsidRPr="00401ECD">
        <w:rPr>
          <w:rFonts w:asciiTheme="minorBidi" w:hAnsiTheme="minorBidi"/>
          <w:color w:val="000000" w:themeColor="text1"/>
          <w:sz w:val="24"/>
          <w:szCs w:val="24"/>
        </w:rPr>
        <w:t>My main suggestion would be to allow a limited test with specific commercial and environmental decision gates. Scaling up to be based on customer acceptance, reliable evidence, delivery performance and positive incremental contribution. On the professional side, this exercise confirmed the need to differentiate an appealing strategic story from an investment ready recommendation. Marketing has a part to play, because it is responsible for discovering the value that the customer is seeking and for ensuring that the evidence is coordinated. Leadership has a role to play in ensuring that capabilities at the operational level can deliver the promises made.</w:t>
      </w:r>
    </w:p>
    <w:p w14:paraId="5A23AEE1" w14:textId="77777777" w:rsidR="00AC215F" w:rsidRPr="00401ECD" w:rsidRDefault="00AC215F" w:rsidP="00401ECD">
      <w:pPr>
        <w:spacing w:line="360" w:lineRule="auto"/>
        <w:ind w:firstLine="0"/>
        <w:jc w:val="both"/>
        <w:rPr>
          <w:rFonts w:asciiTheme="minorBidi" w:eastAsia="Times New Roman" w:hAnsiTheme="minorBidi"/>
          <w:color w:val="000000" w:themeColor="text1"/>
          <w:sz w:val="24"/>
          <w:szCs w:val="24"/>
          <w:lang w:eastAsia="en-GB"/>
        </w:rPr>
      </w:pPr>
    </w:p>
    <w:p w14:paraId="5404AAD3"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550BD0E2"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18A2A04E"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59C031C7"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39E04284"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0D15B3CB"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3930E2E1"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7F6AAE78"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2FAD5C6D"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551D7E83"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65260173"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26D7B126"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7877BE11"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7B32C33E"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74D2F9EF"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7DFF6410"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5067CE83"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3DE56497" w14:textId="77777777" w:rsidR="00AC215F" w:rsidRPr="00401ECD" w:rsidRDefault="00AC215F" w:rsidP="00401ECD">
      <w:pPr>
        <w:spacing w:line="360" w:lineRule="auto"/>
        <w:jc w:val="both"/>
        <w:rPr>
          <w:rFonts w:asciiTheme="minorBidi" w:eastAsia="Times New Roman" w:hAnsiTheme="minorBidi"/>
          <w:color w:val="000000" w:themeColor="text1"/>
          <w:sz w:val="24"/>
          <w:szCs w:val="24"/>
          <w:lang w:eastAsia="en-GB"/>
        </w:rPr>
      </w:pPr>
    </w:p>
    <w:p w14:paraId="358259BF" w14:textId="77777777" w:rsidR="00561932" w:rsidRPr="00401ECD" w:rsidRDefault="00561932" w:rsidP="00401ECD">
      <w:pPr>
        <w:pStyle w:val="Heading1"/>
        <w:spacing w:line="360" w:lineRule="auto"/>
        <w:jc w:val="both"/>
        <w:rPr>
          <w:rFonts w:eastAsia="Times New Roman"/>
          <w:sz w:val="24"/>
          <w:szCs w:val="24"/>
          <w:lang w:eastAsia="en-GB"/>
        </w:rPr>
      </w:pPr>
      <w:bookmarkStart w:id="24" w:name="_Toc243553870"/>
      <w:r w:rsidRPr="00401ECD">
        <w:rPr>
          <w:rFonts w:eastAsia="Times New Roman"/>
          <w:sz w:val="24"/>
          <w:szCs w:val="24"/>
          <w:lang w:eastAsia="en-GB"/>
        </w:rPr>
        <w:lastRenderedPageBreak/>
        <w:t>References</w:t>
      </w:r>
      <w:bookmarkEnd w:id="24"/>
    </w:p>
    <w:p w14:paraId="62633AE9"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Azadi, M., Northey, S. A., Ali, S. H., &amp; Edraki, M. (2020). Transparency on greenhouse gas emissions from mining to enable climate change mitigation. </w:t>
      </w:r>
      <w:r w:rsidRPr="00401ECD">
        <w:rPr>
          <w:rStyle w:val="Emphasis"/>
          <w:rFonts w:asciiTheme="minorBidi" w:hAnsiTheme="minorBidi"/>
          <w:b w:val="0"/>
          <w:bCs w:val="0"/>
          <w:color w:val="000000" w:themeColor="text1"/>
          <w:sz w:val="24"/>
          <w:szCs w:val="24"/>
        </w:rPr>
        <w:t>Nature Geoscience, 13</w:t>
      </w:r>
      <w:r w:rsidRPr="00401ECD">
        <w:rPr>
          <w:rFonts w:asciiTheme="minorBidi" w:hAnsiTheme="minorBidi"/>
          <w:color w:val="000000" w:themeColor="text1"/>
          <w:sz w:val="24"/>
          <w:szCs w:val="24"/>
        </w:rPr>
        <w:t xml:space="preserve">, 100–104. </w:t>
      </w:r>
      <w:hyperlink r:id="rId15" w:history="1">
        <w:r w:rsidRPr="00401ECD">
          <w:rPr>
            <w:rStyle w:val="Hyperlink"/>
            <w:rFonts w:asciiTheme="minorBidi" w:hAnsiTheme="minorBidi"/>
            <w:color w:val="000000" w:themeColor="text1"/>
            <w:sz w:val="24"/>
            <w:szCs w:val="24"/>
          </w:rPr>
          <w:t>https://www.nature.com/articles/s41561-020-0531-3</w:t>
        </w:r>
      </w:hyperlink>
    </w:p>
    <w:p w14:paraId="13D7F4FB"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Aydogdu, K., Duzgun, S., Yaylaci, E. D., &amp; Aranoglu, F. (2024). A systems engineering approach to decarbonizing mining: Analyzing electrification and CO2 emission reduction scenarios for copper mining haulage systems. </w:t>
      </w:r>
      <w:r w:rsidRPr="00401ECD">
        <w:rPr>
          <w:rStyle w:val="Emphasis"/>
          <w:rFonts w:asciiTheme="minorBidi" w:hAnsiTheme="minorBidi"/>
          <w:b w:val="0"/>
          <w:bCs w:val="0"/>
          <w:color w:val="000000" w:themeColor="text1"/>
          <w:sz w:val="24"/>
          <w:szCs w:val="24"/>
        </w:rPr>
        <w:t>Sustainability, 16</w:t>
      </w:r>
      <w:r w:rsidRPr="00401ECD">
        <w:rPr>
          <w:rFonts w:asciiTheme="minorBidi" w:hAnsiTheme="minorBidi"/>
          <w:color w:val="000000" w:themeColor="text1"/>
          <w:sz w:val="24"/>
          <w:szCs w:val="24"/>
        </w:rPr>
        <w:t xml:space="preserve">(14), Article 6232. </w:t>
      </w:r>
      <w:hyperlink r:id="rId16" w:history="1">
        <w:r w:rsidRPr="00401ECD">
          <w:rPr>
            <w:rStyle w:val="Hyperlink"/>
            <w:rFonts w:asciiTheme="minorBidi" w:hAnsiTheme="minorBidi"/>
            <w:color w:val="000000" w:themeColor="text1"/>
            <w:sz w:val="24"/>
            <w:szCs w:val="24"/>
          </w:rPr>
          <w:t>https://www.mdpi.com/2071-1050/16/14/6232</w:t>
        </w:r>
      </w:hyperlink>
    </w:p>
    <w:p w14:paraId="5EDE1015"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BHP. (2026a). </w:t>
      </w:r>
      <w:r w:rsidRPr="00401ECD">
        <w:rPr>
          <w:rStyle w:val="Emphasis"/>
          <w:rFonts w:asciiTheme="minorBidi" w:hAnsiTheme="minorBidi"/>
          <w:b w:val="0"/>
          <w:bCs w:val="0"/>
          <w:color w:val="000000" w:themeColor="text1"/>
          <w:sz w:val="24"/>
          <w:szCs w:val="24"/>
        </w:rPr>
        <w:t>Annual report 2026</w:t>
      </w:r>
      <w:r w:rsidRPr="00401ECD">
        <w:rPr>
          <w:rFonts w:asciiTheme="minorBidi" w:hAnsiTheme="minorBidi"/>
          <w:color w:val="000000" w:themeColor="text1"/>
          <w:sz w:val="24"/>
          <w:szCs w:val="24"/>
        </w:rPr>
        <w:t xml:space="preserve">. </w:t>
      </w:r>
      <w:hyperlink r:id="rId17" w:history="1">
        <w:r w:rsidRPr="00401ECD">
          <w:rPr>
            <w:rStyle w:val="Hyperlink"/>
            <w:rFonts w:asciiTheme="minorBidi" w:hAnsiTheme="minorBidi"/>
            <w:color w:val="000000" w:themeColor="text1"/>
            <w:sz w:val="24"/>
            <w:szCs w:val="24"/>
          </w:rPr>
          <w:t>https://www.bhp.com/ar2026</w:t>
        </w:r>
      </w:hyperlink>
    </w:p>
    <w:p w14:paraId="081BD9BD"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BHP. (2026b, August). </w:t>
      </w:r>
      <w:r w:rsidRPr="00401ECD">
        <w:rPr>
          <w:rStyle w:val="Emphasis"/>
          <w:rFonts w:asciiTheme="minorBidi" w:hAnsiTheme="minorBidi"/>
          <w:b w:val="0"/>
          <w:bCs w:val="0"/>
          <w:color w:val="000000" w:themeColor="text1"/>
          <w:sz w:val="24"/>
          <w:szCs w:val="24"/>
        </w:rPr>
        <w:t>BHP results for the full year ended 30 June 2026</w:t>
      </w:r>
      <w:r w:rsidRPr="00401ECD">
        <w:rPr>
          <w:rFonts w:asciiTheme="minorBidi" w:hAnsiTheme="minorBidi"/>
          <w:color w:val="000000" w:themeColor="text1"/>
          <w:sz w:val="24"/>
          <w:szCs w:val="24"/>
        </w:rPr>
        <w:t xml:space="preserve">. </w:t>
      </w:r>
      <w:hyperlink r:id="rId18" w:history="1">
        <w:r w:rsidRPr="00401ECD">
          <w:rPr>
            <w:rStyle w:val="Hyperlink"/>
            <w:rFonts w:asciiTheme="minorBidi" w:hAnsiTheme="minorBidi"/>
            <w:color w:val="000000" w:themeColor="text1"/>
            <w:sz w:val="24"/>
            <w:szCs w:val="24"/>
          </w:rPr>
          <w:t>https://www.bhp.com/news/media-centre/releases/2026/08/bhp-results-for-the-full-year-ended-30-june-2026</w:t>
        </w:r>
      </w:hyperlink>
    </w:p>
    <w:p w14:paraId="2F7CCE8D"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Chauhan, C., Parida, V., &amp; Dhir, A. (2022). Linking circular economy and digitalisation technologies: A systematic literature review of past achievements and future promises. </w:t>
      </w:r>
      <w:r w:rsidRPr="00401ECD">
        <w:rPr>
          <w:rStyle w:val="Emphasis"/>
          <w:rFonts w:asciiTheme="minorBidi" w:hAnsiTheme="minorBidi"/>
          <w:b w:val="0"/>
          <w:bCs w:val="0"/>
          <w:color w:val="000000" w:themeColor="text1"/>
          <w:sz w:val="24"/>
          <w:szCs w:val="24"/>
        </w:rPr>
        <w:t>Technological Forecasting and Social Change, 177</w:t>
      </w:r>
      <w:r w:rsidRPr="00401ECD">
        <w:rPr>
          <w:rFonts w:asciiTheme="minorBidi" w:hAnsiTheme="minorBidi"/>
          <w:color w:val="000000" w:themeColor="text1"/>
          <w:sz w:val="24"/>
          <w:szCs w:val="24"/>
        </w:rPr>
        <w:t xml:space="preserve">, Article 121508. </w:t>
      </w:r>
      <w:hyperlink r:id="rId19" w:history="1">
        <w:r w:rsidRPr="00401ECD">
          <w:rPr>
            <w:rStyle w:val="Hyperlink"/>
            <w:rFonts w:asciiTheme="minorBidi" w:hAnsiTheme="minorBidi"/>
            <w:color w:val="000000" w:themeColor="text1"/>
            <w:sz w:val="24"/>
            <w:szCs w:val="24"/>
          </w:rPr>
          <w:t>https://www.sciencedirect.com/science/article/pii/S0040162522000403</w:t>
        </w:r>
      </w:hyperlink>
    </w:p>
    <w:p w14:paraId="620CB51D"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Cox, B., Innis, S., Kunz, N. C., &amp; Steen, J. (2022). The mining industry as a net beneficiary of a global tax on carbon emissions. </w:t>
      </w:r>
      <w:r w:rsidRPr="00401ECD">
        <w:rPr>
          <w:rStyle w:val="Emphasis"/>
          <w:rFonts w:asciiTheme="minorBidi" w:hAnsiTheme="minorBidi"/>
          <w:b w:val="0"/>
          <w:bCs w:val="0"/>
          <w:color w:val="000000" w:themeColor="text1"/>
          <w:sz w:val="24"/>
          <w:szCs w:val="24"/>
        </w:rPr>
        <w:t>Communications Earth &amp; Environment, 3</w:t>
      </w:r>
      <w:r w:rsidRPr="00401ECD">
        <w:rPr>
          <w:rFonts w:asciiTheme="minorBidi" w:hAnsiTheme="minorBidi"/>
          <w:color w:val="000000" w:themeColor="text1"/>
          <w:sz w:val="24"/>
          <w:szCs w:val="24"/>
        </w:rPr>
        <w:t xml:space="preserve">, Article 17. </w:t>
      </w:r>
      <w:hyperlink r:id="rId20" w:history="1">
        <w:r w:rsidRPr="00401ECD">
          <w:rPr>
            <w:rStyle w:val="Hyperlink"/>
            <w:rFonts w:asciiTheme="minorBidi" w:hAnsiTheme="minorBidi"/>
            <w:color w:val="000000" w:themeColor="text1"/>
            <w:sz w:val="24"/>
            <w:szCs w:val="24"/>
          </w:rPr>
          <w:t>https://www.nature.com/articles/s43247-022-00346-4</w:t>
        </w:r>
      </w:hyperlink>
    </w:p>
    <w:p w14:paraId="1C8CF4BA"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Gao, C. A., Howard, F. M., Markov, N. S., Dyer, E. C., Ramesh, S., Luo, Y., &amp; Pearson, A. T. (2023). Comparing scientific abstracts generated by ChatGPT to real abstracts with detectors and blinded human reviewers. </w:t>
      </w:r>
      <w:r w:rsidRPr="00401ECD">
        <w:rPr>
          <w:rStyle w:val="Emphasis"/>
          <w:rFonts w:asciiTheme="minorBidi" w:hAnsiTheme="minorBidi"/>
          <w:b w:val="0"/>
          <w:bCs w:val="0"/>
          <w:color w:val="000000" w:themeColor="text1"/>
          <w:sz w:val="24"/>
          <w:szCs w:val="24"/>
        </w:rPr>
        <w:t>npj Digital Medicine, 6</w:t>
      </w:r>
      <w:r w:rsidRPr="00401ECD">
        <w:rPr>
          <w:rFonts w:asciiTheme="minorBidi" w:hAnsiTheme="minorBidi"/>
          <w:color w:val="000000" w:themeColor="text1"/>
          <w:sz w:val="24"/>
          <w:szCs w:val="24"/>
        </w:rPr>
        <w:t xml:space="preserve">, Article 75. </w:t>
      </w:r>
      <w:hyperlink r:id="rId21" w:history="1">
        <w:r w:rsidRPr="00401ECD">
          <w:rPr>
            <w:rStyle w:val="Hyperlink"/>
            <w:rFonts w:asciiTheme="minorBidi" w:hAnsiTheme="minorBidi"/>
            <w:color w:val="000000" w:themeColor="text1"/>
            <w:sz w:val="24"/>
            <w:szCs w:val="24"/>
          </w:rPr>
          <w:t>https://www.nature.com/articles/s41746-023-00819-6</w:t>
        </w:r>
      </w:hyperlink>
    </w:p>
    <w:p w14:paraId="66953938"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Gholami, A., Tokac, B., &amp; Zhang, Q. (2024). Knowledge synthesis on the mine life cycle and the mining value chain to address climate change. </w:t>
      </w:r>
      <w:r w:rsidRPr="00401ECD">
        <w:rPr>
          <w:rStyle w:val="Emphasis"/>
          <w:rFonts w:asciiTheme="minorBidi" w:hAnsiTheme="minorBidi"/>
          <w:b w:val="0"/>
          <w:bCs w:val="0"/>
          <w:color w:val="000000" w:themeColor="text1"/>
          <w:sz w:val="24"/>
          <w:szCs w:val="24"/>
        </w:rPr>
        <w:t>Resources Policy, 95</w:t>
      </w:r>
      <w:r w:rsidRPr="00401ECD">
        <w:rPr>
          <w:rFonts w:asciiTheme="minorBidi" w:hAnsiTheme="minorBidi"/>
          <w:color w:val="000000" w:themeColor="text1"/>
          <w:sz w:val="24"/>
          <w:szCs w:val="24"/>
        </w:rPr>
        <w:t xml:space="preserve">, Article 105183. </w:t>
      </w:r>
      <w:hyperlink r:id="rId22" w:history="1">
        <w:r w:rsidRPr="00401ECD">
          <w:rPr>
            <w:rStyle w:val="Hyperlink"/>
            <w:rFonts w:asciiTheme="minorBidi" w:hAnsiTheme="minorBidi"/>
            <w:color w:val="000000" w:themeColor="text1"/>
            <w:sz w:val="24"/>
            <w:szCs w:val="24"/>
          </w:rPr>
          <w:t>https://www.sciencedirect.com/science/article/pii/S0301420724005506</w:t>
        </w:r>
      </w:hyperlink>
    </w:p>
    <w:p w14:paraId="05C0F549"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Hina, M., Chauhan, C., Kaur, P., Kraus, S., &amp; Dhir, A. (2022). Drivers and barriers of circular economy business models: Where we are now, and where we are heading. </w:t>
      </w:r>
      <w:r w:rsidRPr="00401ECD">
        <w:rPr>
          <w:rStyle w:val="Emphasis"/>
          <w:rFonts w:asciiTheme="minorBidi" w:hAnsiTheme="minorBidi"/>
          <w:b w:val="0"/>
          <w:bCs w:val="0"/>
          <w:color w:val="000000" w:themeColor="text1"/>
          <w:sz w:val="24"/>
          <w:szCs w:val="24"/>
        </w:rPr>
        <w:t>Journal of Cleaner Production, 333</w:t>
      </w:r>
      <w:r w:rsidRPr="00401ECD">
        <w:rPr>
          <w:rFonts w:asciiTheme="minorBidi" w:hAnsiTheme="minorBidi"/>
          <w:color w:val="000000" w:themeColor="text1"/>
          <w:sz w:val="24"/>
          <w:szCs w:val="24"/>
        </w:rPr>
        <w:t xml:space="preserve">, Article 130049. </w:t>
      </w:r>
      <w:hyperlink r:id="rId23" w:history="1">
        <w:r w:rsidRPr="00401ECD">
          <w:rPr>
            <w:rStyle w:val="Hyperlink"/>
            <w:rFonts w:asciiTheme="minorBidi" w:hAnsiTheme="minorBidi"/>
            <w:color w:val="000000" w:themeColor="text1"/>
            <w:sz w:val="24"/>
            <w:szCs w:val="24"/>
          </w:rPr>
          <w:t>https://www.sciencedirect.com/science/article/pii/S0959652621042153</w:t>
        </w:r>
      </w:hyperlink>
    </w:p>
    <w:p w14:paraId="568EA020"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lastRenderedPageBreak/>
        <w:t xml:space="preserve">Hina, M., Chauhan, C., Sharma, R., &amp; Dhir, A. (2023). Circular economy business models as pillars of sustainability: Where are we now, and where are we heading? </w:t>
      </w:r>
      <w:r w:rsidRPr="00401ECD">
        <w:rPr>
          <w:rStyle w:val="Emphasis"/>
          <w:rFonts w:asciiTheme="minorBidi" w:hAnsiTheme="minorBidi"/>
          <w:b w:val="0"/>
          <w:bCs w:val="0"/>
          <w:color w:val="000000" w:themeColor="text1"/>
          <w:sz w:val="24"/>
          <w:szCs w:val="24"/>
        </w:rPr>
        <w:t>Business Strategy and the Environment, 32</w:t>
      </w:r>
      <w:r w:rsidRPr="00401ECD">
        <w:rPr>
          <w:rFonts w:asciiTheme="minorBidi" w:hAnsiTheme="minorBidi"/>
          <w:color w:val="000000" w:themeColor="text1"/>
          <w:sz w:val="24"/>
          <w:szCs w:val="24"/>
        </w:rPr>
        <w:t xml:space="preserve">(8), 6182–6209. </w:t>
      </w:r>
      <w:hyperlink r:id="rId24" w:history="1">
        <w:r w:rsidRPr="00401ECD">
          <w:rPr>
            <w:rStyle w:val="Hyperlink"/>
            <w:rFonts w:asciiTheme="minorBidi" w:hAnsiTheme="minorBidi"/>
            <w:color w:val="000000" w:themeColor="text1"/>
            <w:sz w:val="24"/>
            <w:szCs w:val="24"/>
          </w:rPr>
          <w:t>https://onlinelibrary.wiley.com/doi/full/10.1002/bse.3480</w:t>
        </w:r>
      </w:hyperlink>
    </w:p>
    <w:p w14:paraId="38A1C4B7"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Hooley, G., Nicoulaud, B., Rudd, J. M., &amp; Lee, N. (2020). </w:t>
      </w:r>
      <w:r w:rsidRPr="00401ECD">
        <w:rPr>
          <w:rStyle w:val="Emphasis"/>
          <w:rFonts w:asciiTheme="minorBidi" w:hAnsiTheme="minorBidi"/>
          <w:b w:val="0"/>
          <w:bCs w:val="0"/>
          <w:color w:val="000000" w:themeColor="text1"/>
          <w:sz w:val="24"/>
          <w:szCs w:val="24"/>
        </w:rPr>
        <w:t>Marketing strategy and competitive positioning</w:t>
      </w:r>
      <w:r w:rsidRPr="00401ECD">
        <w:rPr>
          <w:rFonts w:asciiTheme="minorBidi" w:hAnsiTheme="minorBidi"/>
          <w:color w:val="000000" w:themeColor="text1"/>
          <w:sz w:val="24"/>
          <w:szCs w:val="24"/>
        </w:rPr>
        <w:t xml:space="preserve"> (7th ed.). Pearson. </w:t>
      </w:r>
      <w:hyperlink r:id="rId25" w:history="1">
        <w:r w:rsidRPr="00401ECD">
          <w:rPr>
            <w:rStyle w:val="Hyperlink"/>
            <w:rFonts w:asciiTheme="minorBidi" w:hAnsiTheme="minorBidi"/>
            <w:color w:val="000000" w:themeColor="text1"/>
            <w:sz w:val="24"/>
            <w:szCs w:val="24"/>
          </w:rPr>
          <w:t>https://books.google.com/books?id=J63jDwAAQBAJ</w:t>
        </w:r>
      </w:hyperlink>
    </w:p>
    <w:p w14:paraId="31047932"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Ji, Z., Lee, N., Frieske, R., Yu, T., Su, D., Xu, Y., Ishii, E., Bang, Y., Madotto, A., &amp; Fung, P. (2023). Survey of hallucination in natural language generation. </w:t>
      </w:r>
      <w:r w:rsidRPr="00401ECD">
        <w:rPr>
          <w:rStyle w:val="Emphasis"/>
          <w:rFonts w:asciiTheme="minorBidi" w:hAnsiTheme="minorBidi"/>
          <w:b w:val="0"/>
          <w:bCs w:val="0"/>
          <w:color w:val="000000" w:themeColor="text1"/>
          <w:sz w:val="24"/>
          <w:szCs w:val="24"/>
        </w:rPr>
        <w:t>ACM Computing Surveys, 55</w:t>
      </w:r>
      <w:r w:rsidRPr="00401ECD">
        <w:rPr>
          <w:rFonts w:asciiTheme="minorBidi" w:hAnsiTheme="minorBidi"/>
          <w:color w:val="000000" w:themeColor="text1"/>
          <w:sz w:val="24"/>
          <w:szCs w:val="24"/>
        </w:rPr>
        <w:t xml:space="preserve">(12), Article 248. </w:t>
      </w:r>
      <w:hyperlink r:id="rId26" w:history="1">
        <w:r w:rsidRPr="00401ECD">
          <w:rPr>
            <w:rStyle w:val="Hyperlink"/>
            <w:rFonts w:asciiTheme="minorBidi" w:hAnsiTheme="minorBidi"/>
            <w:color w:val="000000" w:themeColor="text1"/>
            <w:sz w:val="24"/>
            <w:szCs w:val="24"/>
          </w:rPr>
          <w:t>https://dl.acm.org/doi/10.1145/3571730</w:t>
        </w:r>
      </w:hyperlink>
    </w:p>
    <w:p w14:paraId="13AA4F67"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Jowitt, S. M., Mudd, G. M., &amp; Thompson, J. F. H. (2020). Future availability of non-renewable metal resources and the influence of environmental, social, and governance conflicts on metal production. </w:t>
      </w:r>
      <w:r w:rsidRPr="00401ECD">
        <w:rPr>
          <w:rStyle w:val="Emphasis"/>
          <w:rFonts w:asciiTheme="minorBidi" w:hAnsiTheme="minorBidi"/>
          <w:b w:val="0"/>
          <w:bCs w:val="0"/>
          <w:color w:val="000000" w:themeColor="text1"/>
          <w:sz w:val="24"/>
          <w:szCs w:val="24"/>
        </w:rPr>
        <w:t>Communications Earth &amp; Environment, 1</w:t>
      </w:r>
      <w:r w:rsidRPr="00401ECD">
        <w:rPr>
          <w:rFonts w:asciiTheme="minorBidi" w:hAnsiTheme="minorBidi"/>
          <w:color w:val="000000" w:themeColor="text1"/>
          <w:sz w:val="24"/>
          <w:szCs w:val="24"/>
        </w:rPr>
        <w:t xml:space="preserve">, Article 13. </w:t>
      </w:r>
      <w:hyperlink r:id="rId27" w:history="1">
        <w:r w:rsidRPr="00401ECD">
          <w:rPr>
            <w:rStyle w:val="Hyperlink"/>
            <w:rFonts w:asciiTheme="minorBidi" w:hAnsiTheme="minorBidi"/>
            <w:color w:val="000000" w:themeColor="text1"/>
            <w:sz w:val="24"/>
            <w:szCs w:val="24"/>
          </w:rPr>
          <w:t>https://www.nature.com/articles/s43247-020-0011-0</w:t>
        </w:r>
      </w:hyperlink>
    </w:p>
    <w:p w14:paraId="07B4ECE7"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Kristoffersen, E., Blomsma, F., Mikalef, P., &amp; Li, J. (2020). The smart circular economy: A digital-enabled circular strategies framework for manufacturing companies. </w:t>
      </w:r>
      <w:r w:rsidRPr="00401ECD">
        <w:rPr>
          <w:rStyle w:val="Emphasis"/>
          <w:rFonts w:asciiTheme="minorBidi" w:hAnsiTheme="minorBidi"/>
          <w:b w:val="0"/>
          <w:bCs w:val="0"/>
          <w:color w:val="000000" w:themeColor="text1"/>
          <w:sz w:val="24"/>
          <w:szCs w:val="24"/>
        </w:rPr>
        <w:t>Journal of Business Research, 120</w:t>
      </w:r>
      <w:r w:rsidRPr="00401ECD">
        <w:rPr>
          <w:rFonts w:asciiTheme="minorBidi" w:hAnsiTheme="minorBidi"/>
          <w:color w:val="000000" w:themeColor="text1"/>
          <w:sz w:val="24"/>
          <w:szCs w:val="24"/>
        </w:rPr>
        <w:t xml:space="preserve">, 241–261. </w:t>
      </w:r>
      <w:hyperlink r:id="rId28" w:history="1">
        <w:r w:rsidRPr="00401ECD">
          <w:rPr>
            <w:rStyle w:val="Hyperlink"/>
            <w:rFonts w:asciiTheme="minorBidi" w:hAnsiTheme="minorBidi"/>
            <w:color w:val="000000" w:themeColor="text1"/>
            <w:sz w:val="24"/>
            <w:szCs w:val="24"/>
          </w:rPr>
          <w:t>https://www.sciencedirect.com/science/article/pii/S0148296320304987</w:t>
        </w:r>
      </w:hyperlink>
    </w:p>
    <w:p w14:paraId="42F0FC29"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Lèbre, É., Stringer, M., Svobodkova, K., Owen, J. R., Kemp, D., Côte, C., Arratia-Solar, A., &amp; Valenta, R. K. (2020). The social and environmental complexities of extracting energy transition metals. </w:t>
      </w:r>
      <w:r w:rsidRPr="00401ECD">
        <w:rPr>
          <w:rStyle w:val="Emphasis"/>
          <w:rFonts w:asciiTheme="minorBidi" w:hAnsiTheme="minorBidi"/>
          <w:b w:val="0"/>
          <w:bCs w:val="0"/>
          <w:color w:val="000000" w:themeColor="text1"/>
          <w:sz w:val="24"/>
          <w:szCs w:val="24"/>
        </w:rPr>
        <w:t>Nature Communications, 11</w:t>
      </w:r>
      <w:r w:rsidRPr="00401ECD">
        <w:rPr>
          <w:rFonts w:asciiTheme="minorBidi" w:hAnsiTheme="minorBidi"/>
          <w:color w:val="000000" w:themeColor="text1"/>
          <w:sz w:val="24"/>
          <w:szCs w:val="24"/>
        </w:rPr>
        <w:t xml:space="preserve">, Article 4823. </w:t>
      </w:r>
      <w:hyperlink r:id="rId29" w:history="1">
        <w:r w:rsidRPr="00401ECD">
          <w:rPr>
            <w:rStyle w:val="Hyperlink"/>
            <w:rFonts w:asciiTheme="minorBidi" w:hAnsiTheme="minorBidi"/>
            <w:color w:val="000000" w:themeColor="text1"/>
            <w:sz w:val="24"/>
            <w:szCs w:val="24"/>
          </w:rPr>
          <w:t>https://www.nature.com/articles/s41467-020-18661-9</w:t>
        </w:r>
      </w:hyperlink>
    </w:p>
    <w:p w14:paraId="32068B1C"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Li, X., Gu, Q., Wang, Q., Luo, J., Liu, D., &amp; Chang, Y. (2024). Renewable energy in the mining industry: Status, opportunities and challenges. </w:t>
      </w:r>
      <w:r w:rsidRPr="00401ECD">
        <w:rPr>
          <w:rStyle w:val="Emphasis"/>
          <w:rFonts w:asciiTheme="minorBidi" w:hAnsiTheme="minorBidi"/>
          <w:b w:val="0"/>
          <w:bCs w:val="0"/>
          <w:color w:val="000000" w:themeColor="text1"/>
          <w:sz w:val="24"/>
          <w:szCs w:val="24"/>
        </w:rPr>
        <w:t>Energy Strategy Reviews, 56</w:t>
      </w:r>
      <w:r w:rsidRPr="00401ECD">
        <w:rPr>
          <w:rFonts w:asciiTheme="minorBidi" w:hAnsiTheme="minorBidi"/>
          <w:color w:val="000000" w:themeColor="text1"/>
          <w:sz w:val="24"/>
          <w:szCs w:val="24"/>
        </w:rPr>
        <w:t xml:space="preserve">, Article 101597. </w:t>
      </w:r>
      <w:hyperlink r:id="rId30" w:history="1">
        <w:r w:rsidRPr="00401ECD">
          <w:rPr>
            <w:rStyle w:val="Hyperlink"/>
            <w:rFonts w:asciiTheme="minorBidi" w:hAnsiTheme="minorBidi"/>
            <w:color w:val="000000" w:themeColor="text1"/>
            <w:sz w:val="24"/>
            <w:szCs w:val="24"/>
          </w:rPr>
          <w:t>https://www.sciencedirect.com/science/article/pii/S2211467X24003067</w:t>
        </w:r>
      </w:hyperlink>
    </w:p>
    <w:p w14:paraId="40137F53"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Lu, T., Chen, W.-Q., Ma, Y., Qian, Q., &amp; Jia, J. (2023). Environmental impacts and improvement potentials for copper mining and mineral processing operations in China. </w:t>
      </w:r>
      <w:r w:rsidRPr="00401ECD">
        <w:rPr>
          <w:rStyle w:val="Emphasis"/>
          <w:rFonts w:asciiTheme="minorBidi" w:hAnsiTheme="minorBidi"/>
          <w:b w:val="0"/>
          <w:bCs w:val="0"/>
          <w:color w:val="000000" w:themeColor="text1"/>
          <w:sz w:val="24"/>
          <w:szCs w:val="24"/>
        </w:rPr>
        <w:t>Journal of Environmental Management, 342</w:t>
      </w:r>
      <w:r w:rsidRPr="00401ECD">
        <w:rPr>
          <w:rFonts w:asciiTheme="minorBidi" w:hAnsiTheme="minorBidi"/>
          <w:color w:val="000000" w:themeColor="text1"/>
          <w:sz w:val="24"/>
          <w:szCs w:val="24"/>
        </w:rPr>
        <w:t xml:space="preserve">, Article 118178. </w:t>
      </w:r>
      <w:hyperlink r:id="rId31" w:history="1">
        <w:r w:rsidRPr="00401ECD">
          <w:rPr>
            <w:rStyle w:val="Hyperlink"/>
            <w:rFonts w:asciiTheme="minorBidi" w:hAnsiTheme="minorBidi"/>
            <w:color w:val="000000" w:themeColor="text1"/>
            <w:sz w:val="24"/>
            <w:szCs w:val="24"/>
          </w:rPr>
          <w:t>https://www.sciencedirect.com/science/article/pii/S0301479723009660</w:t>
        </w:r>
      </w:hyperlink>
    </w:p>
    <w:p w14:paraId="470857F0"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Nassar, N. T., Brainard, J., Gulley, A., Manley, R., Matos, G., Lederer, G., Bird, L., Pineault, D., Alonso, E., Gambogi, J., &amp; Fortier, S. M. (2020). Evaluating the </w:t>
      </w:r>
      <w:r w:rsidRPr="00401ECD">
        <w:rPr>
          <w:rFonts w:asciiTheme="minorBidi" w:hAnsiTheme="minorBidi"/>
          <w:color w:val="000000" w:themeColor="text1"/>
          <w:sz w:val="24"/>
          <w:szCs w:val="24"/>
        </w:rPr>
        <w:lastRenderedPageBreak/>
        <w:t xml:space="preserve">mineral commodity supply risk of the U.S. manufacturing sector. </w:t>
      </w:r>
      <w:r w:rsidRPr="00401ECD">
        <w:rPr>
          <w:rStyle w:val="Emphasis"/>
          <w:rFonts w:asciiTheme="minorBidi" w:hAnsiTheme="minorBidi"/>
          <w:b w:val="0"/>
          <w:bCs w:val="0"/>
          <w:color w:val="000000" w:themeColor="text1"/>
          <w:sz w:val="24"/>
          <w:szCs w:val="24"/>
        </w:rPr>
        <w:t>Science Advances, 6</w:t>
      </w:r>
      <w:r w:rsidRPr="00401ECD">
        <w:rPr>
          <w:rFonts w:asciiTheme="minorBidi" w:hAnsiTheme="minorBidi"/>
          <w:color w:val="000000" w:themeColor="text1"/>
          <w:sz w:val="24"/>
          <w:szCs w:val="24"/>
        </w:rPr>
        <w:t xml:space="preserve">(8), Article eaay8647. </w:t>
      </w:r>
      <w:hyperlink r:id="rId32" w:history="1">
        <w:r w:rsidRPr="00401ECD">
          <w:rPr>
            <w:rStyle w:val="Hyperlink"/>
            <w:rFonts w:asciiTheme="minorBidi" w:hAnsiTheme="minorBidi"/>
            <w:color w:val="000000" w:themeColor="text1"/>
            <w:sz w:val="24"/>
            <w:szCs w:val="24"/>
          </w:rPr>
          <w:t>https://www.science.org/doi/10.1126/sciadv.aay8647</w:t>
        </w:r>
      </w:hyperlink>
    </w:p>
    <w:p w14:paraId="2622624A"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Negrete, M., Fuentes, M., Kraslawski, A., Irarrazaval, F., &amp; Herrera-León, S. (2024). Socio-environmental implications of the decarbonization of copper and lithium mining and mineral processing. </w:t>
      </w:r>
      <w:r w:rsidRPr="00401ECD">
        <w:rPr>
          <w:rStyle w:val="Emphasis"/>
          <w:rFonts w:asciiTheme="minorBidi" w:hAnsiTheme="minorBidi"/>
          <w:b w:val="0"/>
          <w:bCs w:val="0"/>
          <w:color w:val="000000" w:themeColor="text1"/>
          <w:sz w:val="24"/>
          <w:szCs w:val="24"/>
        </w:rPr>
        <w:t>Resources Policy, 95</w:t>
      </w:r>
      <w:r w:rsidRPr="00401ECD">
        <w:rPr>
          <w:rFonts w:asciiTheme="minorBidi" w:hAnsiTheme="minorBidi"/>
          <w:color w:val="000000" w:themeColor="text1"/>
          <w:sz w:val="24"/>
          <w:szCs w:val="24"/>
        </w:rPr>
        <w:t xml:space="preserve">, Article 105135. </w:t>
      </w:r>
      <w:hyperlink r:id="rId33" w:history="1">
        <w:r w:rsidRPr="00401ECD">
          <w:rPr>
            <w:rStyle w:val="Hyperlink"/>
            <w:rFonts w:asciiTheme="minorBidi" w:hAnsiTheme="minorBidi"/>
            <w:color w:val="000000" w:themeColor="text1"/>
            <w:sz w:val="24"/>
            <w:szCs w:val="24"/>
          </w:rPr>
          <w:t>https://www.sciencedirect.com/science/article/pii/S0301420724005026</w:t>
        </w:r>
      </w:hyperlink>
    </w:p>
    <w:p w14:paraId="10216B08"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Owen, J. R., Kemp, D., Lechner, A. M., Harris, J., Zhang, R., &amp; Lèbre, É. (2023). Energy transition minerals and their intersection with land-connected peoples. </w:t>
      </w:r>
      <w:r w:rsidRPr="00401ECD">
        <w:rPr>
          <w:rStyle w:val="Emphasis"/>
          <w:rFonts w:asciiTheme="minorBidi" w:hAnsiTheme="minorBidi"/>
          <w:b w:val="0"/>
          <w:bCs w:val="0"/>
          <w:color w:val="000000" w:themeColor="text1"/>
          <w:sz w:val="24"/>
          <w:szCs w:val="24"/>
        </w:rPr>
        <w:t>Nature Sustainability, 6</w:t>
      </w:r>
      <w:r w:rsidRPr="00401ECD">
        <w:rPr>
          <w:rFonts w:asciiTheme="minorBidi" w:hAnsiTheme="minorBidi"/>
          <w:color w:val="000000" w:themeColor="text1"/>
          <w:sz w:val="24"/>
          <w:szCs w:val="24"/>
        </w:rPr>
        <w:t xml:space="preserve">, 203–211. </w:t>
      </w:r>
      <w:hyperlink r:id="rId34" w:history="1">
        <w:r w:rsidRPr="00401ECD">
          <w:rPr>
            <w:rStyle w:val="Hyperlink"/>
            <w:rFonts w:asciiTheme="minorBidi" w:hAnsiTheme="minorBidi"/>
            <w:color w:val="000000" w:themeColor="text1"/>
            <w:sz w:val="24"/>
            <w:szCs w:val="24"/>
          </w:rPr>
          <w:t>https://www.nature.com/articles/s41893-022-00994-6</w:t>
        </w:r>
      </w:hyperlink>
    </w:p>
    <w:p w14:paraId="6D13C395"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Rachid, S., Taha, Y., &amp; Benzaazoua, M. (2023). Environmental evaluation of metals and minerals production based on a life cycle assessment approach: A systematic review. </w:t>
      </w:r>
      <w:r w:rsidRPr="00401ECD">
        <w:rPr>
          <w:rStyle w:val="Emphasis"/>
          <w:rFonts w:asciiTheme="minorBidi" w:hAnsiTheme="minorBidi"/>
          <w:b w:val="0"/>
          <w:bCs w:val="0"/>
          <w:color w:val="000000" w:themeColor="text1"/>
          <w:sz w:val="24"/>
          <w:szCs w:val="24"/>
        </w:rPr>
        <w:t>Minerals Engineering, 198</w:t>
      </w:r>
      <w:r w:rsidRPr="00401ECD">
        <w:rPr>
          <w:rFonts w:asciiTheme="minorBidi" w:hAnsiTheme="minorBidi"/>
          <w:color w:val="000000" w:themeColor="text1"/>
          <w:sz w:val="24"/>
          <w:szCs w:val="24"/>
        </w:rPr>
        <w:t xml:space="preserve">, Article 108076. </w:t>
      </w:r>
      <w:hyperlink r:id="rId35" w:history="1">
        <w:r w:rsidRPr="00401ECD">
          <w:rPr>
            <w:rStyle w:val="Hyperlink"/>
            <w:rFonts w:asciiTheme="minorBidi" w:hAnsiTheme="minorBidi"/>
            <w:color w:val="000000" w:themeColor="text1"/>
            <w:sz w:val="24"/>
            <w:szCs w:val="24"/>
          </w:rPr>
          <w:t>https://www.sciencedirect.com/science/article/pii/S0892687523000900</w:t>
        </w:r>
      </w:hyperlink>
    </w:p>
    <w:p w14:paraId="2A431561"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Rötzer, N., &amp; Schmidt, M. (2020). Historical, current, and future energy demand from global copper production and its impact on climate change. </w:t>
      </w:r>
      <w:r w:rsidRPr="00401ECD">
        <w:rPr>
          <w:rStyle w:val="Emphasis"/>
          <w:rFonts w:asciiTheme="minorBidi" w:hAnsiTheme="minorBidi"/>
          <w:b w:val="0"/>
          <w:bCs w:val="0"/>
          <w:color w:val="000000" w:themeColor="text1"/>
          <w:sz w:val="24"/>
          <w:szCs w:val="24"/>
        </w:rPr>
        <w:t>Resources, 9</w:t>
      </w:r>
      <w:r w:rsidRPr="00401ECD">
        <w:rPr>
          <w:rFonts w:asciiTheme="minorBidi" w:hAnsiTheme="minorBidi"/>
          <w:color w:val="000000" w:themeColor="text1"/>
          <w:sz w:val="24"/>
          <w:szCs w:val="24"/>
        </w:rPr>
        <w:t xml:space="preserve">(4), Article 44. </w:t>
      </w:r>
      <w:hyperlink r:id="rId36" w:history="1">
        <w:r w:rsidRPr="00401ECD">
          <w:rPr>
            <w:rStyle w:val="Hyperlink"/>
            <w:rFonts w:asciiTheme="minorBidi" w:hAnsiTheme="minorBidi"/>
            <w:color w:val="000000" w:themeColor="text1"/>
            <w:sz w:val="24"/>
            <w:szCs w:val="24"/>
          </w:rPr>
          <w:t>https://www.mdpi.com/2079-9276/9/4/44</w:t>
        </w:r>
      </w:hyperlink>
    </w:p>
    <w:p w14:paraId="6A97F371"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Rusch, M., Schöggl, J.-P., &amp; Baumgartner, R. J. (2023). Application of digital technologies for sustainable product management in a circular economy: A review. </w:t>
      </w:r>
      <w:r w:rsidRPr="00401ECD">
        <w:rPr>
          <w:rStyle w:val="Emphasis"/>
          <w:rFonts w:asciiTheme="minorBidi" w:hAnsiTheme="minorBidi"/>
          <w:b w:val="0"/>
          <w:bCs w:val="0"/>
          <w:color w:val="000000" w:themeColor="text1"/>
          <w:sz w:val="24"/>
          <w:szCs w:val="24"/>
        </w:rPr>
        <w:t>Business Strategy and the Environment, 32</w:t>
      </w:r>
      <w:r w:rsidRPr="00401ECD">
        <w:rPr>
          <w:rFonts w:asciiTheme="minorBidi" w:hAnsiTheme="minorBidi"/>
          <w:color w:val="000000" w:themeColor="text1"/>
          <w:sz w:val="24"/>
          <w:szCs w:val="24"/>
        </w:rPr>
        <w:t xml:space="preserve">(3), 1159–1174. </w:t>
      </w:r>
      <w:hyperlink r:id="rId37" w:history="1">
        <w:r w:rsidRPr="00401ECD">
          <w:rPr>
            <w:rStyle w:val="Hyperlink"/>
            <w:rFonts w:asciiTheme="minorBidi" w:hAnsiTheme="minorBidi"/>
            <w:color w:val="000000" w:themeColor="text1"/>
            <w:sz w:val="24"/>
            <w:szCs w:val="24"/>
          </w:rPr>
          <w:t>https://onlinelibrary.wiley.com/doi/full/10.1002/bse.3099</w:t>
        </w:r>
      </w:hyperlink>
    </w:p>
    <w:p w14:paraId="626321A5"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Sonter, L. J., Dade, M. C., Watson, J. E. M., &amp; Valenta, R. K. (2020). Renewable energy production will exacerbate mining threats to biodiversity. </w:t>
      </w:r>
      <w:r w:rsidRPr="00401ECD">
        <w:rPr>
          <w:rStyle w:val="Emphasis"/>
          <w:rFonts w:asciiTheme="minorBidi" w:hAnsiTheme="minorBidi"/>
          <w:b w:val="0"/>
          <w:bCs w:val="0"/>
          <w:color w:val="000000" w:themeColor="text1"/>
          <w:sz w:val="24"/>
          <w:szCs w:val="24"/>
        </w:rPr>
        <w:t>Nature Communications, 11</w:t>
      </w:r>
      <w:r w:rsidRPr="00401ECD">
        <w:rPr>
          <w:rFonts w:asciiTheme="minorBidi" w:hAnsiTheme="minorBidi"/>
          <w:color w:val="000000" w:themeColor="text1"/>
          <w:sz w:val="24"/>
          <w:szCs w:val="24"/>
        </w:rPr>
        <w:t xml:space="preserve">, Article 4174. </w:t>
      </w:r>
      <w:hyperlink r:id="rId38" w:history="1">
        <w:r w:rsidRPr="00401ECD">
          <w:rPr>
            <w:rStyle w:val="Hyperlink"/>
            <w:rFonts w:asciiTheme="minorBidi" w:hAnsiTheme="minorBidi"/>
            <w:color w:val="000000" w:themeColor="text1"/>
            <w:sz w:val="24"/>
            <w:szCs w:val="24"/>
          </w:rPr>
          <w:t>https://www.nature.com/articles/s41467-020-17928-5</w:t>
        </w:r>
      </w:hyperlink>
    </w:p>
    <w:p w14:paraId="100EB0DA"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Sovacool, B. K., Ali, S. H., Bazilian, M., Radley, B., Nemery, B., Okatz, J., &amp; Mulvaney, D. (2020). Sustainable minerals and metals for a low-carbon future. </w:t>
      </w:r>
      <w:r w:rsidRPr="00401ECD">
        <w:rPr>
          <w:rStyle w:val="Emphasis"/>
          <w:rFonts w:asciiTheme="minorBidi" w:hAnsiTheme="minorBidi"/>
          <w:b w:val="0"/>
          <w:bCs w:val="0"/>
          <w:color w:val="000000" w:themeColor="text1"/>
          <w:sz w:val="24"/>
          <w:szCs w:val="24"/>
        </w:rPr>
        <w:t>Science, 367</w:t>
      </w:r>
      <w:r w:rsidRPr="00401ECD">
        <w:rPr>
          <w:rFonts w:asciiTheme="minorBidi" w:hAnsiTheme="minorBidi"/>
          <w:color w:val="000000" w:themeColor="text1"/>
          <w:sz w:val="24"/>
          <w:szCs w:val="24"/>
        </w:rPr>
        <w:t xml:space="preserve">(6473), 30–33. </w:t>
      </w:r>
      <w:hyperlink r:id="rId39" w:history="1">
        <w:r w:rsidRPr="00401ECD">
          <w:rPr>
            <w:rStyle w:val="Hyperlink"/>
            <w:rFonts w:asciiTheme="minorBidi" w:hAnsiTheme="minorBidi"/>
            <w:color w:val="000000" w:themeColor="text1"/>
            <w:sz w:val="24"/>
            <w:szCs w:val="24"/>
          </w:rPr>
          <w:t>https://www.science.org/doi/10.1126/science.aaz6003</w:t>
        </w:r>
      </w:hyperlink>
    </w:p>
    <w:p w14:paraId="1EA362FB"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Walters, W. H., &amp; Wilder, E. I. (2023). Fabrication and errors in the bibliographic citations generated by ChatGPT. </w:t>
      </w:r>
      <w:r w:rsidRPr="00401ECD">
        <w:rPr>
          <w:rStyle w:val="Emphasis"/>
          <w:rFonts w:asciiTheme="minorBidi" w:hAnsiTheme="minorBidi"/>
          <w:b w:val="0"/>
          <w:bCs w:val="0"/>
          <w:color w:val="000000" w:themeColor="text1"/>
          <w:sz w:val="24"/>
          <w:szCs w:val="24"/>
        </w:rPr>
        <w:t>Scientific Reports, 13</w:t>
      </w:r>
      <w:r w:rsidRPr="00401ECD">
        <w:rPr>
          <w:rFonts w:asciiTheme="minorBidi" w:hAnsiTheme="minorBidi"/>
          <w:color w:val="000000" w:themeColor="text1"/>
          <w:sz w:val="24"/>
          <w:szCs w:val="24"/>
        </w:rPr>
        <w:t xml:space="preserve">, Article 14045. </w:t>
      </w:r>
      <w:hyperlink r:id="rId40" w:history="1">
        <w:r w:rsidRPr="00401ECD">
          <w:rPr>
            <w:rStyle w:val="Hyperlink"/>
            <w:rFonts w:asciiTheme="minorBidi" w:hAnsiTheme="minorBidi"/>
            <w:color w:val="000000" w:themeColor="text1"/>
            <w:sz w:val="24"/>
            <w:szCs w:val="24"/>
          </w:rPr>
          <w:t>https://www.nature.com/articles/s41598-023-41032-5</w:t>
        </w:r>
      </w:hyperlink>
    </w:p>
    <w:p w14:paraId="7D18EB1B"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Watari, T., Nansai, K., &amp; Nakajima, K. (2021). Major metals demand, supply, and environmental impacts to 2100: A critical review. </w:t>
      </w:r>
      <w:r w:rsidRPr="00401ECD">
        <w:rPr>
          <w:rStyle w:val="Emphasis"/>
          <w:rFonts w:asciiTheme="minorBidi" w:hAnsiTheme="minorBidi"/>
          <w:b w:val="0"/>
          <w:bCs w:val="0"/>
          <w:color w:val="000000" w:themeColor="text1"/>
          <w:sz w:val="24"/>
          <w:szCs w:val="24"/>
        </w:rPr>
        <w:t xml:space="preserve">Resources, Conservation and </w:t>
      </w:r>
      <w:r w:rsidRPr="00401ECD">
        <w:rPr>
          <w:rStyle w:val="Emphasis"/>
          <w:rFonts w:asciiTheme="minorBidi" w:hAnsiTheme="minorBidi"/>
          <w:b w:val="0"/>
          <w:bCs w:val="0"/>
          <w:color w:val="000000" w:themeColor="text1"/>
          <w:sz w:val="24"/>
          <w:szCs w:val="24"/>
        </w:rPr>
        <w:lastRenderedPageBreak/>
        <w:t>Recycling, 164</w:t>
      </w:r>
      <w:r w:rsidRPr="00401ECD">
        <w:rPr>
          <w:rFonts w:asciiTheme="minorBidi" w:hAnsiTheme="minorBidi"/>
          <w:color w:val="000000" w:themeColor="text1"/>
          <w:sz w:val="24"/>
          <w:szCs w:val="24"/>
        </w:rPr>
        <w:t xml:space="preserve">, Article 105107. </w:t>
      </w:r>
      <w:hyperlink r:id="rId41" w:history="1">
        <w:r w:rsidRPr="00401ECD">
          <w:rPr>
            <w:rStyle w:val="Hyperlink"/>
            <w:rFonts w:asciiTheme="minorBidi" w:hAnsiTheme="minorBidi"/>
            <w:color w:val="000000" w:themeColor="text1"/>
            <w:sz w:val="24"/>
            <w:szCs w:val="24"/>
          </w:rPr>
          <w:t>https://takuma-watari.com/en/2020/08/29/majormetal_review/</w:t>
        </w:r>
      </w:hyperlink>
    </w:p>
    <w:p w14:paraId="4000664A" w14:textId="77777777" w:rsidR="00AC215F" w:rsidRPr="00401ECD" w:rsidRDefault="00AC215F" w:rsidP="00401ECD">
      <w:pPr>
        <w:pStyle w:val="NoSpacing"/>
        <w:spacing w:line="360" w:lineRule="auto"/>
        <w:ind w:left="720" w:hanging="720"/>
        <w:jc w:val="both"/>
        <w:rPr>
          <w:rFonts w:asciiTheme="minorBidi" w:hAnsiTheme="minorBidi"/>
          <w:color w:val="000000" w:themeColor="text1"/>
          <w:sz w:val="24"/>
          <w:szCs w:val="24"/>
        </w:rPr>
      </w:pPr>
      <w:r w:rsidRPr="00401ECD">
        <w:rPr>
          <w:rFonts w:asciiTheme="minorBidi" w:hAnsiTheme="minorBidi"/>
          <w:color w:val="000000" w:themeColor="text1"/>
          <w:sz w:val="24"/>
          <w:szCs w:val="24"/>
        </w:rPr>
        <w:t xml:space="preserve">Watari, T., Nansai, K., Nakajima, K., &amp; Giurco, D. (2021). Sustainable energy transitions require enhanced resource governance. </w:t>
      </w:r>
      <w:r w:rsidRPr="00401ECD">
        <w:rPr>
          <w:rStyle w:val="Emphasis"/>
          <w:rFonts w:asciiTheme="minorBidi" w:hAnsiTheme="minorBidi"/>
          <w:b w:val="0"/>
          <w:bCs w:val="0"/>
          <w:color w:val="000000" w:themeColor="text1"/>
          <w:sz w:val="24"/>
          <w:szCs w:val="24"/>
        </w:rPr>
        <w:t>Journal of Cleaner Production, 312</w:t>
      </w:r>
      <w:r w:rsidRPr="00401ECD">
        <w:rPr>
          <w:rFonts w:asciiTheme="minorBidi" w:hAnsiTheme="minorBidi"/>
          <w:color w:val="000000" w:themeColor="text1"/>
          <w:sz w:val="24"/>
          <w:szCs w:val="24"/>
        </w:rPr>
        <w:t xml:space="preserve">, Article 127698. </w:t>
      </w:r>
      <w:hyperlink r:id="rId42" w:history="1">
        <w:r w:rsidRPr="00401ECD">
          <w:rPr>
            <w:rStyle w:val="Hyperlink"/>
            <w:rFonts w:asciiTheme="minorBidi" w:hAnsiTheme="minorBidi"/>
            <w:color w:val="000000" w:themeColor="text1"/>
            <w:sz w:val="24"/>
            <w:szCs w:val="24"/>
          </w:rPr>
          <w:t>https://www.sciencedirect.com/science/article/pii/S0959652621019168</w:t>
        </w:r>
      </w:hyperlink>
    </w:p>
    <w:p w14:paraId="4DEF9895" w14:textId="77777777" w:rsidR="00561932" w:rsidRDefault="00561932" w:rsidP="00561932"/>
    <w:sectPr w:rsidR="00561932" w:rsidSect="00625BAB">
      <w:footerReference w:type="even" r:id="rId43"/>
      <w:footerReference w:type="default" r:id="rId4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5AF0D11" w14:textId="77777777" w:rsidR="009E11D0" w:rsidRDefault="009E11D0" w:rsidP="00625BAB">
      <w:r>
        <w:separator/>
      </w:r>
    </w:p>
  </w:endnote>
  <w:endnote w:type="continuationSeparator" w:id="0">
    <w:p w14:paraId="287017B7" w14:textId="77777777" w:rsidR="009E11D0" w:rsidRDefault="009E11D0" w:rsidP="00625B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71584494"/>
      <w:docPartObj>
        <w:docPartGallery w:val="Page Numbers (Bottom of Page)"/>
        <w:docPartUnique/>
      </w:docPartObj>
    </w:sdtPr>
    <w:sdtContent>
      <w:p w14:paraId="2399BC8B" w14:textId="2C153927" w:rsidR="00625BAB" w:rsidRDefault="00625BAB" w:rsidP="00EB51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5803C66" w14:textId="77777777" w:rsidR="00625BAB" w:rsidRDefault="00625BAB" w:rsidP="00625B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55175303"/>
      <w:docPartObj>
        <w:docPartGallery w:val="Page Numbers (Bottom of Page)"/>
        <w:docPartUnique/>
      </w:docPartObj>
    </w:sdtPr>
    <w:sdtContent>
      <w:p w14:paraId="5CA39054" w14:textId="6318F6BB" w:rsidR="00625BAB" w:rsidRDefault="00625BAB" w:rsidP="00EB51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7604D1" w14:textId="77777777" w:rsidR="00625BAB" w:rsidRDefault="00625BAB" w:rsidP="00625B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4F1B11A" w14:textId="77777777" w:rsidR="009E11D0" w:rsidRDefault="009E11D0" w:rsidP="00625BAB">
      <w:r>
        <w:separator/>
      </w:r>
    </w:p>
  </w:footnote>
  <w:footnote w:type="continuationSeparator" w:id="0">
    <w:p w14:paraId="476EFDF3" w14:textId="77777777" w:rsidR="009E11D0" w:rsidRDefault="009E11D0" w:rsidP="00625B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836F0D"/>
    <w:multiLevelType w:val="multilevel"/>
    <w:tmpl w:val="022E05C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2706BF0"/>
    <w:multiLevelType w:val="multilevel"/>
    <w:tmpl w:val="5A0610B8"/>
    <w:lvl w:ilvl="0">
      <w:start w:val="1"/>
      <w:numFmt w:val="decimal"/>
      <w:lvlText w:val="%1"/>
      <w:lvlJc w:val="left"/>
      <w:pPr>
        <w:ind w:left="432" w:hanging="432"/>
      </w:pPr>
    </w:lvl>
    <w:lvl w:ilvl="1">
      <w:start w:val="1"/>
      <w:numFmt w:val="decimal"/>
      <w:lvlText w:val="%1.%2"/>
      <w:lvlJc w:val="left"/>
      <w:pPr>
        <w:ind w:left="7238"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800537870">
    <w:abstractNumId w:val="1"/>
  </w:num>
  <w:num w:numId="2" w16cid:durableId="860044900">
    <w:abstractNumId w:val="1"/>
  </w:num>
  <w:num w:numId="3" w16cid:durableId="2036348095">
    <w:abstractNumId w:val="1"/>
  </w:num>
  <w:num w:numId="4" w16cid:durableId="342634130">
    <w:abstractNumId w:val="1"/>
  </w:num>
  <w:num w:numId="5" w16cid:durableId="1191262789">
    <w:abstractNumId w:val="1"/>
  </w:num>
  <w:num w:numId="6" w16cid:durableId="1859587749">
    <w:abstractNumId w:val="1"/>
  </w:num>
  <w:num w:numId="7" w16cid:durableId="567889054">
    <w:abstractNumId w:val="1"/>
  </w:num>
  <w:num w:numId="8" w16cid:durableId="2116632371">
    <w:abstractNumId w:val="1"/>
  </w:num>
  <w:num w:numId="9" w16cid:durableId="664672425">
    <w:abstractNumId w:val="1"/>
  </w:num>
  <w:num w:numId="10" w16cid:durableId="602803383">
    <w:abstractNumId w:val="1"/>
  </w:num>
  <w:num w:numId="11" w16cid:durableId="1393308912">
    <w:abstractNumId w:val="1"/>
  </w:num>
  <w:num w:numId="12" w16cid:durableId="646125332">
    <w:abstractNumId w:val="1"/>
  </w:num>
  <w:num w:numId="13" w16cid:durableId="1025056140">
    <w:abstractNumId w:val="1"/>
  </w:num>
  <w:num w:numId="14" w16cid:durableId="1169059052">
    <w:abstractNumId w:val="1"/>
  </w:num>
  <w:num w:numId="15" w16cid:durableId="1513832952">
    <w:abstractNumId w:val="1"/>
  </w:num>
  <w:num w:numId="16" w16cid:durableId="1730616138">
    <w:abstractNumId w:val="1"/>
  </w:num>
  <w:num w:numId="17" w16cid:durableId="1508207130">
    <w:abstractNumId w:val="1"/>
  </w:num>
  <w:num w:numId="18" w16cid:durableId="742797625">
    <w:abstractNumId w:val="1"/>
  </w:num>
  <w:num w:numId="19" w16cid:durableId="2072145098">
    <w:abstractNumId w:val="1"/>
  </w:num>
  <w:num w:numId="20" w16cid:durableId="2067296363">
    <w:abstractNumId w:val="1"/>
  </w:num>
  <w:num w:numId="21" w16cid:durableId="26759089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104"/>
    <w:rsid w:val="000859CB"/>
    <w:rsid w:val="002B5585"/>
    <w:rsid w:val="00324258"/>
    <w:rsid w:val="00401ECD"/>
    <w:rsid w:val="00462AD0"/>
    <w:rsid w:val="004F5104"/>
    <w:rsid w:val="00561932"/>
    <w:rsid w:val="005E6C83"/>
    <w:rsid w:val="00625BAB"/>
    <w:rsid w:val="006B3300"/>
    <w:rsid w:val="006C5570"/>
    <w:rsid w:val="00822527"/>
    <w:rsid w:val="00830094"/>
    <w:rsid w:val="009E11D0"/>
    <w:rsid w:val="00AC215F"/>
    <w:rsid w:val="00B343D7"/>
    <w:rsid w:val="00C0412F"/>
    <w:rsid w:val="00CA2406"/>
    <w:rsid w:val="00D93ECD"/>
    <w:rsid w:val="00E16879"/>
    <w:rsid w:val="00F87EB0"/>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6E9DD"/>
  <w15:chartTrackingRefBased/>
  <w15:docId w15:val="{E6DF552C-E85E-F944-B5BF-59F168CBA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PK"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15F"/>
  </w:style>
  <w:style w:type="paragraph" w:styleId="Heading1">
    <w:name w:val="heading 1"/>
    <w:basedOn w:val="Normal"/>
    <w:next w:val="Normal"/>
    <w:link w:val="Heading1Char"/>
    <w:uiPriority w:val="9"/>
    <w:qFormat/>
    <w:rsid w:val="00AC215F"/>
    <w:pPr>
      <w:numPr>
        <w:numId w:val="21"/>
      </w:numPr>
      <w:pBdr>
        <w:bottom w:val="single" w:sz="12" w:space="1" w:color="2F5496" w:themeColor="accent1" w:themeShade="BF"/>
      </w:pBdr>
      <w:spacing w:before="600" w:after="80"/>
      <w:outlineLvl w:val="0"/>
    </w:pPr>
    <w:rPr>
      <w:rFonts w:asciiTheme="minorBidi" w:eastAsiaTheme="majorEastAsia" w:hAnsiTheme="minorBidi"/>
      <w:b/>
      <w:bCs/>
      <w:color w:val="000000" w:themeColor="text1"/>
      <w:sz w:val="28"/>
      <w:szCs w:val="28"/>
    </w:rPr>
  </w:style>
  <w:style w:type="paragraph" w:styleId="Heading2">
    <w:name w:val="heading 2"/>
    <w:basedOn w:val="Normal"/>
    <w:next w:val="Normal"/>
    <w:link w:val="Heading2Char"/>
    <w:uiPriority w:val="9"/>
    <w:unhideWhenUsed/>
    <w:qFormat/>
    <w:rsid w:val="00AC215F"/>
    <w:pPr>
      <w:numPr>
        <w:ilvl w:val="1"/>
        <w:numId w:val="21"/>
      </w:numPr>
      <w:pBdr>
        <w:bottom w:val="single" w:sz="8" w:space="1" w:color="4472C4" w:themeColor="accent1"/>
      </w:pBdr>
      <w:spacing w:before="200" w:after="80"/>
      <w:outlineLvl w:val="1"/>
    </w:pPr>
    <w:rPr>
      <w:rFonts w:asciiTheme="minorBidi" w:eastAsia="Times New Roman" w:hAnsiTheme="minorBidi"/>
      <w:b/>
      <w:bCs/>
      <w:color w:val="000000" w:themeColor="text1"/>
      <w:sz w:val="24"/>
      <w:szCs w:val="24"/>
    </w:rPr>
  </w:style>
  <w:style w:type="paragraph" w:styleId="Heading3">
    <w:name w:val="heading 3"/>
    <w:basedOn w:val="Normal"/>
    <w:next w:val="Normal"/>
    <w:link w:val="Heading3Char"/>
    <w:uiPriority w:val="9"/>
    <w:unhideWhenUsed/>
    <w:qFormat/>
    <w:rsid w:val="00AC215F"/>
    <w:pPr>
      <w:numPr>
        <w:ilvl w:val="2"/>
        <w:numId w:val="21"/>
      </w:numPr>
      <w:pBdr>
        <w:bottom w:val="single" w:sz="4" w:space="1" w:color="8EAADB" w:themeColor="accent1" w:themeTint="99"/>
      </w:pBdr>
      <w:spacing w:before="200" w:after="80"/>
      <w:outlineLvl w:val="2"/>
    </w:pPr>
    <w:rPr>
      <w:rFonts w:asciiTheme="minorBidi" w:eastAsia="Times New Roman" w:hAnsiTheme="minorBidi"/>
      <w:i/>
      <w:iCs/>
      <w:color w:val="000000" w:themeColor="text1"/>
      <w:sz w:val="24"/>
      <w:szCs w:val="24"/>
      <w:lang w:eastAsia="en-GB"/>
    </w:rPr>
  </w:style>
  <w:style w:type="paragraph" w:styleId="Heading4">
    <w:name w:val="heading 4"/>
    <w:basedOn w:val="Normal"/>
    <w:next w:val="Normal"/>
    <w:link w:val="Heading4Char"/>
    <w:uiPriority w:val="9"/>
    <w:unhideWhenUsed/>
    <w:qFormat/>
    <w:rsid w:val="00AC215F"/>
    <w:pPr>
      <w:numPr>
        <w:ilvl w:val="3"/>
        <w:numId w:val="21"/>
      </w:numPr>
      <w:pBdr>
        <w:bottom w:val="single" w:sz="4" w:space="2" w:color="B4C6E7" w:themeColor="accent1" w:themeTint="66"/>
      </w:pBdr>
      <w:spacing w:before="200" w:after="8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AC215F"/>
    <w:pPr>
      <w:numPr>
        <w:ilvl w:val="4"/>
        <w:numId w:val="21"/>
      </w:numPr>
      <w:spacing w:before="200" w:after="8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AC215F"/>
    <w:pPr>
      <w:numPr>
        <w:ilvl w:val="5"/>
        <w:numId w:val="21"/>
      </w:numPr>
      <w:spacing w:before="280" w:after="10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AC215F"/>
    <w:pPr>
      <w:numPr>
        <w:ilvl w:val="6"/>
        <w:numId w:val="21"/>
      </w:numPr>
      <w:spacing w:before="320" w:after="10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AC215F"/>
    <w:pPr>
      <w:numPr>
        <w:ilvl w:val="7"/>
        <w:numId w:val="21"/>
      </w:numPr>
      <w:spacing w:before="320" w:after="10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AC215F"/>
    <w:pPr>
      <w:numPr>
        <w:ilvl w:val="8"/>
        <w:numId w:val="21"/>
      </w:numPr>
      <w:spacing w:before="320" w:after="10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15F"/>
    <w:rPr>
      <w:rFonts w:asciiTheme="minorBidi" w:eastAsiaTheme="majorEastAsia" w:hAnsiTheme="minorBidi"/>
      <w:b/>
      <w:bCs/>
      <w:color w:val="000000" w:themeColor="text1"/>
      <w:sz w:val="28"/>
      <w:szCs w:val="28"/>
    </w:rPr>
  </w:style>
  <w:style w:type="character" w:customStyle="1" w:styleId="Heading2Char">
    <w:name w:val="Heading 2 Char"/>
    <w:basedOn w:val="DefaultParagraphFont"/>
    <w:link w:val="Heading2"/>
    <w:uiPriority w:val="9"/>
    <w:rsid w:val="00AC215F"/>
    <w:rPr>
      <w:rFonts w:asciiTheme="minorBidi" w:eastAsia="Times New Roman" w:hAnsiTheme="minorBidi"/>
      <w:b/>
      <w:bCs/>
      <w:color w:val="000000" w:themeColor="text1"/>
      <w:sz w:val="24"/>
      <w:szCs w:val="24"/>
    </w:rPr>
  </w:style>
  <w:style w:type="character" w:customStyle="1" w:styleId="Heading3Char">
    <w:name w:val="Heading 3 Char"/>
    <w:basedOn w:val="DefaultParagraphFont"/>
    <w:link w:val="Heading3"/>
    <w:uiPriority w:val="9"/>
    <w:rsid w:val="00AC215F"/>
    <w:rPr>
      <w:rFonts w:asciiTheme="minorBidi" w:eastAsia="Times New Roman" w:hAnsiTheme="minorBidi"/>
      <w:i/>
      <w:iCs/>
      <w:color w:val="000000" w:themeColor="text1"/>
      <w:sz w:val="24"/>
      <w:szCs w:val="24"/>
      <w:lang w:eastAsia="en-GB"/>
    </w:rPr>
  </w:style>
  <w:style w:type="character" w:customStyle="1" w:styleId="Heading4Char">
    <w:name w:val="Heading 4 Char"/>
    <w:basedOn w:val="DefaultParagraphFont"/>
    <w:link w:val="Heading4"/>
    <w:uiPriority w:val="9"/>
    <w:rsid w:val="00AC215F"/>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AC215F"/>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AC215F"/>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AC215F"/>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AC215F"/>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AC215F"/>
    <w:rPr>
      <w:rFonts w:asciiTheme="majorHAnsi" w:eastAsiaTheme="majorEastAsia" w:hAnsiTheme="majorHAnsi" w:cstheme="majorBidi"/>
      <w:i/>
      <w:iCs/>
      <w:color w:val="A5A5A5" w:themeColor="accent3"/>
      <w:sz w:val="20"/>
      <w:szCs w:val="20"/>
    </w:rPr>
  </w:style>
  <w:style w:type="paragraph" w:styleId="Title">
    <w:name w:val="Title"/>
    <w:basedOn w:val="Normal"/>
    <w:next w:val="Normal"/>
    <w:link w:val="TitleChar"/>
    <w:uiPriority w:val="10"/>
    <w:qFormat/>
    <w:rsid w:val="00AC215F"/>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AC215F"/>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AC215F"/>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AC215F"/>
    <w:rPr>
      <w:i/>
      <w:iCs/>
      <w:sz w:val="24"/>
      <w:szCs w:val="24"/>
    </w:rPr>
  </w:style>
  <w:style w:type="paragraph" w:styleId="Quote">
    <w:name w:val="Quote"/>
    <w:basedOn w:val="Normal"/>
    <w:next w:val="Normal"/>
    <w:link w:val="QuoteChar"/>
    <w:uiPriority w:val="29"/>
    <w:qFormat/>
    <w:rsid w:val="00AC215F"/>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AC215F"/>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AC215F"/>
    <w:pPr>
      <w:ind w:left="720"/>
      <w:contextualSpacing/>
    </w:pPr>
  </w:style>
  <w:style w:type="character" w:styleId="IntenseEmphasis">
    <w:name w:val="Intense Emphasis"/>
    <w:uiPriority w:val="21"/>
    <w:qFormat/>
    <w:rsid w:val="00AC215F"/>
    <w:rPr>
      <w:b/>
      <w:bCs/>
      <w:i/>
      <w:iCs/>
      <w:color w:val="4472C4" w:themeColor="accent1"/>
      <w:sz w:val="22"/>
      <w:szCs w:val="22"/>
    </w:rPr>
  </w:style>
  <w:style w:type="paragraph" w:styleId="IntenseQuote">
    <w:name w:val="Intense Quote"/>
    <w:basedOn w:val="Normal"/>
    <w:next w:val="Normal"/>
    <w:link w:val="IntenseQuoteChar"/>
    <w:uiPriority w:val="30"/>
    <w:qFormat/>
    <w:rsid w:val="00AC215F"/>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AC215F"/>
    <w:rPr>
      <w:rFonts w:asciiTheme="majorHAnsi" w:eastAsiaTheme="majorEastAsia" w:hAnsiTheme="majorHAnsi" w:cstheme="majorBidi"/>
      <w:i/>
      <w:iCs/>
      <w:color w:val="FFFFFF" w:themeColor="background1"/>
      <w:sz w:val="24"/>
      <w:szCs w:val="24"/>
      <w:shd w:val="clear" w:color="auto" w:fill="4472C4" w:themeFill="accent1"/>
    </w:rPr>
  </w:style>
  <w:style w:type="character" w:styleId="IntenseReference">
    <w:name w:val="Intense Reference"/>
    <w:basedOn w:val="DefaultParagraphFont"/>
    <w:uiPriority w:val="32"/>
    <w:qFormat/>
    <w:rsid w:val="00AC215F"/>
    <w:rPr>
      <w:b/>
      <w:bCs/>
      <w:color w:val="7B7B7B" w:themeColor="accent3" w:themeShade="BF"/>
      <w:u w:val="single" w:color="A5A5A5" w:themeColor="accent3"/>
    </w:rPr>
  </w:style>
  <w:style w:type="paragraph" w:styleId="Footer">
    <w:name w:val="footer"/>
    <w:basedOn w:val="Normal"/>
    <w:link w:val="FooterChar"/>
    <w:uiPriority w:val="99"/>
    <w:unhideWhenUsed/>
    <w:rsid w:val="00625BAB"/>
    <w:pPr>
      <w:tabs>
        <w:tab w:val="center" w:pos="4513"/>
        <w:tab w:val="right" w:pos="9026"/>
      </w:tabs>
    </w:pPr>
  </w:style>
  <w:style w:type="character" w:customStyle="1" w:styleId="FooterChar">
    <w:name w:val="Footer Char"/>
    <w:basedOn w:val="DefaultParagraphFont"/>
    <w:link w:val="Footer"/>
    <w:uiPriority w:val="99"/>
    <w:rsid w:val="00625BAB"/>
    <w:rPr>
      <w:lang w:val="en-GB"/>
    </w:rPr>
  </w:style>
  <w:style w:type="character" w:styleId="PageNumber">
    <w:name w:val="page number"/>
    <w:basedOn w:val="DefaultParagraphFont"/>
    <w:uiPriority w:val="99"/>
    <w:semiHidden/>
    <w:unhideWhenUsed/>
    <w:rsid w:val="00625BAB"/>
  </w:style>
  <w:style w:type="paragraph" w:styleId="NormalWeb">
    <w:name w:val="Normal (Web)"/>
    <w:basedOn w:val="Normal"/>
    <w:uiPriority w:val="99"/>
    <w:semiHidden/>
    <w:unhideWhenUsed/>
    <w:rsid w:val="00561932"/>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C215F"/>
    <w:rPr>
      <w:b/>
      <w:bCs/>
      <w:spacing w:val="0"/>
    </w:rPr>
  </w:style>
  <w:style w:type="character" w:styleId="Hyperlink">
    <w:name w:val="Hyperlink"/>
    <w:basedOn w:val="DefaultParagraphFont"/>
    <w:uiPriority w:val="99"/>
    <w:unhideWhenUsed/>
    <w:rsid w:val="00561932"/>
    <w:rPr>
      <w:color w:val="0000FF"/>
      <w:u w:val="single"/>
    </w:rPr>
  </w:style>
  <w:style w:type="character" w:styleId="Emphasis">
    <w:name w:val="Emphasis"/>
    <w:uiPriority w:val="20"/>
    <w:qFormat/>
    <w:rsid w:val="00AC215F"/>
    <w:rPr>
      <w:b/>
      <w:bCs/>
      <w:i/>
      <w:iCs/>
      <w:color w:val="5A5A5A" w:themeColor="text1" w:themeTint="A5"/>
    </w:rPr>
  </w:style>
  <w:style w:type="paragraph" w:styleId="Caption">
    <w:name w:val="caption"/>
    <w:basedOn w:val="Normal"/>
    <w:next w:val="Normal"/>
    <w:uiPriority w:val="35"/>
    <w:semiHidden/>
    <w:unhideWhenUsed/>
    <w:qFormat/>
    <w:rsid w:val="00AC215F"/>
    <w:rPr>
      <w:b/>
      <w:bCs/>
      <w:sz w:val="18"/>
      <w:szCs w:val="18"/>
    </w:rPr>
  </w:style>
  <w:style w:type="paragraph" w:styleId="NoSpacing">
    <w:name w:val="No Spacing"/>
    <w:basedOn w:val="Normal"/>
    <w:link w:val="NoSpacingChar"/>
    <w:uiPriority w:val="1"/>
    <w:qFormat/>
    <w:rsid w:val="00AC215F"/>
    <w:pPr>
      <w:ind w:firstLine="0"/>
    </w:pPr>
  </w:style>
  <w:style w:type="character" w:customStyle="1" w:styleId="NoSpacingChar">
    <w:name w:val="No Spacing Char"/>
    <w:basedOn w:val="DefaultParagraphFont"/>
    <w:link w:val="NoSpacing"/>
    <w:uiPriority w:val="1"/>
    <w:rsid w:val="00AC215F"/>
  </w:style>
  <w:style w:type="character" w:styleId="SubtleEmphasis">
    <w:name w:val="Subtle Emphasis"/>
    <w:uiPriority w:val="19"/>
    <w:qFormat/>
    <w:rsid w:val="00AC215F"/>
    <w:rPr>
      <w:i/>
      <w:iCs/>
      <w:color w:val="5A5A5A" w:themeColor="text1" w:themeTint="A5"/>
    </w:rPr>
  </w:style>
  <w:style w:type="character" w:styleId="SubtleReference">
    <w:name w:val="Subtle Reference"/>
    <w:uiPriority w:val="31"/>
    <w:qFormat/>
    <w:rsid w:val="00AC215F"/>
    <w:rPr>
      <w:color w:val="auto"/>
      <w:u w:val="single" w:color="A5A5A5" w:themeColor="accent3"/>
    </w:rPr>
  </w:style>
  <w:style w:type="character" w:styleId="BookTitle">
    <w:name w:val="Book Title"/>
    <w:basedOn w:val="DefaultParagraphFont"/>
    <w:uiPriority w:val="33"/>
    <w:qFormat/>
    <w:rsid w:val="00AC215F"/>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AC215F"/>
    <w:pPr>
      <w:outlineLvl w:val="9"/>
    </w:pPr>
  </w:style>
  <w:style w:type="table" w:styleId="GridTable4-Accent5">
    <w:name w:val="Grid Table 4 Accent 5"/>
    <w:basedOn w:val="TableNormal"/>
    <w:uiPriority w:val="49"/>
    <w:rsid w:val="00AC215F"/>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AC215F"/>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1">
    <w:name w:val="toc 1"/>
    <w:basedOn w:val="Normal"/>
    <w:next w:val="Normal"/>
    <w:autoRedefine/>
    <w:uiPriority w:val="39"/>
    <w:unhideWhenUsed/>
    <w:rsid w:val="00AC215F"/>
    <w:pPr>
      <w:spacing w:before="120"/>
    </w:pPr>
    <w:rPr>
      <w:rFonts w:cstheme="minorHAnsi"/>
      <w:b/>
      <w:bCs/>
      <w:i/>
      <w:iCs/>
      <w:sz w:val="24"/>
      <w:szCs w:val="28"/>
    </w:rPr>
  </w:style>
  <w:style w:type="paragraph" w:styleId="TOC2">
    <w:name w:val="toc 2"/>
    <w:basedOn w:val="Normal"/>
    <w:next w:val="Normal"/>
    <w:autoRedefine/>
    <w:uiPriority w:val="39"/>
    <w:unhideWhenUsed/>
    <w:rsid w:val="00AC215F"/>
    <w:pPr>
      <w:spacing w:before="120"/>
      <w:ind w:left="220"/>
    </w:pPr>
    <w:rPr>
      <w:rFonts w:cstheme="minorHAnsi"/>
      <w:b/>
      <w:bCs/>
      <w:szCs w:val="26"/>
    </w:rPr>
  </w:style>
  <w:style w:type="paragraph" w:styleId="TOC3">
    <w:name w:val="toc 3"/>
    <w:basedOn w:val="Normal"/>
    <w:next w:val="Normal"/>
    <w:autoRedefine/>
    <w:uiPriority w:val="39"/>
    <w:unhideWhenUsed/>
    <w:rsid w:val="00AC215F"/>
    <w:pPr>
      <w:ind w:left="440"/>
    </w:pPr>
    <w:rPr>
      <w:rFonts w:cstheme="minorHAnsi"/>
      <w:sz w:val="20"/>
      <w:szCs w:val="24"/>
    </w:rPr>
  </w:style>
  <w:style w:type="paragraph" w:styleId="TOC4">
    <w:name w:val="toc 4"/>
    <w:basedOn w:val="Normal"/>
    <w:next w:val="Normal"/>
    <w:autoRedefine/>
    <w:uiPriority w:val="39"/>
    <w:semiHidden/>
    <w:unhideWhenUsed/>
    <w:rsid w:val="00AC215F"/>
    <w:pPr>
      <w:ind w:left="660"/>
    </w:pPr>
    <w:rPr>
      <w:rFonts w:cstheme="minorHAnsi"/>
      <w:sz w:val="20"/>
      <w:szCs w:val="24"/>
    </w:rPr>
  </w:style>
  <w:style w:type="paragraph" w:styleId="TOC5">
    <w:name w:val="toc 5"/>
    <w:basedOn w:val="Normal"/>
    <w:next w:val="Normal"/>
    <w:autoRedefine/>
    <w:uiPriority w:val="39"/>
    <w:semiHidden/>
    <w:unhideWhenUsed/>
    <w:rsid w:val="00AC215F"/>
    <w:pPr>
      <w:ind w:left="880"/>
    </w:pPr>
    <w:rPr>
      <w:rFonts w:cstheme="minorHAnsi"/>
      <w:sz w:val="20"/>
      <w:szCs w:val="24"/>
    </w:rPr>
  </w:style>
  <w:style w:type="paragraph" w:styleId="TOC6">
    <w:name w:val="toc 6"/>
    <w:basedOn w:val="Normal"/>
    <w:next w:val="Normal"/>
    <w:autoRedefine/>
    <w:uiPriority w:val="39"/>
    <w:semiHidden/>
    <w:unhideWhenUsed/>
    <w:rsid w:val="00AC215F"/>
    <w:pPr>
      <w:ind w:left="1100"/>
    </w:pPr>
    <w:rPr>
      <w:rFonts w:cstheme="minorHAnsi"/>
      <w:sz w:val="20"/>
      <w:szCs w:val="24"/>
    </w:rPr>
  </w:style>
  <w:style w:type="paragraph" w:styleId="TOC7">
    <w:name w:val="toc 7"/>
    <w:basedOn w:val="Normal"/>
    <w:next w:val="Normal"/>
    <w:autoRedefine/>
    <w:uiPriority w:val="39"/>
    <w:semiHidden/>
    <w:unhideWhenUsed/>
    <w:rsid w:val="00AC215F"/>
    <w:pPr>
      <w:ind w:left="1320"/>
    </w:pPr>
    <w:rPr>
      <w:rFonts w:cstheme="minorHAnsi"/>
      <w:sz w:val="20"/>
      <w:szCs w:val="24"/>
    </w:rPr>
  </w:style>
  <w:style w:type="paragraph" w:styleId="TOC8">
    <w:name w:val="toc 8"/>
    <w:basedOn w:val="Normal"/>
    <w:next w:val="Normal"/>
    <w:autoRedefine/>
    <w:uiPriority w:val="39"/>
    <w:semiHidden/>
    <w:unhideWhenUsed/>
    <w:rsid w:val="00AC215F"/>
    <w:pPr>
      <w:ind w:left="1540"/>
    </w:pPr>
    <w:rPr>
      <w:rFonts w:cstheme="minorHAnsi"/>
      <w:sz w:val="20"/>
      <w:szCs w:val="24"/>
    </w:rPr>
  </w:style>
  <w:style w:type="paragraph" w:styleId="TOC9">
    <w:name w:val="toc 9"/>
    <w:basedOn w:val="Normal"/>
    <w:next w:val="Normal"/>
    <w:autoRedefine/>
    <w:uiPriority w:val="39"/>
    <w:semiHidden/>
    <w:unhideWhenUsed/>
    <w:rsid w:val="00AC215F"/>
    <w:pPr>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hp.com/news/media-centre/releases/2026/08/bhp-results-for-the-full-year-ended-30-june-2026" TargetMode="External"/><Relationship Id="rId26" Type="http://schemas.openxmlformats.org/officeDocument/2006/relationships/hyperlink" Target="https://dl.acm.org/doi/10.1145/3571730" TargetMode="External"/><Relationship Id="rId39" Type="http://schemas.openxmlformats.org/officeDocument/2006/relationships/hyperlink" Target="https://www.science.org/doi/10.1126/science.aaz6003" TargetMode="External"/><Relationship Id="rId21" Type="http://schemas.openxmlformats.org/officeDocument/2006/relationships/hyperlink" Target="https://www.nature.com/articles/s41746-023-00819-6" TargetMode="External"/><Relationship Id="rId34" Type="http://schemas.openxmlformats.org/officeDocument/2006/relationships/hyperlink" Target="https://www.nature.com/articles/s41893-022-00994-6" TargetMode="External"/><Relationship Id="rId42" Type="http://schemas.openxmlformats.org/officeDocument/2006/relationships/hyperlink" Target="https://www.sciencedirect.com/science/article/pii/S095965262101916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2071-1050/16/14/6232" TargetMode="External"/><Relationship Id="rId29" Type="http://schemas.openxmlformats.org/officeDocument/2006/relationships/hyperlink" Target="https://www.nature.com/articles/s41467-020-1866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onlinelibrary.wiley.com/doi/full/10.1002/bse.3480" TargetMode="External"/><Relationship Id="rId32" Type="http://schemas.openxmlformats.org/officeDocument/2006/relationships/hyperlink" Target="https://www.science.org/doi/10.1126/sciadv.aay8647" TargetMode="External"/><Relationship Id="rId37" Type="http://schemas.openxmlformats.org/officeDocument/2006/relationships/hyperlink" Target="https://onlinelibrary.wiley.com/doi/full/10.1002/bse.3099" TargetMode="External"/><Relationship Id="rId40" Type="http://schemas.openxmlformats.org/officeDocument/2006/relationships/hyperlink" Target="https://www.nature.com/articles/s41598-023-41032-5"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ature.com/articles/s41561-020-0531-3" TargetMode="External"/><Relationship Id="rId23" Type="http://schemas.openxmlformats.org/officeDocument/2006/relationships/hyperlink" Target="https://www.sciencedirect.com/science/article/pii/S0959652621042153" TargetMode="External"/><Relationship Id="rId28" Type="http://schemas.openxmlformats.org/officeDocument/2006/relationships/hyperlink" Target="https://www.sciencedirect.com/science/article/pii/S0148296320304987" TargetMode="External"/><Relationship Id="rId36" Type="http://schemas.openxmlformats.org/officeDocument/2006/relationships/hyperlink" Target="https://www.mdpi.com/2079-9276/9/4/44" TargetMode="External"/><Relationship Id="rId10" Type="http://schemas.openxmlformats.org/officeDocument/2006/relationships/image" Target="media/image3.png"/><Relationship Id="rId19" Type="http://schemas.openxmlformats.org/officeDocument/2006/relationships/hyperlink" Target="https://www.sciencedirect.com/science/article/pii/S0040162522000403" TargetMode="External"/><Relationship Id="rId31" Type="http://schemas.openxmlformats.org/officeDocument/2006/relationships/hyperlink" Target="https://www.sciencedirect.com/science/article/pii/S0301479723009660"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sciencedirect.com/science/article/pii/S0301420724005506" TargetMode="External"/><Relationship Id="rId27" Type="http://schemas.openxmlformats.org/officeDocument/2006/relationships/hyperlink" Target="https://www.nature.com/articles/s43247-020-0011-0" TargetMode="External"/><Relationship Id="rId30" Type="http://schemas.openxmlformats.org/officeDocument/2006/relationships/hyperlink" Target="https://www.sciencedirect.com/science/article/pii/S2211467X24003067" TargetMode="External"/><Relationship Id="rId35" Type="http://schemas.openxmlformats.org/officeDocument/2006/relationships/hyperlink" Target="https://www.sciencedirect.com/science/article/pii/S0892687523000900"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hp.com/ar2026" TargetMode="External"/><Relationship Id="rId25" Type="http://schemas.openxmlformats.org/officeDocument/2006/relationships/hyperlink" Target="https://books.google.com/books?id=J63jDwAAQBAJ" TargetMode="External"/><Relationship Id="rId33" Type="http://schemas.openxmlformats.org/officeDocument/2006/relationships/hyperlink" Target="https://www.sciencedirect.com/science/article/pii/S0301420724005026" TargetMode="External"/><Relationship Id="rId38" Type="http://schemas.openxmlformats.org/officeDocument/2006/relationships/hyperlink" Target="https://www.nature.com/articles/s41467-020-17928-5" TargetMode="External"/><Relationship Id="rId46" Type="http://schemas.openxmlformats.org/officeDocument/2006/relationships/theme" Target="theme/theme1.xml"/><Relationship Id="rId20" Type="http://schemas.openxmlformats.org/officeDocument/2006/relationships/hyperlink" Target="https://www.nature.com/articles/s43247-022-00346-4" TargetMode="External"/><Relationship Id="rId41" Type="http://schemas.openxmlformats.org/officeDocument/2006/relationships/hyperlink" Target="https://takuma-watari.com/en/2020/08/29/majormetal_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527CF-86D8-4845-922B-E7D15D971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20</Pages>
  <Words>4849</Words>
  <Characters>29435</Characters>
  <Application>Microsoft Office Word</Application>
  <DocSecurity>0</DocSecurity>
  <Lines>891</Lines>
  <Paragraphs>360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2026-10-20T08:43:00Z</dcterms:created>
  <dcterms:modified xsi:type="dcterms:W3CDTF">2026-10-22T04:35:00Z</dcterms:modified>
</cp:coreProperties>
</file>