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198C7C" w14:textId="77777777" w:rsidR="00F40C9E" w:rsidRDefault="00000000">
      <w:pPr>
        <w:spacing w:after="60"/>
        <w:jc w:val="center"/>
      </w:pPr>
      <w:r>
        <w:rPr>
          <w:b/>
          <w:bCs/>
          <w:color w:val="1F4E78"/>
          <w:sz w:val="32"/>
          <w:szCs w:val="32"/>
        </w:rPr>
        <w:t>HYATT HOTELS CORPORATION</w:t>
      </w:r>
    </w:p>
    <w:p w14:paraId="432F6CFA" w14:textId="77777777" w:rsidR="00F40C9E" w:rsidRDefault="00000000">
      <w:pPr>
        <w:spacing w:after="60"/>
        <w:jc w:val="center"/>
      </w:pPr>
      <w:r>
        <w:rPr>
          <w:b/>
          <w:bCs/>
          <w:sz w:val="24"/>
          <w:szCs w:val="24"/>
        </w:rPr>
        <w:t>Key Financial Ratio Analysis — Fiscal Years 2020–2024</w:t>
      </w:r>
    </w:p>
    <w:p w14:paraId="0D749D4C" w14:textId="77777777" w:rsidR="00F40C9E" w:rsidRDefault="00000000">
      <w:pPr>
        <w:spacing w:after="300"/>
        <w:jc w:val="center"/>
      </w:pPr>
      <w:r>
        <w:rPr>
          <w:i/>
          <w:iCs/>
          <w:color w:val="808080"/>
        </w:rPr>
        <w:t>Profitability, Liquidity, Efficiency, and Leverage Ratios, with Explanations Sourced from Hyatt's FY2020–FY2024 Form 10-K Filings</w:t>
      </w:r>
    </w:p>
    <w:p w14:paraId="4DC3245B" w14:textId="77777777" w:rsidR="00F40C9E" w:rsidRDefault="00000000">
      <w:pPr>
        <w:spacing w:after="160" w:line="276" w:lineRule="auto"/>
      </w:pPr>
      <w:r>
        <w:rPr>
          <w:sz w:val="21"/>
          <w:szCs w:val="21"/>
        </w:rPr>
        <w:t>This report summarizes ten key financial ratios calculated from Hyatt Hotels Corporation's consolidated financial statements for fiscal years 2020 through 2024, and explains the key year-over-year changes in each ratio using management's own discussion in the corresponding annual report (Form 10-K).</w:t>
      </w:r>
    </w:p>
    <w:p w14:paraId="5256964B" w14:textId="77777777" w:rsidR="00F40C9E" w:rsidRDefault="00000000">
      <w:pPr>
        <w:pStyle w:val="Heading1"/>
        <w:spacing w:before="320" w:after="160"/>
      </w:pPr>
      <w:r>
        <w:t>1. Profitability Ratios</w:t>
      </w:r>
    </w:p>
    <w:tbl>
      <w:tblPr>
        <w:tblW w:w="8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00"/>
        <w:gridCol w:w="1180"/>
        <w:gridCol w:w="1180"/>
        <w:gridCol w:w="1180"/>
        <w:gridCol w:w="1180"/>
        <w:gridCol w:w="1180"/>
      </w:tblGrid>
      <w:tr w:rsidR="00F40C9E" w14:paraId="759AA92B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60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5ED08FEA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022DE797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361A4EB1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2A49B70B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8FFEA33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3CC89220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F40C9E" w14:paraId="7C86B3D8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958C4C4" w14:textId="77777777" w:rsidR="00F40C9E" w:rsidRDefault="00000000">
            <w:r>
              <w:rPr>
                <w:b/>
                <w:bCs/>
              </w:rPr>
              <w:t>Gross Margin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D816DA4" w14:textId="77777777" w:rsidR="00F40C9E" w:rsidRDefault="00000000">
            <w:pPr>
              <w:jc w:val="center"/>
            </w:pPr>
            <w:r>
              <w:rPr>
                <w:color w:val="000000"/>
              </w:rPr>
              <w:t>66.5%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9580FA3" w14:textId="77777777" w:rsidR="00F40C9E" w:rsidRDefault="00000000">
            <w:pPr>
              <w:jc w:val="center"/>
            </w:pPr>
            <w:r>
              <w:rPr>
                <w:color w:val="000000"/>
              </w:rPr>
              <w:t>68.2%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25C98C9" w14:textId="77777777" w:rsidR="00F40C9E" w:rsidRDefault="00000000">
            <w:pPr>
              <w:jc w:val="center"/>
            </w:pPr>
            <w:r>
              <w:rPr>
                <w:color w:val="000000"/>
              </w:rPr>
              <w:t>66.5%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55E362E" w14:textId="77777777" w:rsidR="00F40C9E" w:rsidRDefault="00000000">
            <w:pPr>
              <w:jc w:val="center"/>
            </w:pPr>
            <w:r>
              <w:rPr>
                <w:color w:val="000000"/>
              </w:rPr>
              <w:t>66.9%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A515069" w14:textId="77777777" w:rsidR="00F40C9E" w:rsidRDefault="00000000">
            <w:pPr>
              <w:jc w:val="center"/>
            </w:pPr>
            <w:r>
              <w:rPr>
                <w:color w:val="000000"/>
              </w:rPr>
              <w:t>71.5%</w:t>
            </w:r>
          </w:p>
        </w:tc>
      </w:tr>
      <w:tr w:rsidR="00F40C9E" w14:paraId="73CDD30D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6AE4E4B" w14:textId="77777777" w:rsidR="00F40C9E" w:rsidRDefault="00000000">
            <w:r>
              <w:rPr>
                <w:b/>
                <w:bCs/>
              </w:rPr>
              <w:t>Operating Margin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7FE7194" w14:textId="77777777" w:rsidR="00F40C9E" w:rsidRDefault="00000000">
            <w:pPr>
              <w:jc w:val="center"/>
            </w:pPr>
            <w:r>
              <w:rPr>
                <w:color w:val="C00000"/>
              </w:rPr>
              <w:t>(30.6%)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7582EE7" w14:textId="77777777" w:rsidR="00F40C9E" w:rsidRDefault="00000000">
            <w:pPr>
              <w:jc w:val="center"/>
            </w:pPr>
            <w:r>
              <w:rPr>
                <w:color w:val="C00000"/>
              </w:rPr>
              <w:t>(8.3%)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0D0C42BE" w14:textId="77777777" w:rsidR="00F40C9E" w:rsidRDefault="00000000">
            <w:pPr>
              <w:jc w:val="center"/>
            </w:pPr>
            <w:r>
              <w:rPr>
                <w:color w:val="000000"/>
              </w:rPr>
              <w:t>6.8%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2A691904" w14:textId="77777777" w:rsidR="00F40C9E" w:rsidRDefault="00000000">
            <w:pPr>
              <w:jc w:val="center"/>
            </w:pPr>
            <w:r>
              <w:rPr>
                <w:color w:val="000000"/>
              </w:rPr>
              <w:t>4.6%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CF16574" w14:textId="77777777" w:rsidR="00F40C9E" w:rsidRDefault="00000000">
            <w:pPr>
              <w:jc w:val="center"/>
            </w:pPr>
            <w:r>
              <w:rPr>
                <w:color w:val="000000"/>
              </w:rPr>
              <w:t>5.6%</w:t>
            </w:r>
          </w:p>
        </w:tc>
      </w:tr>
      <w:tr w:rsidR="00F40C9E" w14:paraId="29DEFC02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A26979A" w14:textId="77777777" w:rsidR="00F40C9E" w:rsidRDefault="00000000">
            <w:r>
              <w:rPr>
                <w:b/>
                <w:bCs/>
              </w:rPr>
              <w:t>Net Margin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592CEC7" w14:textId="77777777" w:rsidR="00F40C9E" w:rsidRDefault="00000000">
            <w:pPr>
              <w:jc w:val="center"/>
            </w:pPr>
            <w:r>
              <w:rPr>
                <w:color w:val="C00000"/>
              </w:rPr>
              <w:t>(34.0%)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C138E59" w14:textId="77777777" w:rsidR="00F40C9E" w:rsidRDefault="00000000">
            <w:pPr>
              <w:jc w:val="center"/>
            </w:pPr>
            <w:r>
              <w:rPr>
                <w:color w:val="C00000"/>
              </w:rPr>
              <w:t>(7.3%)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548AF18" w14:textId="77777777" w:rsidR="00F40C9E" w:rsidRDefault="00000000">
            <w:pPr>
              <w:jc w:val="center"/>
            </w:pPr>
            <w:r>
              <w:rPr>
                <w:color w:val="000000"/>
              </w:rPr>
              <w:t>7.7%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071FF7D" w14:textId="77777777" w:rsidR="00F40C9E" w:rsidRDefault="00000000">
            <w:pPr>
              <w:jc w:val="center"/>
            </w:pPr>
            <w:r>
              <w:rPr>
                <w:color w:val="000000"/>
              </w:rPr>
              <w:t>3.3%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0633B18" w14:textId="77777777" w:rsidR="00F40C9E" w:rsidRDefault="00000000">
            <w:pPr>
              <w:jc w:val="center"/>
            </w:pPr>
            <w:r>
              <w:rPr>
                <w:color w:val="000000"/>
              </w:rPr>
              <w:t>19.5%</w:t>
            </w:r>
          </w:p>
        </w:tc>
      </w:tr>
    </w:tbl>
    <w:p w14:paraId="6A76AEF7" w14:textId="77777777" w:rsidR="00F40C9E" w:rsidRDefault="00000000">
      <w:pPr>
        <w:spacing w:before="200" w:after="200"/>
      </w:pPr>
      <w:r>
        <w:rPr>
          <w:i/>
          <w:iCs/>
          <w:color w:val="808080"/>
          <w:sz w:val="19"/>
          <w:szCs w:val="19"/>
        </w:rPr>
        <w:t>Note: Hyatt does not report a discrete cost-of-goods-sold line. Gross Margin above is a constructed proxy (Total revenues less direct owned/leased-hotel and distribution operating costs), used alongside Operating Margin, which follows the income statement's own subtotal structure.</w:t>
      </w:r>
    </w:p>
    <w:p w14:paraId="66233C8E" w14:textId="77777777" w:rsidR="00F40C9E" w:rsidRDefault="00000000">
      <w:pPr>
        <w:pStyle w:val="Heading2"/>
        <w:spacing w:before="240" w:after="120"/>
      </w:pPr>
      <w:r>
        <w:t>Key Changes &amp; Reasons</w:t>
      </w:r>
    </w:p>
    <w:p w14:paraId="70D6F2F8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2020 collapse: </w:t>
      </w:r>
      <w:r>
        <w:rPr>
          <w:sz w:val="21"/>
          <w:szCs w:val="21"/>
        </w:rPr>
        <w:t>Net margin bottomed at -34.0% as COVID-19 suspended hotel operations worldwide — only 18% of owned/leased hotels were open as of March 31, 2020, recovering to 82% by year-end. Owned &amp; leased hotel revenue fell 72.2% and management/franchise fees fell 67.2%.</w:t>
      </w:r>
    </w:p>
    <w:p w14:paraId="0133F6B4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FY2020 Form 10-K, MD&amp;A — Results of Operations)</w:t>
      </w:r>
    </w:p>
    <w:p w14:paraId="418C0C5D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2021 partial recovery: </w:t>
      </w:r>
      <w:r>
        <w:rPr>
          <w:sz w:val="21"/>
          <w:szCs w:val="21"/>
        </w:rPr>
        <w:t>Losses narrowed as demand returned, though margins stayed negative; interest expense also rose $35 million from new senior notes issued in 2020–2021.</w:t>
      </w:r>
    </w:p>
    <w:p w14:paraId="34C335BC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FY2021 Form 10-K, MD&amp;A)</w:t>
      </w:r>
    </w:p>
    <w:p w14:paraId="3FF14C75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2022–2023 return to profitability, but net margin lagged operating margin: </w:t>
      </w:r>
      <w:r>
        <w:rPr>
          <w:sz w:val="21"/>
          <w:szCs w:val="21"/>
        </w:rPr>
        <w:t>Interest expense fell as Hyatt redeemed senior notes, but real-estate gains were smaller and more normalized than in prior or later years.</w:t>
      </w:r>
    </w:p>
    <w:p w14:paraId="270EF235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FY2022 and FY2023 Form 10-K filings)</w:t>
      </w:r>
    </w:p>
    <w:p w14:paraId="036E9C98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2024 net margin spike to 19.5%: </w:t>
      </w:r>
      <w:r>
        <w:rPr>
          <w:sz w:val="21"/>
          <w:szCs w:val="21"/>
        </w:rPr>
        <w:t>Driven almost entirely by a $1,245 million gain on sales of real estate, including a $514 million gain on the Hyatt Regency Orlando sale and a $257 million gain on Park Hyatt Zurich, as Hyatt exceeded its August 2021 commitment to realize $2.0 billion of gross disposition proceeds. Operating margin (5.6%), which excludes these one-time gains, shows a more modest underlying improvement.</w:t>
      </w:r>
    </w:p>
    <w:p w14:paraId="457A35AE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FY2024 Form 10-K, MD&amp;A — Overview and Results of Operations)</w:t>
      </w:r>
    </w:p>
    <w:p w14:paraId="7C6A3278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Gross margin's steady climb to 71.5% in 2024: </w:t>
      </w:r>
      <w:r>
        <w:rPr>
          <w:sz w:val="21"/>
          <w:szCs w:val="21"/>
        </w:rPr>
        <w:t>reflects the same dynamic — as Hyatt sold owned hotels and shifted toward asset-light management/franchise fees, direct hotel operating costs shrank as a share of revenue.</w:t>
      </w:r>
    </w:p>
    <w:p w14:paraId="111F12C4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FY2024 Form 10-K)</w:t>
      </w:r>
    </w:p>
    <w:p w14:paraId="701FB5B4" w14:textId="77777777" w:rsidR="00F40C9E" w:rsidRDefault="00000000">
      <w:pPr>
        <w:pStyle w:val="Heading1"/>
        <w:spacing w:before="320" w:after="160"/>
      </w:pPr>
      <w:r>
        <w:t>2. Liquidity Ratios</w:t>
      </w:r>
    </w:p>
    <w:tbl>
      <w:tblPr>
        <w:tblW w:w="8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00"/>
        <w:gridCol w:w="1180"/>
        <w:gridCol w:w="1180"/>
        <w:gridCol w:w="1180"/>
        <w:gridCol w:w="1180"/>
        <w:gridCol w:w="1180"/>
      </w:tblGrid>
      <w:tr w:rsidR="00F40C9E" w14:paraId="715555FE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60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0B8AA5B1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lastRenderedPageBreak/>
              <w:t>Ratio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1032EF9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522DDEB9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44C637FF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035F14D9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71AF68D3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F40C9E" w14:paraId="50EAE133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1D0EE7A" w14:textId="77777777" w:rsidR="00F40C9E" w:rsidRDefault="00000000">
            <w:r>
              <w:rPr>
                <w:b/>
                <w:bCs/>
              </w:rPr>
              <w:t>Current Ratio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759AC3D" w14:textId="77777777" w:rsidR="00F40C9E" w:rsidRDefault="00000000">
            <w:pPr>
              <w:jc w:val="center"/>
            </w:pPr>
            <w:r>
              <w:rPr>
                <w:color w:val="000000"/>
              </w:rPr>
              <w:t>2.60x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6318BFB" w14:textId="77777777" w:rsidR="00F40C9E" w:rsidRDefault="00000000">
            <w:pPr>
              <w:jc w:val="center"/>
            </w:pPr>
            <w:r>
              <w:rPr>
                <w:color w:val="000000"/>
              </w:rPr>
              <w:t>0.92x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5D404B5" w14:textId="77777777" w:rsidR="00F40C9E" w:rsidRDefault="00000000">
            <w:pPr>
              <w:jc w:val="center"/>
            </w:pPr>
            <w:r>
              <w:rPr>
                <w:color w:val="000000"/>
              </w:rPr>
              <w:t>0.68x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1C57C80" w14:textId="77777777" w:rsidR="00F40C9E" w:rsidRDefault="00000000">
            <w:pPr>
              <w:jc w:val="center"/>
            </w:pPr>
            <w:r>
              <w:rPr>
                <w:color w:val="000000"/>
              </w:rPr>
              <w:t>0.60x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046384D" w14:textId="77777777" w:rsidR="00F40C9E" w:rsidRDefault="00000000">
            <w:pPr>
              <w:jc w:val="center"/>
            </w:pPr>
            <w:r>
              <w:rPr>
                <w:color w:val="000000"/>
              </w:rPr>
              <w:t>0.83x</w:t>
            </w:r>
          </w:p>
        </w:tc>
      </w:tr>
      <w:tr w:rsidR="00F40C9E" w14:paraId="6AE13646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DCE4BD9" w14:textId="77777777" w:rsidR="00F40C9E" w:rsidRDefault="00000000">
            <w:r>
              <w:rPr>
                <w:b/>
                <w:bCs/>
              </w:rPr>
              <w:t>Quick Ratio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E40BA5E" w14:textId="77777777" w:rsidR="00F40C9E" w:rsidRDefault="00000000">
            <w:pPr>
              <w:jc w:val="center"/>
            </w:pPr>
            <w:r>
              <w:rPr>
                <w:color w:val="000000"/>
              </w:rPr>
              <w:t>2.24x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243A8FA0" w14:textId="77777777" w:rsidR="00F40C9E" w:rsidRDefault="00000000">
            <w:pPr>
              <w:jc w:val="center"/>
            </w:pPr>
            <w:r>
              <w:rPr>
                <w:color w:val="000000"/>
              </w:rPr>
              <w:t>0.84x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5A4C10B" w14:textId="77777777" w:rsidR="00F40C9E" w:rsidRDefault="00000000">
            <w:pPr>
              <w:jc w:val="center"/>
            </w:pPr>
            <w:r>
              <w:rPr>
                <w:color w:val="000000"/>
              </w:rPr>
              <w:t>0.62x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C8EAD9E" w14:textId="77777777" w:rsidR="00F40C9E" w:rsidRDefault="00000000">
            <w:pPr>
              <w:jc w:val="center"/>
            </w:pPr>
            <w:r>
              <w:rPr>
                <w:color w:val="000000"/>
              </w:rPr>
              <w:t>0.51x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8A77286" w14:textId="77777777" w:rsidR="00F40C9E" w:rsidRDefault="00000000">
            <w:pPr>
              <w:jc w:val="center"/>
            </w:pPr>
            <w:r>
              <w:rPr>
                <w:color w:val="000000"/>
              </w:rPr>
              <w:t>0.77x</w:t>
            </w:r>
          </w:p>
        </w:tc>
      </w:tr>
      <w:tr w:rsidR="00F40C9E" w14:paraId="01ADCC1C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CEC1317" w14:textId="77777777" w:rsidR="00F40C9E" w:rsidRDefault="00000000">
            <w:r>
              <w:rPr>
                <w:b/>
                <w:bCs/>
              </w:rPr>
              <w:t>Cash Ratio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7A53657" w14:textId="77777777" w:rsidR="00F40C9E" w:rsidRDefault="00000000">
            <w:pPr>
              <w:jc w:val="center"/>
            </w:pPr>
            <w:r>
              <w:rPr>
                <w:color w:val="000000"/>
              </w:rPr>
              <w:t>1.92x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8229167" w14:textId="77777777" w:rsidR="00F40C9E" w:rsidRDefault="00000000">
            <w:pPr>
              <w:jc w:val="center"/>
            </w:pPr>
            <w:r>
              <w:rPr>
                <w:color w:val="000000"/>
              </w:rPr>
              <w:t>0.56x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1310889" w14:textId="77777777" w:rsidR="00F40C9E" w:rsidRDefault="00000000">
            <w:pPr>
              <w:jc w:val="center"/>
            </w:pPr>
            <w:r>
              <w:rPr>
                <w:color w:val="000000"/>
              </w:rPr>
              <w:t>0.36x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01217419" w14:textId="77777777" w:rsidR="00F40C9E" w:rsidRDefault="00000000">
            <w:pPr>
              <w:jc w:val="center"/>
            </w:pPr>
            <w:r>
              <w:rPr>
                <w:color w:val="000000"/>
              </w:rPr>
              <w:t>0.26x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B6F8E2A" w14:textId="77777777" w:rsidR="00F40C9E" w:rsidRDefault="00000000">
            <w:pPr>
              <w:jc w:val="center"/>
            </w:pPr>
            <w:r>
              <w:rPr>
                <w:color w:val="000000"/>
              </w:rPr>
              <w:t>0.42x</w:t>
            </w:r>
          </w:p>
        </w:tc>
      </w:tr>
    </w:tbl>
    <w:p w14:paraId="037C0DF1" w14:textId="77777777" w:rsidR="00F40C9E" w:rsidRDefault="00000000">
      <w:pPr>
        <w:pStyle w:val="Heading2"/>
        <w:spacing w:before="240" w:after="120"/>
      </w:pPr>
      <w:r>
        <w:t>Key Changes &amp; Reasons</w:t>
      </w:r>
    </w:p>
    <w:p w14:paraId="492F79C5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2020's high liquidity was defensive, not organic: </w:t>
      </w:r>
      <w:r>
        <w:rPr>
          <w:sz w:val="21"/>
          <w:szCs w:val="21"/>
        </w:rPr>
        <w:t>with revenue collapsing, Hyatt drew on its revolver, issued the 2022/2025/2030 Notes, and suspended dividends and share repurchases specifically to preserve a large cash and short-term investment cushion through the crisis.</w:t>
      </w:r>
    </w:p>
    <w:p w14:paraId="3D5F5346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FY2020 Form 10-K, Liquidity and Capital Resources)</w:t>
      </w:r>
    </w:p>
    <w:p w14:paraId="0D0A7162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2021 onward, ratios fell steadily: </w:t>
      </w:r>
      <w:r>
        <w:rPr>
          <w:sz w:val="21"/>
          <w:szCs w:val="21"/>
        </w:rPr>
        <w:t>as that emergency cash was deployed — largely into the Apple Leisure Group (ALG) acquisition completed November 1, 2021, which was funded partly with new debt and drew down cash balances.</w:t>
      </w:r>
    </w:p>
    <w:p w14:paraId="64AC84FB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FY2021 Form 10-K, Business Overview)</w:t>
      </w:r>
    </w:p>
    <w:p w14:paraId="49767CDB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2023's low point (0.60x current ratio): </w:t>
      </w:r>
      <w:r>
        <w:rPr>
          <w:sz w:val="21"/>
          <w:szCs w:val="21"/>
        </w:rPr>
        <w:t>coincided with continued growth in current contract liabilities (deferred loyalty-program and advance-deposit revenue) outpacing current asset growth, alongside a $453 million share repurchase that used cash rather than building it.</w:t>
      </w:r>
    </w:p>
    <w:p w14:paraId="61A0B812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2024's rebound: </w:t>
      </w:r>
      <w:r>
        <w:rPr>
          <w:sz w:val="21"/>
          <w:szCs w:val="21"/>
        </w:rPr>
        <w:t>was fueled by the wave of real-estate disposition proceeds (Orlando, Zurich, Aruba, San Antonio, etc.) flowing into cash and short-term investments, even after funding $1,190 million of share repurchases.</w:t>
      </w:r>
    </w:p>
    <w:p w14:paraId="6DC2748F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FY2024 Form 10-K, Sources and Uses of Cash)</w:t>
      </w:r>
    </w:p>
    <w:p w14:paraId="57FE92FA" w14:textId="77777777" w:rsidR="00F40C9E" w:rsidRDefault="00000000">
      <w:pPr>
        <w:pStyle w:val="Heading1"/>
        <w:spacing w:before="320" w:after="160"/>
      </w:pPr>
      <w:r>
        <w:t>3. Efficiency Ratios</w:t>
      </w:r>
    </w:p>
    <w:tbl>
      <w:tblPr>
        <w:tblW w:w="8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00"/>
        <w:gridCol w:w="1180"/>
        <w:gridCol w:w="1180"/>
        <w:gridCol w:w="1180"/>
        <w:gridCol w:w="1180"/>
        <w:gridCol w:w="1180"/>
      </w:tblGrid>
      <w:tr w:rsidR="00F40C9E" w14:paraId="23422212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60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5C595291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9C16508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3B4DD460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33D93301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2E8675D2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7762C590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F40C9E" w14:paraId="0C34AAEE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B21D0A6" w14:textId="77777777" w:rsidR="00F40C9E" w:rsidRDefault="00000000">
            <w:r>
              <w:rPr>
                <w:b/>
                <w:bCs/>
              </w:rPr>
              <w:t>Asset Turnover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B4E4E6B" w14:textId="77777777" w:rsidR="00F40C9E" w:rsidRDefault="00000000">
            <w:pPr>
              <w:jc w:val="center"/>
            </w:pPr>
            <w:r>
              <w:rPr>
                <w:color w:val="000000"/>
              </w:rPr>
              <w:t>0.23x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262317BE" w14:textId="77777777" w:rsidR="00F40C9E" w:rsidRDefault="00000000">
            <w:pPr>
              <w:jc w:val="center"/>
            </w:pPr>
            <w:r>
              <w:rPr>
                <w:color w:val="000000"/>
              </w:rPr>
              <w:t>0.24x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2B52A8B2" w14:textId="77777777" w:rsidR="00F40C9E" w:rsidRDefault="00000000">
            <w:pPr>
              <w:jc w:val="center"/>
            </w:pPr>
            <w:r>
              <w:rPr>
                <w:color w:val="000000"/>
              </w:rPr>
              <w:t>0.48x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D1E71E2" w14:textId="77777777" w:rsidR="00F40C9E" w:rsidRDefault="00000000">
            <w:pPr>
              <w:jc w:val="center"/>
            </w:pPr>
            <w:r>
              <w:rPr>
                <w:color w:val="000000"/>
              </w:rPr>
              <w:t>0.52x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403ADF0" w14:textId="77777777" w:rsidR="00F40C9E" w:rsidRDefault="00000000">
            <w:pPr>
              <w:jc w:val="center"/>
            </w:pPr>
            <w:r>
              <w:rPr>
                <w:color w:val="000000"/>
              </w:rPr>
              <w:t>0.50x</w:t>
            </w:r>
          </w:p>
        </w:tc>
      </w:tr>
      <w:tr w:rsidR="00F40C9E" w14:paraId="41F6640F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B8E1EA9" w14:textId="77777777" w:rsidR="00F40C9E" w:rsidRDefault="00000000">
            <w:r>
              <w:rPr>
                <w:b/>
                <w:bCs/>
              </w:rPr>
              <w:t>Fixed Asset Turnover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63B2E0E" w14:textId="77777777" w:rsidR="00F40C9E" w:rsidRDefault="00000000">
            <w:pPr>
              <w:jc w:val="center"/>
            </w:pPr>
            <w:r>
              <w:rPr>
                <w:color w:val="000000"/>
              </w:rPr>
              <w:t>0.66x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762C82B" w14:textId="77777777" w:rsidR="00F40C9E" w:rsidRDefault="00000000">
            <w:pPr>
              <w:jc w:val="center"/>
            </w:pPr>
            <w:r>
              <w:rPr>
                <w:color w:val="000000"/>
              </w:rPr>
              <w:t>1.06x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03A607D8" w14:textId="77777777" w:rsidR="00F40C9E" w:rsidRDefault="00000000">
            <w:pPr>
              <w:jc w:val="center"/>
            </w:pPr>
            <w:r>
              <w:rPr>
                <w:color w:val="000000"/>
              </w:rPr>
              <w:t>2.47x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1387A45E" w14:textId="77777777" w:rsidR="00F40C9E" w:rsidRDefault="00000000">
            <w:pPr>
              <w:jc w:val="center"/>
            </w:pPr>
            <w:r>
              <w:rPr>
                <w:color w:val="000000"/>
              </w:rPr>
              <w:t>2.85x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5B954C8" w14:textId="77777777" w:rsidR="00F40C9E" w:rsidRDefault="00000000">
            <w:pPr>
              <w:jc w:val="center"/>
            </w:pPr>
            <w:r>
              <w:rPr>
                <w:color w:val="000000"/>
              </w:rPr>
              <w:t>3.94x</w:t>
            </w:r>
          </w:p>
        </w:tc>
      </w:tr>
    </w:tbl>
    <w:p w14:paraId="24696067" w14:textId="77777777" w:rsidR="00F40C9E" w:rsidRDefault="00000000">
      <w:pPr>
        <w:pStyle w:val="Heading2"/>
        <w:spacing w:before="240" w:after="120"/>
      </w:pPr>
      <w:r>
        <w:t>Key Changes &amp; Reasons</w:t>
      </w:r>
    </w:p>
    <w:p w14:paraId="79A417CC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Asset turnover barely moved in 2021: </w:t>
      </w:r>
      <w:r>
        <w:rPr>
          <w:sz w:val="21"/>
          <w:szCs w:val="21"/>
        </w:rPr>
        <w:t>despite a revenue rebound, because the ALG Acquisition simultaneously added roughly $2.7 billion of goodwill and intangibles to the balance sheet, inflating total assets in lockstep with revenue.</w:t>
      </w:r>
    </w:p>
    <w:p w14:paraId="2731D8C8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FY2021 Form 10-K)</w:t>
      </w:r>
    </w:p>
    <w:p w14:paraId="3E564B3F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The 2022 jump (0.24x → 0.48x): </w:t>
      </w:r>
      <w:r>
        <w:rPr>
          <w:sz w:val="21"/>
          <w:szCs w:val="21"/>
        </w:rPr>
        <w:t>reflects genuine operating recovery — revenue nearly doubled to $5.9 billion as demand normalized, per management's discussion of strong portfolio-wide performance.</w:t>
      </w:r>
    </w:p>
    <w:p w14:paraId="0F917A85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FY2022 Form 10-K, Results of Operations)</w:t>
      </w:r>
    </w:p>
    <w:p w14:paraId="5B15F07E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Fixed asset turnover's dramatic rise (0.66x in 2020 to 3.94x in 2024): </w:t>
      </w:r>
      <w:r>
        <w:rPr>
          <w:sz w:val="21"/>
          <w:szCs w:val="21"/>
        </w:rPr>
        <w:t>is the clearest fingerprint of Hyatt's strategic pivot: the company explicitly framed its owned real estate as “a source of capital for new growth investments” and ran a multi-year disposition program, shrinking net property and equipment from $3.1 billion to $1.7 billion while revenue grew — directly reducing the denominator.</w:t>
      </w:r>
    </w:p>
    <w:p w14:paraId="73B80A1B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FY2024 Form 10-K, Business Overview)</w:t>
      </w:r>
    </w:p>
    <w:p w14:paraId="7668A312" w14:textId="77777777" w:rsidR="00F40C9E" w:rsidRDefault="00000000">
      <w:pPr>
        <w:pStyle w:val="Heading1"/>
        <w:spacing w:before="320" w:after="160"/>
      </w:pPr>
      <w:r>
        <w:lastRenderedPageBreak/>
        <w:t>4. Leverage Ratios</w:t>
      </w:r>
    </w:p>
    <w:tbl>
      <w:tblPr>
        <w:tblW w:w="8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00"/>
        <w:gridCol w:w="1180"/>
        <w:gridCol w:w="1180"/>
        <w:gridCol w:w="1180"/>
        <w:gridCol w:w="1180"/>
        <w:gridCol w:w="1180"/>
      </w:tblGrid>
      <w:tr w:rsidR="00F40C9E" w14:paraId="4F43C4F0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60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2744CDB8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1594E024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0B6785D2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1D857A5F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24B44104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180" w:type="dxa"/>
            <w:shd w:val="clear" w:color="auto" w:fill="1F4E7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322EFA44" w14:textId="77777777" w:rsidR="00F40C9E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F40C9E" w14:paraId="050811C6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5E71AE7" w14:textId="77777777" w:rsidR="00F40C9E" w:rsidRDefault="00000000">
            <w:r>
              <w:rPr>
                <w:b/>
                <w:bCs/>
              </w:rPr>
              <w:t>Interest Coverage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E000974" w14:textId="77777777" w:rsidR="00F40C9E" w:rsidRDefault="00000000">
            <w:pPr>
              <w:jc w:val="center"/>
            </w:pPr>
            <w:r>
              <w:rPr>
                <w:color w:val="C00000"/>
              </w:rPr>
              <w:t>(6.50x)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22777298" w14:textId="77777777" w:rsidR="00F40C9E" w:rsidRDefault="00000000">
            <w:pPr>
              <w:jc w:val="center"/>
            </w:pPr>
            <w:r>
              <w:rPr>
                <w:color w:val="000000"/>
              </w:rPr>
              <w:t>1.27x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B7407AF" w14:textId="77777777" w:rsidR="00F40C9E" w:rsidRDefault="00000000">
            <w:pPr>
              <w:jc w:val="center"/>
            </w:pPr>
            <w:r>
              <w:rPr>
                <w:color w:val="000000"/>
              </w:rPr>
              <w:t>3.42x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0D57B5F2" w14:textId="77777777" w:rsidR="00F40C9E" w:rsidRDefault="00000000">
            <w:pPr>
              <w:jc w:val="center"/>
            </w:pPr>
            <w:r>
              <w:rPr>
                <w:color w:val="000000"/>
              </w:rPr>
              <w:t>3.14x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8EBB191" w14:textId="77777777" w:rsidR="00F40C9E" w:rsidRDefault="00000000">
            <w:pPr>
              <w:jc w:val="center"/>
            </w:pPr>
            <w:r>
              <w:rPr>
                <w:color w:val="000000"/>
              </w:rPr>
              <w:t>9.68x</w:t>
            </w:r>
          </w:p>
        </w:tc>
      </w:tr>
      <w:tr w:rsidR="00F40C9E" w14:paraId="66B12BDD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219E836B" w14:textId="77777777" w:rsidR="00F40C9E" w:rsidRDefault="00000000">
            <w:r>
              <w:rPr>
                <w:b/>
                <w:bCs/>
              </w:rPr>
              <w:t>Debt / Equity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92452F9" w14:textId="77777777" w:rsidR="00F40C9E" w:rsidRDefault="00000000">
            <w:pPr>
              <w:jc w:val="center"/>
            </w:pPr>
            <w:r>
              <w:rPr>
                <w:color w:val="000000"/>
              </w:rPr>
              <w:t>1.01x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18FEFA6" w14:textId="77777777" w:rsidR="00F40C9E" w:rsidRDefault="00000000">
            <w:pPr>
              <w:jc w:val="center"/>
            </w:pPr>
            <w:r>
              <w:rPr>
                <w:color w:val="000000"/>
              </w:rPr>
              <w:t>1.12x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9E9A14C" w14:textId="77777777" w:rsidR="00F40C9E" w:rsidRDefault="00000000">
            <w:pPr>
              <w:jc w:val="center"/>
            </w:pPr>
            <w:r>
              <w:rPr>
                <w:color w:val="000000"/>
              </w:rPr>
              <w:t>0.84x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42DDD353" w14:textId="77777777" w:rsidR="00F40C9E" w:rsidRDefault="00000000">
            <w:pPr>
              <w:jc w:val="center"/>
            </w:pPr>
            <w:r>
              <w:rPr>
                <w:color w:val="000000"/>
              </w:rPr>
              <w:t>0.86x</w:t>
            </w:r>
          </w:p>
        </w:tc>
        <w:tc>
          <w:tcPr>
            <w:tcW w:w="1180" w:type="dxa"/>
            <w:shd w:val="clear" w:color="auto" w:fill="DCE6F1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300F483" w14:textId="77777777" w:rsidR="00F40C9E" w:rsidRDefault="00000000">
            <w:pPr>
              <w:jc w:val="center"/>
            </w:pPr>
            <w:r>
              <w:rPr>
                <w:color w:val="000000"/>
              </w:rPr>
              <w:t>1.07x</w:t>
            </w:r>
          </w:p>
        </w:tc>
      </w:tr>
      <w:tr w:rsidR="00F40C9E" w14:paraId="5E9E1E6D" w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5ECBB2A" w14:textId="77777777" w:rsidR="00F40C9E" w:rsidRDefault="00000000">
            <w:r>
              <w:rPr>
                <w:b/>
                <w:bCs/>
              </w:rPr>
              <w:t>Total Debt / Total Capital (per 10-K)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55D51A17" w14:textId="77777777" w:rsidR="00F40C9E" w:rsidRDefault="00000000">
            <w:pPr>
              <w:jc w:val="center"/>
            </w:pPr>
            <w:r>
              <w:rPr>
                <w:color w:val="000000"/>
              </w:rPr>
              <w:t>50.3%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B56CA68" w14:textId="77777777" w:rsidR="00F40C9E" w:rsidRDefault="00000000">
            <w:pPr>
              <w:jc w:val="center"/>
            </w:pPr>
            <w:r>
              <w:rPr>
                <w:color w:val="000000"/>
              </w:rPr>
              <w:t>52.8%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7B9FE0C1" w14:textId="77777777" w:rsidR="00F40C9E" w:rsidRDefault="00000000">
            <w:pPr>
              <w:jc w:val="center"/>
            </w:pPr>
            <w:r>
              <w:rPr>
                <w:color w:val="000000"/>
              </w:rPr>
              <w:t>45.7%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3F7E3863" w14:textId="77777777" w:rsidR="00F40C9E" w:rsidRDefault="00000000">
            <w:pPr>
              <w:jc w:val="center"/>
            </w:pPr>
            <w:r>
              <w:rPr>
                <w:color w:val="000000"/>
              </w:rPr>
              <w:t>46.2%</w:t>
            </w:r>
          </w:p>
        </w:tc>
        <w:tc>
          <w:tcPr>
            <w:tcW w:w="1180" w:type="dxa"/>
            <w:tcMar>
              <w:top w:w="70" w:type="dxa"/>
              <w:left w:w="100" w:type="dxa"/>
              <w:bottom w:w="70" w:type="dxa"/>
              <w:right w:w="100" w:type="dxa"/>
            </w:tcMar>
          </w:tcPr>
          <w:p w14:paraId="6845F392" w14:textId="77777777" w:rsidR="00F40C9E" w:rsidRDefault="00000000">
            <w:pPr>
              <w:jc w:val="center"/>
            </w:pPr>
            <w:r>
              <w:rPr>
                <w:color w:val="000000"/>
              </w:rPr>
              <w:t>51.6%</w:t>
            </w:r>
          </w:p>
        </w:tc>
      </w:tr>
    </w:tbl>
    <w:p w14:paraId="73021522" w14:textId="77777777" w:rsidR="00F40C9E" w:rsidRDefault="00000000">
      <w:pPr>
        <w:pStyle w:val="Heading2"/>
        <w:spacing w:before="240" w:after="120"/>
      </w:pPr>
      <w:r>
        <w:t>Key Changes &amp; Reasons</w:t>
      </w:r>
    </w:p>
    <w:p w14:paraId="31F1BBE1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2020's negative coverage: </w:t>
      </w:r>
      <w:r>
        <w:rPr>
          <w:sz w:val="21"/>
          <w:szCs w:val="21"/>
        </w:rPr>
        <w:t>reflects the pre-tax loss combined with interest expense that rose $53 million from three new note issuances (2022, 2025, and 2030 Notes) used to shore up liquidity during the pandemic.</w:t>
      </w:r>
    </w:p>
    <w:p w14:paraId="21C16A67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FY2020 Form 10-K)</w:t>
      </w:r>
    </w:p>
    <w:p w14:paraId="141BA5B9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2021's thin 1.27x coverage: </w:t>
      </w:r>
      <w:r>
        <w:rPr>
          <w:sz w:val="21"/>
          <w:szCs w:val="21"/>
        </w:rPr>
        <w:t>came from interest expense rising a further $35 million — driven by financing the ALG Acquisition — while earnings were only just turning positive.</w:t>
      </w:r>
    </w:p>
    <w:p w14:paraId="03B15572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FY2021 Form 10-K)</w:t>
      </w:r>
    </w:p>
    <w:p w14:paraId="4527A279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2022–2023 improvement: </w:t>
      </w:r>
      <w:r>
        <w:rPr>
          <w:sz w:val="21"/>
          <w:szCs w:val="21"/>
        </w:rPr>
        <w:t>as Hyatt redeemed senior notes (cutting interest expense $13 million in 2022 and $5 million in 2023) while earnings kept recovering.</w:t>
      </w:r>
    </w:p>
    <w:p w14:paraId="1C90CE4E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FY2022 and FY2023 Form 10-K filings)</w:t>
      </w:r>
    </w:p>
    <w:p w14:paraId="7A4751B6" w14:textId="77777777" w:rsidR="00F40C9E" w:rsidRDefault="00000000">
      <w:pPr>
        <w:pStyle w:val="ListParagraph"/>
        <w:numPr>
          <w:ilvl w:val="0"/>
          <w:numId w:val="2"/>
        </w:numPr>
        <w:spacing w:after="120" w:line="276" w:lineRule="auto"/>
      </w:pPr>
      <w:r>
        <w:rPr>
          <w:b/>
          <w:bCs/>
          <w:sz w:val="21"/>
          <w:szCs w:val="21"/>
        </w:rPr>
        <w:t xml:space="preserve">2024's leverage increased again (Debt/Equity to 1.07x; debt/total capital to 51.6%) even as coverage strengthened to 9.68x: </w:t>
      </w:r>
      <w:r>
        <w:rPr>
          <w:sz w:val="21"/>
          <w:szCs w:val="21"/>
        </w:rPr>
        <w:t>Hyatt issued new senior notes in 2024 (pushing interest expense up $35 million) while also repurchasing $1,190 million of stock, which shrank the equity base even as retained earnings grew from the large net income year.</w:t>
      </w:r>
    </w:p>
    <w:p w14:paraId="1D16A8FB" w14:textId="77777777" w:rsidR="00F40C9E" w:rsidRDefault="00000000">
      <w:pPr>
        <w:pStyle w:val="ListParagraph"/>
        <w:numPr>
          <w:ilvl w:val="1"/>
          <w:numId w:val="2"/>
        </w:numPr>
        <w:spacing w:after="120" w:line="276" w:lineRule="auto"/>
      </w:pPr>
      <w:r>
        <w:rPr>
          <w:sz w:val="21"/>
          <w:szCs w:val="21"/>
        </w:rPr>
        <w:t>(Source: Hyatt FY2024 Form 10-K, Liquidity and Capital Resources / Interest Expense discussion)</w:t>
      </w:r>
    </w:p>
    <w:p w14:paraId="095D7463" w14:textId="77777777" w:rsidR="00F40C9E" w:rsidRDefault="00000000">
      <w:pPr>
        <w:pStyle w:val="Heading1"/>
        <w:spacing w:before="320" w:after="160"/>
      </w:pPr>
      <w:r>
        <w:t>Bottom Line</w:t>
      </w:r>
    </w:p>
    <w:p w14:paraId="6146AD37" w14:textId="77777777" w:rsidR="00F40C9E" w:rsidRDefault="00000000">
      <w:pPr>
        <w:spacing w:after="160" w:line="276" w:lineRule="auto"/>
      </w:pPr>
      <w:r>
        <w:rPr>
          <w:sz w:val="21"/>
          <w:szCs w:val="21"/>
        </w:rPr>
        <w:t>The five years trace a clean arc: pandemic collapse (2020), acquisition-funded but still-fragile recovery (2021), operational normalization (2022–2023), and a 2024 that looks spectacular on net margin and coverage but is substantially a story of Hyatt monetizing owned real estate rather than a pure improvement in core hotel economics. Operating margin and fixed asset turnover are the two ratios that best isolate the underlying strategic shift from the one-time gains.</w:t>
      </w:r>
    </w:p>
    <w:p w14:paraId="6F6FFA1C" w14:textId="77777777" w:rsidR="00F40C9E" w:rsidRDefault="00000000">
      <w:pPr>
        <w:spacing w:before="200" w:after="200"/>
      </w:pPr>
      <w:r>
        <w:rPr>
          <w:i/>
          <w:iCs/>
          <w:color w:val="808080"/>
          <w:sz w:val="19"/>
          <w:szCs w:val="19"/>
        </w:rPr>
        <w:t>Sources: Hyatt Hotels Corporation Form 10-K filings for fiscal years 2020, 2021, 2022, 2023, and 2024, as filed with the U.S. Securities and Exchange Commission (Management's Discussion and Analysis of Financial Condition and Results of Operations).</w:t>
      </w:r>
    </w:p>
    <w:sectPr w:rsidR="00F40C9E">
      <w:headerReference w:type="default" r:id="rId7"/>
      <w:footerReference w:type="default" r:id="rId8"/>
      <w:pgSz w:w="12240" w:h="15840"/>
      <w:pgMar w:top="1080" w:right="1260" w:bottom="1080" w:left="126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DA2160" w14:textId="77777777" w:rsidR="00084A6A" w:rsidRDefault="00084A6A">
      <w:r>
        <w:separator/>
      </w:r>
    </w:p>
  </w:endnote>
  <w:endnote w:type="continuationSeparator" w:id="0">
    <w:p w14:paraId="5D2D9E42" w14:textId="77777777" w:rsidR="00084A6A" w:rsidRDefault="00084A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E62F83" w14:textId="77777777" w:rsidR="00F40C9E" w:rsidRDefault="00000000">
    <w:pPr>
      <w:jc w:val="center"/>
    </w:pPr>
    <w:r>
      <w:rPr>
        <w:color w:val="808080"/>
        <w:sz w:val="16"/>
        <w:szCs w:val="16"/>
      </w:rPr>
      <w:t xml:space="preserve">Page </w:t>
    </w:r>
    <w:r>
      <w:rPr>
        <w:color w:val="808080"/>
        <w:sz w:val="16"/>
        <w:szCs w:val="16"/>
      </w:rPr>
      <w:fldChar w:fldCharType="begin"/>
    </w:r>
    <w:r>
      <w:rPr>
        <w:color w:val="808080"/>
        <w:sz w:val="16"/>
        <w:szCs w:val="16"/>
      </w:rPr>
      <w:instrText>PAGE</w:instrText>
    </w:r>
    <w:r>
      <w:rPr>
        <w:color w:val="808080"/>
        <w:sz w:val="16"/>
        <w:szCs w:val="16"/>
      </w:rPr>
      <w:fldChar w:fldCharType="separate"/>
    </w:r>
    <w:r w:rsidR="009C0A45">
      <w:rPr>
        <w:noProof/>
        <w:color w:val="808080"/>
        <w:sz w:val="16"/>
        <w:szCs w:val="16"/>
      </w:rPr>
      <w:t>1</w:t>
    </w:r>
    <w:r>
      <w:rPr>
        <w:color w:val="808080"/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79E950" w14:textId="77777777" w:rsidR="00084A6A" w:rsidRDefault="00084A6A">
      <w:r>
        <w:separator/>
      </w:r>
    </w:p>
  </w:footnote>
  <w:footnote w:type="continuationSeparator" w:id="0">
    <w:p w14:paraId="3FDCD8FD" w14:textId="77777777" w:rsidR="00084A6A" w:rsidRDefault="00084A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6D5ACB" w14:textId="77777777" w:rsidR="00F40C9E" w:rsidRDefault="00000000">
    <w:pPr>
      <w:jc w:val="right"/>
    </w:pPr>
    <w:r>
      <w:rPr>
        <w:color w:val="808080"/>
        <w:sz w:val="16"/>
        <w:szCs w:val="16"/>
      </w:rPr>
      <w:t>Hyatt Hotels Corporation — Financial Ratio Analysis, FY2020–FY2024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1665F1"/>
    <w:multiLevelType w:val="hybridMultilevel"/>
    <w:tmpl w:val="2B4A3FA0"/>
    <w:lvl w:ilvl="0" w:tplc="4D7607EE">
      <w:start w:val="1"/>
      <w:numFmt w:val="bullet"/>
      <w:lvlText w:val="•"/>
      <w:lvlJc w:val="left"/>
      <w:pPr>
        <w:ind w:left="360" w:hanging="240"/>
      </w:pPr>
    </w:lvl>
    <w:lvl w:ilvl="1" w:tplc="8FFC3744">
      <w:start w:val="1"/>
      <w:numFmt w:val="bullet"/>
      <w:lvlText w:val="◦"/>
      <w:lvlJc w:val="left"/>
      <w:pPr>
        <w:ind w:left="720" w:hanging="240"/>
      </w:pPr>
    </w:lvl>
    <w:lvl w:ilvl="2" w:tplc="85CA1EBA">
      <w:numFmt w:val="decimal"/>
      <w:lvlText w:val=""/>
      <w:lvlJc w:val="left"/>
    </w:lvl>
    <w:lvl w:ilvl="3" w:tplc="31A03E28">
      <w:numFmt w:val="decimal"/>
      <w:lvlText w:val=""/>
      <w:lvlJc w:val="left"/>
    </w:lvl>
    <w:lvl w:ilvl="4" w:tplc="0B74D46E">
      <w:numFmt w:val="decimal"/>
      <w:lvlText w:val=""/>
      <w:lvlJc w:val="left"/>
    </w:lvl>
    <w:lvl w:ilvl="5" w:tplc="115697FC">
      <w:numFmt w:val="decimal"/>
      <w:lvlText w:val=""/>
      <w:lvlJc w:val="left"/>
    </w:lvl>
    <w:lvl w:ilvl="6" w:tplc="28E2B482">
      <w:numFmt w:val="decimal"/>
      <w:lvlText w:val=""/>
      <w:lvlJc w:val="left"/>
    </w:lvl>
    <w:lvl w:ilvl="7" w:tplc="75F48A50">
      <w:numFmt w:val="decimal"/>
      <w:lvlText w:val=""/>
      <w:lvlJc w:val="left"/>
    </w:lvl>
    <w:lvl w:ilvl="8" w:tplc="8582545A">
      <w:numFmt w:val="decimal"/>
      <w:lvlText w:val=""/>
      <w:lvlJc w:val="left"/>
    </w:lvl>
  </w:abstractNum>
  <w:abstractNum w:abstractNumId="1" w15:restartNumberingAfterBreak="0">
    <w:nsid w:val="778160C8"/>
    <w:multiLevelType w:val="hybridMultilevel"/>
    <w:tmpl w:val="96D294EC"/>
    <w:lvl w:ilvl="0" w:tplc="859E8C00">
      <w:start w:val="1"/>
      <w:numFmt w:val="bullet"/>
      <w:lvlText w:val="●"/>
      <w:lvlJc w:val="left"/>
      <w:pPr>
        <w:ind w:left="720" w:hanging="360"/>
      </w:pPr>
    </w:lvl>
    <w:lvl w:ilvl="1" w:tplc="506250EE">
      <w:start w:val="1"/>
      <w:numFmt w:val="bullet"/>
      <w:lvlText w:val="○"/>
      <w:lvlJc w:val="left"/>
      <w:pPr>
        <w:ind w:left="1440" w:hanging="360"/>
      </w:pPr>
    </w:lvl>
    <w:lvl w:ilvl="2" w:tplc="4AC6119A">
      <w:start w:val="1"/>
      <w:numFmt w:val="bullet"/>
      <w:lvlText w:val="■"/>
      <w:lvlJc w:val="left"/>
      <w:pPr>
        <w:ind w:left="2160" w:hanging="360"/>
      </w:pPr>
    </w:lvl>
    <w:lvl w:ilvl="3" w:tplc="B4689F1E">
      <w:start w:val="1"/>
      <w:numFmt w:val="bullet"/>
      <w:lvlText w:val="●"/>
      <w:lvlJc w:val="left"/>
      <w:pPr>
        <w:ind w:left="2880" w:hanging="360"/>
      </w:pPr>
    </w:lvl>
    <w:lvl w:ilvl="4" w:tplc="BC861B1E">
      <w:start w:val="1"/>
      <w:numFmt w:val="bullet"/>
      <w:lvlText w:val="○"/>
      <w:lvlJc w:val="left"/>
      <w:pPr>
        <w:ind w:left="3600" w:hanging="360"/>
      </w:pPr>
    </w:lvl>
    <w:lvl w:ilvl="5" w:tplc="A50EA87C">
      <w:start w:val="1"/>
      <w:numFmt w:val="bullet"/>
      <w:lvlText w:val="■"/>
      <w:lvlJc w:val="left"/>
      <w:pPr>
        <w:ind w:left="4320" w:hanging="360"/>
      </w:pPr>
    </w:lvl>
    <w:lvl w:ilvl="6" w:tplc="12DAB956">
      <w:start w:val="1"/>
      <w:numFmt w:val="bullet"/>
      <w:lvlText w:val="●"/>
      <w:lvlJc w:val="left"/>
      <w:pPr>
        <w:ind w:left="5040" w:hanging="360"/>
      </w:pPr>
    </w:lvl>
    <w:lvl w:ilvl="7" w:tplc="A2122D0E">
      <w:start w:val="1"/>
      <w:numFmt w:val="bullet"/>
      <w:lvlText w:val="●"/>
      <w:lvlJc w:val="left"/>
      <w:pPr>
        <w:ind w:left="5760" w:hanging="360"/>
      </w:pPr>
    </w:lvl>
    <w:lvl w:ilvl="8" w:tplc="CCCA0186">
      <w:start w:val="1"/>
      <w:numFmt w:val="bullet"/>
      <w:lvlText w:val="●"/>
      <w:lvlJc w:val="left"/>
      <w:pPr>
        <w:ind w:left="6480" w:hanging="360"/>
      </w:pPr>
    </w:lvl>
  </w:abstractNum>
  <w:num w:numId="1" w16cid:durableId="381562313">
    <w:abstractNumId w:val="1"/>
    <w:lvlOverride w:ilvl="0">
      <w:startOverride w:val="1"/>
    </w:lvlOverride>
  </w:num>
  <w:num w:numId="2" w16cid:durableId="1005016399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0C9E"/>
    <w:rsid w:val="00084A6A"/>
    <w:rsid w:val="007E2763"/>
    <w:rsid w:val="009C0A45"/>
    <w:rsid w:val="00F40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5C810"/>
  <w15:docId w15:val="{211AA5A0-0C72-4D7E-ADF4-63DB26672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1068</Words>
  <Characters>6089</Characters>
  <Application>Microsoft Office Word</Application>
  <DocSecurity>0</DocSecurity>
  <Lines>50</Lines>
  <Paragraphs>14</Paragraphs>
  <ScaleCrop>false</ScaleCrop>
  <Company/>
  <LinksUpToDate>false</LinksUpToDate>
  <CharactersWithSpaces>7143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Lenovo</cp:lastModifiedBy>
  <cp:revision>2</cp:revision>
  <dcterms:created xsi:type="dcterms:W3CDTF">2026-07-10T11:29:00Z</dcterms:created>
  <dcterms:modified xsi:type="dcterms:W3CDTF">2026-07-10T11:29:00Z</dcterms:modified>
</cp:coreProperties>
</file>