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79"/>
        <w:ind w:right="0" w:left="0" w:firstLine="0"/>
        <w:jc w:val="left"/>
        <w:rPr>
          <w:rFonts w:ascii="Arial" w:hAnsi="Arial" w:cs="Arial" w:eastAsia="Arial"/>
          <w:b/>
          <w:color w:val="auto"/>
          <w:spacing w:val="0"/>
          <w:position w:val="0"/>
          <w:sz w:val="24"/>
          <w:shd w:fill="auto" w:val="clear"/>
        </w:rPr>
      </w:pPr>
      <w:r>
        <w:object w:dxaOrig="2938" w:dyaOrig="828">
          <v:rect xmlns:o="urn:schemas-microsoft-com:office:office" xmlns:v="urn:schemas-microsoft-com:vml" id="rectole0000000000" style="width:146.900000pt;height:41.4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160" w:line="279"/>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Student Assessment Submission and Declaration</w:t>
      </w:r>
    </w:p>
    <w:p>
      <w:pPr>
        <w:spacing w:before="0" w:after="0" w:line="276"/>
        <w:ind w:right="0" w:left="0" w:firstLine="0"/>
        <w:jc w:val="both"/>
        <w:rPr>
          <w:rFonts w:ascii="Arial" w:hAnsi="Arial" w:cs="Arial" w:eastAsia="Arial"/>
          <w:color w:val="0D0D0D"/>
          <w:spacing w:val="0"/>
          <w:position w:val="0"/>
          <w:sz w:val="22"/>
          <w:shd w:fill="auto" w:val="clear"/>
        </w:rPr>
      </w:pPr>
      <w:r>
        <w:rPr>
          <w:rFonts w:ascii="Arial" w:hAnsi="Arial" w:cs="Arial" w:eastAsia="Arial"/>
          <w:color w:val="0D0D0D"/>
          <w:spacing w:val="0"/>
          <w:position w:val="0"/>
          <w:sz w:val="22"/>
          <w:shd w:fill="auto" w:val="clear"/>
        </w:rPr>
        <w:t xml:space="preserve">When submitting evidence for assessment, you must sign a declaration confirming that the work is your own.</w:t>
      </w:r>
    </w:p>
    <w:p>
      <w:pPr>
        <w:spacing w:before="0" w:after="160" w:line="279"/>
        <w:ind w:right="0" w:left="0" w:firstLine="0"/>
        <w:jc w:val="both"/>
        <w:rPr>
          <w:rFonts w:ascii="Arial" w:hAnsi="Arial" w:cs="Arial" w:eastAsia="Arial"/>
          <w:b/>
          <w:color w:val="0D0D0D"/>
          <w:spacing w:val="0"/>
          <w:position w:val="0"/>
          <w:sz w:val="22"/>
          <w:shd w:fill="auto" w:val="clear"/>
        </w:rPr>
      </w:pPr>
    </w:p>
    <w:tbl>
      <w:tblPr/>
      <w:tblGrid>
        <w:gridCol w:w="2730"/>
        <w:gridCol w:w="6406"/>
      </w:tblGrid>
      <w:tr>
        <w:trPr>
          <w:trHeight w:val="300" w:hRule="auto"/>
          <w:jc w:val="left"/>
        </w:trPr>
        <w:tc>
          <w:tcPr>
            <w:tcW w:w="2730" w:type="dxa"/>
            <w:tcBorders>
              <w:top w:val="single" w:color="000000" w:sz="4"/>
              <w:left w:val="single" w:color="000000" w:sz="4"/>
              <w:bottom w:val="single" w:color="000000" w:sz="4"/>
              <w:right w:val="single" w:color="000000" w:sz="4"/>
            </w:tcBorders>
            <w:shd w:color="auto" w:fill="a5c9eb" w:val="clear"/>
            <w:tcMar>
              <w:left w:w="108" w:type="dxa"/>
              <w:right w:w="108" w:type="dxa"/>
            </w:tcMar>
            <w:vAlign w:val="top"/>
          </w:tcPr>
          <w:p>
            <w:pPr>
              <w:spacing w:before="0" w:after="0" w:line="240"/>
              <w:ind w:right="0" w:left="0" w:firstLine="0"/>
              <w:jc w:val="both"/>
              <w:rPr>
                <w:rFonts w:ascii="Arial" w:hAnsi="Arial" w:cs="Arial" w:eastAsia="Arial"/>
                <w:color w:val="0D0D0D"/>
                <w:spacing w:val="0"/>
                <w:position w:val="0"/>
                <w:sz w:val="22"/>
                <w:shd w:fill="auto" w:val="clear"/>
              </w:rPr>
            </w:pPr>
            <w:r>
              <w:rPr>
                <w:rFonts w:ascii="Arial" w:hAnsi="Arial" w:cs="Arial" w:eastAsia="Arial"/>
                <w:color w:val="0D0D0D"/>
                <w:spacing w:val="0"/>
                <w:position w:val="0"/>
                <w:sz w:val="22"/>
                <w:shd w:fill="auto" w:val="clear"/>
              </w:rPr>
              <w:t xml:space="preserve">Student name:</w:t>
            </w:r>
          </w:p>
          <w:p>
            <w:pPr>
              <w:spacing w:before="0" w:after="0" w:line="240"/>
              <w:ind w:right="0" w:left="0" w:firstLine="0"/>
              <w:jc w:val="both"/>
              <w:rPr>
                <w:spacing w:val="0"/>
                <w:position w:val="0"/>
                <w:sz w:val="22"/>
                <w:shd w:fill="auto" w:val="clear"/>
              </w:rPr>
            </w:pPr>
          </w:p>
        </w:tc>
        <w:tc>
          <w:tcPr>
            <w:tcW w:w="640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RAZA KHAN AHMADZAI </w:t>
            </w:r>
          </w:p>
        </w:tc>
      </w:tr>
      <w:tr>
        <w:trPr>
          <w:trHeight w:val="300" w:hRule="auto"/>
          <w:jc w:val="left"/>
        </w:trPr>
        <w:tc>
          <w:tcPr>
            <w:tcW w:w="2730" w:type="dxa"/>
            <w:tcBorders>
              <w:top w:val="single" w:color="000000" w:sz="4"/>
              <w:left w:val="single" w:color="000000" w:sz="4"/>
              <w:bottom w:val="single" w:color="000000" w:sz="4"/>
              <w:right w:val="single" w:color="000000" w:sz="4"/>
            </w:tcBorders>
            <w:shd w:color="auto" w:fill="a5c9eb" w:val="clear"/>
            <w:tcMar>
              <w:left w:w="108" w:type="dxa"/>
              <w:right w:w="108" w:type="dxa"/>
            </w:tcMar>
            <w:vAlign w:val="top"/>
          </w:tcPr>
          <w:p>
            <w:pPr>
              <w:spacing w:before="0" w:after="0" w:line="240"/>
              <w:ind w:right="0" w:left="0" w:firstLine="0"/>
              <w:jc w:val="both"/>
              <w:rPr>
                <w:rFonts w:ascii="Arial" w:hAnsi="Arial" w:cs="Arial" w:eastAsia="Arial"/>
                <w:color w:val="0D0D0D"/>
                <w:spacing w:val="0"/>
                <w:position w:val="0"/>
                <w:sz w:val="22"/>
                <w:shd w:fill="auto" w:val="clear"/>
              </w:rPr>
            </w:pPr>
            <w:r>
              <w:rPr>
                <w:rFonts w:ascii="Arial" w:hAnsi="Arial" w:cs="Arial" w:eastAsia="Arial"/>
                <w:color w:val="0D0D0D"/>
                <w:spacing w:val="0"/>
                <w:position w:val="0"/>
                <w:sz w:val="22"/>
                <w:shd w:fill="auto" w:val="clear"/>
              </w:rPr>
              <w:t xml:space="preserve">Student ID: </w:t>
            </w:r>
          </w:p>
          <w:p>
            <w:pPr>
              <w:spacing w:before="0" w:after="0" w:line="240"/>
              <w:ind w:right="0" w:left="0" w:firstLine="0"/>
              <w:jc w:val="both"/>
              <w:rPr>
                <w:spacing w:val="0"/>
                <w:position w:val="0"/>
                <w:sz w:val="22"/>
                <w:shd w:fill="auto" w:val="clear"/>
              </w:rPr>
            </w:pPr>
          </w:p>
        </w:tc>
        <w:tc>
          <w:tcPr>
            <w:tcW w:w="640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2423995</w:t>
            </w:r>
          </w:p>
        </w:tc>
      </w:tr>
      <w:tr>
        <w:trPr>
          <w:trHeight w:val="450" w:hRule="auto"/>
          <w:jc w:val="left"/>
        </w:trPr>
        <w:tc>
          <w:tcPr>
            <w:tcW w:w="2730" w:type="dxa"/>
            <w:tcBorders>
              <w:top w:val="single" w:color="000000" w:sz="4"/>
              <w:left w:val="single" w:color="000000" w:sz="4"/>
              <w:bottom w:val="single" w:color="000000" w:sz="4"/>
              <w:right w:val="single" w:color="000000" w:sz="4"/>
            </w:tcBorders>
            <w:shd w:color="auto" w:fill="a5c9eb" w:val="clear"/>
            <w:tcMar>
              <w:left w:w="108" w:type="dxa"/>
              <w:right w:w="108" w:type="dxa"/>
            </w:tcMar>
            <w:vAlign w:val="top"/>
          </w:tcPr>
          <w:p>
            <w:pPr>
              <w:spacing w:before="0" w:after="0" w:line="240"/>
              <w:ind w:right="0" w:left="0" w:firstLine="0"/>
              <w:jc w:val="both"/>
              <w:rPr>
                <w:rFonts w:ascii="Arial" w:hAnsi="Arial" w:cs="Arial" w:eastAsia="Arial"/>
                <w:color w:val="0D0D0D"/>
                <w:spacing w:val="0"/>
                <w:position w:val="0"/>
                <w:sz w:val="22"/>
                <w:shd w:fill="auto" w:val="clear"/>
              </w:rPr>
            </w:pPr>
            <w:r>
              <w:rPr>
                <w:rFonts w:ascii="Arial" w:hAnsi="Arial" w:cs="Arial" w:eastAsia="Arial"/>
                <w:color w:val="0D0D0D"/>
                <w:spacing w:val="0"/>
                <w:position w:val="0"/>
                <w:sz w:val="22"/>
                <w:shd w:fill="auto" w:val="clear"/>
              </w:rPr>
              <w:t xml:space="preserve">Programme:</w:t>
            </w:r>
          </w:p>
          <w:p>
            <w:pPr>
              <w:spacing w:before="0" w:after="0" w:line="240"/>
              <w:ind w:right="0" w:left="0" w:firstLine="0"/>
              <w:jc w:val="both"/>
              <w:rPr>
                <w:spacing w:val="0"/>
                <w:position w:val="0"/>
                <w:sz w:val="22"/>
                <w:shd w:fill="auto" w:val="clear"/>
              </w:rPr>
            </w:pPr>
          </w:p>
        </w:tc>
        <w:tc>
          <w:tcPr>
            <w:tcW w:w="640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spacing w:val="0"/>
                <w:position w:val="0"/>
                <w:sz w:val="22"/>
                <w:shd w:fill="auto" w:val="clear"/>
              </w:rPr>
            </w:pPr>
            <w:r>
              <w:rPr>
                <w:rFonts w:ascii="Arial" w:hAnsi="Arial" w:cs="Arial" w:eastAsia="Arial"/>
                <w:color w:val="0D0D0D"/>
                <w:spacing w:val="0"/>
                <w:position w:val="0"/>
                <w:sz w:val="22"/>
                <w:shd w:fill="auto" w:val="clear"/>
              </w:rPr>
              <w:t xml:space="preserve">BSc (Hons) Health and Social Care - BMHP5021</w:t>
            </w:r>
          </w:p>
        </w:tc>
      </w:tr>
      <w:tr>
        <w:trPr>
          <w:trHeight w:val="510" w:hRule="auto"/>
          <w:jc w:val="left"/>
        </w:trPr>
        <w:tc>
          <w:tcPr>
            <w:tcW w:w="2730" w:type="dxa"/>
            <w:tcBorders>
              <w:top w:val="single" w:color="000000" w:sz="4"/>
              <w:left w:val="single" w:color="000000" w:sz="4"/>
              <w:bottom w:val="single" w:color="000000" w:sz="4"/>
              <w:right w:val="single" w:color="000000" w:sz="4"/>
            </w:tcBorders>
            <w:shd w:color="auto" w:fill="a5c9eb" w:val="clear"/>
            <w:tcMar>
              <w:left w:w="108" w:type="dxa"/>
              <w:right w:w="108" w:type="dxa"/>
            </w:tcMar>
            <w:vAlign w:val="top"/>
          </w:tcPr>
          <w:p>
            <w:pPr>
              <w:spacing w:before="0" w:after="0" w:line="240"/>
              <w:ind w:right="0" w:left="0" w:firstLine="0"/>
              <w:jc w:val="both"/>
              <w:rPr>
                <w:rFonts w:ascii="Arial" w:hAnsi="Arial" w:cs="Arial" w:eastAsia="Arial"/>
                <w:color w:val="0D0D0D"/>
                <w:spacing w:val="0"/>
                <w:position w:val="0"/>
                <w:sz w:val="22"/>
                <w:shd w:fill="auto" w:val="clear"/>
              </w:rPr>
            </w:pPr>
            <w:r>
              <w:rPr>
                <w:rFonts w:ascii="Arial" w:hAnsi="Arial" w:cs="Arial" w:eastAsia="Arial"/>
                <w:color w:val="0D0D0D"/>
                <w:spacing w:val="0"/>
                <w:position w:val="0"/>
                <w:sz w:val="22"/>
                <w:shd w:fill="auto" w:val="clear"/>
              </w:rPr>
              <w:t xml:space="preserve">Module name and code:</w:t>
            </w:r>
          </w:p>
          <w:p>
            <w:pPr>
              <w:spacing w:before="0" w:after="0" w:line="240"/>
              <w:ind w:right="0" w:left="0" w:firstLine="0"/>
              <w:jc w:val="both"/>
              <w:rPr>
                <w:spacing w:val="0"/>
                <w:position w:val="0"/>
                <w:sz w:val="22"/>
                <w:shd w:fill="auto" w:val="clear"/>
              </w:rPr>
            </w:pPr>
          </w:p>
        </w:tc>
        <w:tc>
          <w:tcPr>
            <w:tcW w:w="640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spacing w:val="0"/>
                <w:position w:val="0"/>
                <w:sz w:val="22"/>
                <w:shd w:fill="auto" w:val="clear"/>
              </w:rPr>
            </w:pPr>
            <w:r>
              <w:rPr>
                <w:rFonts w:ascii="Arial" w:hAnsi="Arial" w:cs="Arial" w:eastAsia="Arial"/>
                <w:color w:val="0D0D0D"/>
                <w:spacing w:val="0"/>
                <w:position w:val="0"/>
                <w:sz w:val="22"/>
                <w:shd w:fill="auto" w:val="clear"/>
              </w:rPr>
              <w:t xml:space="preserve">Protecting and supporting families in Health and Social Care</w:t>
            </w:r>
          </w:p>
        </w:tc>
      </w:tr>
      <w:tr>
        <w:trPr>
          <w:trHeight w:val="330" w:hRule="auto"/>
          <w:jc w:val="left"/>
        </w:trPr>
        <w:tc>
          <w:tcPr>
            <w:tcW w:w="2730" w:type="dxa"/>
            <w:tcBorders>
              <w:top w:val="single" w:color="000000" w:sz="4"/>
              <w:left w:val="single" w:color="000000" w:sz="4"/>
              <w:bottom w:val="single" w:color="000000" w:sz="4"/>
              <w:right w:val="single" w:color="000000" w:sz="4"/>
            </w:tcBorders>
            <w:shd w:color="auto" w:fill="a5c9eb" w:val="clear"/>
            <w:tcMar>
              <w:left w:w="108" w:type="dxa"/>
              <w:right w:w="108" w:type="dxa"/>
            </w:tcMar>
            <w:vAlign w:val="top"/>
          </w:tcPr>
          <w:p>
            <w:pPr>
              <w:spacing w:before="0" w:after="0" w:line="240"/>
              <w:ind w:right="0" w:left="0" w:firstLine="0"/>
              <w:jc w:val="both"/>
              <w:rPr>
                <w:rFonts w:ascii="Arial" w:hAnsi="Arial" w:cs="Arial" w:eastAsia="Arial"/>
                <w:color w:val="0D0D0D"/>
                <w:spacing w:val="0"/>
                <w:position w:val="0"/>
                <w:sz w:val="22"/>
                <w:shd w:fill="auto" w:val="clear"/>
              </w:rPr>
            </w:pPr>
            <w:r>
              <w:rPr>
                <w:rFonts w:ascii="Arial" w:hAnsi="Arial" w:cs="Arial" w:eastAsia="Arial"/>
                <w:color w:val="0D0D0D"/>
                <w:spacing w:val="0"/>
                <w:position w:val="0"/>
                <w:sz w:val="22"/>
                <w:shd w:fill="auto" w:val="clear"/>
              </w:rPr>
              <w:t xml:space="preserve">Lecture's name: </w:t>
            </w:r>
          </w:p>
          <w:p>
            <w:pPr>
              <w:spacing w:before="0" w:after="0" w:line="240"/>
              <w:ind w:right="0" w:left="0" w:firstLine="0"/>
              <w:jc w:val="both"/>
              <w:rPr>
                <w:spacing w:val="0"/>
                <w:position w:val="0"/>
                <w:sz w:val="22"/>
                <w:shd w:fill="auto" w:val="clear"/>
              </w:rPr>
            </w:pPr>
          </w:p>
        </w:tc>
        <w:tc>
          <w:tcPr>
            <w:tcW w:w="640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UMMA SULEIMANI </w:t>
            </w:r>
          </w:p>
        </w:tc>
      </w:tr>
      <w:tr>
        <w:trPr>
          <w:trHeight w:val="495" w:hRule="auto"/>
          <w:jc w:val="left"/>
        </w:trPr>
        <w:tc>
          <w:tcPr>
            <w:tcW w:w="2730" w:type="dxa"/>
            <w:tcBorders>
              <w:top w:val="single" w:color="000000" w:sz="4"/>
              <w:left w:val="single" w:color="000000" w:sz="4"/>
              <w:bottom w:val="single" w:color="000000" w:sz="4"/>
              <w:right w:val="single" w:color="000000" w:sz="4"/>
            </w:tcBorders>
            <w:shd w:color="auto" w:fill="a5c9eb" w:val="clear"/>
            <w:tcMar>
              <w:left w:w="108" w:type="dxa"/>
              <w:right w:w="108" w:type="dxa"/>
            </w:tcMar>
            <w:vAlign w:val="top"/>
          </w:tcPr>
          <w:p>
            <w:pPr>
              <w:spacing w:before="0" w:after="0" w:line="240"/>
              <w:ind w:right="0" w:left="0" w:firstLine="0"/>
              <w:jc w:val="both"/>
              <w:rPr>
                <w:spacing w:val="0"/>
                <w:position w:val="0"/>
                <w:sz w:val="22"/>
                <w:shd w:fill="auto" w:val="clear"/>
              </w:rPr>
            </w:pPr>
            <w:r>
              <w:rPr>
                <w:rFonts w:ascii="Arial" w:hAnsi="Arial" w:cs="Arial" w:eastAsia="Arial"/>
                <w:color w:val="0D0D0D"/>
                <w:spacing w:val="0"/>
                <w:position w:val="0"/>
                <w:sz w:val="22"/>
                <w:shd w:fill="auto" w:val="clear"/>
              </w:rPr>
              <w:t xml:space="preserve">Submission Date:</w:t>
            </w:r>
          </w:p>
        </w:tc>
        <w:tc>
          <w:tcPr>
            <w:tcW w:w="640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spacing w:val="0"/>
                <w:position w:val="0"/>
                <w:sz w:val="22"/>
                <w:shd w:fill="auto" w:val="clear"/>
              </w:rPr>
            </w:pPr>
            <w:r>
              <w:rPr>
                <w:rFonts w:ascii="Arial" w:hAnsi="Arial" w:cs="Arial" w:eastAsia="Arial"/>
                <w:color w:val="0D0D0D"/>
                <w:spacing w:val="0"/>
                <w:position w:val="0"/>
                <w:sz w:val="22"/>
                <w:shd w:fill="auto" w:val="clear"/>
              </w:rPr>
              <w:t xml:space="preserve">14</w:t>
            </w:r>
            <w:r>
              <w:rPr>
                <w:rFonts w:ascii="Arial" w:hAnsi="Arial" w:cs="Arial" w:eastAsia="Arial"/>
                <w:color w:val="0D0D0D"/>
                <w:spacing w:val="0"/>
                <w:position w:val="0"/>
                <w:sz w:val="22"/>
                <w:shd w:fill="auto" w:val="clear"/>
                <w:vertAlign w:val="superscript"/>
              </w:rPr>
              <w:t xml:space="preserve">th</w:t>
            </w:r>
            <w:r>
              <w:rPr>
                <w:rFonts w:ascii="Arial" w:hAnsi="Arial" w:cs="Arial" w:eastAsia="Arial"/>
                <w:color w:val="0D0D0D"/>
                <w:spacing w:val="0"/>
                <w:position w:val="0"/>
                <w:sz w:val="22"/>
                <w:shd w:fill="auto" w:val="clear"/>
              </w:rPr>
              <w:t xml:space="preserve"> august 2026</w:t>
            </w:r>
          </w:p>
        </w:tc>
      </w:tr>
    </w:tbl>
    <w:p>
      <w:pPr>
        <w:spacing w:before="0" w:after="160" w:line="279"/>
        <w:ind w:right="0" w:left="0" w:firstLine="0"/>
        <w:jc w:val="both"/>
        <w:rPr>
          <w:rFonts w:ascii="Arial" w:hAnsi="Arial" w:cs="Arial" w:eastAsia="Arial"/>
          <w:color w:val="0D0D0D"/>
          <w:spacing w:val="0"/>
          <w:position w:val="0"/>
          <w:sz w:val="22"/>
          <w:shd w:fill="auto" w:val="clear"/>
        </w:rPr>
      </w:pPr>
    </w:p>
    <w:p>
      <w:pPr>
        <w:spacing w:before="0" w:after="160" w:line="360"/>
        <w:ind w:right="0" w:left="0" w:firstLine="0"/>
        <w:jc w:val="both"/>
        <w:rPr>
          <w:rFonts w:ascii="Arial" w:hAnsi="Arial" w:cs="Arial" w:eastAsia="Arial"/>
          <w:b/>
          <w:color w:val="0D0D0D"/>
          <w:spacing w:val="0"/>
          <w:position w:val="0"/>
          <w:sz w:val="22"/>
          <w:shd w:fill="auto" w:val="clear"/>
        </w:rPr>
      </w:pPr>
      <w:r>
        <w:rPr>
          <w:rFonts w:ascii="Arial" w:hAnsi="Arial" w:cs="Arial" w:eastAsia="Arial"/>
          <w:b/>
          <w:color w:val="0D0D0D"/>
          <w:spacing w:val="0"/>
          <w:position w:val="0"/>
          <w:sz w:val="22"/>
          <w:shd w:fill="auto" w:val="clear"/>
        </w:rPr>
        <w:t xml:space="preserve">Plagiarism</w:t>
      </w:r>
    </w:p>
    <w:p>
      <w:pPr>
        <w:spacing w:before="0" w:after="160" w:line="360"/>
        <w:ind w:right="0" w:left="0" w:firstLine="0"/>
        <w:jc w:val="both"/>
        <w:rPr>
          <w:rFonts w:ascii="Arial" w:hAnsi="Arial" w:cs="Arial" w:eastAsia="Arial"/>
          <w:color w:val="0D0D0D"/>
          <w:spacing w:val="0"/>
          <w:position w:val="0"/>
          <w:sz w:val="22"/>
          <w:shd w:fill="auto" w:val="clear"/>
        </w:rPr>
      </w:pPr>
      <w:r>
        <w:rPr>
          <w:rFonts w:ascii="Arial" w:hAnsi="Arial" w:cs="Arial" w:eastAsia="Arial"/>
          <w:color w:val="0D0D0D"/>
          <w:spacing w:val="0"/>
          <w:position w:val="0"/>
          <w:sz w:val="22"/>
          <w:shd w:fill="auto" w:val="clear"/>
        </w:rPr>
        <w:t xml:space="preserve">Plagiarism is a form of cheating. Plagiarism must be avoided at all costs and students who break the rules, however innocently, may be penalised.  It is your responsibility to ensure that you understand correct referencing practices.  As a university level student, you are expected to use appropriate references throughout and keep carefully detailed notes of all your sources of materials for material you have used in your work, including any material downloaded from the Internet. Please consult the relevant unit lecturer or your course tutor if you need any further advice.</w:t>
      </w:r>
    </w:p>
    <w:p>
      <w:pPr>
        <w:spacing w:before="0" w:after="160" w:line="360"/>
        <w:ind w:right="0" w:left="0" w:firstLine="0"/>
        <w:jc w:val="both"/>
        <w:rPr>
          <w:rFonts w:ascii="Arial" w:hAnsi="Arial" w:cs="Arial" w:eastAsia="Arial"/>
          <w:color w:val="auto"/>
          <w:spacing w:val="0"/>
          <w:position w:val="0"/>
          <w:sz w:val="22"/>
          <w:shd w:fill="auto" w:val="clear"/>
        </w:rPr>
      </w:pPr>
    </w:p>
    <w:tbl>
      <w:tblPr/>
      <w:tblGrid>
        <w:gridCol w:w="4158"/>
        <w:gridCol w:w="5280"/>
      </w:tblGrid>
      <w:tr>
        <w:trPr>
          <w:trHeight w:val="1412" w:hRule="auto"/>
          <w:jc w:val="left"/>
        </w:trPr>
        <w:tc>
          <w:tcPr>
            <w:tcW w:w="9438" w:type="dxa"/>
            <w:gridSpan w:val="2"/>
            <w:tcBorders>
              <w:top w:val="single" w:color="000000" w:sz="4"/>
              <w:left w:val="single" w:color="000000" w:sz="4"/>
              <w:bottom w:val="single" w:color="000000" w:sz="4"/>
              <w:right w:val="single" w:color="000000" w:sz="4"/>
            </w:tcBorders>
            <w:shd w:color="auto" w:fill="a5c9eb" w:val="clear"/>
            <w:tcMar>
              <w:left w:w="108" w:type="dxa"/>
              <w:right w:w="108" w:type="dxa"/>
            </w:tcMar>
            <w:vAlign w:val="top"/>
          </w:tcPr>
          <w:p>
            <w:pPr>
              <w:spacing w:before="0" w:after="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Student declaration</w:t>
            </w:r>
          </w:p>
          <w:p>
            <w:pPr>
              <w:spacing w:before="0" w:after="0" w:line="240"/>
              <w:ind w:right="0" w:left="0" w:firstLine="0"/>
              <w:jc w:val="left"/>
              <w:rPr>
                <w:rFonts w:ascii="Arial" w:hAnsi="Arial" w:cs="Arial" w:eastAsia="Arial"/>
                <w:b/>
                <w:color w:val="auto"/>
                <w:spacing w:val="0"/>
                <w:position w:val="0"/>
                <w:sz w:val="22"/>
                <w:shd w:fill="auto" w:val="clear"/>
              </w:rPr>
            </w:pPr>
          </w:p>
          <w:p>
            <w:pPr>
              <w:spacing w:before="0" w:after="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I certify that the assignment submission is entirely my own work. I fully understand the consequences of plagiarism. I understand that making a false declaration is a form of malpractice.</w:t>
            </w:r>
          </w:p>
          <w:p>
            <w:pPr>
              <w:spacing w:before="0" w:after="0" w:line="240"/>
              <w:ind w:right="0" w:left="0" w:firstLine="0"/>
              <w:jc w:val="left"/>
              <w:rPr>
                <w:color w:val="auto"/>
                <w:spacing w:val="0"/>
                <w:position w:val="0"/>
                <w:sz w:val="22"/>
                <w:shd w:fill="auto" w:val="clear"/>
              </w:rPr>
            </w:pPr>
          </w:p>
        </w:tc>
      </w:tr>
      <w:tr>
        <w:trPr>
          <w:trHeight w:val="480" w:hRule="auto"/>
          <w:jc w:val="left"/>
        </w:trPr>
        <w:tc>
          <w:tcPr>
            <w:tcW w:w="4158" w:type="dxa"/>
            <w:tcBorders>
              <w:top w:val="single" w:color="000000" w:sz="4"/>
              <w:left w:val="single" w:color="000000" w:sz="4"/>
              <w:bottom w:val="single" w:color="000000" w:sz="4"/>
              <w:right w:val="single" w:color="000000" w:sz="4"/>
            </w:tcBorders>
            <w:shd w:color="auto" w:fill="a5c9eb"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Student signature:</w:t>
            </w:r>
          </w:p>
        </w:tc>
        <w:tc>
          <w:tcPr>
            <w:tcW w:w="52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RAZA </w:t>
            </w:r>
          </w:p>
        </w:tc>
      </w:tr>
      <w:tr>
        <w:trPr>
          <w:trHeight w:val="465" w:hRule="auto"/>
          <w:jc w:val="left"/>
        </w:trPr>
        <w:tc>
          <w:tcPr>
            <w:tcW w:w="4158" w:type="dxa"/>
            <w:tcBorders>
              <w:top w:val="single" w:color="000000" w:sz="4"/>
              <w:left w:val="single" w:color="000000" w:sz="4"/>
              <w:bottom w:val="single" w:color="000000" w:sz="4"/>
              <w:right w:val="single" w:color="000000" w:sz="4"/>
            </w:tcBorders>
            <w:shd w:color="auto" w:fill="a5c9eb"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Date: </w:t>
            </w:r>
          </w:p>
        </w:tc>
        <w:tc>
          <w:tcPr>
            <w:tcW w:w="52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19/07/06</w:t>
            </w:r>
          </w:p>
        </w:tc>
      </w:tr>
    </w:tbl>
    <w:p>
      <w:pPr>
        <w:spacing w:before="0" w:after="160" w:line="279"/>
        <w:ind w:right="0" w:left="0" w:firstLine="0"/>
        <w:jc w:val="left"/>
        <w:rPr>
          <w:rFonts w:ascii="Arial" w:hAnsi="Arial" w:cs="Arial" w:eastAsia="Arial"/>
          <w:color w:val="auto"/>
          <w:spacing w:val="0"/>
          <w:position w:val="0"/>
          <w:sz w:val="22"/>
          <w:shd w:fill="auto" w:val="clear"/>
        </w:rPr>
      </w:pPr>
    </w:p>
    <w:p>
      <w:pPr>
        <w:spacing w:before="0" w:after="160" w:line="279"/>
        <w:ind w:right="0" w:left="0" w:firstLine="0"/>
        <w:jc w:val="left"/>
        <w:rPr>
          <w:rFonts w:ascii="Arial" w:hAnsi="Arial" w:cs="Arial" w:eastAsia="Arial"/>
          <w:color w:val="auto"/>
          <w:spacing w:val="0"/>
          <w:position w:val="0"/>
          <w:sz w:val="22"/>
          <w:shd w:fill="auto" w:val="clear"/>
        </w:rPr>
      </w:pPr>
    </w:p>
    <w:p>
      <w:pPr>
        <w:spacing w:before="0" w:after="160" w:line="279"/>
        <w:ind w:right="0" w:left="0" w:firstLine="0"/>
        <w:jc w:val="left"/>
        <w:rPr>
          <w:rFonts w:ascii="Arial" w:hAnsi="Arial" w:cs="Arial" w:eastAsia="Arial"/>
          <w:color w:val="auto"/>
          <w:spacing w:val="0"/>
          <w:position w:val="0"/>
          <w:sz w:val="22"/>
          <w:shd w:fill="auto" w:val="clear"/>
        </w:rPr>
      </w:pPr>
    </w:p>
    <w:p>
      <w:pPr>
        <w:spacing w:before="0" w:after="160" w:line="279"/>
        <w:ind w:right="0" w:left="0" w:firstLine="0"/>
        <w:jc w:val="left"/>
        <w:rPr>
          <w:rFonts w:ascii="Arial" w:hAnsi="Arial" w:cs="Arial" w:eastAsia="Arial"/>
          <w:color w:val="auto"/>
          <w:spacing w:val="0"/>
          <w:position w:val="0"/>
          <w:sz w:val="22"/>
          <w:shd w:fill="auto" w:val="clear"/>
        </w:rPr>
      </w:pPr>
    </w:p>
    <w:p>
      <w:pPr>
        <w:spacing w:before="0" w:after="160" w:line="279"/>
        <w:ind w:right="0" w:left="0" w:firstLine="0"/>
        <w:jc w:val="left"/>
        <w:rPr>
          <w:rFonts w:ascii="Arial" w:hAnsi="Arial" w:cs="Arial" w:eastAsia="Arial"/>
          <w:color w:val="auto"/>
          <w:spacing w:val="0"/>
          <w:position w:val="0"/>
          <w:sz w:val="22"/>
          <w:shd w:fill="auto" w:val="clear"/>
        </w:rPr>
      </w:pPr>
    </w:p>
    <w:p>
      <w:pPr>
        <w:spacing w:before="0" w:after="160" w:line="279"/>
        <w:ind w:right="0" w:left="0" w:firstLine="0"/>
        <w:jc w:val="left"/>
        <w:rPr>
          <w:rFonts w:ascii="Arial" w:hAnsi="Arial" w:cs="Arial" w:eastAsia="Arial"/>
          <w:color w:val="auto"/>
          <w:spacing w:val="0"/>
          <w:position w:val="0"/>
          <w:sz w:val="22"/>
          <w:shd w:fill="auto" w:val="clear"/>
        </w:rPr>
      </w:pPr>
    </w:p>
    <w:p>
      <w:pPr>
        <w:spacing w:before="0" w:after="160" w:line="279"/>
        <w:ind w:right="0" w:left="0" w:firstLine="0"/>
        <w:jc w:val="center"/>
        <w:rPr>
          <w:rFonts w:ascii="Arial" w:hAnsi="Arial" w:cs="Arial" w:eastAsia="Arial"/>
          <w:b/>
          <w:color w:val="auto"/>
          <w:spacing w:val="0"/>
          <w:position w:val="0"/>
          <w:sz w:val="24"/>
          <w:u w:val="single"/>
          <w:shd w:fill="auto" w:val="clear"/>
        </w:rPr>
      </w:pPr>
    </w:p>
    <w:p>
      <w:pPr>
        <w:spacing w:before="0" w:after="160" w:line="279"/>
        <w:ind w:right="0" w:left="0" w:firstLine="0"/>
        <w:jc w:val="center"/>
        <w:rPr>
          <w:rFonts w:ascii="Arial" w:hAnsi="Arial" w:cs="Arial" w:eastAsia="Arial"/>
          <w:b/>
          <w:color w:val="auto"/>
          <w:spacing w:val="0"/>
          <w:position w:val="0"/>
          <w:sz w:val="24"/>
          <w:u w:val="single"/>
          <w:shd w:fill="auto" w:val="clear"/>
        </w:rPr>
      </w:pPr>
    </w:p>
    <w:p>
      <w:pPr>
        <w:spacing w:before="0" w:after="160" w:line="279"/>
        <w:ind w:right="0" w:left="0" w:firstLine="0"/>
        <w:jc w:val="center"/>
        <w:rPr>
          <w:rFonts w:ascii="Arial" w:hAnsi="Arial" w:cs="Arial" w:eastAsia="Arial"/>
          <w:b/>
          <w:color w:val="auto"/>
          <w:spacing w:val="0"/>
          <w:position w:val="0"/>
          <w:sz w:val="24"/>
          <w:u w:val="single"/>
          <w:shd w:fill="auto" w:val="clear"/>
        </w:rPr>
      </w:pPr>
    </w:p>
    <w:p>
      <w:pPr>
        <w:spacing w:before="0" w:after="160" w:line="279"/>
        <w:ind w:right="0" w:left="0" w:firstLine="0"/>
        <w:jc w:val="center"/>
        <w:rPr>
          <w:rFonts w:ascii="Arial" w:hAnsi="Arial" w:cs="Arial" w:eastAsia="Arial"/>
          <w:b/>
          <w:color w:val="auto"/>
          <w:spacing w:val="0"/>
          <w:position w:val="0"/>
          <w:sz w:val="24"/>
          <w:u w:val="single"/>
          <w:shd w:fill="auto" w:val="clear"/>
        </w:rPr>
      </w:pPr>
    </w:p>
    <w:p>
      <w:pPr>
        <w:spacing w:before="0" w:after="160" w:line="279"/>
        <w:ind w:right="0" w:left="0" w:firstLine="0"/>
        <w:jc w:val="center"/>
        <w:rPr>
          <w:rFonts w:ascii="Arial" w:hAnsi="Arial" w:cs="Arial" w:eastAsia="Arial"/>
          <w:b/>
          <w:color w:val="auto"/>
          <w:spacing w:val="0"/>
          <w:position w:val="0"/>
          <w:sz w:val="24"/>
          <w:u w:val="single"/>
          <w:shd w:fill="auto" w:val="clear"/>
        </w:rPr>
      </w:pPr>
    </w:p>
    <w:p>
      <w:pPr>
        <w:spacing w:before="0" w:after="160" w:line="279"/>
        <w:ind w:right="0" w:left="0" w:firstLine="0"/>
        <w:jc w:val="center"/>
        <w:rPr>
          <w:rFonts w:ascii="Arial" w:hAnsi="Arial" w:cs="Arial" w:eastAsia="Arial"/>
          <w:b/>
          <w:color w:val="auto"/>
          <w:spacing w:val="0"/>
          <w:position w:val="0"/>
          <w:sz w:val="24"/>
          <w:u w:val="single"/>
          <w:shd w:fill="auto" w:val="clear"/>
        </w:rPr>
      </w:pPr>
    </w:p>
    <w:p>
      <w:pPr>
        <w:spacing w:before="0" w:after="160" w:line="279"/>
        <w:ind w:right="0" w:left="0" w:firstLine="0"/>
        <w:jc w:val="center"/>
        <w:rPr>
          <w:rFonts w:ascii="Arial" w:hAnsi="Arial" w:cs="Arial" w:eastAsia="Arial"/>
          <w:b/>
          <w:color w:val="auto"/>
          <w:spacing w:val="0"/>
          <w:position w:val="0"/>
          <w:sz w:val="24"/>
          <w:u w:val="single"/>
          <w:shd w:fill="auto" w:val="clear"/>
        </w:rPr>
      </w:pPr>
    </w:p>
    <w:p>
      <w:pPr>
        <w:spacing w:before="0" w:after="160" w:line="279"/>
        <w:ind w:right="0" w:left="0" w:firstLine="0"/>
        <w:jc w:val="center"/>
        <w:rPr>
          <w:rFonts w:ascii="Arial" w:hAnsi="Arial" w:cs="Arial" w:eastAsia="Arial"/>
          <w:b/>
          <w:color w:val="auto"/>
          <w:spacing w:val="0"/>
          <w:position w:val="0"/>
          <w:sz w:val="24"/>
          <w:u w:val="single"/>
          <w:shd w:fill="auto" w:val="clear"/>
        </w:rPr>
      </w:pPr>
    </w:p>
    <w:p>
      <w:pPr>
        <w:spacing w:before="0" w:after="160" w:line="279"/>
        <w:ind w:right="0" w:left="0" w:firstLine="0"/>
        <w:jc w:val="center"/>
        <w:rPr>
          <w:rFonts w:ascii="Aptos" w:hAnsi="Aptos" w:cs="Aptos" w:eastAsia="Aptos"/>
          <w:color w:val="auto"/>
          <w:spacing w:val="0"/>
          <w:position w:val="0"/>
          <w:sz w:val="24"/>
          <w:shd w:fill="auto" w:val="clear"/>
        </w:rPr>
      </w:pPr>
      <w:r>
        <w:rPr>
          <w:rFonts w:ascii="Arial" w:hAnsi="Arial" w:cs="Arial" w:eastAsia="Arial"/>
          <w:b/>
          <w:color w:val="auto"/>
          <w:spacing w:val="0"/>
          <w:position w:val="0"/>
          <w:sz w:val="24"/>
          <w:u w:val="single"/>
          <w:shd w:fill="auto" w:val="clear"/>
        </w:rPr>
        <w:t xml:space="preserve">Table of content </w:t>
      </w:r>
    </w:p>
    <w:p>
      <w:pPr>
        <w:spacing w:before="0" w:after="160" w:line="279"/>
        <w:ind w:right="0" w:left="0" w:firstLine="0"/>
        <w:jc w:val="center"/>
        <w:rPr>
          <w:rFonts w:ascii="Arial" w:hAnsi="Arial" w:cs="Arial" w:eastAsia="Arial"/>
          <w:b/>
          <w:color w:val="auto"/>
          <w:spacing w:val="0"/>
          <w:position w:val="0"/>
          <w:sz w:val="24"/>
          <w:u w:val="single"/>
          <w:shd w:fill="auto" w:val="clear"/>
        </w:rPr>
      </w:pPr>
    </w:p>
    <w:p>
      <w:pPr>
        <w:spacing w:before="0" w:after="160" w:line="279"/>
        <w:ind w:right="0" w:left="0" w:firstLine="0"/>
        <w:jc w:val="left"/>
        <w:rPr>
          <w:rFonts w:ascii="Arial" w:hAnsi="Arial" w:cs="Arial" w:eastAsia="Arial"/>
          <w:color w:val="auto"/>
          <w:spacing w:val="0"/>
          <w:position w:val="0"/>
          <w:sz w:val="22"/>
          <w:shd w:fill="auto" w:val="clear"/>
        </w:rPr>
      </w:pPr>
    </w:p>
    <w:p>
      <w:pPr>
        <w:spacing w:before="0" w:after="160" w:line="279"/>
        <w:ind w:right="0" w:left="0" w:firstLine="0"/>
        <w:jc w:val="left"/>
        <w:rPr>
          <w:rFonts w:ascii="Arial" w:hAnsi="Arial" w:cs="Arial" w:eastAsia="Arial"/>
          <w:color w:val="auto"/>
          <w:spacing w:val="0"/>
          <w:position w:val="0"/>
          <w:sz w:val="22"/>
          <w:shd w:fill="auto" w:val="clear"/>
        </w:rPr>
      </w:pPr>
    </w:p>
    <w:p>
      <w:pPr>
        <w:spacing w:before="0" w:after="160" w:line="279"/>
        <w:ind w:right="0" w:left="0" w:firstLine="0"/>
        <w:jc w:val="left"/>
        <w:rPr>
          <w:rFonts w:ascii="Arial" w:hAnsi="Arial" w:cs="Arial" w:eastAsia="Arial"/>
          <w:color w:val="auto"/>
          <w:spacing w:val="0"/>
          <w:position w:val="0"/>
          <w:sz w:val="22"/>
          <w:shd w:fill="auto" w:val="clear"/>
        </w:rPr>
      </w:pPr>
    </w:p>
    <w:p>
      <w:pPr>
        <w:spacing w:before="0" w:after="160" w:line="279"/>
        <w:ind w:right="0" w:left="0" w:firstLine="0"/>
        <w:jc w:val="left"/>
        <w:rPr>
          <w:rFonts w:ascii="Arial" w:hAnsi="Arial" w:cs="Arial" w:eastAsia="Arial"/>
          <w:color w:val="auto"/>
          <w:spacing w:val="0"/>
          <w:position w:val="0"/>
          <w:sz w:val="22"/>
          <w:shd w:fill="auto" w:val="clear"/>
        </w:rPr>
      </w:pPr>
    </w:p>
    <w:p>
      <w:pPr>
        <w:spacing w:before="0" w:after="160" w:line="279"/>
        <w:ind w:right="0" w:left="0" w:firstLine="0"/>
        <w:jc w:val="left"/>
        <w:rPr>
          <w:rFonts w:ascii="Arial" w:hAnsi="Arial" w:cs="Arial" w:eastAsia="Arial"/>
          <w:color w:val="auto"/>
          <w:spacing w:val="0"/>
          <w:position w:val="0"/>
          <w:sz w:val="22"/>
          <w:shd w:fill="auto" w:val="clear"/>
        </w:rPr>
      </w:pPr>
    </w:p>
    <w:p>
      <w:pPr>
        <w:spacing w:before="0" w:after="160" w:line="279"/>
        <w:ind w:right="0" w:left="0" w:firstLine="0"/>
        <w:jc w:val="left"/>
        <w:rPr>
          <w:rFonts w:ascii="Arial" w:hAnsi="Arial" w:cs="Arial" w:eastAsia="Arial"/>
          <w:color w:val="auto"/>
          <w:spacing w:val="0"/>
          <w:position w:val="0"/>
          <w:sz w:val="22"/>
          <w:shd w:fill="auto" w:val="clear"/>
        </w:rPr>
      </w:pPr>
    </w:p>
    <w:p>
      <w:pPr>
        <w:spacing w:before="0" w:after="160" w:line="279"/>
        <w:ind w:right="0" w:left="0" w:firstLine="0"/>
        <w:jc w:val="left"/>
        <w:rPr>
          <w:rFonts w:ascii="Arial" w:hAnsi="Arial" w:cs="Arial" w:eastAsia="Arial"/>
          <w:color w:val="auto"/>
          <w:spacing w:val="0"/>
          <w:position w:val="0"/>
          <w:sz w:val="22"/>
          <w:shd w:fill="auto" w:val="clear"/>
        </w:rPr>
      </w:pPr>
    </w:p>
    <w:p>
      <w:pPr>
        <w:spacing w:before="0" w:after="160" w:line="279"/>
        <w:ind w:right="0" w:left="0" w:firstLine="0"/>
        <w:jc w:val="left"/>
        <w:rPr>
          <w:rFonts w:ascii="Arial" w:hAnsi="Arial" w:cs="Arial" w:eastAsia="Arial"/>
          <w:color w:val="auto"/>
          <w:spacing w:val="0"/>
          <w:position w:val="0"/>
          <w:sz w:val="22"/>
          <w:shd w:fill="auto" w:val="clear"/>
        </w:rPr>
      </w:pPr>
    </w:p>
    <w:p>
      <w:pPr>
        <w:spacing w:before="0" w:after="160" w:line="279"/>
        <w:ind w:right="0" w:left="0" w:firstLine="0"/>
        <w:jc w:val="left"/>
        <w:rPr>
          <w:rFonts w:ascii="Arial" w:hAnsi="Arial" w:cs="Arial" w:eastAsia="Arial"/>
          <w:color w:val="auto"/>
          <w:spacing w:val="0"/>
          <w:position w:val="0"/>
          <w:sz w:val="22"/>
          <w:shd w:fill="auto" w:val="clear"/>
        </w:rPr>
      </w:pPr>
    </w:p>
    <w:p>
      <w:pPr>
        <w:spacing w:before="0" w:after="160" w:line="279"/>
        <w:ind w:right="0" w:left="0" w:firstLine="0"/>
        <w:jc w:val="left"/>
        <w:rPr>
          <w:rFonts w:ascii="Arial" w:hAnsi="Arial" w:cs="Arial" w:eastAsia="Arial"/>
          <w:color w:val="auto"/>
          <w:spacing w:val="0"/>
          <w:position w:val="0"/>
          <w:sz w:val="22"/>
          <w:shd w:fill="auto" w:val="clear"/>
        </w:rPr>
      </w:pPr>
    </w:p>
    <w:p>
      <w:pPr>
        <w:spacing w:before="0" w:after="160" w:line="279"/>
        <w:ind w:right="0" w:left="0" w:firstLine="0"/>
        <w:jc w:val="left"/>
        <w:rPr>
          <w:rFonts w:ascii="Arial" w:hAnsi="Arial" w:cs="Arial" w:eastAsia="Arial"/>
          <w:color w:val="auto"/>
          <w:spacing w:val="0"/>
          <w:position w:val="0"/>
          <w:sz w:val="22"/>
          <w:shd w:fill="auto" w:val="clear"/>
        </w:rPr>
      </w:pPr>
    </w:p>
    <w:p>
      <w:pPr>
        <w:spacing w:before="0" w:after="160" w:line="279"/>
        <w:ind w:right="0" w:left="0" w:firstLine="0"/>
        <w:jc w:val="left"/>
        <w:rPr>
          <w:rFonts w:ascii="Aptos" w:hAnsi="Aptos" w:cs="Aptos" w:eastAsia="Aptos"/>
          <w:b/>
          <w:color w:val="auto"/>
          <w:spacing w:val="0"/>
          <w:position w:val="0"/>
          <w:sz w:val="22"/>
          <w:shd w:fill="auto" w:val="clear"/>
        </w:rPr>
      </w:pPr>
      <w:r>
        <w:rPr>
          <w:rFonts w:ascii="Aptos" w:hAnsi="Aptos" w:cs="Aptos" w:eastAsia="Aptos"/>
          <w:b/>
          <w:color w:val="auto"/>
          <w:spacing w:val="0"/>
          <w:position w:val="0"/>
          <w:sz w:val="22"/>
          <w:shd w:fill="auto" w:val="clear"/>
        </w:rPr>
        <w:t xml:space="preserve">Introduction</w:t>
      </w:r>
    </w:p>
    <w:p>
      <w:pPr>
        <w:spacing w:before="0" w:after="160" w:line="279"/>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Early Help is a preventative strategy which seeks to recognise and respond to the emerging needs of children, young people and families before problems get entrenched and statutory services become necessary. It is essential to supporting and ensuring positive outcomes through timely and coordinated support. The accessibility and clarity of local authority websites is key to ensuring that families and professionals are able to engage with Early Help, as they are likely to be one of the first places they will turn to for information on services. This report examines and contrasts the communication of information about Early Help and Early Support for families on the websites of Nottinghamshire County Council, Norfolk County Council and Tower Hamlets Council. The Early Help System Guide and Working Together to Safeguard Children (March 2026) inform the evaluation, and signposting families to suitable support and multi-agency working are considered.</w:t>
      </w:r>
    </w:p>
    <w:p>
      <w:pPr>
        <w:spacing w:before="0" w:after="160" w:line="279"/>
        <w:ind w:right="0" w:left="0" w:firstLine="0"/>
        <w:jc w:val="left"/>
        <w:rPr>
          <w:rFonts w:ascii="Aptos" w:hAnsi="Aptos" w:cs="Aptos" w:eastAsia="Aptos"/>
          <w:b/>
          <w:color w:val="auto"/>
          <w:spacing w:val="0"/>
          <w:position w:val="0"/>
          <w:sz w:val="22"/>
          <w:shd w:fill="auto" w:val="clear"/>
        </w:rPr>
      </w:pPr>
      <w:r>
        <w:rPr>
          <w:rFonts w:ascii="Aptos" w:hAnsi="Aptos" w:cs="Aptos" w:eastAsia="Aptos"/>
          <w:b/>
          <w:color w:val="auto"/>
          <w:spacing w:val="0"/>
          <w:position w:val="0"/>
          <w:sz w:val="22"/>
          <w:shd w:fill="auto" w:val="clear"/>
        </w:rPr>
        <w:t xml:space="preserve">The Early Help System</w:t>
      </w:r>
    </w:p>
    <w:p>
      <w:pPr>
        <w:spacing w:before="0" w:after="160" w:line="279"/>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Early Help is a preventative intervention that gives children, young people and families early help when they are identified as having emerging needs as early as possible to prevent needs from becoming more complex and statutory intervention is required. Early Help is about early intervention rather than reactive responses when harm is experienced and can help to support those with concerns, such as parenting issues, low attendance, emotional issues, domestic abuse, financial issues before they escalate.</w:t>
      </w:r>
    </w:p>
    <w:p>
      <w:pPr>
        <w:spacing w:before="0" w:after="160" w:line="279"/>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Whilst a key aspect of Early Help is a child-centred and family-centred approach, the work is also strengths-based and focuses on what the family can do to support their child. This acknowledges that children do better when the support considered is the needs and strengths of the whole family and encourages family participation in decisions. Effective Early Help also depends on the professionals working together to identify the need and co-ordinating the provision and appropriate support as early as possible, enhancing safeguarding provision and minimising risks of significant harm.</w:t>
      </w:r>
    </w:p>
    <w:p>
      <w:pPr>
        <w:spacing w:before="0" w:after="160" w:line="279"/>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The Early Help system is supported by key legislation and national guidance such as the Children Act 1989, which places the welfare of the child as paramount, and the Children Act 2004, which enhances the duties of agencies to cooperate in safeguarding children. In addition, Working Together to Safeguard Children (2026) and The Early Help System Guide highlight early identification of need, multi-agency working and the need to make pathways to support families accessible. Effective Early Help, however, relies not only on the provision of services but also on families' understanding and access to them and, therefore, clear communication by local authorities is a key element of effective safeguarding.</w:t>
      </w:r>
    </w:p>
    <w:p>
      <w:pPr>
        <w:spacing w:before="0" w:after="160" w:line="279"/>
        <w:ind w:right="0" w:left="0" w:firstLine="0"/>
        <w:jc w:val="left"/>
        <w:rPr>
          <w:rFonts w:ascii="Aptos" w:hAnsi="Aptos" w:cs="Aptos" w:eastAsia="Aptos"/>
          <w:b/>
          <w:color w:val="auto"/>
          <w:spacing w:val="0"/>
          <w:position w:val="0"/>
          <w:sz w:val="22"/>
          <w:shd w:fill="auto" w:val="clear"/>
        </w:rPr>
      </w:pPr>
      <w:r>
        <w:rPr>
          <w:rFonts w:ascii="Aptos" w:hAnsi="Aptos" w:cs="Aptos" w:eastAsia="Aptos"/>
          <w:b/>
          <w:color w:val="auto"/>
          <w:spacing w:val="0"/>
          <w:position w:val="0"/>
          <w:sz w:val="22"/>
          <w:shd w:fill="auto" w:val="clear"/>
        </w:rPr>
        <w:t xml:space="preserve">Multi-agency and Interdisciplinary Working</w:t>
      </w:r>
    </w:p>
    <w:p>
      <w:pPr>
        <w:spacing w:before="0" w:after="160" w:line="279"/>
        <w:ind w:right="0" w:left="0" w:firstLine="0"/>
        <w:jc w:val="left"/>
        <w:rPr>
          <w:rFonts w:ascii="Calibri" w:hAnsi="Calibri" w:cs="Calibri" w:eastAsia="Calibri"/>
          <w:color w:val="auto"/>
          <w:spacing w:val="0"/>
          <w:position w:val="0"/>
          <w:sz w:val="24"/>
          <w:shd w:fill="auto" w:val="clear"/>
        </w:rPr>
      </w:pPr>
      <w:r>
        <w:rPr>
          <w:rFonts w:ascii="Aptos" w:hAnsi="Aptos" w:cs="Aptos" w:eastAsia="Aptos"/>
          <w:color w:val="auto"/>
          <w:spacing w:val="0"/>
          <w:position w:val="0"/>
          <w:sz w:val="24"/>
          <w:shd w:fill="auto" w:val="clear"/>
        </w:rPr>
        <w:t xml:space="preserve">Multi-agency working </w:t>
      </w:r>
      <w:r>
        <w:rPr>
          <w:rFonts w:ascii="Calibri" w:hAnsi="Calibri" w:cs="Calibri" w:eastAsia="Calibri"/>
          <w:color w:val="auto"/>
          <w:spacing w:val="0"/>
          <w:position w:val="0"/>
          <w:sz w:val="24"/>
          <w:shd w:fill="auto" w:val="clear"/>
        </w:rPr>
        <w:t xml:space="preserve">– co-ordinated working between professionals and organisations across different sectors to ensure children, young people and families receive coordinated support. Interdisciplinary working builds on this by ensuring that professionals make the most of their skills, collaborate on decision making and plan together for the needs of the child and family. These are key principles of Early Help - because no one agency will be able to effectively respond to the multi-layered and inter-dependent issues that families may encounter.</w:t>
      </w:r>
    </w:p>
    <w:p>
      <w:pPr>
        <w:spacing w:before="0" w:after="160" w:line="279"/>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Early Help practitioners are often social workers, schools, general practitioners (GPs), health visitors, police, Child and Adolescent Mental Health Services (CAMHS), housing providers and voluntary sector organisations. All agencies bring their expertise and share responsibility for safeguarding and promoting children's welfare. Good information sharing helps professionals to recognise issues that are developing; intervene effectively and minimise duplication of services. If more than one agency is involved, a Lead Professional might be designated to coordinate support, keep services in communication and to be the family's primary point of contact.</w:t>
      </w:r>
    </w:p>
    <w:p>
      <w:pPr>
        <w:spacing w:before="0" w:after="160" w:line="279"/>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Partnership working is very beneficial as it helps to ensure early identification of need, prompt action and families receive coordinated, person-centred support. But there are potential challenges to effective collaboration, including lack of information sharing, conflicting organisational priorities, confidentiality issues, and resource constraints. Clear and accessible local authority websites are therefore a key element of supporting partnership working; ensuring that families are aware of the services available, referral pathways and the roles of individual agencies. This can increase engagement with Early Help and help ensure that children have access to early help in time for the right help to be offered before problems grow. </w:t>
      </w:r>
    </w:p>
    <w:p>
      <w:pPr>
        <w:spacing w:before="0" w:after="160" w:line="279"/>
        <w:ind w:right="0" w:left="0" w:firstLine="0"/>
        <w:jc w:val="left"/>
        <w:rPr>
          <w:rFonts w:ascii="Aptos" w:hAnsi="Aptos" w:cs="Aptos" w:eastAsia="Aptos"/>
          <w:b/>
          <w:color w:val="auto"/>
          <w:spacing w:val="0"/>
          <w:position w:val="0"/>
          <w:sz w:val="22"/>
          <w:shd w:fill="auto" w:val="clear"/>
        </w:rPr>
      </w:pPr>
      <w:r>
        <w:rPr>
          <w:rFonts w:ascii="Aptos" w:hAnsi="Aptos" w:cs="Aptos" w:eastAsia="Aptos"/>
          <w:b/>
          <w:color w:val="auto"/>
          <w:spacing w:val="0"/>
          <w:position w:val="0"/>
          <w:sz w:val="22"/>
          <w:shd w:fill="auto" w:val="clear"/>
        </w:rPr>
        <w:t xml:space="preserve">Evaluation of the Three Local Authority Websites</w:t>
      </w:r>
    </w:p>
    <w:p>
      <w:pPr>
        <w:numPr>
          <w:ilvl w:val="0"/>
          <w:numId w:val="35"/>
        </w:numPr>
        <w:spacing w:before="0" w:after="160" w:line="360"/>
        <w:ind w:right="0" w:left="720" w:hanging="36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Nottinghamshire County Council</w:t>
      </w:r>
    </w:p>
    <w:p>
      <w:pPr>
        <w:spacing w:before="0" w:after="160" w:line="279"/>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Nottinghamshire County Council has a clearly organised Early Help section which can be found easily on Children and Families pages of the website. The information is structured in separate sections for families and professionals, allowing users to find the information they need without browsing too much. The website is accessible and uses plain English to define what Early Help is and to highlight the importance of 'the right support at the right time' to prevent escalation of difficulties, in line with the preventative principles of national guidance.</w:t>
      </w:r>
    </w:p>
    <w:p>
      <w:pPr>
        <w:spacing w:before="0" w:after="160" w:line="279"/>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Eligibility and referral process is described. The website makes a distinction between a parent/c self- referral and a professional referral, offering telephone numbers, email addresses and online referral routes. It also outlines when concerns should be made to the Multi-Agency Safeguarding Hub (MASH) and clarifies the boundaries between Early Help and statutory child protection services. There is a wide array of support signposted, including Family Hub Networks, parenting support, education, emotional wellbeing, homelessness, substance misuse and support for young carers, reflecting a family-centred, holistic approach. </w:t>
      </w:r>
    </w:p>
    <w:p>
      <w:pPr>
        <w:spacing w:before="0" w:after="160" w:line="279"/>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Partnership working is also emphasised on the website, with details provided on the role of Family Hub Networks, the Early Help Unit and external agencies in coordinating support and signposting families to the right services. This is aligned with the principles of collaboration outlined in Working Together to Safeguard Children (2026) and The Early Help System Guide. A strength is the information given about referrals and the extensive range of services provided. Accessibility tools can be found throughout the council website, but there is limited visibility of multilingual or Easy Read resources on Early Help pages, this may create accessibility challenges for some families. In addition, users looking for immediate help might find the information on various pages too complex, which would benefit from a streamlined navigation process. </w:t>
      </w:r>
    </w:p>
    <w:p>
      <w:pPr>
        <w:numPr>
          <w:ilvl w:val="0"/>
          <w:numId w:val="37"/>
        </w:numPr>
        <w:spacing w:before="0" w:after="160" w:line="360"/>
        <w:ind w:right="0" w:left="720" w:hanging="36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Norfolk County Council</w:t>
      </w:r>
    </w:p>
    <w:p>
      <w:pPr>
        <w:spacing w:before="0" w:after="160" w:line="279"/>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Norfolk County Council has a dedicated Early Help webpage which is very easy to find within the Children and Families section and has a clear navigation system to Family Hubs and other support services. The website is easy to read and uses plain English to signpost that Early Help is about giving information, advice and guidance at the earliest opportunity to help address family difficulties before they escalate and become more serious, in line with national policy. The website clearly specifies the age range for children and young people who are eligible for support, which is up to 18 years old or 25 for those with special educational needs and disabilities (SEND). It gives a direct path for families to access Early Help and specialist advice for professionals, such as referral pathways, assessment tools and threshold advice. Understanding that this is a public pathway versus a professional pathway assists in the transparency of the referral process and in timely intervention.</w:t>
      </w:r>
    </w:p>
    <w:p>
      <w:pPr>
        <w:spacing w:before="0" w:after="160" w:line="279"/>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A key strength is the wide range of services that are signposted via the Family Hubs model such as parenting support, emotional wellbeing, housing, childcare, financial advice and SEND services. The website also showcases partnership working by emphasising partnership working between Family Hubs, the Norfolk Safeguarding Children Partnership, health services and community organisations, as well as the multi-agency principles that are promoted in the guidance Working Together to Safeguard Children (2026) and The Early Help System Guide. There is good visibility of multilingual information and Easy Read versions on the main Early Help pages, however, there is limited visibility of these on the contact details and online request forms, which may limit access for some families. Further, information is spread over multiple web pages, with users having to switch between Family Hubs, professional guidance and support services. The structure is comprehensive but could be more streamlined and integrated for user experience and to help families find the right support quickly. </w:t>
      </w:r>
    </w:p>
    <w:p>
      <w:pPr>
        <w:numPr>
          <w:ilvl w:val="0"/>
          <w:numId w:val="39"/>
        </w:numPr>
        <w:spacing w:before="0" w:after="160" w:line="360"/>
        <w:ind w:right="0" w:left="720" w:hanging="360"/>
        <w:jc w:val="left"/>
        <w:rPr>
          <w:rFonts w:ascii="Aptos" w:hAnsi="Aptos" w:cs="Aptos" w:eastAsia="Aptos"/>
          <w:color w:val="auto"/>
          <w:spacing w:val="0"/>
          <w:position w:val="0"/>
          <w:sz w:val="22"/>
          <w:shd w:fill="auto" w:val="clear"/>
        </w:rPr>
      </w:pPr>
      <w:r>
        <w:rPr>
          <w:rFonts w:ascii="Aptos" w:hAnsi="Aptos" w:cs="Aptos" w:eastAsia="Aptos"/>
          <w:color w:val="auto"/>
          <w:spacing w:val="0"/>
          <w:position w:val="0"/>
          <w:sz w:val="22"/>
          <w:shd w:fill="auto" w:val="clear"/>
        </w:rPr>
        <w:t xml:space="preserve">Tower Hamlets Council</w:t>
      </w:r>
    </w:p>
    <w:p>
      <w:pPr>
        <w:spacing w:before="0" w:after="160" w:line="279"/>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Tower Hamlets Council has a detailed Early Help section which can be found on the Children and Families pages. The preventative approach to national safeguarding policy is reflected in the clear and accessible language used on the website to explain that Early Help is about providing support in a timely way before family difficulties escalate. Information is broken down into specific sections including eligibility, services available and referral pathways to help families and professionals easily identify the right services for them.</w:t>
      </w:r>
    </w:p>
    <w:p>
      <w:pPr>
        <w:spacing w:before="0" w:after="160" w:line="279"/>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The website is clear that Early Help can be provided to children and young people from pregnancy to 19 years or 25 years for Special Educational Needs and Disabilities (SEND). Families have access to support directly through the Multi-Agency Support Team (MAST) and professionals will be offered a structured process for requesting support and guidance on completing an Early Help Assessment. There are also clear differences between Early Help and statutory safeguarding referrals, enabling users to know when concerns should be escalated.</w:t>
      </w:r>
    </w:p>
    <w:p>
      <w:pPr>
        <w:spacing w:before="0" w:after="160" w:line="279"/>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One of the main strengths is the focus in partnership working. Incorporating an integrated approach as outlined in Working Together to Safeguard Children (2026) and The Early Help System Guide, the website identifies professionals from children's services, health, education, police, housing, CAMHS, probation and voluntary organisations. Families are also directed to Best Start Family Hubs which are family hubs offering parenting support, emotional wellbeing services, financial advice and community-based activities. Contact information and referral routes are highly visible, however, multilingual resources and Easy Read materials are not clearly visible on the main pages of Early Help, which may make it difficult for some users to access. Further, information exists in multiple web pages and could benefit from a single, centralized information hub for easier navigation and easier access for families to support.</w:t>
      </w:r>
    </w:p>
    <w:p>
      <w:pPr>
        <w:spacing w:before="0" w:after="160" w:line="279"/>
        <w:ind w:right="0" w:left="0" w:firstLine="0"/>
        <w:jc w:val="left"/>
        <w:rPr>
          <w:rFonts w:ascii="Aptos" w:hAnsi="Aptos" w:cs="Aptos" w:eastAsia="Aptos"/>
          <w:b/>
          <w:color w:val="auto"/>
          <w:spacing w:val="0"/>
          <w:position w:val="0"/>
          <w:sz w:val="22"/>
          <w:shd w:fill="auto" w:val="clear"/>
        </w:rPr>
      </w:pPr>
      <w:r>
        <w:rPr>
          <w:rFonts w:ascii="Aptos" w:hAnsi="Aptos" w:cs="Aptos" w:eastAsia="Aptos"/>
          <w:b/>
          <w:color w:val="auto"/>
          <w:spacing w:val="0"/>
          <w:position w:val="0"/>
          <w:sz w:val="22"/>
          <w:shd w:fill="auto" w:val="clear"/>
        </w:rPr>
        <w:t xml:space="preserve">Comparative Analysis</w:t>
      </w:r>
    </w:p>
    <w:p>
      <w:pPr>
        <w:spacing w:before="0" w:after="160" w:line="279"/>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All three local authorities have a strong commitment to communicating Early Help as set out in Working Together to Safeguard Children (2026) and The Early Help System Guide. But there are some differences in the accessibility, organization and presentation of information. Nottinghamshire County Council has a clear structure of referral routes and families are provided with a lot of information, although it is spread across several webpages which may make it less easy to navigate. Likewise, Norfolk County Council has a significant amount of information and a wide variety of family support services available using its Family Hubs model, but it is necessary to navigate between several linked pages to access the information and services.</w:t>
      </w:r>
    </w:p>
    <w:p>
      <w:pPr>
        <w:spacing w:before="0" w:after="160" w:line="279"/>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Tower Hamlets Council, by contrast, has a more streamlined structure, and clear explanations of Early Help, eligibility criteria and referral processes. The use of the Multi-Agency Support Team (MAST) and Best Start Family Hubs allows users to see how various services can work together to support families and reinforces the messages of partnership working. There is good use of plain English on all three websites, but there are few visible multi-lingual resources and Easy Read formats, which is a common weakness that could limit accessibility for families who have additional communication requirements.</w:t>
      </w:r>
    </w:p>
    <w:p>
      <w:pPr>
        <w:spacing w:before="0" w:after="160" w:line="279"/>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Overall, Tower Hamlets Council communicates Early Help most effectively as it creates clarity about how to navigate, has clear referral pathways and explains multi-agency collaboration in an accessible and explicit way. Nottinghamshire is closely followed as has strong referral guidance and Norfolk is good for signposting holistic family support services. However, all three councils can still do more to improve accessibility and make more translated resources more visible, offer Easy Read materials and simplified navigation, and ensure that Early Help information is accessible to all families, irrespective of language, literacy and digital skills. </w:t>
      </w:r>
    </w:p>
    <w:p>
      <w:pPr>
        <w:spacing w:before="0" w:after="160" w:line="279"/>
        <w:ind w:right="0" w:left="0" w:firstLine="0"/>
        <w:jc w:val="left"/>
        <w:rPr>
          <w:rFonts w:ascii="Aptos" w:hAnsi="Aptos" w:cs="Aptos" w:eastAsia="Aptos"/>
          <w:b/>
          <w:color w:val="auto"/>
          <w:spacing w:val="0"/>
          <w:position w:val="0"/>
          <w:sz w:val="22"/>
          <w:shd w:fill="auto" w:val="clear"/>
        </w:rPr>
      </w:pPr>
      <w:r>
        <w:rPr>
          <w:rFonts w:ascii="Aptos" w:hAnsi="Aptos" w:cs="Aptos" w:eastAsia="Aptos"/>
          <w:b/>
          <w:color w:val="auto"/>
          <w:spacing w:val="0"/>
          <w:position w:val="0"/>
          <w:sz w:val="22"/>
          <w:shd w:fill="auto" w:val="clear"/>
        </w:rPr>
        <w:t xml:space="preserve">Conclusion and Recommendations</w:t>
      </w:r>
    </w:p>
    <w:p>
      <w:pPr>
        <w:spacing w:before="0" w:after="160" w:line="279"/>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This report was an evaluation of the communication of Early Help and wider family support in the websites of Nottinghamshire County Council, Norfolk County Council and Tower Hamlets Council. Overall, there is a commitment to the principles of early intervention, safeguarding and multi-agency working promoted by Working Together to Safeguard Children (2026) and The Early Help System Guide by each authority. But Tower Hamlets Council is the best communicated, with a clear navigation, a clear referral system and a good explanation of partnership working. Local authorities should provide more multilingual and Easier Read resources to support families who have a variety of communication needs to enhance access to Early Help. A centralised Early Help information hub would also help users find services more easily, making navigation of the website simpler. Lastly, making clear the visual nature of referral pathways and the roles of partner agencies would assist families to better understand the support available to them, and could help to facilitate earlier engagement and improve safeguarding outcomes. </w:t>
      </w:r>
    </w:p>
    <w:p>
      <w:pPr>
        <w:spacing w:before="0" w:after="160" w:line="279"/>
        <w:ind w:right="0" w:left="0" w:firstLine="0"/>
        <w:jc w:val="left"/>
        <w:rPr>
          <w:rFonts w:ascii="Aptos" w:hAnsi="Aptos" w:cs="Aptos" w:eastAsia="Aptos"/>
          <w:b/>
          <w:color w:val="auto"/>
          <w:spacing w:val="0"/>
          <w:position w:val="0"/>
          <w:sz w:val="22"/>
          <w:shd w:fill="auto" w:val="clear"/>
        </w:rPr>
      </w:pPr>
      <w:r>
        <w:rPr>
          <w:rFonts w:ascii="Aptos" w:hAnsi="Aptos" w:cs="Aptos" w:eastAsia="Aptos"/>
          <w:b/>
          <w:color w:val="auto"/>
          <w:spacing w:val="0"/>
          <w:position w:val="0"/>
          <w:sz w:val="22"/>
          <w:shd w:fill="auto" w:val="clear"/>
        </w:rPr>
        <w:t xml:space="preserve">References</w:t>
      </w:r>
    </w:p>
    <w:p>
      <w:pPr>
        <w:spacing w:before="240" w:after="240" w:line="279"/>
        <w:ind w:right="0" w:left="0" w:firstLine="0"/>
        <w:jc w:val="left"/>
        <w:rPr>
          <w:rFonts w:ascii="Aptos" w:hAnsi="Aptos" w:cs="Aptos" w:eastAsia="Aptos"/>
          <w:color w:val="auto"/>
          <w:spacing w:val="0"/>
          <w:position w:val="0"/>
          <w:sz w:val="24"/>
          <w:shd w:fill="auto" w:val="clear"/>
        </w:rPr>
      </w:pPr>
      <w:r>
        <w:rPr>
          <w:rFonts w:ascii="Arial" w:hAnsi="Arial" w:cs="Arial" w:eastAsia="Arial"/>
          <w:color w:val="auto"/>
          <w:spacing w:val="0"/>
          <w:position w:val="0"/>
          <w:sz w:val="22"/>
          <w:shd w:fill="auto" w:val="clear"/>
        </w:rPr>
        <w:t xml:space="preserve">Children Act 1989 (c.41). London: The Stationery Office. Available at: </w:t>
      </w:r>
      <w:hyperlink xmlns:r="http://schemas.openxmlformats.org/officeDocument/2006/relationships" r:id="docRId2">
        <w:r>
          <w:rPr>
            <w:rFonts w:ascii="Aptos" w:hAnsi="Aptos" w:cs="Aptos" w:eastAsia="Aptos"/>
            <w:color w:val="0000FF"/>
            <w:spacing w:val="0"/>
            <w:position w:val="0"/>
            <w:sz w:val="24"/>
            <w:u w:val="single"/>
            <w:shd w:fill="auto" w:val="clear"/>
          </w:rPr>
          <w:t xml:space="preserve">https://www.legislation.gov.uk/ukpga/1989/41/contents</w:t>
        </w:r>
      </w:hyperlink>
      <w:r>
        <w:rPr>
          <w:rFonts w:ascii="Arial" w:hAnsi="Arial" w:cs="Arial" w:eastAsia="Arial"/>
          <w:color w:val="auto"/>
          <w:spacing w:val="0"/>
          <w:position w:val="0"/>
          <w:sz w:val="22"/>
          <w:shd w:fill="auto" w:val="clear"/>
        </w:rPr>
        <w:t xml:space="preserve"> (Accessed: 14 July 2026).</w:t>
      </w:r>
    </w:p>
    <w:p>
      <w:pPr>
        <w:spacing w:before="240" w:after="240" w:line="279"/>
        <w:ind w:right="0" w:left="0" w:firstLine="0"/>
        <w:jc w:val="left"/>
        <w:rPr>
          <w:rFonts w:ascii="Aptos" w:hAnsi="Aptos" w:cs="Aptos" w:eastAsia="Aptos"/>
          <w:color w:val="auto"/>
          <w:spacing w:val="0"/>
          <w:position w:val="0"/>
          <w:sz w:val="24"/>
          <w:shd w:fill="auto" w:val="clear"/>
        </w:rPr>
      </w:pPr>
      <w:r>
        <w:rPr>
          <w:rFonts w:ascii="Arial" w:hAnsi="Arial" w:cs="Arial" w:eastAsia="Arial"/>
          <w:color w:val="auto"/>
          <w:spacing w:val="0"/>
          <w:position w:val="0"/>
          <w:sz w:val="22"/>
          <w:shd w:fill="auto" w:val="clear"/>
        </w:rPr>
        <w:t xml:space="preserve">Children Act 2004 (c.31). London: The Stationery Office. Available at: </w:t>
      </w:r>
      <w:hyperlink xmlns:r="http://schemas.openxmlformats.org/officeDocument/2006/relationships" r:id="docRId3">
        <w:r>
          <w:rPr>
            <w:rFonts w:ascii="Aptos" w:hAnsi="Aptos" w:cs="Aptos" w:eastAsia="Aptos"/>
            <w:color w:val="0000FF"/>
            <w:spacing w:val="0"/>
            <w:position w:val="0"/>
            <w:sz w:val="24"/>
            <w:u w:val="single"/>
            <w:shd w:fill="auto" w:val="clear"/>
          </w:rPr>
          <w:t xml:space="preserve">https://www.legislation.gov.uk/ukpga/2004/31/contents</w:t>
        </w:r>
      </w:hyperlink>
      <w:r>
        <w:rPr>
          <w:rFonts w:ascii="Arial" w:hAnsi="Arial" w:cs="Arial" w:eastAsia="Arial"/>
          <w:color w:val="auto"/>
          <w:spacing w:val="0"/>
          <w:position w:val="0"/>
          <w:sz w:val="22"/>
          <w:shd w:fill="auto" w:val="clear"/>
        </w:rPr>
        <w:t xml:space="preserve"> (Accessed: 14 July 2026).</w:t>
      </w:r>
    </w:p>
    <w:p>
      <w:pPr>
        <w:spacing w:before="240" w:after="240" w:line="279"/>
        <w:ind w:right="0" w:left="0" w:firstLine="0"/>
        <w:jc w:val="left"/>
        <w:rPr>
          <w:rFonts w:ascii="Aptos" w:hAnsi="Aptos" w:cs="Aptos" w:eastAsia="Aptos"/>
          <w:color w:val="auto"/>
          <w:spacing w:val="0"/>
          <w:position w:val="0"/>
          <w:sz w:val="24"/>
          <w:shd w:fill="auto" w:val="clear"/>
        </w:rPr>
      </w:pPr>
      <w:r>
        <w:rPr>
          <w:rFonts w:ascii="Arial" w:hAnsi="Arial" w:cs="Arial" w:eastAsia="Arial"/>
          <w:color w:val="auto"/>
          <w:spacing w:val="0"/>
          <w:position w:val="0"/>
          <w:sz w:val="22"/>
          <w:shd w:fill="auto" w:val="clear"/>
        </w:rPr>
        <w:t xml:space="preserve">Department for Education (2026) </w:t>
      </w:r>
      <w:r>
        <w:rPr>
          <w:rFonts w:ascii="Arial" w:hAnsi="Arial" w:cs="Arial" w:eastAsia="Arial"/>
          <w:i/>
          <w:color w:val="auto"/>
          <w:spacing w:val="0"/>
          <w:position w:val="0"/>
          <w:sz w:val="22"/>
          <w:shd w:fill="auto" w:val="clear"/>
        </w:rPr>
        <w:t xml:space="preserve">The Early Help System Guide</w:t>
      </w:r>
      <w:r>
        <w:rPr>
          <w:rFonts w:ascii="Arial" w:hAnsi="Arial" w:cs="Arial" w:eastAsia="Arial"/>
          <w:color w:val="auto"/>
          <w:spacing w:val="0"/>
          <w:position w:val="0"/>
          <w:sz w:val="22"/>
          <w:shd w:fill="auto" w:val="clear"/>
        </w:rPr>
        <w:t xml:space="preserve">. London: HM Government.</w:t>
      </w:r>
    </w:p>
    <w:p>
      <w:pPr>
        <w:spacing w:before="240" w:after="240" w:line="279"/>
        <w:ind w:right="0" w:left="0" w:firstLine="0"/>
        <w:jc w:val="left"/>
        <w:rPr>
          <w:rFonts w:ascii="Aptos" w:hAnsi="Aptos" w:cs="Aptos" w:eastAsia="Aptos"/>
          <w:color w:val="auto"/>
          <w:spacing w:val="0"/>
          <w:position w:val="0"/>
          <w:sz w:val="24"/>
          <w:shd w:fill="auto" w:val="clear"/>
        </w:rPr>
      </w:pPr>
      <w:r>
        <w:rPr>
          <w:rFonts w:ascii="Arial" w:hAnsi="Arial" w:cs="Arial" w:eastAsia="Arial"/>
          <w:color w:val="auto"/>
          <w:spacing w:val="0"/>
          <w:position w:val="0"/>
          <w:sz w:val="22"/>
          <w:shd w:fill="auto" w:val="clear"/>
        </w:rPr>
        <w:t xml:space="preserve">Department for Education (2026) </w:t>
      </w:r>
      <w:r>
        <w:rPr>
          <w:rFonts w:ascii="Arial" w:hAnsi="Arial" w:cs="Arial" w:eastAsia="Arial"/>
          <w:i/>
          <w:color w:val="auto"/>
          <w:spacing w:val="0"/>
          <w:position w:val="0"/>
          <w:sz w:val="22"/>
          <w:shd w:fill="auto" w:val="clear"/>
        </w:rPr>
        <w:t xml:space="preserve">Working Together to Safeguard Children</w:t>
      </w:r>
      <w:r>
        <w:rPr>
          <w:rFonts w:ascii="Arial" w:hAnsi="Arial" w:cs="Arial" w:eastAsia="Arial"/>
          <w:color w:val="auto"/>
          <w:spacing w:val="0"/>
          <w:position w:val="0"/>
          <w:sz w:val="22"/>
          <w:shd w:fill="auto" w:val="clear"/>
        </w:rPr>
        <w:t xml:space="preserve">. London: HM Government.</w:t>
      </w:r>
    </w:p>
    <w:p>
      <w:pPr>
        <w:spacing w:before="240" w:after="240" w:line="279"/>
        <w:ind w:right="0" w:left="0" w:firstLine="0"/>
        <w:jc w:val="left"/>
        <w:rPr>
          <w:rFonts w:ascii="Aptos" w:hAnsi="Aptos" w:cs="Aptos" w:eastAsia="Aptos"/>
          <w:color w:val="auto"/>
          <w:spacing w:val="0"/>
          <w:position w:val="0"/>
          <w:sz w:val="24"/>
          <w:shd w:fill="auto" w:val="clear"/>
        </w:rPr>
      </w:pPr>
      <w:r>
        <w:rPr>
          <w:rFonts w:ascii="Arial" w:hAnsi="Arial" w:cs="Arial" w:eastAsia="Arial"/>
          <w:color w:val="auto"/>
          <w:spacing w:val="0"/>
          <w:position w:val="0"/>
          <w:sz w:val="22"/>
          <w:shd w:fill="auto" w:val="clear"/>
        </w:rPr>
        <w:t xml:space="preserve">Early Intervention Foundation (2018) </w:t>
      </w:r>
      <w:r>
        <w:rPr>
          <w:rFonts w:ascii="Arial" w:hAnsi="Arial" w:cs="Arial" w:eastAsia="Arial"/>
          <w:i/>
          <w:color w:val="auto"/>
          <w:spacing w:val="0"/>
          <w:position w:val="0"/>
          <w:sz w:val="22"/>
          <w:shd w:fill="auto" w:val="clear"/>
        </w:rPr>
        <w:t xml:space="preserve">Realising the potential of early intervention</w:t>
      </w:r>
      <w:r>
        <w:rPr>
          <w:rFonts w:ascii="Arial" w:hAnsi="Arial" w:cs="Arial" w:eastAsia="Arial"/>
          <w:color w:val="auto"/>
          <w:spacing w:val="0"/>
          <w:position w:val="0"/>
          <w:sz w:val="22"/>
          <w:shd w:fill="auto" w:val="clear"/>
        </w:rPr>
        <w:t xml:space="preserve">. London: Early Intervention Foundation.</w:t>
      </w:r>
    </w:p>
    <w:p>
      <w:pPr>
        <w:spacing w:before="240" w:after="240" w:line="279"/>
        <w:ind w:right="0" w:left="0" w:firstLine="0"/>
        <w:jc w:val="left"/>
        <w:rPr>
          <w:rFonts w:ascii="Aptos" w:hAnsi="Aptos" w:cs="Aptos" w:eastAsia="Aptos"/>
          <w:color w:val="auto"/>
          <w:spacing w:val="0"/>
          <w:position w:val="0"/>
          <w:sz w:val="24"/>
          <w:shd w:fill="auto" w:val="clear"/>
        </w:rPr>
      </w:pPr>
      <w:r>
        <w:rPr>
          <w:rFonts w:ascii="Arial" w:hAnsi="Arial" w:cs="Arial" w:eastAsia="Arial"/>
          <w:color w:val="auto"/>
          <w:spacing w:val="0"/>
          <w:position w:val="0"/>
          <w:sz w:val="22"/>
          <w:shd w:fill="auto" w:val="clear"/>
        </w:rPr>
        <w:t xml:space="preserve">Frost, N. (2017) </w:t>
      </w:r>
      <w:r>
        <w:rPr>
          <w:rFonts w:ascii="Arial" w:hAnsi="Arial" w:cs="Arial" w:eastAsia="Arial"/>
          <w:i/>
          <w:color w:val="auto"/>
          <w:spacing w:val="0"/>
          <w:position w:val="0"/>
          <w:sz w:val="22"/>
          <w:shd w:fill="auto" w:val="clear"/>
        </w:rPr>
        <w:t xml:space="preserve">Child Welfare: Major Themes in Health and Social Welfare</w:t>
      </w:r>
      <w:r>
        <w:rPr>
          <w:rFonts w:ascii="Arial" w:hAnsi="Arial" w:cs="Arial" w:eastAsia="Arial"/>
          <w:color w:val="auto"/>
          <w:spacing w:val="0"/>
          <w:position w:val="0"/>
          <w:sz w:val="22"/>
          <w:shd w:fill="auto" w:val="clear"/>
        </w:rPr>
        <w:t xml:space="preserve">. London: Routledge.</w:t>
      </w:r>
    </w:p>
    <w:p>
      <w:pPr>
        <w:spacing w:before="240" w:after="240" w:line="27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2"/>
          <w:shd w:fill="auto" w:val="clear"/>
        </w:rPr>
        <w:t xml:space="preserve">Frost, N., Robinson, M. and Anning, A. (2005) ‘Social workers in multidisciplinary teams: Issues and dilemmas for professional practice’, </w:t>
      </w:r>
      <w:r>
        <w:rPr>
          <w:rFonts w:ascii="Arial" w:hAnsi="Arial" w:cs="Arial" w:eastAsia="Arial"/>
          <w:i/>
          <w:color w:val="auto"/>
          <w:spacing w:val="0"/>
          <w:position w:val="0"/>
          <w:sz w:val="22"/>
          <w:shd w:fill="auto" w:val="clear"/>
        </w:rPr>
        <w:t xml:space="preserve">Child &amp; Family Social Work</w:t>
      </w:r>
      <w:r>
        <w:rPr>
          <w:rFonts w:ascii="Arial" w:hAnsi="Arial" w:cs="Arial" w:eastAsia="Arial"/>
          <w:color w:val="auto"/>
          <w:spacing w:val="0"/>
          <w:position w:val="0"/>
          <w:sz w:val="22"/>
          <w:shd w:fill="auto" w:val="clear"/>
        </w:rPr>
        <w:t xml:space="preserve">, 10(3), pp. 187</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196.</w:t>
      </w:r>
    </w:p>
    <w:p>
      <w:pPr>
        <w:spacing w:before="240" w:after="240" w:line="27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2"/>
          <w:shd w:fill="auto" w:val="clear"/>
        </w:rPr>
        <w:t xml:space="preserve">Munro, E. (2011) </w:t>
      </w:r>
      <w:r>
        <w:rPr>
          <w:rFonts w:ascii="Arial" w:hAnsi="Arial" w:cs="Arial" w:eastAsia="Arial"/>
          <w:i/>
          <w:color w:val="auto"/>
          <w:spacing w:val="0"/>
          <w:position w:val="0"/>
          <w:sz w:val="22"/>
          <w:shd w:fill="auto" w:val="clear"/>
        </w:rPr>
        <w:t xml:space="preserve">The Munro Review of Child Protection: Final Report </w:t>
      </w:r>
      <w:r>
        <w:rPr>
          <w:rFonts w:ascii="Arial" w:hAnsi="Arial" w:cs="Arial" w:eastAsia="Arial"/>
          <w:i/>
          <w:color w:val="auto"/>
          <w:spacing w:val="0"/>
          <w:position w:val="0"/>
          <w:sz w:val="22"/>
          <w:shd w:fill="auto" w:val="clear"/>
        </w:rPr>
        <w:t xml:space="preserve">–</w:t>
      </w:r>
      <w:r>
        <w:rPr>
          <w:rFonts w:ascii="Arial" w:hAnsi="Arial" w:cs="Arial" w:eastAsia="Arial"/>
          <w:i/>
          <w:color w:val="auto"/>
          <w:spacing w:val="0"/>
          <w:position w:val="0"/>
          <w:sz w:val="22"/>
          <w:shd w:fill="auto" w:val="clear"/>
        </w:rPr>
        <w:t xml:space="preserve"> A Child-Centred System</w:t>
      </w:r>
      <w:r>
        <w:rPr>
          <w:rFonts w:ascii="Arial" w:hAnsi="Arial" w:cs="Arial" w:eastAsia="Arial"/>
          <w:color w:val="auto"/>
          <w:spacing w:val="0"/>
          <w:position w:val="0"/>
          <w:sz w:val="22"/>
          <w:shd w:fill="auto" w:val="clear"/>
        </w:rPr>
        <w:t xml:space="preserve">. London: Department for Education.</w:t>
      </w:r>
    </w:p>
    <w:p>
      <w:pPr>
        <w:spacing w:before="240" w:after="240" w:line="279"/>
        <w:ind w:right="0" w:left="0" w:firstLine="0"/>
        <w:jc w:val="left"/>
        <w:rPr>
          <w:rFonts w:ascii="Aptos" w:hAnsi="Aptos" w:cs="Aptos" w:eastAsia="Aptos"/>
          <w:color w:val="auto"/>
          <w:spacing w:val="0"/>
          <w:position w:val="0"/>
          <w:sz w:val="24"/>
          <w:shd w:fill="auto" w:val="clear"/>
        </w:rPr>
      </w:pPr>
      <w:r>
        <w:rPr>
          <w:rFonts w:ascii="Arial" w:hAnsi="Arial" w:cs="Arial" w:eastAsia="Arial"/>
          <w:color w:val="auto"/>
          <w:spacing w:val="0"/>
          <w:position w:val="0"/>
          <w:sz w:val="22"/>
          <w:shd w:fill="auto" w:val="clear"/>
        </w:rPr>
        <w:t xml:space="preserve">Nottinghamshire County Council (2026) </w:t>
      </w:r>
      <w:r>
        <w:rPr>
          <w:rFonts w:ascii="Arial" w:hAnsi="Arial" w:cs="Arial" w:eastAsia="Arial"/>
          <w:i/>
          <w:color w:val="auto"/>
          <w:spacing w:val="0"/>
          <w:position w:val="0"/>
          <w:sz w:val="22"/>
          <w:shd w:fill="auto" w:val="clear"/>
        </w:rPr>
        <w:t xml:space="preserve">Early Help and Family Hub Services</w:t>
      </w:r>
      <w:r>
        <w:rPr>
          <w:rFonts w:ascii="Arial" w:hAnsi="Arial" w:cs="Arial" w:eastAsia="Arial"/>
          <w:color w:val="auto"/>
          <w:spacing w:val="0"/>
          <w:position w:val="0"/>
          <w:sz w:val="22"/>
          <w:shd w:fill="auto" w:val="clear"/>
        </w:rPr>
        <w:t xml:space="preserve">. Available at: </w:t>
      </w:r>
      <w:hyperlink xmlns:r="http://schemas.openxmlformats.org/officeDocument/2006/relationships" r:id="docRId4">
        <w:r>
          <w:rPr>
            <w:rFonts w:ascii="Aptos" w:hAnsi="Aptos" w:cs="Aptos" w:eastAsia="Aptos"/>
            <w:color w:val="0000FF"/>
            <w:spacing w:val="0"/>
            <w:position w:val="0"/>
            <w:sz w:val="24"/>
            <w:u w:val="single"/>
            <w:shd w:fill="auto" w:val="clear"/>
          </w:rPr>
          <w:t xml:space="preserve">https://www.nottinghamshire.gov.uk/</w:t>
        </w:r>
      </w:hyperlink>
      <w:r>
        <w:rPr>
          <w:rFonts w:ascii="Arial" w:hAnsi="Arial" w:cs="Arial" w:eastAsia="Arial"/>
          <w:color w:val="auto"/>
          <w:spacing w:val="0"/>
          <w:position w:val="0"/>
          <w:sz w:val="22"/>
          <w:shd w:fill="auto" w:val="clear"/>
        </w:rPr>
        <w:t xml:space="preserve"> (Accessed: 14 July 2026).</w:t>
      </w:r>
    </w:p>
    <w:p>
      <w:pPr>
        <w:spacing w:before="240" w:after="240" w:line="279"/>
        <w:ind w:right="0" w:left="0" w:firstLine="0"/>
        <w:jc w:val="left"/>
        <w:rPr>
          <w:rFonts w:ascii="Aptos" w:hAnsi="Aptos" w:cs="Aptos" w:eastAsia="Aptos"/>
          <w:color w:val="auto"/>
          <w:spacing w:val="0"/>
          <w:position w:val="0"/>
          <w:sz w:val="24"/>
          <w:shd w:fill="auto" w:val="clear"/>
        </w:rPr>
      </w:pPr>
      <w:r>
        <w:rPr>
          <w:rFonts w:ascii="Arial" w:hAnsi="Arial" w:cs="Arial" w:eastAsia="Arial"/>
          <w:color w:val="auto"/>
          <w:spacing w:val="0"/>
          <w:position w:val="0"/>
          <w:sz w:val="22"/>
          <w:shd w:fill="auto" w:val="clear"/>
        </w:rPr>
        <w:t xml:space="preserve">Norfolk County Council (2026) </w:t>
      </w:r>
      <w:r>
        <w:rPr>
          <w:rFonts w:ascii="Arial" w:hAnsi="Arial" w:cs="Arial" w:eastAsia="Arial"/>
          <w:i/>
          <w:color w:val="auto"/>
          <w:spacing w:val="0"/>
          <w:position w:val="0"/>
          <w:sz w:val="22"/>
          <w:shd w:fill="auto" w:val="clear"/>
        </w:rPr>
        <w:t xml:space="preserve">Early Help for Children and Families</w:t>
      </w:r>
      <w:r>
        <w:rPr>
          <w:rFonts w:ascii="Arial" w:hAnsi="Arial" w:cs="Arial" w:eastAsia="Arial"/>
          <w:color w:val="auto"/>
          <w:spacing w:val="0"/>
          <w:position w:val="0"/>
          <w:sz w:val="22"/>
          <w:shd w:fill="auto" w:val="clear"/>
        </w:rPr>
        <w:t xml:space="preserve">. Available at: </w:t>
      </w:r>
      <w:hyperlink xmlns:r="http://schemas.openxmlformats.org/officeDocument/2006/relationships" r:id="docRId5">
        <w:r>
          <w:rPr>
            <w:rFonts w:ascii="Aptos" w:hAnsi="Aptos" w:cs="Aptos" w:eastAsia="Aptos"/>
            <w:color w:val="0000FF"/>
            <w:spacing w:val="0"/>
            <w:position w:val="0"/>
            <w:sz w:val="24"/>
            <w:u w:val="single"/>
            <w:shd w:fill="auto" w:val="clear"/>
          </w:rPr>
          <w:t xml:space="preserve">https://www.norfolk.gov.uk/</w:t>
        </w:r>
      </w:hyperlink>
      <w:r>
        <w:rPr>
          <w:rFonts w:ascii="Arial" w:hAnsi="Arial" w:cs="Arial" w:eastAsia="Arial"/>
          <w:color w:val="auto"/>
          <w:spacing w:val="0"/>
          <w:position w:val="0"/>
          <w:sz w:val="22"/>
          <w:shd w:fill="auto" w:val="clear"/>
        </w:rPr>
        <w:t xml:space="preserve"> (Accessed: 14 July 2026).</w:t>
      </w:r>
    </w:p>
    <w:p>
      <w:pPr>
        <w:spacing w:before="240" w:after="240" w:line="279"/>
        <w:ind w:right="0" w:left="0" w:firstLine="0"/>
        <w:jc w:val="left"/>
        <w:rPr>
          <w:rFonts w:ascii="Aptos" w:hAnsi="Aptos" w:cs="Aptos" w:eastAsia="Aptos"/>
          <w:color w:val="auto"/>
          <w:spacing w:val="0"/>
          <w:position w:val="0"/>
          <w:sz w:val="24"/>
          <w:shd w:fill="auto" w:val="clear"/>
        </w:rPr>
      </w:pPr>
      <w:r>
        <w:rPr>
          <w:rFonts w:ascii="Arial" w:hAnsi="Arial" w:cs="Arial" w:eastAsia="Arial"/>
          <w:color w:val="auto"/>
          <w:spacing w:val="0"/>
          <w:position w:val="0"/>
          <w:sz w:val="22"/>
          <w:shd w:fill="auto" w:val="clear"/>
        </w:rPr>
        <w:t xml:space="preserve">Siraj-Blatchford, I. and Siraj-Blatchford, J. (2010) </w:t>
      </w:r>
      <w:r>
        <w:rPr>
          <w:rFonts w:ascii="Arial" w:hAnsi="Arial" w:cs="Arial" w:eastAsia="Arial"/>
          <w:i/>
          <w:color w:val="auto"/>
          <w:spacing w:val="0"/>
          <w:position w:val="0"/>
          <w:sz w:val="22"/>
          <w:shd w:fill="auto" w:val="clear"/>
        </w:rPr>
        <w:t xml:space="preserve">Improving Development Outcomes for Children through Effective Practice in Integrating Early Years Services</w:t>
      </w:r>
      <w:r>
        <w:rPr>
          <w:rFonts w:ascii="Arial" w:hAnsi="Arial" w:cs="Arial" w:eastAsia="Arial"/>
          <w:color w:val="auto"/>
          <w:spacing w:val="0"/>
          <w:position w:val="0"/>
          <w:sz w:val="22"/>
          <w:shd w:fill="auto" w:val="clear"/>
        </w:rPr>
        <w:t xml:space="preserve">. London: C4EO.</w:t>
      </w:r>
    </w:p>
    <w:p>
      <w:pPr>
        <w:spacing w:before="240" w:after="240" w:line="279"/>
        <w:ind w:right="0" w:left="0" w:firstLine="0"/>
        <w:jc w:val="left"/>
        <w:rPr>
          <w:rFonts w:ascii="Aptos" w:hAnsi="Aptos" w:cs="Aptos" w:eastAsia="Aptos"/>
          <w:color w:val="auto"/>
          <w:spacing w:val="0"/>
          <w:position w:val="0"/>
          <w:sz w:val="24"/>
          <w:shd w:fill="auto" w:val="clear"/>
        </w:rPr>
      </w:pPr>
      <w:r>
        <w:rPr>
          <w:rFonts w:ascii="Arial" w:hAnsi="Arial" w:cs="Arial" w:eastAsia="Arial"/>
          <w:color w:val="auto"/>
          <w:spacing w:val="0"/>
          <w:position w:val="0"/>
          <w:sz w:val="22"/>
          <w:shd w:fill="auto" w:val="clear"/>
        </w:rPr>
        <w:t xml:space="preserve">Tower Hamlets Council (2026) </w:t>
      </w:r>
      <w:r>
        <w:rPr>
          <w:rFonts w:ascii="Arial" w:hAnsi="Arial" w:cs="Arial" w:eastAsia="Arial"/>
          <w:i/>
          <w:color w:val="auto"/>
          <w:spacing w:val="0"/>
          <w:position w:val="0"/>
          <w:sz w:val="22"/>
          <w:shd w:fill="auto" w:val="clear"/>
        </w:rPr>
        <w:t xml:space="preserve">Early Help Services</w:t>
      </w:r>
      <w:r>
        <w:rPr>
          <w:rFonts w:ascii="Arial" w:hAnsi="Arial" w:cs="Arial" w:eastAsia="Arial"/>
          <w:color w:val="auto"/>
          <w:spacing w:val="0"/>
          <w:position w:val="0"/>
          <w:sz w:val="22"/>
          <w:shd w:fill="auto" w:val="clear"/>
        </w:rPr>
        <w:t xml:space="preserve">. Available at: </w:t>
      </w:r>
      <w:hyperlink xmlns:r="http://schemas.openxmlformats.org/officeDocument/2006/relationships" r:id="docRId6">
        <w:r>
          <w:rPr>
            <w:rFonts w:ascii="Aptos" w:hAnsi="Aptos" w:cs="Aptos" w:eastAsia="Aptos"/>
            <w:color w:val="0000FF"/>
            <w:spacing w:val="0"/>
            <w:position w:val="0"/>
            <w:sz w:val="24"/>
            <w:u w:val="single"/>
            <w:shd w:fill="auto" w:val="clear"/>
          </w:rPr>
          <w:t xml:space="preserve">https://www.towerhamlets.gov.uk/Home.aspx</w:t>
        </w:r>
      </w:hyperlink>
      <w:r>
        <w:rPr>
          <w:rFonts w:ascii="Arial" w:hAnsi="Arial" w:cs="Arial" w:eastAsia="Arial"/>
          <w:color w:val="auto"/>
          <w:spacing w:val="0"/>
          <w:position w:val="0"/>
          <w:sz w:val="22"/>
          <w:shd w:fill="auto" w:val="clear"/>
        </w:rPr>
        <w:t xml:space="preserve"> (Accessed: 14 July 2026).</w:t>
      </w:r>
    </w:p>
    <w:p>
      <w:pPr>
        <w:spacing w:before="240" w:after="240" w:line="279"/>
        <w:ind w:right="0" w:left="0" w:firstLine="0"/>
        <w:jc w:val="left"/>
        <w:rPr>
          <w:rFonts w:ascii="Aptos" w:hAnsi="Aptos" w:cs="Aptos" w:eastAsia="Aptos"/>
          <w:color w:val="auto"/>
          <w:spacing w:val="0"/>
          <w:position w:val="0"/>
          <w:sz w:val="24"/>
          <w:shd w:fill="auto" w:val="clear"/>
        </w:rPr>
      </w:pPr>
      <w:r>
        <w:rPr>
          <w:rFonts w:ascii="Arial" w:hAnsi="Arial" w:cs="Arial" w:eastAsia="Arial"/>
          <w:color w:val="auto"/>
          <w:spacing w:val="0"/>
          <w:position w:val="0"/>
          <w:sz w:val="22"/>
          <w:shd w:fill="auto" w:val="clear"/>
        </w:rPr>
        <w:t xml:space="preserve">United Nations (1989) </w:t>
      </w:r>
      <w:r>
        <w:rPr>
          <w:rFonts w:ascii="Arial" w:hAnsi="Arial" w:cs="Arial" w:eastAsia="Arial"/>
          <w:i/>
          <w:color w:val="auto"/>
          <w:spacing w:val="0"/>
          <w:position w:val="0"/>
          <w:sz w:val="22"/>
          <w:shd w:fill="auto" w:val="clear"/>
        </w:rPr>
        <w:t xml:space="preserve">Convention on the Rights of the Child</w:t>
      </w:r>
      <w:r>
        <w:rPr>
          <w:rFonts w:ascii="Arial" w:hAnsi="Arial" w:cs="Arial" w:eastAsia="Arial"/>
          <w:color w:val="auto"/>
          <w:spacing w:val="0"/>
          <w:position w:val="0"/>
          <w:sz w:val="22"/>
          <w:shd w:fill="auto" w:val="clear"/>
        </w:rPr>
        <w:t xml:space="preserve">. New York: United Nations. Available at: </w:t>
      </w:r>
      <w:hyperlink xmlns:r="http://schemas.openxmlformats.org/officeDocument/2006/relationships" r:id="docRId7">
        <w:r>
          <w:rPr>
            <w:rFonts w:ascii="Aptos" w:hAnsi="Aptos" w:cs="Aptos" w:eastAsia="Aptos"/>
            <w:color w:val="0000FF"/>
            <w:spacing w:val="0"/>
            <w:position w:val="0"/>
            <w:sz w:val="24"/>
            <w:u w:val="single"/>
            <w:shd w:fill="auto" w:val="clear"/>
          </w:rPr>
          <w:t xml:space="preserve">https://www.ohchr.org/en/instruments-mechanisms/instruments/convention-rights-child</w:t>
        </w:r>
      </w:hyperlink>
      <w:r>
        <w:rPr>
          <w:rFonts w:ascii="Arial" w:hAnsi="Arial" w:cs="Arial" w:eastAsia="Arial"/>
          <w:color w:val="auto"/>
          <w:spacing w:val="0"/>
          <w:position w:val="0"/>
          <w:sz w:val="22"/>
          <w:shd w:fill="auto" w:val="clear"/>
        </w:rPr>
        <w:t xml:space="preserve"> (Accessed: 14 July 2026).</w:t>
      </w:r>
    </w:p>
    <w:p>
      <w:pPr>
        <w:spacing w:before="240" w:after="240" w:line="279"/>
        <w:ind w:right="0" w:left="0" w:firstLine="0"/>
        <w:jc w:val="left"/>
        <w:rPr>
          <w:rFonts w:ascii="Aptos" w:hAnsi="Aptos" w:cs="Aptos" w:eastAsia="Aptos"/>
          <w:color w:val="auto"/>
          <w:spacing w:val="0"/>
          <w:position w:val="0"/>
          <w:sz w:val="24"/>
          <w:shd w:fill="auto" w:val="clear"/>
        </w:rPr>
      </w:pPr>
      <w:r>
        <w:rPr>
          <w:rFonts w:ascii="Arial" w:hAnsi="Arial" w:cs="Arial" w:eastAsia="Arial"/>
          <w:color w:val="auto"/>
          <w:spacing w:val="0"/>
          <w:position w:val="0"/>
          <w:sz w:val="22"/>
          <w:shd w:fill="auto" w:val="clear"/>
        </w:rPr>
        <w:t xml:space="preserve">Whittington, C. (2003) </w:t>
      </w:r>
      <w:r>
        <w:rPr>
          <w:rFonts w:ascii="Arial" w:hAnsi="Arial" w:cs="Arial" w:eastAsia="Arial"/>
          <w:i/>
          <w:color w:val="auto"/>
          <w:spacing w:val="0"/>
          <w:position w:val="0"/>
          <w:sz w:val="22"/>
          <w:shd w:fill="auto" w:val="clear"/>
        </w:rPr>
        <w:t xml:space="preserve">Collaboration and Partnership in Social Care: Practice, Working Relationships and Service Users</w:t>
      </w:r>
      <w:r>
        <w:rPr>
          <w:rFonts w:ascii="Arial" w:hAnsi="Arial" w:cs="Arial" w:eastAsia="Arial"/>
          <w:color w:val="auto"/>
          <w:spacing w:val="0"/>
          <w:position w:val="0"/>
          <w:sz w:val="22"/>
          <w:shd w:fill="auto" w:val="clear"/>
        </w:rPr>
        <w:t xml:space="preserve">. Exeter: Learning Matters.</w:t>
      </w:r>
    </w:p>
    <w:p>
      <w:pPr>
        <w:spacing w:before="240" w:after="240" w:line="279"/>
        <w:ind w:right="0" w:left="0" w:firstLine="0"/>
        <w:jc w:val="left"/>
        <w:rPr>
          <w:rFonts w:ascii="Aptos" w:hAnsi="Aptos" w:cs="Aptos" w:eastAsia="Aptos"/>
          <w:color w:val="auto"/>
          <w:spacing w:val="0"/>
          <w:position w:val="0"/>
          <w:sz w:val="24"/>
          <w:shd w:fill="auto" w:val="clear"/>
        </w:rPr>
      </w:pPr>
      <w:r>
        <w:rPr>
          <w:rFonts w:ascii="Arial" w:hAnsi="Arial" w:cs="Arial" w:eastAsia="Arial"/>
          <w:color w:val="auto"/>
          <w:spacing w:val="0"/>
          <w:position w:val="0"/>
          <w:sz w:val="22"/>
          <w:shd w:fill="auto" w:val="clear"/>
        </w:rPr>
        <w:t xml:space="preserve">Wood, S. and Vincent, S. (2013) </w:t>
      </w:r>
      <w:r>
        <w:rPr>
          <w:rFonts w:ascii="Arial" w:hAnsi="Arial" w:cs="Arial" w:eastAsia="Arial"/>
          <w:i/>
          <w:color w:val="auto"/>
          <w:spacing w:val="0"/>
          <w:position w:val="0"/>
          <w:sz w:val="22"/>
          <w:shd w:fill="auto" w:val="clear"/>
        </w:rPr>
        <w:t xml:space="preserve">Early Intervention: Supporting and Strengthening Families</w:t>
      </w:r>
      <w:r>
        <w:rPr>
          <w:rFonts w:ascii="Arial" w:hAnsi="Arial" w:cs="Arial" w:eastAsia="Arial"/>
          <w:color w:val="auto"/>
          <w:spacing w:val="0"/>
          <w:position w:val="0"/>
          <w:sz w:val="22"/>
          <w:shd w:fill="auto" w:val="clear"/>
        </w:rPr>
        <w:t xml:space="preserve">. London: Jessica Kingsley Publishers.</w:t>
      </w:r>
    </w:p>
    <w:p>
      <w:pPr>
        <w:spacing w:before="0" w:after="160" w:line="360"/>
        <w:ind w:right="0" w:left="0" w:firstLine="0"/>
        <w:jc w:val="left"/>
        <w:rPr>
          <w:rFonts w:ascii="Arial" w:hAnsi="Arial" w:cs="Arial" w:eastAsia="Arial"/>
          <w:color w:val="auto"/>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num w:numId="35">
    <w:abstractNumId w:val="12"/>
  </w:num>
  <w:num w:numId="37">
    <w:abstractNumId w:val="6"/>
  </w:num>
  <w:num w:numId="39">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legislation.gov.uk/ukpga/2004/31/contents" Id="docRId3" Type="http://schemas.openxmlformats.org/officeDocument/2006/relationships/hyperlink" /><Relationship TargetMode="External" Target="https://www.ohchr.org/en/instruments-mechanisms/instruments/convention-rights-child" Id="docRId7" Type="http://schemas.openxmlformats.org/officeDocument/2006/relationships/hyperlink" /><Relationship Target="embeddings/oleObject0.bin" Id="docRId0" Type="http://schemas.openxmlformats.org/officeDocument/2006/relationships/oleObject" /><Relationship TargetMode="External" Target="https://www.legislation.gov.uk/ukpga/1989/41/contents" Id="docRId2" Type="http://schemas.openxmlformats.org/officeDocument/2006/relationships/hyperlink" /><Relationship TargetMode="External" Target="https://www.nottinghamshire.gov.uk/" Id="docRId4" Type="http://schemas.openxmlformats.org/officeDocument/2006/relationships/hyperlink" /><Relationship TargetMode="External" Target="https://www.towerhamlets.gov.uk/Home.aspx" Id="docRId6" Type="http://schemas.openxmlformats.org/officeDocument/2006/relationships/hyperlink" /><Relationship Target="numbering.xml" Id="docRId8" Type="http://schemas.openxmlformats.org/officeDocument/2006/relationships/numbering" /><Relationship Target="media/image0.wmf" Id="docRId1" Type="http://schemas.openxmlformats.org/officeDocument/2006/relationships/image" /><Relationship TargetMode="External" Target="https://www.norfolk.gov.uk/" Id="docRId5" Type="http://schemas.openxmlformats.org/officeDocument/2006/relationships/hyperlink" /><Relationship Target="styles.xml" Id="docRId9" Type="http://schemas.openxmlformats.org/officeDocument/2006/relationships/styles" /></Relationships>
</file>