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367A7" w14:textId="68B6B84E" w:rsidR="00CD5850" w:rsidRDefault="00CD5850" w:rsidP="00CD5850">
      <w:pPr>
        <w:jc w:val="center"/>
        <w:rPr>
          <w:b/>
          <w:sz w:val="40"/>
          <w:szCs w:val="40"/>
        </w:rPr>
      </w:pPr>
      <w:bookmarkStart w:id="0" w:name="_7jzu26u8lxj3" w:colFirst="0" w:colLast="0"/>
      <w:bookmarkEnd w:id="0"/>
      <w:r>
        <w:rPr>
          <w:b/>
          <w:sz w:val="40"/>
          <w:szCs w:val="40"/>
        </w:rPr>
        <w:t>BA Business Management</w:t>
      </w:r>
      <w:r>
        <w:rPr>
          <w:noProof/>
        </w:rPr>
        <w:drawing>
          <wp:anchor distT="19050" distB="19050" distL="19050" distR="19050" simplePos="0" relativeHeight="251658240" behindDoc="0" locked="0" layoutInCell="1" allowOverlap="1" wp14:anchorId="39CFD962" wp14:editId="59FD6273">
            <wp:simplePos x="0" y="0"/>
            <wp:positionH relativeFrom="column">
              <wp:posOffset>4718050</wp:posOffset>
            </wp:positionH>
            <wp:positionV relativeFrom="paragraph">
              <wp:posOffset>-666750</wp:posOffset>
            </wp:positionV>
            <wp:extent cx="1588135" cy="842010"/>
            <wp:effectExtent l="0" t="0" r="0" b="0"/>
            <wp:wrapNone/>
            <wp:docPr id="1171271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8135" cy="842010"/>
                    </a:xfrm>
                    <a:prstGeom prst="rect">
                      <a:avLst/>
                    </a:prstGeom>
                    <a:noFill/>
                  </pic:spPr>
                </pic:pic>
              </a:graphicData>
            </a:graphic>
            <wp14:sizeRelH relativeFrom="page">
              <wp14:pctWidth>0</wp14:pctWidth>
            </wp14:sizeRelH>
            <wp14:sizeRelV relativeFrom="page">
              <wp14:pctHeight>0</wp14:pctHeight>
            </wp14:sizeRelV>
          </wp:anchor>
        </w:drawing>
      </w:r>
    </w:p>
    <w:p w14:paraId="4A3C76D1" w14:textId="77777777" w:rsidR="00CD5850" w:rsidRDefault="00CD5850" w:rsidP="00CD5850">
      <w:pPr>
        <w:jc w:val="center"/>
        <w:rPr>
          <w:b/>
          <w:sz w:val="40"/>
          <w:szCs w:val="40"/>
        </w:rPr>
      </w:pPr>
      <w:r>
        <w:rPr>
          <w:b/>
          <w:sz w:val="40"/>
          <w:szCs w:val="40"/>
        </w:rPr>
        <w:t>Module: Community Engagement</w:t>
      </w:r>
    </w:p>
    <w:p w14:paraId="0CA7013A" w14:textId="77777777" w:rsidR="00CD5850" w:rsidRDefault="00CD5850" w:rsidP="00CD5850">
      <w:pPr>
        <w:jc w:val="center"/>
        <w:rPr>
          <w:b/>
          <w:sz w:val="40"/>
          <w:szCs w:val="40"/>
        </w:rPr>
      </w:pPr>
      <w:r>
        <w:rPr>
          <w:b/>
          <w:sz w:val="40"/>
          <w:szCs w:val="40"/>
        </w:rPr>
        <w:t>Module code: LCBB4002</w:t>
      </w:r>
    </w:p>
    <w:p w14:paraId="7DE6C49D" w14:textId="4919F41A" w:rsidR="00CD5850" w:rsidRDefault="00CD5850" w:rsidP="00CD5850">
      <w:pPr>
        <w:jc w:val="center"/>
        <w:rPr>
          <w:b/>
          <w:sz w:val="32"/>
          <w:szCs w:val="32"/>
        </w:rPr>
      </w:pPr>
      <w:r>
        <w:rPr>
          <w:b/>
          <w:sz w:val="32"/>
          <w:szCs w:val="32"/>
        </w:rPr>
        <w:t>Student Name: Florin Claudiu Visan</w:t>
      </w:r>
    </w:p>
    <w:p w14:paraId="1911C43B" w14:textId="0847EAF8" w:rsidR="00CD5850" w:rsidRDefault="00CD5850" w:rsidP="00CD5850">
      <w:pPr>
        <w:jc w:val="center"/>
        <w:rPr>
          <w:b/>
          <w:sz w:val="32"/>
          <w:szCs w:val="32"/>
        </w:rPr>
      </w:pPr>
      <w:r>
        <w:rPr>
          <w:b/>
          <w:sz w:val="32"/>
          <w:szCs w:val="32"/>
        </w:rPr>
        <w:t>Student ID: 2247386</w:t>
      </w:r>
    </w:p>
    <w:p w14:paraId="30841B85" w14:textId="77777777" w:rsidR="00CD5850" w:rsidRDefault="00CD5850" w:rsidP="00CD5850">
      <w:pPr>
        <w:jc w:val="center"/>
        <w:rPr>
          <w:b/>
          <w:sz w:val="32"/>
          <w:szCs w:val="32"/>
        </w:rPr>
      </w:pPr>
      <w:r>
        <w:rPr>
          <w:b/>
          <w:sz w:val="32"/>
          <w:szCs w:val="32"/>
        </w:rPr>
        <w:t>Lecturer: Dr Molly Jack</w:t>
      </w:r>
    </w:p>
    <w:p w14:paraId="5A063871" w14:textId="77777777" w:rsidR="00735E47" w:rsidRDefault="00735E47">
      <w:pPr>
        <w:pStyle w:val="Title"/>
      </w:pPr>
      <w:bookmarkStart w:id="1" w:name="_ko83evvxwtzh" w:colFirst="0" w:colLast="0"/>
      <w:bookmarkEnd w:id="1"/>
    </w:p>
    <w:p w14:paraId="3BB03F89" w14:textId="77777777" w:rsidR="00735E47" w:rsidRDefault="00735E47">
      <w:pPr>
        <w:pStyle w:val="Title"/>
      </w:pPr>
      <w:bookmarkStart w:id="2" w:name="_7mq8qgpwp4bp" w:colFirst="0" w:colLast="0"/>
      <w:bookmarkEnd w:id="2"/>
    </w:p>
    <w:p w14:paraId="7382479A" w14:textId="77777777" w:rsidR="00735E47" w:rsidRDefault="00735E47">
      <w:pPr>
        <w:pStyle w:val="Title"/>
      </w:pPr>
      <w:bookmarkStart w:id="3" w:name="_3mg5xnbr2jb1" w:colFirst="0" w:colLast="0"/>
      <w:bookmarkEnd w:id="3"/>
    </w:p>
    <w:p w14:paraId="6801E12B" w14:textId="77777777" w:rsidR="00735E47" w:rsidRDefault="00000000">
      <w:pPr>
        <w:pStyle w:val="Title"/>
      </w:pPr>
      <w:bookmarkStart w:id="4" w:name="_4qbn6wf19c7p" w:colFirst="0" w:colLast="0"/>
      <w:bookmarkEnd w:id="4"/>
      <w:r>
        <w:br w:type="page"/>
      </w:r>
    </w:p>
    <w:p w14:paraId="3DD8BA80" w14:textId="7E523A7D" w:rsidR="00735E47" w:rsidRPr="005F635E" w:rsidRDefault="00000000" w:rsidP="005F635E">
      <w:pPr>
        <w:pStyle w:val="Title"/>
        <w:rPr>
          <w:sz w:val="32"/>
          <w:szCs w:val="32"/>
        </w:rPr>
      </w:pPr>
      <w:bookmarkStart w:id="5" w:name="_353hzt58wbm" w:colFirst="0" w:colLast="0"/>
      <w:bookmarkEnd w:id="5"/>
      <w:r w:rsidRPr="00C11527">
        <w:rPr>
          <w:sz w:val="32"/>
          <w:szCs w:val="32"/>
        </w:rPr>
        <w:lastRenderedPageBreak/>
        <w:t xml:space="preserve">Table </w:t>
      </w:r>
      <w:r w:rsidR="00C11527">
        <w:rPr>
          <w:sz w:val="32"/>
          <w:szCs w:val="32"/>
        </w:rPr>
        <w:t>o</w:t>
      </w:r>
      <w:r w:rsidRPr="00C11527">
        <w:rPr>
          <w:sz w:val="32"/>
          <w:szCs w:val="32"/>
        </w:rPr>
        <w:t xml:space="preserve">f Contents </w:t>
      </w:r>
      <w:bookmarkStart w:id="6" w:name="_tbsoz3ukt99m" w:colFirst="0" w:colLast="0"/>
      <w:bookmarkEnd w:id="6"/>
    </w:p>
    <w:bookmarkStart w:id="7" w:name="_qfjusl96l7jq" w:colFirst="0" w:colLast="0" w:displacedByCustomXml="next"/>
    <w:bookmarkEnd w:id="7" w:displacedByCustomXml="next"/>
    <w:sdt>
      <w:sdtPr>
        <w:rPr>
          <w:rFonts w:ascii="Times New Roman" w:eastAsia="Times New Roman" w:hAnsi="Times New Roman" w:cs="Times New Roman"/>
          <w:color w:val="auto"/>
          <w:sz w:val="24"/>
          <w:szCs w:val="24"/>
          <w:lang w:val="en-GB" w:eastAsia="en-GB"/>
        </w:rPr>
        <w:id w:val="1764946302"/>
        <w:docPartObj>
          <w:docPartGallery w:val="Table of Contents"/>
          <w:docPartUnique/>
        </w:docPartObj>
      </w:sdtPr>
      <w:sdtEndPr>
        <w:rPr>
          <w:b/>
          <w:bCs/>
          <w:noProof/>
        </w:rPr>
      </w:sdtEndPr>
      <w:sdtContent>
        <w:p w14:paraId="20D95B06" w14:textId="4973E62D" w:rsidR="005F635E" w:rsidRPr="005F635E" w:rsidRDefault="005F635E">
          <w:pPr>
            <w:pStyle w:val="TOCHeading"/>
            <w:rPr>
              <w:sz w:val="16"/>
              <w:szCs w:val="16"/>
            </w:rPr>
          </w:pPr>
        </w:p>
        <w:p w14:paraId="476F77DC" w14:textId="3C6D1D57" w:rsidR="005F635E" w:rsidRDefault="005F635E">
          <w:pPr>
            <w:pStyle w:val="TOC1"/>
            <w:tabs>
              <w:tab w:val="right" w:leader="dot" w:pos="9019"/>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53390055" w:history="1">
            <w:r w:rsidRPr="00810D1F">
              <w:rPr>
                <w:rStyle w:val="Hyperlink"/>
                <w:noProof/>
              </w:rPr>
              <w:t>Introduction</w:t>
            </w:r>
            <w:r>
              <w:rPr>
                <w:noProof/>
                <w:webHidden/>
              </w:rPr>
              <w:tab/>
            </w:r>
            <w:r>
              <w:rPr>
                <w:noProof/>
                <w:webHidden/>
              </w:rPr>
              <w:fldChar w:fldCharType="begin"/>
            </w:r>
            <w:r>
              <w:rPr>
                <w:noProof/>
                <w:webHidden/>
              </w:rPr>
              <w:instrText xml:space="preserve"> PAGEREF _Toc153390055 \h </w:instrText>
            </w:r>
            <w:r>
              <w:rPr>
                <w:noProof/>
                <w:webHidden/>
              </w:rPr>
            </w:r>
            <w:r>
              <w:rPr>
                <w:noProof/>
                <w:webHidden/>
              </w:rPr>
              <w:fldChar w:fldCharType="separate"/>
            </w:r>
            <w:r>
              <w:rPr>
                <w:noProof/>
                <w:webHidden/>
              </w:rPr>
              <w:t>3</w:t>
            </w:r>
            <w:r>
              <w:rPr>
                <w:noProof/>
                <w:webHidden/>
              </w:rPr>
              <w:fldChar w:fldCharType="end"/>
            </w:r>
          </w:hyperlink>
        </w:p>
        <w:p w14:paraId="1A561B74" w14:textId="1302CC48" w:rsidR="005F635E" w:rsidRDefault="0000000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53390056" w:history="1">
            <w:r w:rsidR="005F635E" w:rsidRPr="00810D1F">
              <w:rPr>
                <w:rStyle w:val="Hyperlink"/>
                <w:noProof/>
              </w:rPr>
              <w:t>Reflection Based on Component 1: Scope's Community Engagement Project</w:t>
            </w:r>
            <w:r w:rsidR="005F635E">
              <w:rPr>
                <w:noProof/>
                <w:webHidden/>
              </w:rPr>
              <w:tab/>
            </w:r>
            <w:r w:rsidR="005F635E">
              <w:rPr>
                <w:noProof/>
                <w:webHidden/>
              </w:rPr>
              <w:fldChar w:fldCharType="begin"/>
            </w:r>
            <w:r w:rsidR="005F635E">
              <w:rPr>
                <w:noProof/>
                <w:webHidden/>
              </w:rPr>
              <w:instrText xml:space="preserve"> PAGEREF _Toc153390056 \h </w:instrText>
            </w:r>
            <w:r w:rsidR="005F635E">
              <w:rPr>
                <w:noProof/>
                <w:webHidden/>
              </w:rPr>
            </w:r>
            <w:r w:rsidR="005F635E">
              <w:rPr>
                <w:noProof/>
                <w:webHidden/>
              </w:rPr>
              <w:fldChar w:fldCharType="separate"/>
            </w:r>
            <w:r w:rsidR="005F635E">
              <w:rPr>
                <w:noProof/>
                <w:webHidden/>
              </w:rPr>
              <w:t>3</w:t>
            </w:r>
            <w:r w:rsidR="005F635E">
              <w:rPr>
                <w:noProof/>
                <w:webHidden/>
              </w:rPr>
              <w:fldChar w:fldCharType="end"/>
            </w:r>
          </w:hyperlink>
        </w:p>
        <w:p w14:paraId="7467E42A" w14:textId="0D39AB49" w:rsidR="005F635E" w:rsidRDefault="0000000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53390057" w:history="1">
            <w:r w:rsidR="005F635E" w:rsidRPr="00810D1F">
              <w:rPr>
                <w:rStyle w:val="Hyperlink"/>
                <w:noProof/>
              </w:rPr>
              <w:t>Conclusion</w:t>
            </w:r>
            <w:r w:rsidR="005F635E">
              <w:rPr>
                <w:noProof/>
                <w:webHidden/>
              </w:rPr>
              <w:tab/>
            </w:r>
            <w:r w:rsidR="005F635E">
              <w:rPr>
                <w:noProof/>
                <w:webHidden/>
              </w:rPr>
              <w:fldChar w:fldCharType="begin"/>
            </w:r>
            <w:r w:rsidR="005F635E">
              <w:rPr>
                <w:noProof/>
                <w:webHidden/>
              </w:rPr>
              <w:instrText xml:space="preserve"> PAGEREF _Toc153390057 \h </w:instrText>
            </w:r>
            <w:r w:rsidR="005F635E">
              <w:rPr>
                <w:noProof/>
                <w:webHidden/>
              </w:rPr>
            </w:r>
            <w:r w:rsidR="005F635E">
              <w:rPr>
                <w:noProof/>
                <w:webHidden/>
              </w:rPr>
              <w:fldChar w:fldCharType="separate"/>
            </w:r>
            <w:r w:rsidR="005F635E">
              <w:rPr>
                <w:noProof/>
                <w:webHidden/>
              </w:rPr>
              <w:t>7</w:t>
            </w:r>
            <w:r w:rsidR="005F635E">
              <w:rPr>
                <w:noProof/>
                <w:webHidden/>
              </w:rPr>
              <w:fldChar w:fldCharType="end"/>
            </w:r>
          </w:hyperlink>
        </w:p>
        <w:p w14:paraId="50A913D8" w14:textId="0A7A3119" w:rsidR="005F635E" w:rsidRDefault="0000000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53390058" w:history="1">
            <w:r w:rsidR="005F635E" w:rsidRPr="00810D1F">
              <w:rPr>
                <w:rStyle w:val="Hyperlink"/>
                <w:noProof/>
              </w:rPr>
              <w:t>References</w:t>
            </w:r>
            <w:r w:rsidR="005F635E">
              <w:rPr>
                <w:noProof/>
                <w:webHidden/>
              </w:rPr>
              <w:tab/>
            </w:r>
            <w:r w:rsidR="005F635E">
              <w:rPr>
                <w:noProof/>
                <w:webHidden/>
              </w:rPr>
              <w:fldChar w:fldCharType="begin"/>
            </w:r>
            <w:r w:rsidR="005F635E">
              <w:rPr>
                <w:noProof/>
                <w:webHidden/>
              </w:rPr>
              <w:instrText xml:space="preserve"> PAGEREF _Toc153390058 \h </w:instrText>
            </w:r>
            <w:r w:rsidR="005F635E">
              <w:rPr>
                <w:noProof/>
                <w:webHidden/>
              </w:rPr>
            </w:r>
            <w:r w:rsidR="005F635E">
              <w:rPr>
                <w:noProof/>
                <w:webHidden/>
              </w:rPr>
              <w:fldChar w:fldCharType="separate"/>
            </w:r>
            <w:r w:rsidR="005F635E">
              <w:rPr>
                <w:noProof/>
                <w:webHidden/>
              </w:rPr>
              <w:t>9</w:t>
            </w:r>
            <w:r w:rsidR="005F635E">
              <w:rPr>
                <w:noProof/>
                <w:webHidden/>
              </w:rPr>
              <w:fldChar w:fldCharType="end"/>
            </w:r>
          </w:hyperlink>
        </w:p>
        <w:p w14:paraId="4D85C6DA" w14:textId="0CBA3D3E" w:rsidR="005F635E" w:rsidRDefault="005F635E">
          <w:r>
            <w:rPr>
              <w:b/>
              <w:bCs/>
              <w:noProof/>
            </w:rPr>
            <w:fldChar w:fldCharType="end"/>
          </w:r>
        </w:p>
      </w:sdtContent>
    </w:sdt>
    <w:p w14:paraId="7FC4F2C1" w14:textId="77777777" w:rsidR="00735E47" w:rsidRDefault="00000000">
      <w:pPr>
        <w:pStyle w:val="Title"/>
      </w:pPr>
      <w:r>
        <w:br w:type="page"/>
      </w:r>
    </w:p>
    <w:p w14:paraId="41A1C1B6" w14:textId="77777777" w:rsidR="00735E47" w:rsidRDefault="00000000">
      <w:pPr>
        <w:pStyle w:val="Heading1"/>
      </w:pPr>
      <w:bookmarkStart w:id="8" w:name="_Toc153390055"/>
      <w:r>
        <w:lastRenderedPageBreak/>
        <w:t>Introduction</w:t>
      </w:r>
      <w:bookmarkEnd w:id="8"/>
    </w:p>
    <w:p w14:paraId="759136A9" w14:textId="77777777" w:rsidR="00735E47" w:rsidRDefault="00000000">
      <w:r>
        <w:t>I progress on a reflective journey through the lens of the Scope community engagement project and I am compelled to delve into the profound insights derived from its strategic initiatives. This essay unfolds as a narrative of transformative impact, where the project emerges as a community catalyst. The project forms a formidable force by challenging societal norms and advocating for the equal rights of disabled individuals. I find myself immersed in the shared experiences of disabled individuals and their families by witnessing the power of open forums, particularly community meetings. This is a journey that encourages a deeper understanding among community members and transcends conventional barriers and so the project's resolute commitment to collaboration, diversity, and inclusion becomes a voice against discrimination and initiates a significant shift in societal perspectives. The engagement of local communities in planning activities extends beyond mere awareness and also they actively contribute to the success of impactful campaigns. The strategic post-project plan recommendation to champion the rights of disabled individuals through the Equality Act of 2010 emerges as a thoughtful and impactful roadmap and I realised that fact. This foresighted strategy aligns seamlessly with the project's ethos and underscores the critical role of recognizing disabled individuals as integral community members in reshaping societal attitudes towards inclusivity and equal rights.</w:t>
      </w:r>
    </w:p>
    <w:p w14:paraId="5EEADF8A" w14:textId="77777777" w:rsidR="00735E47" w:rsidRDefault="00000000">
      <w:pPr>
        <w:pStyle w:val="Heading1"/>
      </w:pPr>
      <w:bookmarkStart w:id="9" w:name="_Toc153390056"/>
      <w:r>
        <w:t>Reflection Based on Component 1: Scope's Community Engagement Project</w:t>
      </w:r>
      <w:bookmarkEnd w:id="9"/>
    </w:p>
    <w:p w14:paraId="738E8B92" w14:textId="77777777" w:rsidR="00735E47" w:rsidRDefault="00000000">
      <w:pPr>
        <w:rPr>
          <w:b/>
        </w:rPr>
      </w:pPr>
      <w:r>
        <w:rPr>
          <w:b/>
        </w:rPr>
        <w:t>Description</w:t>
      </w:r>
    </w:p>
    <w:p w14:paraId="3E8D4318" w14:textId="77777777" w:rsidR="00735E47" w:rsidRDefault="00000000">
      <w:r>
        <w:t>I explored the centre of Scope's community engagement project which is dedicated  to  England and Wales to champion equality for disabled individuals because the initiative boldly confronts the prevailing issue of unequal treatment which is experienced by disabled people across various facets of their lives (Scope, 2023).  The project aims as a central idea to empower disabled individuals aged 18 and above and their families also and unpaid caretakers by catalysing transformative change through active engagement with the local community.</w:t>
      </w:r>
    </w:p>
    <w:p w14:paraId="4C53CEA7" w14:textId="77777777" w:rsidR="00735E47" w:rsidRDefault="00000000">
      <w:r>
        <w:t xml:space="preserve">This initiative lies in a standout feature which is in its unwavering commitment to community engagement principles and standards and these guiding principles which are transparency, trust, impact, and action, underscore the dedication of the project to clear and open communication. The emphasis on transparency makes assurance that every participant is well-informed about program actions and processes and this commitment encourages trust within the community and ensures that each individual's contribution holds significance in the collective pursuit of positive change. This examination has illuminated the profound commitment of the project to fostering an inclusive and participatory environment. In this environment, principles of </w:t>
      </w:r>
      <w:r>
        <w:lastRenderedPageBreak/>
        <w:t>community engagement serve as the cornerstone for meaningful collaboration and societal transformation (Scope, 2023).</w:t>
      </w:r>
    </w:p>
    <w:p w14:paraId="462BBBD4" w14:textId="77777777" w:rsidR="00735E47" w:rsidRDefault="00000000">
      <w:pPr>
        <w:rPr>
          <w:b/>
        </w:rPr>
      </w:pPr>
      <w:r>
        <w:rPr>
          <w:b/>
        </w:rPr>
        <w:t>Feelings</w:t>
      </w:r>
    </w:p>
    <w:p w14:paraId="16D181B8" w14:textId="77777777" w:rsidR="00735E47" w:rsidRDefault="00000000">
      <w:r>
        <w:t>When I think about the project, various emotions come out within me and I feel a deep empathy for the challenges that disabled individuals encounter daily. I witnessed the proactive steps which are taken by Scope and local communities to address these challenges and a deep admiration.has grown in me. All the stakeholders’ commitment  which are involved in tackling issues of inequality is truly inspiring and creates an atmosphere for positive change and this change is hopeful. However, it is very difficult to ignore the fact that disabled individuals face discrimination and the problem is widespread and whenever I realise it, a sparks of frustration within me is developing and I find myself yearning for a quicker and more substantial transformation. It is a mix of emotions like inspiration and hope on one side, and frustration on the other (Lew and Schmidt, 2011). I became aware of the persistent struggles which are faced by the disabled community. This emotional journey deepens my understanding of the complexities which are involved in encouraging equality and inclusion and in spite of the challenges, the dedication and proactive measures that the project provides, creates a sense of determination in me by motivating me to actively contribute to a more inclusive and equitable society.</w:t>
      </w:r>
    </w:p>
    <w:p w14:paraId="7E6A312E" w14:textId="77777777" w:rsidR="00735E47" w:rsidRDefault="00000000">
      <w:pPr>
        <w:rPr>
          <w:b/>
        </w:rPr>
      </w:pPr>
      <w:r>
        <w:rPr>
          <w:b/>
        </w:rPr>
        <w:t>Evaluation</w:t>
      </w:r>
    </w:p>
    <w:p w14:paraId="4AED9A89" w14:textId="77777777" w:rsidR="00735E47" w:rsidRDefault="00000000">
      <w:r>
        <w:t>I notice a well-organised and thorough strategy in action when I examine the community engagement approaches and I genuinely appreciate the decision to involve local communities through monthly meetings. These gatherings provide valuable things which I like including space for open discussions and by doing this they can foster transparency, and promote community-driven initiatives. I value the fact that the use of social media platforms like Facebook, Twitter, and Instagram reflects an understanding of modern communication methods and so this strategy broadens the reach of the project and spreads awareness widely and encourages more people to get involved (Steinmetz</w:t>
      </w:r>
      <w:r>
        <w:rPr>
          <w:i/>
        </w:rPr>
        <w:t xml:space="preserve"> et al.,</w:t>
      </w:r>
      <w:r>
        <w:t xml:space="preserve"> 2021). The selection of project locations was commendable because it focuses on areas with a higher proportion of disabled individuals and it also demonstrates a smart and impactful strategy. The project can make a more significant difference by concentrating efforts in these regions where it is most needed. The choice of community meetings and focus groups as engagement methods showcases a better understanding of community dynamics because  the community meetings enable face-to-face interactions. It also emphasises transparency, while focus groups facilitate discussions with specific stakeholder groups. For the project's success it is important like the integration of </w:t>
      </w:r>
      <w:r>
        <w:lastRenderedPageBreak/>
        <w:t>community participation, collaboration and diversity and inclusion, principles in the planning process. Community participation gives power to individuals, collaboration unites efforts, and everyone is equally represented, this fact is ensured by diversity and inclusion (aese.psu.edu, 2023). This approach strengthens the foundation of the project by enhancing its effectiveness in creating positive change within the communities it serves. So I can say that these thoughtful strategies contribute to the project's success, and this success helps in fostering inclusive engagement and meaningful transformations.</w:t>
      </w:r>
    </w:p>
    <w:p w14:paraId="184E581B" w14:textId="77777777" w:rsidR="00735E47" w:rsidRDefault="00000000">
      <w:pPr>
        <w:rPr>
          <w:b/>
        </w:rPr>
      </w:pPr>
      <w:r>
        <w:rPr>
          <w:b/>
        </w:rPr>
        <w:t>Analysis</w:t>
      </w:r>
    </w:p>
    <w:p w14:paraId="1096D196" w14:textId="77777777" w:rsidR="00735E47" w:rsidRDefault="00000000">
      <w:r>
        <w:t>When I deeply examined the project, I discovered profound lessons that relate with the transformative power of community engagement and the engagement program emerges as a forceful advocate for the equal rights and privileges of disabled individuals by fearlessly challenging entrenched societal norms. Participating in open forums, especially in community meetings, I witness the impactful narratives which are shared by disabled individuals and their families and these personal stories are important because they serve as catalysts and foster a deeper understanding among community members and create an empathetic connection that transcends conventional barriers (C3SC, 2022). The dedication of the project to collaboration and also diversity and inclusion stands out as a unifying force against discrimination. Every disabled person is an important part of the community and this fact makes an important step in a significant shift in societal perspectives because it goes beyond mere acknowledgment which tells that it is a notable moment challenging preconceived notions and fostering a sense of shared responsibility for inclusivity. Active engagement in planning activities is shown greatly by the local people that goes beyond awareness. It is a dynamic contribution to the success of impactful campaigns and it can't be denied. Illustration of the tangible outcomes of community-driven initiatives are good examples of endanced beach access and disability awareness workshops. These accomplishments underscore the importance of grassroots involvement in effecting meaningful change. The post-project plan recommendation which promotes the rights of disabled individuals through the Equality Act of 2010 is thoughtful (disability rights UK, 2023). It is also impactful because of the proactive implementation and reinforcement of the act's principles which serve as a potent catalyst for broader societal change. It is very important to recognize disabled individuals as integral community members. The reason for this is not just because of protecting their rights but for reshaping societal values toward a truly inclusive and equitable society. This forward-looking aligns seamlessly with the project's principles by ensuring that the positive momentum which is generated to reshape societal attitudes and practices towards inclusivity and equal rights.</w:t>
      </w:r>
    </w:p>
    <w:p w14:paraId="04F32FCD" w14:textId="77777777" w:rsidR="00735E47" w:rsidRDefault="00000000">
      <w:pPr>
        <w:rPr>
          <w:b/>
        </w:rPr>
      </w:pPr>
      <w:r>
        <w:rPr>
          <w:b/>
        </w:rPr>
        <w:lastRenderedPageBreak/>
        <w:t>Conclusion</w:t>
      </w:r>
    </w:p>
    <w:p w14:paraId="007D89D1" w14:textId="77777777" w:rsidR="00735E47" w:rsidRDefault="00000000">
      <w:r>
        <w:t xml:space="preserve">I am profoundly impressed by the tangible and positive impact and because it has been unveiled through strategic planning and active community involvement when I make a conclusion of my analysis of the Scope community engagement (Adeani </w:t>
      </w:r>
      <w:r>
        <w:rPr>
          <w:i/>
        </w:rPr>
        <w:t xml:space="preserve">et al., </w:t>
      </w:r>
      <w:r>
        <w:t>2020). The project stands as an example or as a model because it transcends its role as a mere catalyst for equality and also it has evolved into a formidable force by challenging discriminatory practices and fostering a culture deeply rooted in inclusivity. It is evident that the principles of community engagement have been instrumental in steering the initiative toward transformative outcomes whenever I reflect on the success of the project. The strategic planning with robust community involvement has addressed immediate issues. These also sowed the seeds for enduring change and so this project serves as a beacon by illuminating the potential within communities to drive meaningful societal shifts when united under a common commitment to equality and inclusion. The impact of the project extends beyond the tangible changes which are observed and it has become a narrative which reshapes societal attitudes and practices. The principles, responsible for guiding community engagement have proven to be a dynamic force by influencing perspectives and challenging ingrained norms. I have gained a profound appreciation for the capacity of community-driven initiatives to act as powerful agents of change and foster environments where everyone is accorded the respect, dignity, and opportunities they rightfully deserve (Silvia and Phillips, 2011). So it can be said that this project signifies the transformative power inherent in purposeful community engagement and it leaves an indelible mark on both the community it serves and my understanding of the potential for positive societal change.</w:t>
      </w:r>
    </w:p>
    <w:p w14:paraId="6B1CCF32" w14:textId="77777777" w:rsidR="00735E47" w:rsidRDefault="00000000">
      <w:pPr>
        <w:rPr>
          <w:b/>
        </w:rPr>
      </w:pPr>
      <w:r>
        <w:rPr>
          <w:b/>
        </w:rPr>
        <w:t>Action Plan</w:t>
      </w:r>
    </w:p>
    <w:p w14:paraId="4B459AD0" w14:textId="77777777" w:rsidR="00735E47" w:rsidRDefault="00000000">
      <w:r>
        <w:t>It is very important to harness the momentum generated by the project's success and so my action plan involves a dedicated commitment to championing the principles laid out in the Equality Act of 2010.</w:t>
      </w:r>
    </w:p>
    <w:tbl>
      <w:tblPr>
        <w:tblStyle w:val="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257"/>
        <w:gridCol w:w="2257"/>
        <w:gridCol w:w="2257"/>
        <w:gridCol w:w="2257"/>
      </w:tblGrid>
      <w:tr w:rsidR="00735E47" w14:paraId="038B1505" w14:textId="77777777" w:rsidTr="00AA0A87">
        <w:tc>
          <w:tcPr>
            <w:tcW w:w="2257" w:type="dxa"/>
            <w:tcMar>
              <w:top w:w="100" w:type="dxa"/>
              <w:left w:w="100" w:type="dxa"/>
              <w:bottom w:w="100" w:type="dxa"/>
              <w:right w:w="100" w:type="dxa"/>
            </w:tcMar>
            <w:vAlign w:val="bottom"/>
          </w:tcPr>
          <w:p w14:paraId="48510749" w14:textId="77777777" w:rsidR="00735E47" w:rsidRDefault="00000000">
            <w:pPr>
              <w:spacing w:line="411" w:lineRule="auto"/>
              <w:jc w:val="center"/>
              <w:rPr>
                <w:b/>
              </w:rPr>
            </w:pPr>
            <w:r>
              <w:rPr>
                <w:b/>
              </w:rPr>
              <w:t>Action Steps</w:t>
            </w:r>
          </w:p>
        </w:tc>
        <w:tc>
          <w:tcPr>
            <w:tcW w:w="2257" w:type="dxa"/>
            <w:tcMar>
              <w:top w:w="100" w:type="dxa"/>
              <w:left w:w="100" w:type="dxa"/>
              <w:bottom w:w="100" w:type="dxa"/>
              <w:right w:w="100" w:type="dxa"/>
            </w:tcMar>
            <w:vAlign w:val="bottom"/>
          </w:tcPr>
          <w:p w14:paraId="679160AC" w14:textId="77777777" w:rsidR="00735E47" w:rsidRDefault="00000000">
            <w:pPr>
              <w:spacing w:line="411" w:lineRule="auto"/>
              <w:jc w:val="center"/>
              <w:rPr>
                <w:b/>
              </w:rPr>
            </w:pPr>
            <w:r>
              <w:rPr>
                <w:b/>
              </w:rPr>
              <w:t>Timeline</w:t>
            </w:r>
          </w:p>
        </w:tc>
        <w:tc>
          <w:tcPr>
            <w:tcW w:w="2257" w:type="dxa"/>
            <w:tcMar>
              <w:top w:w="100" w:type="dxa"/>
              <w:left w:w="100" w:type="dxa"/>
              <w:bottom w:w="100" w:type="dxa"/>
              <w:right w:w="100" w:type="dxa"/>
            </w:tcMar>
            <w:vAlign w:val="bottom"/>
          </w:tcPr>
          <w:p w14:paraId="4F368891" w14:textId="77777777" w:rsidR="00735E47" w:rsidRDefault="00000000">
            <w:pPr>
              <w:spacing w:line="411" w:lineRule="auto"/>
              <w:jc w:val="center"/>
              <w:rPr>
                <w:b/>
              </w:rPr>
            </w:pPr>
            <w:r>
              <w:rPr>
                <w:b/>
              </w:rPr>
              <w:t>Responsible Party</w:t>
            </w:r>
          </w:p>
        </w:tc>
        <w:tc>
          <w:tcPr>
            <w:tcW w:w="2257" w:type="dxa"/>
            <w:tcMar>
              <w:top w:w="100" w:type="dxa"/>
              <w:left w:w="100" w:type="dxa"/>
              <w:bottom w:w="100" w:type="dxa"/>
              <w:right w:w="100" w:type="dxa"/>
            </w:tcMar>
            <w:vAlign w:val="bottom"/>
          </w:tcPr>
          <w:p w14:paraId="7A21F398" w14:textId="77777777" w:rsidR="00735E47" w:rsidRDefault="00000000">
            <w:pPr>
              <w:spacing w:line="411" w:lineRule="auto"/>
              <w:jc w:val="center"/>
              <w:rPr>
                <w:b/>
              </w:rPr>
            </w:pPr>
            <w:r>
              <w:rPr>
                <w:b/>
              </w:rPr>
              <w:t>Progress Status</w:t>
            </w:r>
          </w:p>
        </w:tc>
      </w:tr>
      <w:tr w:rsidR="00735E47" w14:paraId="66DF761F" w14:textId="77777777" w:rsidTr="00AA0A87">
        <w:tc>
          <w:tcPr>
            <w:tcW w:w="2257" w:type="dxa"/>
            <w:tcMar>
              <w:top w:w="100" w:type="dxa"/>
              <w:left w:w="100" w:type="dxa"/>
              <w:bottom w:w="100" w:type="dxa"/>
              <w:right w:w="100" w:type="dxa"/>
            </w:tcMar>
            <w:vAlign w:val="center"/>
          </w:tcPr>
          <w:p w14:paraId="09B20B9B" w14:textId="77777777" w:rsidR="00735E47" w:rsidRDefault="00000000">
            <w:pPr>
              <w:spacing w:line="411" w:lineRule="auto"/>
              <w:jc w:val="left"/>
              <w:rPr>
                <w:b/>
              </w:rPr>
            </w:pPr>
            <w:r>
              <w:rPr>
                <w:b/>
              </w:rPr>
              <w:t>Advocate for Equality Act principles</w:t>
            </w:r>
          </w:p>
        </w:tc>
        <w:tc>
          <w:tcPr>
            <w:tcW w:w="2257" w:type="dxa"/>
            <w:tcMar>
              <w:top w:w="100" w:type="dxa"/>
              <w:left w:w="100" w:type="dxa"/>
              <w:bottom w:w="100" w:type="dxa"/>
              <w:right w:w="100" w:type="dxa"/>
            </w:tcMar>
            <w:vAlign w:val="center"/>
          </w:tcPr>
          <w:p w14:paraId="0E73E1EC" w14:textId="77777777" w:rsidR="00735E47" w:rsidRDefault="00000000">
            <w:pPr>
              <w:spacing w:line="411" w:lineRule="auto"/>
              <w:jc w:val="left"/>
            </w:pPr>
            <w:r>
              <w:t>Ongoing</w:t>
            </w:r>
          </w:p>
        </w:tc>
        <w:tc>
          <w:tcPr>
            <w:tcW w:w="2257" w:type="dxa"/>
            <w:tcMar>
              <w:top w:w="100" w:type="dxa"/>
              <w:left w:w="100" w:type="dxa"/>
              <w:bottom w:w="100" w:type="dxa"/>
              <w:right w:w="100" w:type="dxa"/>
            </w:tcMar>
            <w:vAlign w:val="center"/>
          </w:tcPr>
          <w:p w14:paraId="0EAEDF72" w14:textId="77777777" w:rsidR="00735E47" w:rsidRDefault="00000000">
            <w:pPr>
              <w:spacing w:line="411" w:lineRule="auto"/>
              <w:jc w:val="left"/>
            </w:pPr>
            <w:r>
              <w:t>Myself</w:t>
            </w:r>
          </w:p>
        </w:tc>
        <w:tc>
          <w:tcPr>
            <w:tcW w:w="2257" w:type="dxa"/>
            <w:tcMar>
              <w:top w:w="100" w:type="dxa"/>
              <w:left w:w="100" w:type="dxa"/>
              <w:bottom w:w="100" w:type="dxa"/>
              <w:right w:w="100" w:type="dxa"/>
            </w:tcMar>
            <w:vAlign w:val="center"/>
          </w:tcPr>
          <w:p w14:paraId="65BEE18B" w14:textId="77777777" w:rsidR="00735E47" w:rsidRDefault="00000000">
            <w:pPr>
              <w:spacing w:line="411" w:lineRule="auto"/>
              <w:jc w:val="left"/>
            </w:pPr>
            <w:r>
              <w:t>In Progress</w:t>
            </w:r>
          </w:p>
        </w:tc>
      </w:tr>
      <w:tr w:rsidR="00735E47" w14:paraId="30FF1E27" w14:textId="77777777" w:rsidTr="00AA0A87">
        <w:tc>
          <w:tcPr>
            <w:tcW w:w="2257" w:type="dxa"/>
            <w:tcMar>
              <w:top w:w="100" w:type="dxa"/>
              <w:left w:w="100" w:type="dxa"/>
              <w:bottom w:w="100" w:type="dxa"/>
              <w:right w:w="100" w:type="dxa"/>
            </w:tcMar>
            <w:vAlign w:val="center"/>
          </w:tcPr>
          <w:p w14:paraId="25C3814B" w14:textId="77777777" w:rsidR="00735E47" w:rsidRDefault="00000000">
            <w:pPr>
              <w:spacing w:line="411" w:lineRule="auto"/>
              <w:jc w:val="left"/>
              <w:rPr>
                <w:b/>
              </w:rPr>
            </w:pPr>
            <w:r>
              <w:rPr>
                <w:b/>
              </w:rPr>
              <w:lastRenderedPageBreak/>
              <w:t>Conduct awareness campaigns in local communities</w:t>
            </w:r>
          </w:p>
        </w:tc>
        <w:tc>
          <w:tcPr>
            <w:tcW w:w="2257" w:type="dxa"/>
            <w:tcMar>
              <w:top w:w="100" w:type="dxa"/>
              <w:left w:w="100" w:type="dxa"/>
              <w:bottom w:w="100" w:type="dxa"/>
              <w:right w:w="100" w:type="dxa"/>
            </w:tcMar>
            <w:vAlign w:val="center"/>
          </w:tcPr>
          <w:p w14:paraId="5843E1A7" w14:textId="77777777" w:rsidR="00735E47" w:rsidRDefault="00000000">
            <w:pPr>
              <w:spacing w:line="411" w:lineRule="auto"/>
              <w:jc w:val="left"/>
            </w:pPr>
            <w:r>
              <w:t>Next 6 months</w:t>
            </w:r>
          </w:p>
        </w:tc>
        <w:tc>
          <w:tcPr>
            <w:tcW w:w="2257" w:type="dxa"/>
            <w:tcMar>
              <w:top w:w="100" w:type="dxa"/>
              <w:left w:w="100" w:type="dxa"/>
              <w:bottom w:w="100" w:type="dxa"/>
              <w:right w:w="100" w:type="dxa"/>
            </w:tcMar>
            <w:vAlign w:val="center"/>
          </w:tcPr>
          <w:p w14:paraId="3F34A17B" w14:textId="77777777" w:rsidR="00735E47" w:rsidRDefault="00000000">
            <w:pPr>
              <w:spacing w:line="411" w:lineRule="auto"/>
              <w:jc w:val="left"/>
            </w:pPr>
            <w:r>
              <w:t>Myself, Local Community</w:t>
            </w:r>
          </w:p>
        </w:tc>
        <w:tc>
          <w:tcPr>
            <w:tcW w:w="2257" w:type="dxa"/>
            <w:tcMar>
              <w:top w:w="100" w:type="dxa"/>
              <w:left w:w="100" w:type="dxa"/>
              <w:bottom w:w="100" w:type="dxa"/>
              <w:right w:w="100" w:type="dxa"/>
            </w:tcMar>
            <w:vAlign w:val="center"/>
          </w:tcPr>
          <w:p w14:paraId="6123AF0B" w14:textId="77777777" w:rsidR="00735E47" w:rsidRDefault="00000000">
            <w:pPr>
              <w:spacing w:line="411" w:lineRule="auto"/>
              <w:jc w:val="left"/>
            </w:pPr>
            <w:r>
              <w:t>Not Started</w:t>
            </w:r>
          </w:p>
        </w:tc>
      </w:tr>
      <w:tr w:rsidR="00735E47" w14:paraId="631B03FE" w14:textId="77777777" w:rsidTr="00AA0A87">
        <w:tc>
          <w:tcPr>
            <w:tcW w:w="2257" w:type="dxa"/>
            <w:tcMar>
              <w:top w:w="100" w:type="dxa"/>
              <w:left w:w="100" w:type="dxa"/>
              <w:bottom w:w="100" w:type="dxa"/>
              <w:right w:w="100" w:type="dxa"/>
            </w:tcMar>
            <w:vAlign w:val="center"/>
          </w:tcPr>
          <w:p w14:paraId="463479E3" w14:textId="77777777" w:rsidR="00735E47" w:rsidRDefault="00000000">
            <w:pPr>
              <w:spacing w:line="411" w:lineRule="auto"/>
              <w:jc w:val="left"/>
              <w:rPr>
                <w:b/>
              </w:rPr>
            </w:pPr>
            <w:r>
              <w:rPr>
                <w:b/>
              </w:rPr>
              <w:t>Collaborate with local authorities and government</w:t>
            </w:r>
          </w:p>
        </w:tc>
        <w:tc>
          <w:tcPr>
            <w:tcW w:w="2257" w:type="dxa"/>
            <w:tcMar>
              <w:top w:w="100" w:type="dxa"/>
              <w:left w:w="100" w:type="dxa"/>
              <w:bottom w:w="100" w:type="dxa"/>
              <w:right w:w="100" w:type="dxa"/>
            </w:tcMar>
            <w:vAlign w:val="center"/>
          </w:tcPr>
          <w:p w14:paraId="6634CA63" w14:textId="77777777" w:rsidR="00735E47" w:rsidRDefault="00000000">
            <w:pPr>
              <w:spacing w:line="411" w:lineRule="auto"/>
              <w:jc w:val="left"/>
            </w:pPr>
            <w:r>
              <w:t>Next 3 months</w:t>
            </w:r>
          </w:p>
        </w:tc>
        <w:tc>
          <w:tcPr>
            <w:tcW w:w="2257" w:type="dxa"/>
            <w:tcMar>
              <w:top w:w="100" w:type="dxa"/>
              <w:left w:w="100" w:type="dxa"/>
              <w:bottom w:w="100" w:type="dxa"/>
              <w:right w:w="100" w:type="dxa"/>
            </w:tcMar>
            <w:vAlign w:val="center"/>
          </w:tcPr>
          <w:p w14:paraId="12451867" w14:textId="77777777" w:rsidR="00735E47" w:rsidRDefault="00000000">
            <w:pPr>
              <w:spacing w:line="411" w:lineRule="auto"/>
              <w:jc w:val="left"/>
            </w:pPr>
            <w:r>
              <w:t>Myself, Local Authorities</w:t>
            </w:r>
          </w:p>
        </w:tc>
        <w:tc>
          <w:tcPr>
            <w:tcW w:w="2257" w:type="dxa"/>
            <w:tcMar>
              <w:top w:w="100" w:type="dxa"/>
              <w:left w:w="100" w:type="dxa"/>
              <w:bottom w:w="100" w:type="dxa"/>
              <w:right w:w="100" w:type="dxa"/>
            </w:tcMar>
            <w:vAlign w:val="center"/>
          </w:tcPr>
          <w:p w14:paraId="7FC5D220" w14:textId="77777777" w:rsidR="00735E47" w:rsidRDefault="00000000">
            <w:pPr>
              <w:spacing w:line="411" w:lineRule="auto"/>
              <w:jc w:val="left"/>
            </w:pPr>
            <w:r>
              <w:t>Not Started</w:t>
            </w:r>
          </w:p>
        </w:tc>
      </w:tr>
      <w:tr w:rsidR="00735E47" w14:paraId="631D7DE8" w14:textId="77777777" w:rsidTr="00AA0A87">
        <w:tc>
          <w:tcPr>
            <w:tcW w:w="2257" w:type="dxa"/>
            <w:tcMar>
              <w:top w:w="100" w:type="dxa"/>
              <w:left w:w="100" w:type="dxa"/>
              <w:bottom w:w="100" w:type="dxa"/>
              <w:right w:w="100" w:type="dxa"/>
            </w:tcMar>
            <w:vAlign w:val="center"/>
          </w:tcPr>
          <w:p w14:paraId="1E75168B" w14:textId="77777777" w:rsidR="00735E47" w:rsidRDefault="00000000">
            <w:pPr>
              <w:spacing w:line="411" w:lineRule="auto"/>
              <w:jc w:val="left"/>
              <w:rPr>
                <w:b/>
              </w:rPr>
            </w:pPr>
            <w:r>
              <w:rPr>
                <w:b/>
              </w:rPr>
              <w:t>Strengthen collaboration between stakeholders</w:t>
            </w:r>
          </w:p>
        </w:tc>
        <w:tc>
          <w:tcPr>
            <w:tcW w:w="2257" w:type="dxa"/>
            <w:tcMar>
              <w:top w:w="100" w:type="dxa"/>
              <w:left w:w="100" w:type="dxa"/>
              <w:bottom w:w="100" w:type="dxa"/>
              <w:right w:w="100" w:type="dxa"/>
            </w:tcMar>
            <w:vAlign w:val="center"/>
          </w:tcPr>
          <w:p w14:paraId="0CEEA239" w14:textId="77777777" w:rsidR="00735E47" w:rsidRDefault="00000000">
            <w:pPr>
              <w:spacing w:line="411" w:lineRule="auto"/>
              <w:jc w:val="left"/>
            </w:pPr>
            <w:r>
              <w:t>Ongoing</w:t>
            </w:r>
          </w:p>
        </w:tc>
        <w:tc>
          <w:tcPr>
            <w:tcW w:w="2257" w:type="dxa"/>
            <w:tcMar>
              <w:top w:w="100" w:type="dxa"/>
              <w:left w:w="100" w:type="dxa"/>
              <w:bottom w:w="100" w:type="dxa"/>
              <w:right w:w="100" w:type="dxa"/>
            </w:tcMar>
            <w:vAlign w:val="center"/>
          </w:tcPr>
          <w:p w14:paraId="39D22260" w14:textId="77777777" w:rsidR="00735E47" w:rsidRDefault="00000000">
            <w:pPr>
              <w:spacing w:line="411" w:lineRule="auto"/>
              <w:jc w:val="left"/>
            </w:pPr>
            <w:r>
              <w:t>Myself, Stakeholders</w:t>
            </w:r>
          </w:p>
        </w:tc>
        <w:tc>
          <w:tcPr>
            <w:tcW w:w="2257" w:type="dxa"/>
            <w:tcMar>
              <w:top w:w="100" w:type="dxa"/>
              <w:left w:w="100" w:type="dxa"/>
              <w:bottom w:w="100" w:type="dxa"/>
              <w:right w:w="100" w:type="dxa"/>
            </w:tcMar>
            <w:vAlign w:val="center"/>
          </w:tcPr>
          <w:p w14:paraId="4D7D8328" w14:textId="77777777" w:rsidR="00735E47" w:rsidRDefault="00000000">
            <w:pPr>
              <w:spacing w:line="411" w:lineRule="auto"/>
              <w:jc w:val="left"/>
            </w:pPr>
            <w:r>
              <w:t>In Progress</w:t>
            </w:r>
          </w:p>
        </w:tc>
      </w:tr>
    </w:tbl>
    <w:p w14:paraId="7D740817" w14:textId="77777777" w:rsidR="00735E47" w:rsidRDefault="00000000">
      <w:pPr>
        <w:pBdr>
          <w:top w:val="none" w:sz="0" w:space="0" w:color="D9D9E3"/>
          <w:left w:val="none" w:sz="0" w:space="0" w:color="D9D9E3"/>
          <w:bottom w:val="none" w:sz="0" w:space="0" w:color="D9D9E3"/>
          <w:right w:val="none" w:sz="0" w:space="0" w:color="D9D9E3"/>
          <w:between w:val="none" w:sz="0" w:space="0" w:color="D9D9E3"/>
        </w:pBdr>
        <w:spacing w:before="300" w:after="300"/>
      </w:pPr>
      <w:r>
        <w:t xml:space="preserve">In continuing my commitment to the Scope community engagement project, I am actively advocating for the principles embedded in the Equality Act and this ongoing effort to make sure that the legal framework which is supporting equality for disabled individuals is not only understood but also actively implemented within the communities. Over the next six months, I plan to initiate awareness campaigns in local communities and  this collaborative effort involves not only myself but also engaging with the local community to disseminate information and foster understanding, and encourage active participation in promoting equality for disabled individuals (Sekarwinahyu </w:t>
      </w:r>
      <w:r>
        <w:rPr>
          <w:i/>
        </w:rPr>
        <w:t xml:space="preserve">et al., </w:t>
      </w:r>
      <w:r>
        <w:t>2019). To proceed further within the next three months, I will embark on a collaborative journey with local authorities and government bodies and this strategic collaboration aims to align community efforts with broader governmental initiatives and amplify the impact and foster a more unified approach to tackling issues related to disability rights. The ongoing commitment to strengthen collaboration between stakeholders remains a priority because this involves continuous engagement with various entities by ensuring the fact that the project's objectives are understood, supported, and advanced collectively. As of now, progress has been initiated in this aspect and it's been initiated by signifying a step-by-step approach toward achieving the outlined action plan.</w:t>
      </w:r>
    </w:p>
    <w:p w14:paraId="67676040" w14:textId="77777777" w:rsidR="00735E47" w:rsidRDefault="00000000">
      <w:pPr>
        <w:pStyle w:val="Heading1"/>
      </w:pPr>
      <w:bookmarkStart w:id="10" w:name="_Toc153390057"/>
      <w:r>
        <w:t>Conclusion</w:t>
      </w:r>
      <w:bookmarkEnd w:id="10"/>
      <w:r>
        <w:t xml:space="preserve"> </w:t>
      </w:r>
    </w:p>
    <w:p w14:paraId="03E467DF" w14:textId="77777777" w:rsidR="00735E47" w:rsidRDefault="00000000">
      <w:r>
        <w:t xml:space="preserve">To conclude I can say that this reflective exploration of the Scope community engagement project is an eye opener for me and I find myself profoundly moved by the project's </w:t>
      </w:r>
      <w:r>
        <w:lastRenderedPageBreak/>
        <w:t>transformative journey. It transcends the realm of a conventional initiative and stands tall as a powerful force by challenging societal norms and advocating vehemently for the equal rights of disabled individuals. It becomes very evident that the project's impact extends beyond immediate changes whenever I reflect on the shared narratives in community meetings and the tangible outcomes of impactful campaigns. The project also serves as a catalyst by reshaping societal attitudes and practices. The project shows an unwavering dedication to collaboration, diversity, and inclusion becoming a unifying force and also sparks a paradigm shift in how we perceive disabled individuals within our communities. To proceed further, the strategic post-project plan recommendation to champion the rights of disabled individuals through the Equality Act of 2010 emerges as a thoughtful and impactful pathway and it signifies a commitment to protect rights but to actively contribute to broader societal change. This reflective journey inspired me to a great extent and I became committed to fostering inclusivity and equal rights. The Scope project exemplifies the potential of community engagement to be a dynamic force for positive change and leaves an mark on both the communities it serves and my understanding of the profound impact of collective action.</w:t>
      </w:r>
    </w:p>
    <w:p w14:paraId="3A60C7F4" w14:textId="77777777" w:rsidR="00C9599A" w:rsidRDefault="00C9599A">
      <w:pPr>
        <w:rPr>
          <w:b/>
          <w:sz w:val="28"/>
          <w:szCs w:val="28"/>
        </w:rPr>
      </w:pPr>
      <w:r>
        <w:br w:type="page"/>
      </w:r>
    </w:p>
    <w:p w14:paraId="6C7189B6" w14:textId="390971D5" w:rsidR="00735E47" w:rsidRDefault="00000000">
      <w:pPr>
        <w:pStyle w:val="Heading1"/>
      </w:pPr>
      <w:bookmarkStart w:id="11" w:name="_Toc153390058"/>
      <w:r>
        <w:lastRenderedPageBreak/>
        <w:t>References</w:t>
      </w:r>
      <w:bookmarkEnd w:id="11"/>
    </w:p>
    <w:p w14:paraId="64907FC9" w14:textId="77777777" w:rsidR="00C9599A" w:rsidRDefault="00C9599A" w:rsidP="00C9599A">
      <w:pPr>
        <w:spacing w:before="240"/>
      </w:pPr>
      <w:r>
        <w:rPr>
          <w:color w:val="222222"/>
          <w:highlight w:val="white"/>
        </w:rPr>
        <w:t xml:space="preserve">Adeani, I.S., Febriani, R.B. and Syafryadin, S., 2020. Using GIBBS’reflective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16831D49" w14:textId="77777777" w:rsidR="00C9599A" w:rsidRDefault="00C9599A" w:rsidP="00C9599A">
      <w:pPr>
        <w:spacing w:before="240"/>
      </w:pPr>
      <w:r>
        <w:t xml:space="preserve">aese.psu.edu. 2023. </w:t>
      </w:r>
      <w:r>
        <w:rPr>
          <w:i/>
        </w:rPr>
        <w:t>Core Principles of Community Engagement, Plone site</w:t>
      </w:r>
      <w:r>
        <w:t xml:space="preserve">. Available at: </w:t>
      </w:r>
      <w:hyperlink r:id="rId7" w:anchor=":~:text=Transparency%20and%20Trust.,are%20aware%20of%20that%20potential">
        <w:r>
          <w:rPr>
            <w:color w:val="1155CC"/>
            <w:u w:val="single"/>
          </w:rPr>
          <w:t>https://aese.psu.edu/research/centers/cecd/engagement-toolbox/engagement/core-principles-of-community-engagement#:~:text=Transparency%20and%20Trust.,are%20aware%20of%20that%20potential</w:t>
        </w:r>
      </w:hyperlink>
      <w:r>
        <w:t xml:space="preserve"> [Accessed 13 December, 2023]</w:t>
      </w:r>
    </w:p>
    <w:p w14:paraId="3F073623" w14:textId="77777777" w:rsidR="00C9599A" w:rsidRDefault="00C9599A" w:rsidP="00C9599A">
      <w:pPr>
        <w:spacing w:before="240"/>
      </w:pPr>
      <w:r>
        <w:t xml:space="preserve">C3SC. 2023. </w:t>
      </w:r>
      <w:r>
        <w:rPr>
          <w:i/>
        </w:rPr>
        <w:t>Scope Community Engagement Event: C3SC - Cardiff Third Sector Council, C3SC.</w:t>
      </w:r>
      <w:r>
        <w:t xml:space="preserve"> Available at: </w:t>
      </w:r>
      <w:hyperlink r:id="rId8">
        <w:r>
          <w:rPr>
            <w:color w:val="1155CC"/>
            <w:u w:val="single"/>
          </w:rPr>
          <w:t>https://c3sc.org.uk/scope-community-engagement-event/</w:t>
        </w:r>
      </w:hyperlink>
      <w:r>
        <w:t xml:space="preserve"> [Accessed 13 December, 2023]</w:t>
      </w:r>
    </w:p>
    <w:p w14:paraId="12B4B489" w14:textId="77777777" w:rsidR="00C9599A" w:rsidRDefault="00C9599A" w:rsidP="00C9599A">
      <w:pPr>
        <w:spacing w:before="240"/>
      </w:pPr>
      <w:r>
        <w:t xml:space="preserve">disability rights UK. 2023. </w:t>
      </w:r>
      <w:r>
        <w:rPr>
          <w:i/>
        </w:rPr>
        <w:t>The Equality Act and Disabled People, The Equality Act and Disabled people | Disability Rights UK.</w:t>
      </w:r>
      <w:r>
        <w:t xml:space="preserve"> Available at: </w:t>
      </w:r>
      <w:hyperlink r:id="rId9" w:anchor=":~:text=Under%20the%20Act%2C%20disabled%20people,%2C%20services%2C%20facilities%20and%20transport">
        <w:r>
          <w:rPr>
            <w:color w:val="1155CC"/>
            <w:u w:val="single"/>
          </w:rPr>
          <w:t>https://www.disabilityrightsuk.org/resources/equality-act-and-disabled-people#:~:text=Under%20the%20Act%2C%20disabled%20people,%2C%20services%2C%20facilities%20and%20transport</w:t>
        </w:r>
      </w:hyperlink>
      <w:r>
        <w:t>. [Accessed 13 December, 2023]</w:t>
      </w:r>
    </w:p>
    <w:p w14:paraId="397E9AC0" w14:textId="77777777" w:rsidR="00C9599A" w:rsidRDefault="00C9599A" w:rsidP="00C9599A">
      <w:pPr>
        <w:spacing w:before="240"/>
      </w:pPr>
      <w:r>
        <w:rPr>
          <w:color w:val="222222"/>
          <w:highlight w:val="white"/>
        </w:rPr>
        <w:t xml:space="preserve">Lew, D.N.M. and Schmidt, H.G., 2011. Writing to learn: can reflection journals be used to promote self-reflection and learning?. </w:t>
      </w:r>
      <w:r>
        <w:rPr>
          <w:i/>
          <w:color w:val="222222"/>
          <w:highlight w:val="white"/>
        </w:rPr>
        <w:t>Higher Education Research &amp; Development</w:t>
      </w:r>
      <w:r>
        <w:rPr>
          <w:color w:val="222222"/>
          <w:highlight w:val="white"/>
        </w:rPr>
        <w:t xml:space="preserve">, </w:t>
      </w:r>
      <w:r>
        <w:rPr>
          <w:i/>
          <w:color w:val="222222"/>
          <w:highlight w:val="white"/>
        </w:rPr>
        <w:t>30</w:t>
      </w:r>
      <w:r>
        <w:rPr>
          <w:color w:val="222222"/>
          <w:highlight w:val="white"/>
        </w:rPr>
        <w:t>(4), pp.519-532.</w:t>
      </w:r>
    </w:p>
    <w:p w14:paraId="49038D51" w14:textId="77777777" w:rsidR="00C9599A" w:rsidRDefault="00C9599A" w:rsidP="00C9599A">
      <w:pPr>
        <w:spacing w:before="240"/>
      </w:pPr>
      <w:r>
        <w:t xml:space="preserve">Scope. 2023. </w:t>
      </w:r>
      <w:r>
        <w:rPr>
          <w:i/>
        </w:rPr>
        <w:t>Community engagement: Disability charity scope UK, Scope.</w:t>
      </w:r>
      <w:r>
        <w:t xml:space="preserve"> Available at: </w:t>
      </w:r>
      <w:hyperlink r:id="rId10">
        <w:r>
          <w:rPr>
            <w:color w:val="1155CC"/>
            <w:u w:val="single"/>
          </w:rPr>
          <w:t>https://www.scope.org.uk/community-engagement-programme/</w:t>
        </w:r>
      </w:hyperlink>
      <w:r>
        <w:t xml:space="preserve"> [Accessed 13 December, 2023]</w:t>
      </w:r>
    </w:p>
    <w:p w14:paraId="285146E7" w14:textId="77777777" w:rsidR="00C9599A" w:rsidRDefault="00C9599A" w:rsidP="00C9599A">
      <w:pPr>
        <w:spacing w:before="240"/>
      </w:pPr>
      <w:r>
        <w:rPr>
          <w:color w:val="222222"/>
          <w:highlight w:val="white"/>
        </w:rPr>
        <w:t xml:space="preserve">Sekarwinahyu, M., Rustaman, N.Y., Widodo, A. and Riandi, R., 2019, February. Development of problem based learning for online tutorial program in plant development using Gibbs’ reflective cycle and e-portfolio to enhance reflective thinking skills. In </w:t>
      </w:r>
      <w:r>
        <w:rPr>
          <w:i/>
          <w:color w:val="222222"/>
          <w:highlight w:val="white"/>
        </w:rPr>
        <w:t>Journal of Physics: Conference Series</w:t>
      </w:r>
      <w:r>
        <w:rPr>
          <w:color w:val="222222"/>
          <w:highlight w:val="white"/>
        </w:rPr>
        <w:t xml:space="preserve"> (Vol. 1157, No. 2, p. 022099). IOP Publishing.</w:t>
      </w:r>
    </w:p>
    <w:p w14:paraId="5119C3AA" w14:textId="77777777" w:rsidR="00C9599A" w:rsidRDefault="00C9599A" w:rsidP="00C9599A">
      <w:pPr>
        <w:spacing w:before="240"/>
      </w:pPr>
      <w:r>
        <w:rPr>
          <w:color w:val="222222"/>
          <w:highlight w:val="white"/>
        </w:rPr>
        <w:t xml:space="preserve">Silvia, P.J. and Phillips, A.G., 2011. Evaluating self-reflection and insight as self-conscious traits. </w:t>
      </w:r>
      <w:r>
        <w:rPr>
          <w:i/>
          <w:color w:val="222222"/>
          <w:highlight w:val="white"/>
        </w:rPr>
        <w:t>Personality and Individual Differences</w:t>
      </w:r>
      <w:r>
        <w:rPr>
          <w:color w:val="222222"/>
          <w:highlight w:val="white"/>
        </w:rPr>
        <w:t xml:space="preserve">, </w:t>
      </w:r>
      <w:r>
        <w:rPr>
          <w:i/>
          <w:color w:val="222222"/>
          <w:highlight w:val="white"/>
        </w:rPr>
        <w:t>50</w:t>
      </w:r>
      <w:r>
        <w:rPr>
          <w:color w:val="222222"/>
          <w:highlight w:val="white"/>
        </w:rPr>
        <w:t>(2), pp.234-237.</w:t>
      </w:r>
    </w:p>
    <w:p w14:paraId="64742FFD" w14:textId="77777777" w:rsidR="00C9599A" w:rsidRDefault="00C9599A" w:rsidP="00C9599A">
      <w:pPr>
        <w:spacing w:before="240"/>
      </w:pPr>
      <w:r>
        <w:lastRenderedPageBreak/>
        <w:t xml:space="preserve">Steinmetz, C., Rahmat, H., Marshall, N., Bishop, K., Thompson, S., Park, M., Corkery, L. and Tietz, C., 2021. Liking, tweeting and posting: an analysis of community engagement through social media platforms. Urban Policy and Research, 39(1), pp.85-105. Link:   </w:t>
      </w:r>
      <w:hyperlink r:id="rId11">
        <w:r>
          <w:rPr>
            <w:color w:val="1155CC"/>
            <w:u w:val="single"/>
          </w:rPr>
          <w:t>https://sci-hub.se/https://doi.org/10.1080/08111146.2020.1792283</w:t>
        </w:r>
      </w:hyperlink>
      <w:r>
        <w:t xml:space="preserve"> </w:t>
      </w:r>
    </w:p>
    <w:p w14:paraId="3526F5A9" w14:textId="77777777" w:rsidR="00735E47" w:rsidRDefault="00735E47"/>
    <w:sectPr w:rsidR="00735E47" w:rsidSect="00836BBF">
      <w:headerReference w:type="default" r:id="rId12"/>
      <w:footerReference w:type="default" r:id="rId13"/>
      <w:footerReference w:type="first" r:id="rId14"/>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56D91" w14:textId="77777777" w:rsidR="00674DA8" w:rsidRDefault="00674DA8">
      <w:pPr>
        <w:spacing w:line="240" w:lineRule="auto"/>
      </w:pPr>
      <w:r>
        <w:separator/>
      </w:r>
    </w:p>
  </w:endnote>
  <w:endnote w:type="continuationSeparator" w:id="0">
    <w:p w14:paraId="15526ED6" w14:textId="77777777" w:rsidR="00674DA8" w:rsidRDefault="00674D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CFF0D" w14:textId="77777777" w:rsidR="00735E47" w:rsidRDefault="00000000">
    <w:pPr>
      <w:jc w:val="right"/>
    </w:pPr>
    <w:r>
      <w:fldChar w:fldCharType="begin"/>
    </w:r>
    <w:r>
      <w:instrText>PAGE</w:instrText>
    </w:r>
    <w:r>
      <w:fldChar w:fldCharType="separate"/>
    </w:r>
    <w:r w:rsidR="00C11527">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0DB2F" w14:textId="77777777" w:rsidR="00735E47" w:rsidRDefault="00735E4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FC9D4" w14:textId="77777777" w:rsidR="00674DA8" w:rsidRDefault="00674DA8">
      <w:pPr>
        <w:spacing w:line="240" w:lineRule="auto"/>
      </w:pPr>
      <w:r>
        <w:separator/>
      </w:r>
    </w:p>
  </w:footnote>
  <w:footnote w:type="continuationSeparator" w:id="0">
    <w:p w14:paraId="192907F2" w14:textId="77777777" w:rsidR="00674DA8" w:rsidRDefault="00674D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BB502" w14:textId="77777777" w:rsidR="00735E47" w:rsidRDefault="00735E4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E47"/>
    <w:rsid w:val="002406C6"/>
    <w:rsid w:val="005F635E"/>
    <w:rsid w:val="00674DA8"/>
    <w:rsid w:val="00735E47"/>
    <w:rsid w:val="00836BBF"/>
    <w:rsid w:val="00A02967"/>
    <w:rsid w:val="00AA0A87"/>
    <w:rsid w:val="00C11527"/>
    <w:rsid w:val="00C9599A"/>
    <w:rsid w:val="00CD5850"/>
    <w:rsid w:val="00FA0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38BE8"/>
  <w15:docId w15:val="{7E139EF2-D4E8-4092-9764-0D5FD8043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C11527"/>
    <w:pPr>
      <w:spacing w:after="100"/>
    </w:pPr>
  </w:style>
  <w:style w:type="character" w:styleId="Hyperlink">
    <w:name w:val="Hyperlink"/>
    <w:basedOn w:val="DefaultParagraphFont"/>
    <w:uiPriority w:val="99"/>
    <w:unhideWhenUsed/>
    <w:rsid w:val="00C11527"/>
    <w:rPr>
      <w:color w:val="0000FF" w:themeColor="hyperlink"/>
      <w:u w:val="single"/>
    </w:rPr>
  </w:style>
  <w:style w:type="paragraph" w:styleId="TOCHeading">
    <w:name w:val="TOC Heading"/>
    <w:basedOn w:val="Heading1"/>
    <w:next w:val="Normal"/>
    <w:uiPriority w:val="39"/>
    <w:unhideWhenUsed/>
    <w:qFormat/>
    <w:rsid w:val="005F635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3308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3sc.org.uk/scope-community-engagement-event/"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aese.psu.edu/research/centers/cecd/engagement-toolbox/engagement/core-principles-of-community-engagement"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ci-hub.se/https://doi.org/10.1080/08111146.2020.1792283"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cope.org.uk/community-engagement-programme/" TargetMode="External"/><Relationship Id="rId4" Type="http://schemas.openxmlformats.org/officeDocument/2006/relationships/footnotes" Target="footnotes.xml"/><Relationship Id="rId9" Type="http://schemas.openxmlformats.org/officeDocument/2006/relationships/hyperlink" Target="https://www.disabilityrightsuk.org/resources/equality-act-and-disabled-peopl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2581</Words>
  <Characters>14976</Characters>
  <Application>Microsoft Office Word</Application>
  <DocSecurity>0</DocSecurity>
  <Lines>124</Lines>
  <Paragraphs>35</Paragraphs>
  <ScaleCrop>false</ScaleCrop>
  <Company/>
  <LinksUpToDate>false</LinksUpToDate>
  <CharactersWithSpaces>17522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visan</cp:lastModifiedBy>
  <cp:revision>13</cp:revision>
  <dcterms:created xsi:type="dcterms:W3CDTF">2023-12-13T14:29:00Z</dcterms:created>
  <dcterms:modified xsi:type="dcterms:W3CDTF">2023-12-22T23:21:00Z</dcterms:modified>
</cp:coreProperties>
</file>