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434F34" w14:textId="67384FD0" w:rsidR="00955F96" w:rsidRDefault="004643A6">
      <w:r>
        <w:rPr>
          <w:noProof/>
          <w:lang w:eastAsia="en-GB"/>
        </w:rPr>
        <w:drawing>
          <wp:anchor distT="0" distB="0" distL="114300" distR="114300" simplePos="0" relativeHeight="251659264" behindDoc="0" locked="0" layoutInCell="1" allowOverlap="1" wp14:anchorId="765AC822" wp14:editId="0233233F">
            <wp:simplePos x="0" y="0"/>
            <wp:positionH relativeFrom="column">
              <wp:posOffset>1079500</wp:posOffset>
            </wp:positionH>
            <wp:positionV relativeFrom="paragraph">
              <wp:posOffset>0</wp:posOffset>
            </wp:positionV>
            <wp:extent cx="2527300" cy="1125855"/>
            <wp:effectExtent l="0" t="0" r="6350" b="0"/>
            <wp:wrapThrough wrapText="bothSides">
              <wp:wrapPolygon edited="0">
                <wp:start x="0" y="0"/>
                <wp:lineTo x="0" y="21198"/>
                <wp:lineTo x="21491" y="21198"/>
                <wp:lineTo x="21491" y="0"/>
                <wp:lineTo x="0" y="0"/>
              </wp:wrapPolygon>
            </wp:wrapThrough>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7300" cy="112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C725D5" w14:textId="77777777" w:rsidR="004643A6" w:rsidRDefault="004643A6">
      <w:pPr>
        <w:spacing w:line="259" w:lineRule="auto"/>
        <w:jc w:val="left"/>
      </w:pPr>
    </w:p>
    <w:p w14:paraId="41B8A9CE" w14:textId="77777777" w:rsidR="004643A6" w:rsidRDefault="004643A6">
      <w:pPr>
        <w:spacing w:line="259" w:lineRule="auto"/>
        <w:jc w:val="left"/>
      </w:pPr>
    </w:p>
    <w:p w14:paraId="7AB60310" w14:textId="77777777" w:rsidR="004643A6" w:rsidRDefault="004643A6">
      <w:pPr>
        <w:spacing w:line="259" w:lineRule="auto"/>
        <w:jc w:val="left"/>
      </w:pPr>
    </w:p>
    <w:p w14:paraId="2E283CCB" w14:textId="77777777" w:rsidR="004643A6" w:rsidRDefault="004643A6">
      <w:pPr>
        <w:spacing w:line="259" w:lineRule="auto"/>
        <w:jc w:val="left"/>
      </w:pPr>
    </w:p>
    <w:p w14:paraId="174DCF19" w14:textId="77777777" w:rsidR="004643A6" w:rsidRDefault="004643A6">
      <w:pPr>
        <w:spacing w:line="259" w:lineRule="auto"/>
        <w:jc w:val="left"/>
      </w:pPr>
    </w:p>
    <w:tbl>
      <w:tblPr>
        <w:tblStyle w:val="ListTable3"/>
        <w:tblpPr w:leftFromText="180" w:rightFromText="180" w:vertAnchor="text" w:horzAnchor="margin" w:tblpY="444"/>
        <w:tblW w:w="0" w:type="auto"/>
        <w:tblLook w:val="04A0" w:firstRow="1" w:lastRow="0" w:firstColumn="1" w:lastColumn="0" w:noHBand="0" w:noVBand="1"/>
      </w:tblPr>
      <w:tblGrid>
        <w:gridCol w:w="2405"/>
        <w:gridCol w:w="6611"/>
      </w:tblGrid>
      <w:tr w:rsidR="004643A6" w14:paraId="08B8334B" w14:textId="77777777" w:rsidTr="004643A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05" w:type="dxa"/>
          </w:tcPr>
          <w:p w14:paraId="1F0E9D3E" w14:textId="77777777" w:rsidR="004643A6" w:rsidRPr="00AE4E62" w:rsidRDefault="004643A6" w:rsidP="00C8234E">
            <w:pPr>
              <w:rPr>
                <w:rFonts w:cs="Arial"/>
                <w:sz w:val="28"/>
                <w:szCs w:val="28"/>
              </w:rPr>
            </w:pPr>
            <w:bookmarkStart w:id="0" w:name="_Hlk192789062"/>
            <w:r w:rsidRPr="00AE4E62">
              <w:t>Programme:</w:t>
            </w:r>
          </w:p>
        </w:tc>
        <w:tc>
          <w:tcPr>
            <w:tcW w:w="6611" w:type="dxa"/>
          </w:tcPr>
          <w:p w14:paraId="0EB31EFB" w14:textId="77777777" w:rsidR="004643A6" w:rsidRDefault="004643A6" w:rsidP="00C8234E">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4643A6" w14:paraId="515B3BC7" w14:textId="77777777" w:rsidTr="004643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D9468E3" w14:textId="77777777" w:rsidR="004643A6" w:rsidRPr="003B11AB" w:rsidRDefault="004643A6" w:rsidP="00C8234E">
            <w:pPr>
              <w:rPr>
                <w:rFonts w:cs="Arial"/>
                <w:b w:val="0"/>
                <w:bCs w:val="0"/>
                <w:sz w:val="28"/>
                <w:szCs w:val="28"/>
              </w:rPr>
            </w:pPr>
            <w:r w:rsidRPr="003B11AB">
              <w:rPr>
                <w:b w:val="0"/>
                <w:bCs w:val="0"/>
              </w:rPr>
              <w:t>Module:</w:t>
            </w:r>
          </w:p>
        </w:tc>
        <w:tc>
          <w:tcPr>
            <w:tcW w:w="6611" w:type="dxa"/>
          </w:tcPr>
          <w:p w14:paraId="61889F7C" w14:textId="77777777" w:rsidR="004643A6" w:rsidRDefault="004643A6" w:rsidP="00C8234E">
            <w:pPr>
              <w:cnfStyle w:val="000000100000" w:firstRow="0" w:lastRow="0" w:firstColumn="0" w:lastColumn="0" w:oddVBand="0" w:evenVBand="0" w:oddHBand="1" w:evenHBand="0" w:firstRowFirstColumn="0" w:firstRowLastColumn="0" w:lastRowFirstColumn="0" w:lastRowLastColumn="0"/>
            </w:pPr>
            <w:r w:rsidRPr="000B7329">
              <w:t>Quality Assurance and Service Improvements</w:t>
            </w:r>
          </w:p>
        </w:tc>
      </w:tr>
      <w:tr w:rsidR="004643A6" w14:paraId="2160E7CD" w14:textId="77777777" w:rsidTr="004643A6">
        <w:tc>
          <w:tcPr>
            <w:cnfStyle w:val="001000000000" w:firstRow="0" w:lastRow="0" w:firstColumn="1" w:lastColumn="0" w:oddVBand="0" w:evenVBand="0" w:oddHBand="0" w:evenHBand="0" w:firstRowFirstColumn="0" w:firstRowLastColumn="0" w:lastRowFirstColumn="0" w:lastRowLastColumn="0"/>
            <w:tcW w:w="2405" w:type="dxa"/>
          </w:tcPr>
          <w:p w14:paraId="34111211" w14:textId="77777777" w:rsidR="004643A6" w:rsidRPr="003B11AB" w:rsidRDefault="004643A6" w:rsidP="00C8234E">
            <w:pPr>
              <w:rPr>
                <w:rFonts w:cs="Arial"/>
                <w:b w:val="0"/>
                <w:bCs w:val="0"/>
                <w:sz w:val="28"/>
                <w:szCs w:val="28"/>
              </w:rPr>
            </w:pPr>
            <w:r w:rsidRPr="003B11AB">
              <w:rPr>
                <w:b w:val="0"/>
                <w:bCs w:val="0"/>
              </w:rPr>
              <w:t>Module code:</w:t>
            </w:r>
          </w:p>
        </w:tc>
        <w:tc>
          <w:tcPr>
            <w:tcW w:w="6611" w:type="dxa"/>
          </w:tcPr>
          <w:p w14:paraId="0DEEE8AD" w14:textId="77777777" w:rsidR="004643A6" w:rsidRDefault="004643A6" w:rsidP="00C8234E">
            <w:pPr>
              <w:cnfStyle w:val="000000000000" w:firstRow="0" w:lastRow="0" w:firstColumn="0" w:lastColumn="0" w:oddVBand="0" w:evenVBand="0" w:oddHBand="0" w:evenHBand="0" w:firstRowFirstColumn="0" w:firstRowLastColumn="0" w:lastRowFirstColumn="0" w:lastRowLastColumn="0"/>
            </w:pPr>
            <w:r w:rsidRPr="000B7329">
              <w:t>LCHS7006</w:t>
            </w:r>
          </w:p>
        </w:tc>
      </w:tr>
      <w:tr w:rsidR="004643A6" w14:paraId="2B657BE1" w14:textId="77777777" w:rsidTr="004643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DA96ABB" w14:textId="77777777" w:rsidR="004643A6" w:rsidRPr="003B11AB" w:rsidRDefault="004643A6" w:rsidP="00C8234E">
            <w:pPr>
              <w:rPr>
                <w:rFonts w:cs="Arial"/>
                <w:b w:val="0"/>
                <w:bCs w:val="0"/>
                <w:sz w:val="28"/>
                <w:szCs w:val="28"/>
              </w:rPr>
            </w:pPr>
            <w:r w:rsidRPr="003B11AB">
              <w:rPr>
                <w:b w:val="0"/>
                <w:bCs w:val="0"/>
              </w:rPr>
              <w:t>Assignment Title:</w:t>
            </w:r>
          </w:p>
        </w:tc>
        <w:tc>
          <w:tcPr>
            <w:tcW w:w="6611" w:type="dxa"/>
          </w:tcPr>
          <w:p w14:paraId="077057D0" w14:textId="77777777" w:rsidR="004643A6" w:rsidRDefault="004643A6" w:rsidP="00C8234E">
            <w:pPr>
              <w:jc w:val="left"/>
              <w:cnfStyle w:val="000000100000" w:firstRow="0" w:lastRow="0" w:firstColumn="0" w:lastColumn="0" w:oddVBand="0" w:evenVBand="0" w:oddHBand="1" w:evenHBand="0" w:firstRowFirstColumn="0" w:firstRowLastColumn="0" w:lastRowFirstColumn="0" w:lastRowLastColumn="0"/>
            </w:pPr>
            <w:r>
              <w:t xml:space="preserve">Component 2 </w:t>
            </w:r>
          </w:p>
          <w:p w14:paraId="7BE56BCC" w14:textId="77777777" w:rsidR="004643A6" w:rsidRDefault="004643A6" w:rsidP="00C8234E">
            <w:pPr>
              <w:jc w:val="left"/>
              <w:cnfStyle w:val="000000100000" w:firstRow="0" w:lastRow="0" w:firstColumn="0" w:lastColumn="0" w:oddVBand="0" w:evenVBand="0" w:oddHBand="1" w:evenHBand="0" w:firstRowFirstColumn="0" w:firstRowLastColumn="0" w:lastRowFirstColumn="0" w:lastRowLastColumn="0"/>
            </w:pPr>
            <w:r>
              <w:t>Service Improvement Report</w:t>
            </w:r>
          </w:p>
        </w:tc>
      </w:tr>
      <w:tr w:rsidR="004643A6" w14:paraId="57595FC7" w14:textId="77777777" w:rsidTr="004643A6">
        <w:tc>
          <w:tcPr>
            <w:cnfStyle w:val="001000000000" w:firstRow="0" w:lastRow="0" w:firstColumn="1" w:lastColumn="0" w:oddVBand="0" w:evenVBand="0" w:oddHBand="0" w:evenHBand="0" w:firstRowFirstColumn="0" w:firstRowLastColumn="0" w:lastRowFirstColumn="0" w:lastRowLastColumn="0"/>
            <w:tcW w:w="2405" w:type="dxa"/>
          </w:tcPr>
          <w:p w14:paraId="6F4E297F" w14:textId="77777777" w:rsidR="004643A6" w:rsidRPr="008A74B8" w:rsidRDefault="004643A6" w:rsidP="00C8234E">
            <w:pPr>
              <w:rPr>
                <w:b w:val="0"/>
                <w:bCs w:val="0"/>
              </w:rPr>
            </w:pPr>
            <w:r w:rsidRPr="008A74B8">
              <w:rPr>
                <w:b w:val="0"/>
                <w:bCs w:val="0"/>
              </w:rPr>
              <w:t>Lecturer:</w:t>
            </w:r>
          </w:p>
        </w:tc>
        <w:tc>
          <w:tcPr>
            <w:tcW w:w="6611" w:type="dxa"/>
          </w:tcPr>
          <w:p w14:paraId="65A71EE7" w14:textId="3B05D569" w:rsidR="004643A6" w:rsidRDefault="00A4100F" w:rsidP="00C8234E">
            <w:pPr>
              <w:jc w:val="left"/>
              <w:cnfStyle w:val="000000000000" w:firstRow="0" w:lastRow="0" w:firstColumn="0" w:lastColumn="0" w:oddVBand="0" w:evenVBand="0" w:oddHBand="0" w:evenHBand="0" w:firstRowFirstColumn="0" w:firstRowLastColumn="0" w:lastRowFirstColumn="0" w:lastRowLastColumn="0"/>
            </w:pPr>
            <w:r w:rsidRPr="00A4100F">
              <w:t>Oluwadamilola Tayo</w:t>
            </w:r>
            <w:bookmarkStart w:id="1" w:name="_GoBack"/>
            <w:bookmarkEnd w:id="1"/>
          </w:p>
        </w:tc>
      </w:tr>
      <w:tr w:rsidR="004643A6" w14:paraId="141E15DE" w14:textId="77777777" w:rsidTr="004643A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ABC49A9" w14:textId="77777777" w:rsidR="004643A6" w:rsidRPr="003B11AB" w:rsidRDefault="004643A6" w:rsidP="00C8234E">
            <w:pPr>
              <w:rPr>
                <w:b w:val="0"/>
                <w:bCs w:val="0"/>
              </w:rPr>
            </w:pPr>
            <w:r w:rsidRPr="003B11AB">
              <w:rPr>
                <w:b w:val="0"/>
                <w:bCs w:val="0"/>
              </w:rPr>
              <w:t>Student Name:</w:t>
            </w:r>
          </w:p>
        </w:tc>
        <w:tc>
          <w:tcPr>
            <w:tcW w:w="6611" w:type="dxa"/>
          </w:tcPr>
          <w:p w14:paraId="44628F3E" w14:textId="301E2502" w:rsidR="004643A6" w:rsidRDefault="00605B10" w:rsidP="00C8234E">
            <w:pPr>
              <w:cnfStyle w:val="000000100000" w:firstRow="0" w:lastRow="0" w:firstColumn="0" w:lastColumn="0" w:oddVBand="0" w:evenVBand="0" w:oddHBand="1" w:evenHBand="0" w:firstRowFirstColumn="0" w:firstRowLastColumn="0" w:lastRowFirstColumn="0" w:lastRowLastColumn="0"/>
            </w:pPr>
            <w:r w:rsidRPr="00605B10">
              <w:t>MD PIYEL MIA</w:t>
            </w:r>
          </w:p>
        </w:tc>
      </w:tr>
      <w:tr w:rsidR="004643A6" w14:paraId="18B5145D" w14:textId="77777777" w:rsidTr="004643A6">
        <w:tc>
          <w:tcPr>
            <w:cnfStyle w:val="001000000000" w:firstRow="0" w:lastRow="0" w:firstColumn="1" w:lastColumn="0" w:oddVBand="0" w:evenVBand="0" w:oddHBand="0" w:evenHBand="0" w:firstRowFirstColumn="0" w:firstRowLastColumn="0" w:lastRowFirstColumn="0" w:lastRowLastColumn="0"/>
            <w:tcW w:w="2405" w:type="dxa"/>
          </w:tcPr>
          <w:p w14:paraId="61399F0B" w14:textId="77777777" w:rsidR="004643A6" w:rsidRPr="003B11AB" w:rsidRDefault="004643A6" w:rsidP="00C8234E">
            <w:pPr>
              <w:rPr>
                <w:b w:val="0"/>
                <w:bCs w:val="0"/>
              </w:rPr>
            </w:pPr>
            <w:r w:rsidRPr="003B11AB">
              <w:rPr>
                <w:b w:val="0"/>
                <w:bCs w:val="0"/>
              </w:rPr>
              <w:t>Student ID:</w:t>
            </w:r>
          </w:p>
        </w:tc>
        <w:tc>
          <w:tcPr>
            <w:tcW w:w="6611" w:type="dxa"/>
          </w:tcPr>
          <w:p w14:paraId="7A974814" w14:textId="52BD18D7" w:rsidR="004643A6" w:rsidRDefault="00605B10" w:rsidP="00C8234E">
            <w:pPr>
              <w:cnfStyle w:val="000000000000" w:firstRow="0" w:lastRow="0" w:firstColumn="0" w:lastColumn="0" w:oddVBand="0" w:evenVBand="0" w:oddHBand="0" w:evenHBand="0" w:firstRowFirstColumn="0" w:firstRowLastColumn="0" w:lastRowFirstColumn="0" w:lastRowLastColumn="0"/>
            </w:pPr>
            <w:r w:rsidRPr="00605B10">
              <w:t>2434371</w:t>
            </w:r>
          </w:p>
        </w:tc>
      </w:tr>
      <w:bookmarkEnd w:id="0"/>
    </w:tbl>
    <w:p w14:paraId="3454FC37" w14:textId="58B0F257" w:rsidR="004643A6" w:rsidRDefault="004643A6">
      <w:pPr>
        <w:spacing w:line="259" w:lineRule="auto"/>
        <w:jc w:val="left"/>
      </w:pPr>
      <w:r>
        <w:br w:type="page"/>
      </w:r>
    </w:p>
    <w:sdt>
      <w:sdtPr>
        <w:rPr>
          <w:rFonts w:ascii="Arial" w:eastAsiaTheme="minorHAnsi" w:hAnsi="Arial" w:cstheme="minorBidi"/>
          <w:color w:val="auto"/>
          <w:sz w:val="22"/>
          <w:szCs w:val="22"/>
          <w:lang w:val="en-GB"/>
        </w:rPr>
        <w:id w:val="-1339843457"/>
        <w:docPartObj>
          <w:docPartGallery w:val="Table of Contents"/>
          <w:docPartUnique/>
        </w:docPartObj>
      </w:sdtPr>
      <w:sdtEndPr>
        <w:rPr>
          <w:b/>
          <w:bCs/>
          <w:noProof/>
        </w:rPr>
      </w:sdtEndPr>
      <w:sdtContent>
        <w:p w14:paraId="7BE61AC9" w14:textId="76A2A148" w:rsidR="00A50088" w:rsidRDefault="00A50088">
          <w:pPr>
            <w:pStyle w:val="TOCHeading"/>
          </w:pPr>
          <w:r>
            <w:t>Table of Contents</w:t>
          </w:r>
        </w:p>
        <w:p w14:paraId="757F0DE7" w14:textId="5F296B3F" w:rsidR="00A50088" w:rsidRDefault="00A50088">
          <w:pPr>
            <w:pStyle w:val="TOC1"/>
            <w:tabs>
              <w:tab w:val="right" w:leader="dot" w:pos="9016"/>
            </w:tabs>
            <w:rPr>
              <w:noProof/>
            </w:rPr>
          </w:pPr>
          <w:r>
            <w:fldChar w:fldCharType="begin"/>
          </w:r>
          <w:r>
            <w:instrText xml:space="preserve"> TOC \o "1-3" \h \z \u </w:instrText>
          </w:r>
          <w:r>
            <w:fldChar w:fldCharType="separate"/>
          </w:r>
          <w:hyperlink w:anchor="_Toc226984264" w:history="1">
            <w:r w:rsidRPr="00A27738">
              <w:rPr>
                <w:rStyle w:val="Hyperlink"/>
                <w:noProof/>
              </w:rPr>
              <w:t>Introduction: The Scale of Systemic Failure in Maternity Services</w:t>
            </w:r>
            <w:r>
              <w:rPr>
                <w:noProof/>
                <w:webHidden/>
              </w:rPr>
              <w:tab/>
            </w:r>
            <w:r>
              <w:rPr>
                <w:noProof/>
                <w:webHidden/>
              </w:rPr>
              <w:fldChar w:fldCharType="begin"/>
            </w:r>
            <w:r>
              <w:rPr>
                <w:noProof/>
                <w:webHidden/>
              </w:rPr>
              <w:instrText xml:space="preserve"> PAGEREF _Toc226984264 \h </w:instrText>
            </w:r>
            <w:r>
              <w:rPr>
                <w:noProof/>
                <w:webHidden/>
              </w:rPr>
            </w:r>
            <w:r>
              <w:rPr>
                <w:noProof/>
                <w:webHidden/>
              </w:rPr>
              <w:fldChar w:fldCharType="separate"/>
            </w:r>
            <w:r>
              <w:rPr>
                <w:noProof/>
                <w:webHidden/>
              </w:rPr>
              <w:t>3</w:t>
            </w:r>
            <w:r>
              <w:rPr>
                <w:noProof/>
                <w:webHidden/>
              </w:rPr>
              <w:fldChar w:fldCharType="end"/>
            </w:r>
          </w:hyperlink>
        </w:p>
        <w:p w14:paraId="26455F70" w14:textId="6E131A5D" w:rsidR="00A50088" w:rsidRDefault="00431BBF">
          <w:pPr>
            <w:pStyle w:val="TOC1"/>
            <w:tabs>
              <w:tab w:val="right" w:leader="dot" w:pos="9016"/>
            </w:tabs>
            <w:rPr>
              <w:noProof/>
            </w:rPr>
          </w:pPr>
          <w:hyperlink w:anchor="_Toc226984265" w:history="1">
            <w:r w:rsidR="00A50088" w:rsidRPr="00A27738">
              <w:rPr>
                <w:rStyle w:val="Hyperlink"/>
                <w:noProof/>
              </w:rPr>
              <w:t>Main Body: Analysis of Quality Management Theories and Strategic Frameworks</w:t>
            </w:r>
            <w:r w:rsidR="00A50088">
              <w:rPr>
                <w:noProof/>
                <w:webHidden/>
              </w:rPr>
              <w:tab/>
            </w:r>
            <w:r w:rsidR="00A50088">
              <w:rPr>
                <w:noProof/>
                <w:webHidden/>
              </w:rPr>
              <w:fldChar w:fldCharType="begin"/>
            </w:r>
            <w:r w:rsidR="00A50088">
              <w:rPr>
                <w:noProof/>
                <w:webHidden/>
              </w:rPr>
              <w:instrText xml:space="preserve"> PAGEREF _Toc226984265 \h </w:instrText>
            </w:r>
            <w:r w:rsidR="00A50088">
              <w:rPr>
                <w:noProof/>
                <w:webHidden/>
              </w:rPr>
            </w:r>
            <w:r w:rsidR="00A50088">
              <w:rPr>
                <w:noProof/>
                <w:webHidden/>
              </w:rPr>
              <w:fldChar w:fldCharType="separate"/>
            </w:r>
            <w:r w:rsidR="00A50088">
              <w:rPr>
                <w:noProof/>
                <w:webHidden/>
              </w:rPr>
              <w:t>5</w:t>
            </w:r>
            <w:r w:rsidR="00A50088">
              <w:rPr>
                <w:noProof/>
                <w:webHidden/>
              </w:rPr>
              <w:fldChar w:fldCharType="end"/>
            </w:r>
          </w:hyperlink>
        </w:p>
        <w:p w14:paraId="4E6B23BA" w14:textId="4315E70A" w:rsidR="00A50088" w:rsidRDefault="00431BBF">
          <w:pPr>
            <w:pStyle w:val="TOC2"/>
            <w:tabs>
              <w:tab w:val="right" w:leader="dot" w:pos="9016"/>
            </w:tabs>
            <w:rPr>
              <w:noProof/>
            </w:rPr>
          </w:pPr>
          <w:hyperlink w:anchor="_Toc226984266" w:history="1">
            <w:r w:rsidR="00A50088" w:rsidRPr="00A27738">
              <w:rPr>
                <w:rStyle w:val="Hyperlink"/>
                <w:noProof/>
              </w:rPr>
              <w:t>Theoretical Evaluation of Quality Management Systems</w:t>
            </w:r>
            <w:r w:rsidR="00A50088">
              <w:rPr>
                <w:noProof/>
                <w:webHidden/>
              </w:rPr>
              <w:tab/>
            </w:r>
            <w:r w:rsidR="00A50088">
              <w:rPr>
                <w:noProof/>
                <w:webHidden/>
              </w:rPr>
              <w:fldChar w:fldCharType="begin"/>
            </w:r>
            <w:r w:rsidR="00A50088">
              <w:rPr>
                <w:noProof/>
                <w:webHidden/>
              </w:rPr>
              <w:instrText xml:space="preserve"> PAGEREF _Toc226984266 \h </w:instrText>
            </w:r>
            <w:r w:rsidR="00A50088">
              <w:rPr>
                <w:noProof/>
                <w:webHidden/>
              </w:rPr>
            </w:r>
            <w:r w:rsidR="00A50088">
              <w:rPr>
                <w:noProof/>
                <w:webHidden/>
              </w:rPr>
              <w:fldChar w:fldCharType="separate"/>
            </w:r>
            <w:r w:rsidR="00A50088">
              <w:rPr>
                <w:noProof/>
                <w:webHidden/>
              </w:rPr>
              <w:t>5</w:t>
            </w:r>
            <w:r w:rsidR="00A50088">
              <w:rPr>
                <w:noProof/>
                <w:webHidden/>
              </w:rPr>
              <w:fldChar w:fldCharType="end"/>
            </w:r>
          </w:hyperlink>
        </w:p>
        <w:p w14:paraId="7F4680D1" w14:textId="04AAC4D2" w:rsidR="00A50088" w:rsidRDefault="00431BBF">
          <w:pPr>
            <w:pStyle w:val="TOC2"/>
            <w:tabs>
              <w:tab w:val="right" w:leader="dot" w:pos="9016"/>
            </w:tabs>
            <w:rPr>
              <w:noProof/>
            </w:rPr>
          </w:pPr>
          <w:hyperlink w:anchor="_Toc226984267" w:history="1">
            <w:r w:rsidR="00A50088" w:rsidRPr="00A27738">
              <w:rPr>
                <w:rStyle w:val="Hyperlink"/>
                <w:noProof/>
              </w:rPr>
              <w:t>Root Cause Analysis via the Fishbone Diagram</w:t>
            </w:r>
            <w:r w:rsidR="00A50088">
              <w:rPr>
                <w:noProof/>
                <w:webHidden/>
              </w:rPr>
              <w:tab/>
            </w:r>
            <w:r w:rsidR="00A50088">
              <w:rPr>
                <w:noProof/>
                <w:webHidden/>
              </w:rPr>
              <w:fldChar w:fldCharType="begin"/>
            </w:r>
            <w:r w:rsidR="00A50088">
              <w:rPr>
                <w:noProof/>
                <w:webHidden/>
              </w:rPr>
              <w:instrText xml:space="preserve"> PAGEREF _Toc226984267 \h </w:instrText>
            </w:r>
            <w:r w:rsidR="00A50088">
              <w:rPr>
                <w:noProof/>
                <w:webHidden/>
              </w:rPr>
            </w:r>
            <w:r w:rsidR="00A50088">
              <w:rPr>
                <w:noProof/>
                <w:webHidden/>
              </w:rPr>
              <w:fldChar w:fldCharType="separate"/>
            </w:r>
            <w:r w:rsidR="00A50088">
              <w:rPr>
                <w:noProof/>
                <w:webHidden/>
              </w:rPr>
              <w:t>5</w:t>
            </w:r>
            <w:r w:rsidR="00A50088">
              <w:rPr>
                <w:noProof/>
                <w:webHidden/>
              </w:rPr>
              <w:fldChar w:fldCharType="end"/>
            </w:r>
          </w:hyperlink>
        </w:p>
        <w:p w14:paraId="4EC8C17E" w14:textId="610C6CF9" w:rsidR="00A50088" w:rsidRDefault="00431BBF">
          <w:pPr>
            <w:pStyle w:val="TOC2"/>
            <w:tabs>
              <w:tab w:val="right" w:leader="dot" w:pos="9016"/>
            </w:tabs>
            <w:rPr>
              <w:noProof/>
            </w:rPr>
          </w:pPr>
          <w:hyperlink w:anchor="_Toc226984268" w:history="1">
            <w:r w:rsidR="00A50088" w:rsidRPr="00A27738">
              <w:rPr>
                <w:rStyle w:val="Hyperlink"/>
                <w:noProof/>
              </w:rPr>
              <w:t>Strategic Planning through PESTLE Analysis</w:t>
            </w:r>
            <w:r w:rsidR="00A50088">
              <w:rPr>
                <w:noProof/>
                <w:webHidden/>
              </w:rPr>
              <w:tab/>
            </w:r>
            <w:r w:rsidR="00A50088">
              <w:rPr>
                <w:noProof/>
                <w:webHidden/>
              </w:rPr>
              <w:fldChar w:fldCharType="begin"/>
            </w:r>
            <w:r w:rsidR="00A50088">
              <w:rPr>
                <w:noProof/>
                <w:webHidden/>
              </w:rPr>
              <w:instrText xml:space="preserve"> PAGEREF _Toc226984268 \h </w:instrText>
            </w:r>
            <w:r w:rsidR="00A50088">
              <w:rPr>
                <w:noProof/>
                <w:webHidden/>
              </w:rPr>
            </w:r>
            <w:r w:rsidR="00A50088">
              <w:rPr>
                <w:noProof/>
                <w:webHidden/>
              </w:rPr>
              <w:fldChar w:fldCharType="separate"/>
            </w:r>
            <w:r w:rsidR="00A50088">
              <w:rPr>
                <w:noProof/>
                <w:webHidden/>
              </w:rPr>
              <w:t>8</w:t>
            </w:r>
            <w:r w:rsidR="00A50088">
              <w:rPr>
                <w:noProof/>
                <w:webHidden/>
              </w:rPr>
              <w:fldChar w:fldCharType="end"/>
            </w:r>
          </w:hyperlink>
        </w:p>
        <w:p w14:paraId="06B3EA73" w14:textId="363832A4" w:rsidR="00A50088" w:rsidRDefault="00431BBF">
          <w:pPr>
            <w:pStyle w:val="TOC1"/>
            <w:tabs>
              <w:tab w:val="right" w:leader="dot" w:pos="9016"/>
            </w:tabs>
            <w:rPr>
              <w:noProof/>
            </w:rPr>
          </w:pPr>
          <w:hyperlink w:anchor="_Toc226984269" w:history="1">
            <w:r w:rsidR="00A50088" w:rsidRPr="00A27738">
              <w:rPr>
                <w:rStyle w:val="Hyperlink"/>
                <w:noProof/>
              </w:rPr>
              <w:t>Recommendation: Actionable Strategy for Service Improvement</w:t>
            </w:r>
            <w:r w:rsidR="00A50088">
              <w:rPr>
                <w:noProof/>
                <w:webHidden/>
              </w:rPr>
              <w:tab/>
            </w:r>
            <w:r w:rsidR="00A50088">
              <w:rPr>
                <w:noProof/>
                <w:webHidden/>
              </w:rPr>
              <w:fldChar w:fldCharType="begin"/>
            </w:r>
            <w:r w:rsidR="00A50088">
              <w:rPr>
                <w:noProof/>
                <w:webHidden/>
              </w:rPr>
              <w:instrText xml:space="preserve"> PAGEREF _Toc226984269 \h </w:instrText>
            </w:r>
            <w:r w:rsidR="00A50088">
              <w:rPr>
                <w:noProof/>
                <w:webHidden/>
              </w:rPr>
            </w:r>
            <w:r w:rsidR="00A50088">
              <w:rPr>
                <w:noProof/>
                <w:webHidden/>
              </w:rPr>
              <w:fldChar w:fldCharType="separate"/>
            </w:r>
            <w:r w:rsidR="00A50088">
              <w:rPr>
                <w:noProof/>
                <w:webHidden/>
              </w:rPr>
              <w:t>10</w:t>
            </w:r>
            <w:r w:rsidR="00A50088">
              <w:rPr>
                <w:noProof/>
                <w:webHidden/>
              </w:rPr>
              <w:fldChar w:fldCharType="end"/>
            </w:r>
          </w:hyperlink>
        </w:p>
        <w:p w14:paraId="3F35F1EE" w14:textId="33955F43" w:rsidR="00A50088" w:rsidRDefault="00431BBF">
          <w:pPr>
            <w:pStyle w:val="TOC1"/>
            <w:tabs>
              <w:tab w:val="right" w:leader="dot" w:pos="9016"/>
            </w:tabs>
            <w:rPr>
              <w:noProof/>
            </w:rPr>
          </w:pPr>
          <w:hyperlink w:anchor="_Toc226984270" w:history="1">
            <w:r w:rsidR="00A50088" w:rsidRPr="00A27738">
              <w:rPr>
                <w:rStyle w:val="Hyperlink"/>
                <w:noProof/>
              </w:rPr>
              <w:t>Conclusion</w:t>
            </w:r>
            <w:r w:rsidR="00A50088">
              <w:rPr>
                <w:noProof/>
                <w:webHidden/>
              </w:rPr>
              <w:tab/>
            </w:r>
            <w:r w:rsidR="00A50088">
              <w:rPr>
                <w:noProof/>
                <w:webHidden/>
              </w:rPr>
              <w:fldChar w:fldCharType="begin"/>
            </w:r>
            <w:r w:rsidR="00A50088">
              <w:rPr>
                <w:noProof/>
                <w:webHidden/>
              </w:rPr>
              <w:instrText xml:space="preserve"> PAGEREF _Toc226984270 \h </w:instrText>
            </w:r>
            <w:r w:rsidR="00A50088">
              <w:rPr>
                <w:noProof/>
                <w:webHidden/>
              </w:rPr>
            </w:r>
            <w:r w:rsidR="00A50088">
              <w:rPr>
                <w:noProof/>
                <w:webHidden/>
              </w:rPr>
              <w:fldChar w:fldCharType="separate"/>
            </w:r>
            <w:r w:rsidR="00A50088">
              <w:rPr>
                <w:noProof/>
                <w:webHidden/>
              </w:rPr>
              <w:t>13</w:t>
            </w:r>
            <w:r w:rsidR="00A50088">
              <w:rPr>
                <w:noProof/>
                <w:webHidden/>
              </w:rPr>
              <w:fldChar w:fldCharType="end"/>
            </w:r>
          </w:hyperlink>
        </w:p>
        <w:p w14:paraId="138EFB20" w14:textId="6D7231C0" w:rsidR="00A50088" w:rsidRDefault="00431BBF">
          <w:pPr>
            <w:pStyle w:val="TOC1"/>
            <w:tabs>
              <w:tab w:val="right" w:leader="dot" w:pos="9016"/>
            </w:tabs>
            <w:rPr>
              <w:noProof/>
            </w:rPr>
          </w:pPr>
          <w:hyperlink w:anchor="_Toc226984271" w:history="1">
            <w:r w:rsidR="00A50088" w:rsidRPr="00A27738">
              <w:rPr>
                <w:rStyle w:val="Hyperlink"/>
                <w:noProof/>
              </w:rPr>
              <w:t>References</w:t>
            </w:r>
            <w:r w:rsidR="00A50088">
              <w:rPr>
                <w:noProof/>
                <w:webHidden/>
              </w:rPr>
              <w:tab/>
            </w:r>
            <w:r w:rsidR="00A50088">
              <w:rPr>
                <w:noProof/>
                <w:webHidden/>
              </w:rPr>
              <w:fldChar w:fldCharType="begin"/>
            </w:r>
            <w:r w:rsidR="00A50088">
              <w:rPr>
                <w:noProof/>
                <w:webHidden/>
              </w:rPr>
              <w:instrText xml:space="preserve"> PAGEREF _Toc226984271 \h </w:instrText>
            </w:r>
            <w:r w:rsidR="00A50088">
              <w:rPr>
                <w:noProof/>
                <w:webHidden/>
              </w:rPr>
            </w:r>
            <w:r w:rsidR="00A50088">
              <w:rPr>
                <w:noProof/>
                <w:webHidden/>
              </w:rPr>
              <w:fldChar w:fldCharType="separate"/>
            </w:r>
            <w:r w:rsidR="00A50088">
              <w:rPr>
                <w:noProof/>
                <w:webHidden/>
              </w:rPr>
              <w:t>14</w:t>
            </w:r>
            <w:r w:rsidR="00A50088">
              <w:rPr>
                <w:noProof/>
                <w:webHidden/>
              </w:rPr>
              <w:fldChar w:fldCharType="end"/>
            </w:r>
          </w:hyperlink>
        </w:p>
        <w:p w14:paraId="459E8755" w14:textId="50EB86E3" w:rsidR="00A50088" w:rsidRDefault="00A50088">
          <w:r>
            <w:rPr>
              <w:b/>
              <w:bCs/>
              <w:noProof/>
            </w:rPr>
            <w:fldChar w:fldCharType="end"/>
          </w:r>
        </w:p>
      </w:sdtContent>
    </w:sdt>
    <w:p w14:paraId="7B549999" w14:textId="38EBE29D" w:rsidR="004643A6" w:rsidRDefault="004643A6" w:rsidP="00A50088">
      <w:r>
        <w:br w:type="page"/>
      </w:r>
    </w:p>
    <w:p w14:paraId="293F2EA1" w14:textId="28425547" w:rsidR="004643A6" w:rsidRDefault="00124C0D" w:rsidP="00124C0D">
      <w:pPr>
        <w:pStyle w:val="Heading1"/>
      </w:pPr>
      <w:bookmarkStart w:id="2" w:name="_Toc226984264"/>
      <w:r w:rsidRPr="00124C0D">
        <w:lastRenderedPageBreak/>
        <w:t>Introduction: The Scale of Systemic Failure in Maternity Services</w:t>
      </w:r>
      <w:bookmarkEnd w:id="2"/>
    </w:p>
    <w:p w14:paraId="5985B3E1" w14:textId="674A953A" w:rsidR="00124C0D" w:rsidRDefault="00124C0D" w:rsidP="00124C0D">
      <w:r>
        <w:t>One of the most important independent maternity services reviews in the United Kingdom came to an end with the publication of the Final Ockenden Report in March 2022. What started as an inquiry into 23 cases of concern later grew to include the experiences of 1,486 families and found 1,592 clinical incidents, most of which happened between 2000 and 2019</w:t>
      </w:r>
      <w:r w:rsidR="00495FBF">
        <w:t xml:space="preserve"> </w:t>
      </w:r>
      <w:r w:rsidR="00495FBF" w:rsidRPr="00495FBF">
        <w:t>(Akhtar, Haleem and Javaid, 2023)</w:t>
      </w:r>
      <w:r>
        <w:t xml:space="preserve">. The report created a sad and pathetic image of recurrent clinical failure, in which more than 200 infants were discovered to have passed away possibly because of preventable mistakes. The human cost involved hundreds of stillbirths, neonatal deaths, maternal deaths and children with permanent life-altering brain injuries including cerebral palsy, which is often caused by a failure to identify and respond to warning signs during </w:t>
      </w:r>
      <w:r w:rsidR="00586635">
        <w:t>labour</w:t>
      </w:r>
      <w:r w:rsidR="00495FBF">
        <w:t xml:space="preserve"> </w:t>
      </w:r>
      <w:r w:rsidR="00495FBF" w:rsidRPr="00495FBF">
        <w:t>(Alzoubi et al., 2019)</w:t>
      </w:r>
      <w:r w:rsidR="00495FBF">
        <w:t>.</w:t>
      </w:r>
    </w:p>
    <w:p w14:paraId="719FECD4" w14:textId="0F9750A2" w:rsidR="00124C0D" w:rsidRDefault="00124C0D" w:rsidP="00124C0D">
      <w:r>
        <w:t>The specified issue can be described as the multi-layered collapsing governance. Families that had tried to voice their concerns over a period of more than 20 years were often dismissed, brushed off, or even made to feel that their justifiable anxieties were misplaced</w:t>
      </w:r>
      <w:r w:rsidR="00495FBF">
        <w:t xml:space="preserve"> </w:t>
      </w:r>
      <w:r w:rsidR="00495FBF" w:rsidRPr="00495FBF">
        <w:t>(Barclay and Moore, 2024)</w:t>
      </w:r>
      <w:r>
        <w:t>. This listening-deafness to the family voice is confirmed as a fundamental force behind the scandal, since it enabled clinical mismanagement to go unchecked by the very people who were the most interested in the care results. The Ockenden review team observed theme patterns in the quality of care, which included delays in admission to labor wards, lack of assessment of women as to emergency interventions and lack of consultancy level review of patients who were at high risk or in ill health</w:t>
      </w:r>
      <w:r w:rsidR="00495FBF">
        <w:t xml:space="preserve"> </w:t>
      </w:r>
      <w:r w:rsidR="00495FBF" w:rsidRPr="00495FBF">
        <w:t>(Blair et al., 2022)</w:t>
      </w:r>
      <w:r>
        <w:t>. The culture of avoiding caesarean sections in cases where it is clinically justified led to a culture at SaTH where nurses were encouraged to pursue natural birth as a target, and the Trust received external regulator praise over its low intervention rates but at the cost of mother and baby safety</w:t>
      </w:r>
      <w:r w:rsidR="00495FBF">
        <w:t xml:space="preserve"> </w:t>
      </w:r>
      <w:r w:rsidR="005278B6">
        <w:t>(</w:t>
      </w:r>
      <w:r w:rsidR="00495FBF" w:rsidRPr="00495FBF">
        <w:t>Department of Health and Social Care</w:t>
      </w:r>
      <w:r w:rsidR="005278B6">
        <w:t xml:space="preserve">, </w:t>
      </w:r>
      <w:r w:rsidR="00495FBF" w:rsidRPr="00495FBF">
        <w:t>2022)</w:t>
      </w:r>
      <w:r w:rsidR="005278B6">
        <w:t>.</w:t>
      </w:r>
    </w:p>
    <w:p w14:paraId="13CE46A8" w14:textId="45B7CB4F" w:rsidR="00124C0D" w:rsidRDefault="00124C0D" w:rsidP="00124C0D">
      <w:r>
        <w:t xml:space="preserve">Maternity and neonatal delivery is a core intersection of organizational accountability, clinical excellence, and public health. The failure of these services does not have just operational repercussions but generational human tragedies that reverberate. This report is a comprehensive examination of the causes of these failures, based on the well-established management frameworks to examine the organizational and environmental causes that led to a systemic neglect of patient safety. Comparing the traditional Total Quality Management (TQM) with the statutory system of Clinical Governance and using analytical tools like the Fishbone Diagram and PESTLE analysis, this paper develops a solid argument as to why the service improvements must happen immediately. Moreover, it presents an evidence-based recommendation plan with the use of the Plan-Do-Study-Act (PDSA) cycle, relying on modern </w:t>
      </w:r>
      <w:r>
        <w:lastRenderedPageBreak/>
        <w:t>research and practical clinical experiences to map the way towards a safer, more equitable, and family-based maternity service in the 2024-2026 environment.</w:t>
      </w:r>
    </w:p>
    <w:p w14:paraId="36FF6C64" w14:textId="7FEE183C" w:rsidR="00124C0D" w:rsidRDefault="00124C0D">
      <w:pPr>
        <w:spacing w:line="259" w:lineRule="auto"/>
        <w:jc w:val="left"/>
      </w:pPr>
      <w:r>
        <w:br w:type="page"/>
      </w:r>
    </w:p>
    <w:p w14:paraId="6C24A2D1" w14:textId="21BB4BB2" w:rsidR="00124C0D" w:rsidRDefault="00124C0D" w:rsidP="00124C0D">
      <w:pPr>
        <w:pStyle w:val="Heading1"/>
      </w:pPr>
      <w:bookmarkStart w:id="3" w:name="_Toc226984265"/>
      <w:r w:rsidRPr="00124C0D">
        <w:lastRenderedPageBreak/>
        <w:t>Main Body: Analysis of Quality Management Theories and Strategic Frameworks</w:t>
      </w:r>
      <w:bookmarkEnd w:id="3"/>
    </w:p>
    <w:p w14:paraId="2953A18A" w14:textId="0AE06100" w:rsidR="00124C0D" w:rsidRDefault="00124C0D" w:rsidP="00124C0D">
      <w:r w:rsidRPr="00124C0D">
        <w:t>Quality management in health and social care is regulated by a number of theoretical frameworks aimed at standardizing care, minimizing variation and accountability. In order to explain the failures at SaTH, it is imperative to critically assess the implementation (and misapplication) of these theories.</w:t>
      </w:r>
    </w:p>
    <w:p w14:paraId="3F6C184D" w14:textId="480AD105" w:rsidR="00124C0D" w:rsidRDefault="00124C0D" w:rsidP="00124C0D">
      <w:pPr>
        <w:pStyle w:val="Heading2"/>
      </w:pPr>
      <w:bookmarkStart w:id="4" w:name="_Toc226984266"/>
      <w:r w:rsidRPr="00124C0D">
        <w:t>Theoretical Evaluation of Quality Management Systems</w:t>
      </w:r>
      <w:bookmarkEnd w:id="4"/>
    </w:p>
    <w:p w14:paraId="5ECFED70" w14:textId="78077064" w:rsidR="00124C0D" w:rsidRDefault="00124C0D" w:rsidP="00124C0D">
      <w:r>
        <w:t>The quality of healthcare is frequently determined by the frames of professional performance, the utilization of resources, risk management, and satisfaction with patients. These standards are mainly accountable through Clinical Governance, which is the main framework used to hold NHS organizations to account. It was introduced in 1998 and was meant to establish an environment in which clinical excellence could thrive, combining managerial, organizational and clinical strategies</w:t>
      </w:r>
      <w:r w:rsidR="005278B6">
        <w:t xml:space="preserve"> </w:t>
      </w:r>
      <w:r w:rsidR="005278B6" w:rsidRPr="005278B6">
        <w:t>(Borem et al., 2025)</w:t>
      </w:r>
      <w:r>
        <w:t>. The Ockenden Report however points out that clinical governance may turn into a performance; at SaTH accountability systems were on paper but they were circumvented or evaded in order to prevent outside scrutiny.</w:t>
      </w:r>
    </w:p>
    <w:p w14:paraId="62019A23" w14:textId="46D302EF" w:rsidR="00124C0D" w:rsidRDefault="00124C0D" w:rsidP="00124C0D">
      <w:r>
        <w:t>The Total Quality Management (TQM) is an idea that started in the manufacturing industry and it focuses on an endless, organizational-wide dedication to satisfy patients. TQM has five key variables that include; leadership, human resource focus, process management, quality data, and customer (patient) focus</w:t>
      </w:r>
      <w:r w:rsidR="005278B6">
        <w:t xml:space="preserve"> </w:t>
      </w:r>
      <w:r w:rsidR="005278B6" w:rsidRPr="005278B6">
        <w:t>(de Jonge, De Vries and Declercq, 2022)</w:t>
      </w:r>
      <w:r>
        <w:t>. Although Clinical Governance is now law in the UK, TQM provides a new method that incorporates quality into all the clinical processes. The lack of connectivity at SaTH was a failure of both structures; the leadership was not able to lead a quality culture and the governance structures failed to provide the surveillance</w:t>
      </w:r>
      <w:r w:rsidR="005278B6">
        <w:t xml:space="preserve"> (</w:t>
      </w:r>
      <w:r w:rsidR="005278B6" w:rsidRPr="005278B6">
        <w:t>NHS England</w:t>
      </w:r>
      <w:r w:rsidR="005278B6">
        <w:t xml:space="preserve">, </w:t>
      </w:r>
      <w:r w:rsidR="005278B6" w:rsidRPr="005278B6">
        <w:t>2023</w:t>
      </w:r>
      <w:r w:rsidR="005278B6">
        <w:t>)</w:t>
      </w:r>
      <w:r>
        <w:t>. Studies have shown a quantity versus quality paradox in the NHS with the need to achieve quantitative goals (e.g., low caesarean) regularly taking precedence over the qualitative statutory obligation of enhancing care</w:t>
      </w:r>
      <w:r w:rsidR="005278B6">
        <w:t xml:space="preserve"> </w:t>
      </w:r>
      <w:r w:rsidR="005278B6" w:rsidRPr="005278B6">
        <w:t>(Dobson, 2022)</w:t>
      </w:r>
      <w:r>
        <w:t>. In the case of SaTH, this led to a situation in which the mean of the quality curve was not moved towards excellence since middle-range performance was not being effectively challenged.</w:t>
      </w:r>
    </w:p>
    <w:p w14:paraId="624D3322" w14:textId="0DD5CF44" w:rsidR="00124C0D" w:rsidRDefault="00124C0D" w:rsidP="00124C0D">
      <w:pPr>
        <w:pStyle w:val="Heading2"/>
      </w:pPr>
      <w:bookmarkStart w:id="5" w:name="_Toc226984267"/>
      <w:r w:rsidRPr="00124C0D">
        <w:t>Root Cause Analysis via the Fishbone Diagram</w:t>
      </w:r>
      <w:bookmarkEnd w:id="5"/>
    </w:p>
    <w:p w14:paraId="4A7CFBEA" w14:textId="77777777" w:rsidR="00124C0D" w:rsidRDefault="00124C0D" w:rsidP="00124C0D">
      <w:r>
        <w:t>In order to measure the underlying factors of the quality issues at SaTH, the Fishbone (Ishikawa) Diagram offers a systematic visual representation of factors. This tool is used to group the complex issues into manageable areas like people, policies, environment and equipment.</w:t>
      </w:r>
    </w:p>
    <w:p w14:paraId="37D918A6" w14:textId="77777777" w:rsidR="00124C0D" w:rsidRDefault="00124C0D" w:rsidP="00124C0D"/>
    <w:p w14:paraId="353C94DF" w14:textId="107D74B6" w:rsidR="0006000E" w:rsidRDefault="0006000E" w:rsidP="0006000E">
      <w:pPr>
        <w:jc w:val="center"/>
        <w:rPr>
          <w:b/>
          <w:bCs/>
        </w:rPr>
      </w:pPr>
      <w:r w:rsidRPr="0006000E">
        <w:rPr>
          <w:b/>
          <w:bCs/>
          <w:noProof/>
          <w:lang w:eastAsia="en-GB"/>
        </w:rPr>
        <w:drawing>
          <wp:inline distT="0" distB="0" distL="0" distR="0" wp14:anchorId="61CB1D9A" wp14:editId="58E429FA">
            <wp:extent cx="4716780" cy="2809897"/>
            <wp:effectExtent l="0" t="0" r="7620" b="9525"/>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8"/>
                    <a:stretch>
                      <a:fillRect/>
                    </a:stretch>
                  </pic:blipFill>
                  <pic:spPr>
                    <a:xfrm>
                      <a:off x="0" y="0"/>
                      <a:ext cx="4725670" cy="2815193"/>
                    </a:xfrm>
                    <a:prstGeom prst="rect">
                      <a:avLst/>
                    </a:prstGeom>
                  </pic:spPr>
                </pic:pic>
              </a:graphicData>
            </a:graphic>
          </wp:inline>
        </w:drawing>
      </w:r>
    </w:p>
    <w:p w14:paraId="37F318A6" w14:textId="17621ADF" w:rsidR="0006000E" w:rsidRPr="0006000E" w:rsidRDefault="0006000E" w:rsidP="0006000E">
      <w:pPr>
        <w:jc w:val="center"/>
        <w:rPr>
          <w:b/>
          <w:bCs/>
          <w:i/>
          <w:iCs/>
        </w:rPr>
      </w:pPr>
      <w:r w:rsidRPr="0006000E">
        <w:rPr>
          <w:b/>
          <w:bCs/>
          <w:i/>
          <w:iCs/>
        </w:rPr>
        <w:t xml:space="preserve">Figure 1: Fishbone diagram </w:t>
      </w:r>
      <w:r w:rsidR="005278B6" w:rsidRPr="005278B6">
        <w:rPr>
          <w:b/>
          <w:bCs/>
          <w:i/>
          <w:iCs/>
        </w:rPr>
        <w:t>(Dotse-Gborgbortsi et al., 2022)</w:t>
      </w:r>
    </w:p>
    <w:p w14:paraId="18DF6F01" w14:textId="3A499DEE" w:rsidR="00124C0D" w:rsidRPr="00124C0D" w:rsidRDefault="00124C0D" w:rsidP="00124C0D">
      <w:pPr>
        <w:rPr>
          <w:b/>
          <w:bCs/>
        </w:rPr>
      </w:pPr>
      <w:r w:rsidRPr="00124C0D">
        <w:rPr>
          <w:b/>
          <w:bCs/>
        </w:rPr>
        <w:t>People and Culture</w:t>
      </w:r>
    </w:p>
    <w:p w14:paraId="278B41F5" w14:textId="431C8338" w:rsidR="00124C0D" w:rsidRDefault="00124C0D" w:rsidP="00124C0D">
      <w:r>
        <w:t>The workforce and organizational culture are the major bone of the SaTH crisis. The constant shortage of staffs was chronic and the junior staffs were not supervised, overwork resulted in tension among the teams</w:t>
      </w:r>
      <w:r w:rsidR="005278B6">
        <w:t xml:space="preserve"> </w:t>
      </w:r>
      <w:r w:rsidR="005278B6" w:rsidRPr="005278B6">
        <w:t>(Dyer, 2021)</w:t>
      </w:r>
      <w:r>
        <w:t>. There was a poisonous them and us culture between the midwifery and obstetric staff, that hindered collaborative care. This communication breakdown contributed to the fact that clinical escalation was postponed, and decades-old learned mistakes were repeated</w:t>
      </w:r>
      <w:r w:rsidR="005278B6">
        <w:t xml:space="preserve"> </w:t>
      </w:r>
      <w:r w:rsidR="005278B6" w:rsidRPr="005278B6">
        <w:t>(Dotse-Gborgbortsi et al., 2022)</w:t>
      </w:r>
      <w:r>
        <w:t>. Board leadership was also observed to be out of touch with the reality of the maternity units, and did not offer the essential oversight needed to ensure patient safety.</w:t>
      </w:r>
    </w:p>
    <w:p w14:paraId="2D77DBF8" w14:textId="0269572F" w:rsidR="00124C0D" w:rsidRPr="00124C0D" w:rsidRDefault="00124C0D" w:rsidP="00124C0D">
      <w:pPr>
        <w:rPr>
          <w:b/>
          <w:bCs/>
        </w:rPr>
      </w:pPr>
      <w:r w:rsidRPr="00124C0D">
        <w:rPr>
          <w:b/>
          <w:bCs/>
        </w:rPr>
        <w:t>Policies and Procedures</w:t>
      </w:r>
    </w:p>
    <w:p w14:paraId="7905C121" w14:textId="24123576" w:rsidR="00124C0D" w:rsidRDefault="00124C0D" w:rsidP="00124C0D">
      <w:r>
        <w:t>The internal policies of the Trust have often been biased towards organizational reputation more than patient safety. The quality of incident investigations was frequently low, and carried out by internal personnel who had a conflict of interest and who were unable to pinpoint the obvious clinical omissions</w:t>
      </w:r>
      <w:r w:rsidR="005278B6">
        <w:t xml:space="preserve"> </w:t>
      </w:r>
      <w:r w:rsidR="005278B6" w:rsidRPr="005278B6">
        <w:t>(Endalamaw et al., 2024)</w:t>
      </w:r>
      <w:r>
        <w:t>. There was a lack of subtlety in policies of natural birth, which resulted in non-observance of NICE policy on cardiotocography (CTG) monitoring and fetal heart rate monitoring. This demonstrates a systemic failure in clinical audit as a major pillar of governance in which the information gathered failed to result in action plans and practice change</w:t>
      </w:r>
      <w:r w:rsidR="005278B6">
        <w:t xml:space="preserve"> </w:t>
      </w:r>
      <w:r w:rsidR="005278B6" w:rsidRPr="005278B6">
        <w:t>(England, 2025a)</w:t>
      </w:r>
      <w:r w:rsidR="005278B6">
        <w:t>.</w:t>
      </w:r>
    </w:p>
    <w:p w14:paraId="5CDA4FE4" w14:textId="742FD3D9" w:rsidR="00124C0D" w:rsidRPr="00124C0D" w:rsidRDefault="00124C0D" w:rsidP="00124C0D">
      <w:pPr>
        <w:rPr>
          <w:b/>
          <w:bCs/>
        </w:rPr>
      </w:pPr>
      <w:r w:rsidRPr="00124C0D">
        <w:rPr>
          <w:b/>
          <w:bCs/>
        </w:rPr>
        <w:t>Environment and Estates</w:t>
      </w:r>
    </w:p>
    <w:p w14:paraId="7C9ED4FE" w14:textId="6929C372" w:rsidR="00124C0D" w:rsidRDefault="00124C0D" w:rsidP="00124C0D">
      <w:r>
        <w:lastRenderedPageBreak/>
        <w:t>The risk environment was increased by failure of infrastructures. According to the recent national survey on maternity estates in 2024</w:t>
      </w:r>
      <w:r w:rsidR="005278B6">
        <w:t>-</w:t>
      </w:r>
      <w:r>
        <w:t>2025, it has been shown that most of the trusts work in an old and run-down facility</w:t>
      </w:r>
      <w:r w:rsidR="005278B6">
        <w:t xml:space="preserve"> </w:t>
      </w:r>
      <w:r w:rsidR="005278B6" w:rsidRPr="005278B6">
        <w:t>(England, 2025b)</w:t>
      </w:r>
      <w:r>
        <w:t>. In SaTH, geographical or clinical isolation of some services complicated the task of managing emergencies. Water leaks, power outages, and lack of space to house birthing suites are some of the infrastructure risks that have a direct impact on staff efficiency and patient dignity. The number of incidents associated with water and sewerage failures reported on NHS maternity estates in the three years preceding 2023 exceeded 5,000, demonstrating the environmental strains that may result in the occurrence of surgical delays and safety violations</w:t>
      </w:r>
      <w:r w:rsidR="005278B6">
        <w:t xml:space="preserve"> </w:t>
      </w:r>
      <w:r w:rsidR="005278B6" w:rsidRPr="005278B6">
        <w:t>(Foley, McCourt and Yuill, 2025)</w:t>
      </w:r>
      <w:r>
        <w:t>.</w:t>
      </w:r>
    </w:p>
    <w:p w14:paraId="598C0F53" w14:textId="314D2B28" w:rsidR="00124C0D" w:rsidRPr="00124C0D" w:rsidRDefault="00124C0D" w:rsidP="00124C0D">
      <w:pPr>
        <w:rPr>
          <w:b/>
          <w:bCs/>
        </w:rPr>
      </w:pPr>
      <w:r w:rsidRPr="00124C0D">
        <w:rPr>
          <w:b/>
          <w:bCs/>
        </w:rPr>
        <w:t>Equipment and Technology</w:t>
      </w:r>
    </w:p>
    <w:p w14:paraId="5E7D1DD9" w14:textId="48958E16" w:rsidR="00124C0D" w:rsidRDefault="00124C0D" w:rsidP="00124C0D">
      <w:r>
        <w:t>Technology usage and equipment failures were common. Absence of standardized and high quality CTG monitoring and inability of staff to interpret these tracings correctly were found to be leading causes of neonatal brain injury</w:t>
      </w:r>
      <w:r w:rsidR="005278B6">
        <w:t xml:space="preserve"> </w:t>
      </w:r>
      <w:r w:rsidR="005278B6" w:rsidRPr="005278B6">
        <w:t>(Gauld and Horsburgh, 2015)</w:t>
      </w:r>
      <w:r>
        <w:t>. Moreover, a lack of efficient IT systems resulted in the absence or incomplete records of patients, that is, clinical decisions were frequently made without all of the necessary information, including the risk profile of a mother or her past complications</w:t>
      </w:r>
      <w:r w:rsidR="005278B6">
        <w:t xml:space="preserve"> </w:t>
      </w:r>
      <w:r w:rsidR="005278B6" w:rsidRPr="005278B6">
        <w:t>(Grierson, 2025)</w:t>
      </w:r>
      <w:r w:rsidR="005278B6">
        <w:t>.</w:t>
      </w:r>
    </w:p>
    <w:tbl>
      <w:tblPr>
        <w:tblStyle w:val="PlainTable1"/>
        <w:tblW w:w="0" w:type="auto"/>
        <w:tblLook w:val="04A0" w:firstRow="1" w:lastRow="0" w:firstColumn="1" w:lastColumn="0" w:noHBand="0" w:noVBand="1"/>
      </w:tblPr>
      <w:tblGrid>
        <w:gridCol w:w="3005"/>
        <w:gridCol w:w="3005"/>
        <w:gridCol w:w="3006"/>
      </w:tblGrid>
      <w:tr w:rsidR="00B53C8D" w:rsidRPr="00B53C8D" w14:paraId="1C6421F3" w14:textId="77777777" w:rsidTr="00A500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D4E1B8" w14:textId="77777777" w:rsidR="00B53C8D" w:rsidRPr="00B53C8D" w:rsidRDefault="00B53C8D" w:rsidP="00A50088">
            <w:pPr>
              <w:jc w:val="center"/>
            </w:pPr>
            <w:r w:rsidRPr="00B53C8D">
              <w:t>Fishbone Category</w:t>
            </w:r>
          </w:p>
        </w:tc>
        <w:tc>
          <w:tcPr>
            <w:tcW w:w="3005" w:type="dxa"/>
          </w:tcPr>
          <w:p w14:paraId="0CE40904" w14:textId="77777777" w:rsidR="00B53C8D" w:rsidRPr="00B53C8D" w:rsidRDefault="00B53C8D" w:rsidP="00A50088">
            <w:pPr>
              <w:jc w:val="center"/>
              <w:cnfStyle w:val="100000000000" w:firstRow="1" w:lastRow="0" w:firstColumn="0" w:lastColumn="0" w:oddVBand="0" w:evenVBand="0" w:oddHBand="0" w:evenHBand="0" w:firstRowFirstColumn="0" w:firstRowLastColumn="0" w:lastRowFirstColumn="0" w:lastRowLastColumn="0"/>
            </w:pPr>
            <w:r w:rsidRPr="00B53C8D">
              <w:t>Specific Failure at SaTH (2000-2019)</w:t>
            </w:r>
          </w:p>
        </w:tc>
        <w:tc>
          <w:tcPr>
            <w:tcW w:w="3006" w:type="dxa"/>
          </w:tcPr>
          <w:p w14:paraId="233AA8A2" w14:textId="77777777" w:rsidR="00B53C8D" w:rsidRPr="00B53C8D" w:rsidRDefault="00B53C8D" w:rsidP="00A50088">
            <w:pPr>
              <w:jc w:val="center"/>
              <w:cnfStyle w:val="100000000000" w:firstRow="1" w:lastRow="0" w:firstColumn="0" w:lastColumn="0" w:oddVBand="0" w:evenVBand="0" w:oddHBand="0" w:evenHBand="0" w:firstRowFirstColumn="0" w:firstRowLastColumn="0" w:lastRowFirstColumn="0" w:lastRowLastColumn="0"/>
            </w:pPr>
            <w:r w:rsidRPr="00B53C8D">
              <w:t>Systemic Context (2024-2026)</w:t>
            </w:r>
          </w:p>
        </w:tc>
      </w:tr>
      <w:tr w:rsidR="00B53C8D" w:rsidRPr="00B53C8D" w14:paraId="4C8D06FE" w14:textId="77777777" w:rsidTr="00A500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772B9D" w14:textId="77777777" w:rsidR="00B53C8D" w:rsidRPr="00B53C8D" w:rsidRDefault="00B53C8D" w:rsidP="00A50088">
            <w:pPr>
              <w:jc w:val="center"/>
            </w:pPr>
            <w:r w:rsidRPr="00B53C8D">
              <w:t>People</w:t>
            </w:r>
          </w:p>
        </w:tc>
        <w:tc>
          <w:tcPr>
            <w:tcW w:w="3005" w:type="dxa"/>
          </w:tcPr>
          <w:p w14:paraId="1ED0F2B0" w14:textId="77777777" w:rsidR="00B53C8D" w:rsidRPr="00B53C8D" w:rsidRDefault="00B53C8D" w:rsidP="00A50088">
            <w:pPr>
              <w:jc w:val="center"/>
              <w:cnfStyle w:val="000000100000" w:firstRow="0" w:lastRow="0" w:firstColumn="0" w:lastColumn="0" w:oddVBand="0" w:evenVBand="0" w:oddHBand="1" w:evenHBand="0" w:firstRowFirstColumn="0" w:firstRowLastColumn="0" w:lastRowFirstColumn="0" w:lastRowLastColumn="0"/>
            </w:pPr>
            <w:r w:rsidRPr="00B53C8D">
              <w:t>Toxic culture; junior staff left unsupervised.</w:t>
            </w:r>
          </w:p>
        </w:tc>
        <w:tc>
          <w:tcPr>
            <w:tcW w:w="3006" w:type="dxa"/>
          </w:tcPr>
          <w:p w14:paraId="50FB1CCF" w14:textId="77777777" w:rsidR="00B53C8D" w:rsidRPr="00B53C8D" w:rsidRDefault="00B53C8D" w:rsidP="00A50088">
            <w:pPr>
              <w:jc w:val="center"/>
              <w:cnfStyle w:val="000000100000" w:firstRow="0" w:lastRow="0" w:firstColumn="0" w:lastColumn="0" w:oddVBand="0" w:evenVBand="0" w:oddHBand="1" w:evenHBand="0" w:firstRowFirstColumn="0" w:firstRowLastColumn="0" w:lastRowFirstColumn="0" w:lastRowLastColumn="0"/>
            </w:pPr>
            <w:r w:rsidRPr="00B53C8D">
              <w:t>Deficit of 2,500 midwives; concerns over unsafe staffing.</w:t>
            </w:r>
          </w:p>
        </w:tc>
      </w:tr>
      <w:tr w:rsidR="00B53C8D" w:rsidRPr="00B53C8D" w14:paraId="4F3DE9EF" w14:textId="77777777" w:rsidTr="00A50088">
        <w:tc>
          <w:tcPr>
            <w:cnfStyle w:val="001000000000" w:firstRow="0" w:lastRow="0" w:firstColumn="1" w:lastColumn="0" w:oddVBand="0" w:evenVBand="0" w:oddHBand="0" w:evenHBand="0" w:firstRowFirstColumn="0" w:firstRowLastColumn="0" w:lastRowFirstColumn="0" w:lastRowLastColumn="0"/>
            <w:tcW w:w="3005" w:type="dxa"/>
          </w:tcPr>
          <w:p w14:paraId="59521749" w14:textId="77777777" w:rsidR="00B53C8D" w:rsidRPr="00B53C8D" w:rsidRDefault="00B53C8D" w:rsidP="00A50088">
            <w:pPr>
              <w:jc w:val="center"/>
            </w:pPr>
            <w:r w:rsidRPr="00B53C8D">
              <w:t>Policies</w:t>
            </w:r>
          </w:p>
        </w:tc>
        <w:tc>
          <w:tcPr>
            <w:tcW w:w="3005" w:type="dxa"/>
          </w:tcPr>
          <w:p w14:paraId="3D5443A1" w14:textId="77777777" w:rsidR="00B53C8D" w:rsidRPr="00B53C8D" w:rsidRDefault="00B53C8D" w:rsidP="00A50088">
            <w:pPr>
              <w:jc w:val="center"/>
              <w:cnfStyle w:val="000000000000" w:firstRow="0" w:lastRow="0" w:firstColumn="0" w:lastColumn="0" w:oddVBand="0" w:evenVBand="0" w:oddHBand="0" w:evenHBand="0" w:firstRowFirstColumn="0" w:firstRowLastColumn="0" w:lastRowFirstColumn="0" w:lastRowLastColumn="0"/>
            </w:pPr>
            <w:r w:rsidRPr="00B53C8D">
              <w:t>Failure to investigate incidents or follow NICE guidelines.</w:t>
            </w:r>
          </w:p>
        </w:tc>
        <w:tc>
          <w:tcPr>
            <w:tcW w:w="3006" w:type="dxa"/>
          </w:tcPr>
          <w:p w14:paraId="64B357D8" w14:textId="77777777" w:rsidR="00B53C8D" w:rsidRPr="00B53C8D" w:rsidRDefault="00B53C8D" w:rsidP="00A50088">
            <w:pPr>
              <w:jc w:val="center"/>
              <w:cnfStyle w:val="000000000000" w:firstRow="0" w:lastRow="0" w:firstColumn="0" w:lastColumn="0" w:oddVBand="0" w:evenVBand="0" w:oddHBand="0" w:evenHBand="0" w:firstRowFirstColumn="0" w:firstRowLastColumn="0" w:lastRowFirstColumn="0" w:lastRowLastColumn="0"/>
            </w:pPr>
            <w:r w:rsidRPr="00B53C8D">
              <w:t>Transition to PSIRF; emphasis on learning over blame.</w:t>
            </w:r>
          </w:p>
        </w:tc>
      </w:tr>
      <w:tr w:rsidR="00B53C8D" w:rsidRPr="00B53C8D" w14:paraId="7CF0ACC7" w14:textId="77777777" w:rsidTr="00A500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446851" w14:textId="77777777" w:rsidR="00B53C8D" w:rsidRPr="00B53C8D" w:rsidRDefault="00B53C8D" w:rsidP="00A50088">
            <w:pPr>
              <w:jc w:val="center"/>
            </w:pPr>
            <w:r w:rsidRPr="00B53C8D">
              <w:t>Environment</w:t>
            </w:r>
          </w:p>
        </w:tc>
        <w:tc>
          <w:tcPr>
            <w:tcW w:w="3005" w:type="dxa"/>
          </w:tcPr>
          <w:p w14:paraId="7C62B3E1" w14:textId="77777777" w:rsidR="00B53C8D" w:rsidRPr="00B53C8D" w:rsidRDefault="00B53C8D" w:rsidP="00A50088">
            <w:pPr>
              <w:jc w:val="center"/>
              <w:cnfStyle w:val="000000100000" w:firstRow="0" w:lastRow="0" w:firstColumn="0" w:lastColumn="0" w:oddVBand="0" w:evenVBand="0" w:oddHBand="1" w:evenHBand="0" w:firstRowFirstColumn="0" w:firstRowLastColumn="0" w:lastRowFirstColumn="0" w:lastRowLastColumn="0"/>
            </w:pPr>
            <w:r w:rsidRPr="00B53C8D">
              <w:t>Clinical isolation of units.</w:t>
            </w:r>
          </w:p>
        </w:tc>
        <w:tc>
          <w:tcPr>
            <w:tcW w:w="3006" w:type="dxa"/>
          </w:tcPr>
          <w:p w14:paraId="719BB160" w14:textId="77777777" w:rsidR="00B53C8D" w:rsidRPr="00B53C8D" w:rsidRDefault="00B53C8D" w:rsidP="00A50088">
            <w:pPr>
              <w:jc w:val="center"/>
              <w:cnfStyle w:val="000000100000" w:firstRow="0" w:lastRow="0" w:firstColumn="0" w:lastColumn="0" w:oddVBand="0" w:evenVBand="0" w:oddHBand="1" w:evenHBand="0" w:firstRowFirstColumn="0" w:firstRowLastColumn="0" w:lastRowFirstColumn="0" w:lastRowLastColumn="0"/>
            </w:pPr>
            <w:r w:rsidRPr="00B53C8D">
              <w:t>30% of units non-compliant with space standards.</w:t>
            </w:r>
          </w:p>
        </w:tc>
      </w:tr>
      <w:tr w:rsidR="00B53C8D" w14:paraId="3219D109" w14:textId="77777777" w:rsidTr="00A50088">
        <w:tc>
          <w:tcPr>
            <w:cnfStyle w:val="001000000000" w:firstRow="0" w:lastRow="0" w:firstColumn="1" w:lastColumn="0" w:oddVBand="0" w:evenVBand="0" w:oddHBand="0" w:evenHBand="0" w:firstRowFirstColumn="0" w:firstRowLastColumn="0" w:lastRowFirstColumn="0" w:lastRowLastColumn="0"/>
            <w:tcW w:w="3005" w:type="dxa"/>
          </w:tcPr>
          <w:p w14:paraId="382146B4" w14:textId="77777777" w:rsidR="00B53C8D" w:rsidRPr="00B53C8D" w:rsidRDefault="00B53C8D" w:rsidP="00A50088">
            <w:pPr>
              <w:jc w:val="center"/>
            </w:pPr>
            <w:r w:rsidRPr="00B53C8D">
              <w:t>Equipment</w:t>
            </w:r>
          </w:p>
        </w:tc>
        <w:tc>
          <w:tcPr>
            <w:tcW w:w="3005" w:type="dxa"/>
          </w:tcPr>
          <w:p w14:paraId="6FA23D55" w14:textId="77777777" w:rsidR="00B53C8D" w:rsidRPr="00B53C8D" w:rsidRDefault="00B53C8D" w:rsidP="00A50088">
            <w:pPr>
              <w:jc w:val="center"/>
              <w:cnfStyle w:val="000000000000" w:firstRow="0" w:lastRow="0" w:firstColumn="0" w:lastColumn="0" w:oddVBand="0" w:evenVBand="0" w:oddHBand="0" w:evenHBand="0" w:firstRowFirstColumn="0" w:firstRowLastColumn="0" w:lastRowFirstColumn="0" w:lastRowLastColumn="0"/>
            </w:pPr>
            <w:r w:rsidRPr="00B53C8D">
              <w:t>Misinterpretation of CTG tracings.</w:t>
            </w:r>
          </w:p>
        </w:tc>
        <w:tc>
          <w:tcPr>
            <w:tcW w:w="3006" w:type="dxa"/>
          </w:tcPr>
          <w:p w14:paraId="3E17CCD5" w14:textId="77777777" w:rsidR="00B53C8D" w:rsidRDefault="00B53C8D" w:rsidP="00A50088">
            <w:pPr>
              <w:jc w:val="center"/>
              <w:cnfStyle w:val="000000000000" w:firstRow="0" w:lastRow="0" w:firstColumn="0" w:lastColumn="0" w:oddVBand="0" w:evenVBand="0" w:oddHBand="0" w:evenHBand="0" w:firstRowFirstColumn="0" w:firstRowLastColumn="0" w:lastRowFirstColumn="0" w:lastRowLastColumn="0"/>
            </w:pPr>
            <w:r w:rsidRPr="00B53C8D">
              <w:t>Inefficient IT systems and missing records.</w:t>
            </w:r>
          </w:p>
        </w:tc>
      </w:tr>
    </w:tbl>
    <w:p w14:paraId="67104583" w14:textId="5522D37F" w:rsidR="00124C0D" w:rsidRDefault="00124C0D" w:rsidP="00B53C8D"/>
    <w:p w14:paraId="34189258" w14:textId="2DB30054" w:rsidR="00B53C8D" w:rsidRDefault="00B53C8D">
      <w:pPr>
        <w:spacing w:line="259" w:lineRule="auto"/>
        <w:jc w:val="left"/>
      </w:pPr>
      <w:r>
        <w:br w:type="page"/>
      </w:r>
    </w:p>
    <w:p w14:paraId="02A5824C" w14:textId="77777777" w:rsidR="00B53C8D" w:rsidRDefault="00B53C8D" w:rsidP="00B53C8D">
      <w:pPr>
        <w:pStyle w:val="Heading2"/>
      </w:pPr>
      <w:bookmarkStart w:id="6" w:name="_Toc226984268"/>
      <w:r>
        <w:lastRenderedPageBreak/>
        <w:t>Strategic Planning through PESTLE Analysis</w:t>
      </w:r>
      <w:bookmarkEnd w:id="6"/>
    </w:p>
    <w:p w14:paraId="47205F7F" w14:textId="47923CE7" w:rsidR="00B53C8D" w:rsidRDefault="00B53C8D" w:rsidP="00B53C8D">
      <w:r>
        <w:t>A PESTLE analysis evaluates the macro-environmental factors influencing the strategic direction of maternity service improvement within the NHS.</w:t>
      </w:r>
    </w:p>
    <w:p w14:paraId="50373991" w14:textId="2FD098B9" w:rsidR="00B53C8D" w:rsidRDefault="00B53C8D" w:rsidP="00B53C8D">
      <w:pPr>
        <w:jc w:val="center"/>
      </w:pPr>
      <w:r>
        <w:rPr>
          <w:noProof/>
          <w:lang w:eastAsia="en-GB"/>
        </w:rPr>
        <w:drawing>
          <wp:inline distT="0" distB="0" distL="0" distR="0" wp14:anchorId="54568163" wp14:editId="1B5BE799">
            <wp:extent cx="4457700" cy="3345897"/>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6976" cy="3352859"/>
                    </a:xfrm>
                    <a:prstGeom prst="rect">
                      <a:avLst/>
                    </a:prstGeom>
                    <a:noFill/>
                  </pic:spPr>
                </pic:pic>
              </a:graphicData>
            </a:graphic>
          </wp:inline>
        </w:drawing>
      </w:r>
    </w:p>
    <w:p w14:paraId="569224B5" w14:textId="153DB646" w:rsidR="00B53C8D" w:rsidRPr="005278B6" w:rsidRDefault="00B53C8D" w:rsidP="00B53C8D">
      <w:pPr>
        <w:jc w:val="center"/>
        <w:rPr>
          <w:b/>
          <w:bCs/>
          <w:i/>
          <w:iCs/>
        </w:rPr>
      </w:pPr>
      <w:r w:rsidRPr="005278B6">
        <w:rPr>
          <w:b/>
          <w:bCs/>
          <w:i/>
          <w:iCs/>
        </w:rPr>
        <w:t xml:space="preserve">Figure 2: PESTLE </w:t>
      </w:r>
      <w:r w:rsidR="005278B6" w:rsidRPr="005278B6">
        <w:rPr>
          <w:b/>
          <w:bCs/>
          <w:i/>
          <w:iCs/>
        </w:rPr>
        <w:t>Analysis (Kruk et al., 2022)</w:t>
      </w:r>
    </w:p>
    <w:p w14:paraId="5646B51E" w14:textId="0AF336BE" w:rsidR="00B53C8D" w:rsidRPr="00B53C8D" w:rsidRDefault="00B53C8D" w:rsidP="00B53C8D">
      <w:pPr>
        <w:rPr>
          <w:b/>
          <w:bCs/>
        </w:rPr>
      </w:pPr>
      <w:r w:rsidRPr="00B53C8D">
        <w:rPr>
          <w:b/>
          <w:bCs/>
        </w:rPr>
        <w:t>Political Factors</w:t>
      </w:r>
    </w:p>
    <w:p w14:paraId="36F4B9C5" w14:textId="14AB3C9E" w:rsidR="008A26D9" w:rsidRDefault="008A26D9" w:rsidP="008A26D9">
      <w:r>
        <w:t>Political environment is now characterized by a mission of change after the change of government in 2025. The Health and Social Care Secretary has established a National Maternity and Neonatal Taskforce to bring failing trusts to book. The extent of unacceptable care is a hotly debated issue in media and politics, and has damaged social confidence and provoked demands to establish a statutory public inquiry</w:t>
      </w:r>
      <w:r w:rsidR="005278B6">
        <w:t xml:space="preserve"> </w:t>
      </w:r>
      <w:r w:rsidR="005278B6" w:rsidRPr="005278B6">
        <w:t>(Kumah et al., 2024)</w:t>
      </w:r>
      <w:r>
        <w:t>. A key political source of funding and reform has been the government commitment to reducing the rates of stillbirth and maternal death by half by 2030</w:t>
      </w:r>
      <w:r w:rsidR="005278B6">
        <w:t xml:space="preserve"> </w:t>
      </w:r>
      <w:r w:rsidR="005278B6" w:rsidRPr="005278B6">
        <w:t>(Mofidi and Marrow, 2017)</w:t>
      </w:r>
      <w:r w:rsidR="005278B6">
        <w:t>.</w:t>
      </w:r>
    </w:p>
    <w:p w14:paraId="1A21F050" w14:textId="66AB1187" w:rsidR="008A26D9" w:rsidRPr="008A26D9" w:rsidRDefault="008A26D9" w:rsidP="008A26D9">
      <w:pPr>
        <w:rPr>
          <w:b/>
          <w:bCs/>
        </w:rPr>
      </w:pPr>
      <w:r w:rsidRPr="008A26D9">
        <w:rPr>
          <w:b/>
          <w:bCs/>
        </w:rPr>
        <w:t>Economic Factors</w:t>
      </w:r>
    </w:p>
    <w:p w14:paraId="438717D8" w14:textId="2461CB2D" w:rsidR="008A26D9" w:rsidRDefault="008A26D9" w:rsidP="008A26D9">
      <w:r>
        <w:t>The NHS maternity services are on a tight financial rope. This has caused a workforce crisis with the system failing to cope with the demands of greater clinical complexity due to chronic underfunding. The financial impact of service breakdown is truly astounding; in 2024</w:t>
      </w:r>
      <w:r w:rsidR="00E63A80">
        <w:t>-20</w:t>
      </w:r>
      <w:r>
        <w:t>25, 42% of all clinical negligence payments (1.3 billion) were in maternity care</w:t>
      </w:r>
      <w:r w:rsidR="005278B6">
        <w:t xml:space="preserve"> </w:t>
      </w:r>
      <w:r w:rsidR="005278B6" w:rsidRPr="005278B6">
        <w:t>(Middlemiss et al., 2025)</w:t>
      </w:r>
      <w:r>
        <w:t>.</w:t>
      </w:r>
      <w:r w:rsidR="005278B6">
        <w:t xml:space="preserve"> </w:t>
      </w:r>
      <w:r>
        <w:t>This traps into a vicious cycle where money that should be used to enhance the services is used to pay claims that are as a result of preventable injuries.</w:t>
      </w:r>
    </w:p>
    <w:p w14:paraId="19B43CF4" w14:textId="06628D4A" w:rsidR="008A26D9" w:rsidRPr="00E63A80" w:rsidRDefault="008A26D9" w:rsidP="008A26D9">
      <w:pPr>
        <w:rPr>
          <w:b/>
          <w:bCs/>
        </w:rPr>
      </w:pPr>
      <w:r w:rsidRPr="00E63A80">
        <w:rPr>
          <w:b/>
          <w:bCs/>
        </w:rPr>
        <w:lastRenderedPageBreak/>
        <w:t>Social Factors</w:t>
      </w:r>
    </w:p>
    <w:p w14:paraId="5067EEDA" w14:textId="37936715" w:rsidR="008A26D9" w:rsidRDefault="008A26D9" w:rsidP="008A26D9">
      <w:r>
        <w:t>Social demographics is changing, and women are increasingly giving birth later (61% over age 30 in 2024) and with more complex health conditions</w:t>
      </w:r>
      <w:r w:rsidR="005278B6">
        <w:t xml:space="preserve"> </w:t>
      </w:r>
      <w:r w:rsidR="005278B6" w:rsidRPr="005278B6">
        <w:t>(Naz et al., 2022)</w:t>
      </w:r>
      <w:r>
        <w:t>. Moreover, social inequalities are still extreme; Black women are nearly three times more likely to die during or after childbirth than White ones, and Asian women are at a higher risk of negative outcomes twice as much. These inequalities are not being reduced and this has caused lack of trust by the marginalized communities who are convinced that the system is not serving them fairly.</w:t>
      </w:r>
    </w:p>
    <w:p w14:paraId="2C34E7F7" w14:textId="71B94329" w:rsidR="008A26D9" w:rsidRPr="00E63A80" w:rsidRDefault="008A26D9" w:rsidP="008A26D9">
      <w:pPr>
        <w:rPr>
          <w:b/>
          <w:bCs/>
        </w:rPr>
      </w:pPr>
      <w:r w:rsidRPr="00E63A80">
        <w:rPr>
          <w:b/>
          <w:bCs/>
        </w:rPr>
        <w:t>Technological Factors</w:t>
      </w:r>
    </w:p>
    <w:p w14:paraId="0075B6F7" w14:textId="0CAD9E17" w:rsidR="008A26D9" w:rsidRDefault="008A26D9" w:rsidP="008A26D9">
      <w:r>
        <w:t>There are opportunities and challenges associated with technological advancement. NHS is transforming its systems to go digital in place of analogue with the intention of utilizing data as a means of prevention. Nevertheless, the quality of data is still low; 9</w:t>
      </w:r>
      <w:r w:rsidR="005278B6">
        <w:t>%</w:t>
      </w:r>
      <w:r>
        <w:t xml:space="preserve"> of the data at SaTH is missing data on ethnicity, and national data is biased towards hospital-based care but not patient-reported safety</w:t>
      </w:r>
      <w:r w:rsidR="005278B6">
        <w:t xml:space="preserve"> </w:t>
      </w:r>
      <w:r w:rsidR="005278B6" w:rsidRPr="005278B6">
        <w:t>(Norman, Stock and Harmer, 2022)</w:t>
      </w:r>
      <w:r>
        <w:t>. The emergence of social media has enhanced patient education but it has also helped in the propagation of misinformation on clinical risk.</w:t>
      </w:r>
    </w:p>
    <w:p w14:paraId="6A5D4C55" w14:textId="5766D1B5" w:rsidR="008A26D9" w:rsidRPr="00E63A80" w:rsidRDefault="008A26D9" w:rsidP="008A26D9">
      <w:pPr>
        <w:rPr>
          <w:b/>
          <w:bCs/>
        </w:rPr>
      </w:pPr>
      <w:r w:rsidRPr="00E63A80">
        <w:rPr>
          <w:b/>
          <w:bCs/>
        </w:rPr>
        <w:t>Legal Factors</w:t>
      </w:r>
    </w:p>
    <w:p w14:paraId="59A13CAB" w14:textId="391D41FF" w:rsidR="008A26D9" w:rsidRDefault="008A26D9" w:rsidP="008A26D9">
      <w:r>
        <w:t>The pressure of regulators is unprecedented. In 2024, the CQC found 65% of maternity units in England either to be inadequate or to need improvement</w:t>
      </w:r>
      <w:r w:rsidR="005278B6">
        <w:t xml:space="preserve"> </w:t>
      </w:r>
      <w:r w:rsidR="005278B6" w:rsidRPr="005278B6">
        <w:t>(O’Dowd, 2025)</w:t>
      </w:r>
      <w:r>
        <w:t>. The continued criminal inquiries into SaTH have influenced the morale of the professionals and enhanced the necessity of having a solid legal structure of accountability. The no-blame compensation model in Sweden is of growing interest in order to promote the culture of openness.</w:t>
      </w:r>
    </w:p>
    <w:p w14:paraId="5BF7352D" w14:textId="5E446B49" w:rsidR="008A26D9" w:rsidRPr="00E63A80" w:rsidRDefault="008A26D9" w:rsidP="008A26D9">
      <w:pPr>
        <w:rPr>
          <w:b/>
          <w:bCs/>
        </w:rPr>
      </w:pPr>
      <w:r w:rsidRPr="00E63A80">
        <w:rPr>
          <w:b/>
          <w:bCs/>
        </w:rPr>
        <w:t>Environmental Factors</w:t>
      </w:r>
    </w:p>
    <w:p w14:paraId="2F87C63B" w14:textId="4B7B3ECB" w:rsidR="00B53C8D" w:rsidRDefault="008A26D9" w:rsidP="008A26D9">
      <w:r>
        <w:t>A huge obstacle to quality is the physical environment of the NHS estate. In 2020</w:t>
      </w:r>
      <w:r w:rsidR="00E63A80">
        <w:t>-</w:t>
      </w:r>
      <w:r>
        <w:t>2023, almost 3,000 cases of improper heating and ventilation were reported</w:t>
      </w:r>
      <w:r w:rsidR="005278B6">
        <w:t xml:space="preserve"> </w:t>
      </w:r>
      <w:r w:rsidR="005278B6" w:rsidRPr="005278B6">
        <w:t>(Ockenden, 2022)</w:t>
      </w:r>
      <w:r>
        <w:t>. The old buildings cause the staff to feel neglected and undermine the Continuity of Carer models that demand certain infrastructure to work.</w:t>
      </w:r>
    </w:p>
    <w:p w14:paraId="5A20D5AC" w14:textId="2A1D0023" w:rsidR="00E63A80" w:rsidRDefault="00E63A80" w:rsidP="008A26D9"/>
    <w:p w14:paraId="359B04EC" w14:textId="1718B325" w:rsidR="00E63A80" w:rsidRDefault="00E63A80">
      <w:pPr>
        <w:spacing w:line="259" w:lineRule="auto"/>
        <w:jc w:val="left"/>
      </w:pPr>
      <w:r>
        <w:br w:type="page"/>
      </w:r>
    </w:p>
    <w:p w14:paraId="299D4B04" w14:textId="2C2850C0" w:rsidR="00E63A80" w:rsidRDefault="00E63A80" w:rsidP="00E63A80">
      <w:pPr>
        <w:pStyle w:val="Heading1"/>
      </w:pPr>
      <w:bookmarkStart w:id="7" w:name="_Toc226984269"/>
      <w:r w:rsidRPr="00E63A80">
        <w:lastRenderedPageBreak/>
        <w:t>Recommendation: Actionable Strategy for Service Improvement</w:t>
      </w:r>
      <w:bookmarkEnd w:id="7"/>
    </w:p>
    <w:p w14:paraId="21AEADA5" w14:textId="65D487E2" w:rsidR="00E63A80" w:rsidRDefault="00E63A80" w:rsidP="008A26D9">
      <w:r w:rsidRPr="00E63A80">
        <w:t>The service improvement recommendations are based on the 15 Immediate and Essential Actions (IEAs) created by Donna Ockenden and backed up by the Model for Improvement. These recommendations are based on four pillars: safe staffing, a highly skilled workforce, incident learning, and family listening.</w:t>
      </w:r>
    </w:p>
    <w:p w14:paraId="256DDAD8" w14:textId="601C6406" w:rsidR="00E63A80" w:rsidRPr="00E63A80" w:rsidRDefault="00E63A80" w:rsidP="008A26D9">
      <w:pPr>
        <w:rPr>
          <w:b/>
          <w:bCs/>
        </w:rPr>
      </w:pPr>
      <w:r w:rsidRPr="00E63A80">
        <w:rPr>
          <w:b/>
          <w:bCs/>
        </w:rPr>
        <w:t>Pillar 1: Safe Staffing and Workforce Sustainability</w:t>
      </w:r>
    </w:p>
    <w:p w14:paraId="3C362ED8" w14:textId="5ACE0A99" w:rsidR="00E63A80" w:rsidRDefault="00E63A80" w:rsidP="008A26D9">
      <w:r w:rsidRPr="00E63A80">
        <w:t>Safe levels of staffing should be the basis of quality of maternity services. The Ockenden Report comes out categorical that the national implementation of the "Midwifery Continuity of Carer" (MCoC) should be postponed until minimum staffing conditions are achieved</w:t>
      </w:r>
      <w:r w:rsidR="005278B6">
        <w:t xml:space="preserve"> </w:t>
      </w:r>
      <w:r w:rsidR="005278B6" w:rsidRPr="005278B6">
        <w:t>(Renfrew et al., 2022)</w:t>
      </w:r>
      <w:r w:rsidRPr="00E63A80">
        <w:t>.</w:t>
      </w:r>
    </w:p>
    <w:p w14:paraId="78B2EB90" w14:textId="3F025A46" w:rsidR="00E63A80" w:rsidRDefault="00E63A80" w:rsidP="00E63A80">
      <w:r w:rsidRPr="00586635">
        <w:rPr>
          <w:b/>
          <w:bCs/>
        </w:rPr>
        <w:t>Recommendation:</w:t>
      </w:r>
      <w:r>
        <w:t xml:space="preserve"> Trusts should also have a clear policy of escalation and mitigation of situations when staffing is reduced to the minimum. The use of the Birthrate Plus (BR+) standard should support this and establish time scales of implementation</w:t>
      </w:r>
      <w:r w:rsidR="00A50088">
        <w:t xml:space="preserve"> </w:t>
      </w:r>
      <w:r w:rsidR="00A50088" w:rsidRPr="00A50088">
        <w:t>(Sheaff and Allen, 2023)</w:t>
      </w:r>
      <w:r>
        <w:t>.</w:t>
      </w:r>
    </w:p>
    <w:p w14:paraId="26C8263B" w14:textId="6D810907" w:rsidR="00E63A80" w:rsidRPr="00586635" w:rsidRDefault="00E63A80" w:rsidP="00E63A80">
      <w:pPr>
        <w:rPr>
          <w:b/>
          <w:bCs/>
        </w:rPr>
      </w:pPr>
      <w:r w:rsidRPr="00586635">
        <w:rPr>
          <w:b/>
          <w:bCs/>
        </w:rPr>
        <w:t>Implementation (PDSA):</w:t>
      </w:r>
    </w:p>
    <w:p w14:paraId="60C526A6" w14:textId="4E23DCA2" w:rsidR="00586635" w:rsidRDefault="00586635" w:rsidP="00586635">
      <w:r w:rsidRPr="00586635">
        <w:rPr>
          <w:b/>
          <w:bCs/>
        </w:rPr>
        <w:t>Plan:</w:t>
      </w:r>
      <w:r>
        <w:t xml:space="preserve"> Install a digital dashboard (real-time) on a single labor ward to monitor staff to patient ratios according to clinical acuity.</w:t>
      </w:r>
    </w:p>
    <w:p w14:paraId="578AF015" w14:textId="631D09BA" w:rsidR="00586635" w:rsidRDefault="00586635" w:rsidP="00586635">
      <w:r w:rsidRPr="00586635">
        <w:rPr>
          <w:b/>
          <w:bCs/>
        </w:rPr>
        <w:t>Do:</w:t>
      </w:r>
      <w:r>
        <w:t xml:space="preserve"> Operate the dashboard one month, but the shift coordinator can be supernumerary (not on a caseload) to monitor safety</w:t>
      </w:r>
      <w:r w:rsidR="00A50088">
        <w:t xml:space="preserve"> </w:t>
      </w:r>
      <w:r w:rsidR="00A50088" w:rsidRPr="00A50088">
        <w:t>(Saeb and Gregory, 2025)</w:t>
      </w:r>
      <w:r w:rsidR="00A50088">
        <w:t>.</w:t>
      </w:r>
    </w:p>
    <w:p w14:paraId="436E7D47" w14:textId="5D9D5FD0" w:rsidR="00586635" w:rsidRDefault="00586635" w:rsidP="00586635">
      <w:r w:rsidRPr="00586635">
        <w:rPr>
          <w:b/>
          <w:bCs/>
        </w:rPr>
        <w:t>Study:</w:t>
      </w:r>
      <w:r>
        <w:t xml:space="preserve"> Determine whether the supernumerary status contributed to accelerated growth of clinical issues and enhanced staff morale.</w:t>
      </w:r>
    </w:p>
    <w:p w14:paraId="0A443E44" w14:textId="378DE07F" w:rsidR="00586635" w:rsidRDefault="00586635" w:rsidP="00586635">
      <w:r w:rsidRPr="00586635">
        <w:rPr>
          <w:b/>
          <w:bCs/>
        </w:rPr>
        <w:t>Act:</w:t>
      </w:r>
      <w:r>
        <w:t xml:space="preserve"> In case successful, implement the dashboard in all maternity locations in the Trust, modifying it to various case mixes.</w:t>
      </w:r>
    </w:p>
    <w:p w14:paraId="60038209" w14:textId="77777777" w:rsidR="00586635" w:rsidRPr="00586635" w:rsidRDefault="00586635" w:rsidP="00586635">
      <w:pPr>
        <w:rPr>
          <w:b/>
          <w:bCs/>
        </w:rPr>
      </w:pPr>
      <w:r w:rsidRPr="00586635">
        <w:rPr>
          <w:b/>
          <w:bCs/>
        </w:rPr>
        <w:t>Pillar 2: Clinical Governance and Meaningful Learning</w:t>
      </w:r>
    </w:p>
    <w:p w14:paraId="58EA480B" w14:textId="034FD3CC" w:rsidR="00586635" w:rsidRDefault="00586635" w:rsidP="00586635">
      <w:r>
        <w:t>The failure to learn from tragedies at SaTH was a critical failure of the clinical governance system.</w:t>
      </w:r>
    </w:p>
    <w:p w14:paraId="41F6DB5B" w14:textId="5DC6D683" w:rsidR="00586635" w:rsidRDefault="00586635" w:rsidP="00586635">
      <w:r w:rsidRPr="00586635">
        <w:rPr>
          <w:b/>
          <w:bCs/>
        </w:rPr>
        <w:t>Recommendation:</w:t>
      </w:r>
      <w:r>
        <w:t xml:space="preserve"> The performance and quality of their maternity services should be directly monitored by the trust boards. The investigation of incidents should be independent, multi-disciplinary, and meaningful to the families</w:t>
      </w:r>
      <w:r w:rsidR="00A50088">
        <w:t xml:space="preserve"> </w:t>
      </w:r>
      <w:r w:rsidR="00A50088" w:rsidRPr="00A50088">
        <w:t>(The Lancet Regional Health – Europe, 2025)</w:t>
      </w:r>
      <w:r w:rsidR="00A50088">
        <w:t>.</w:t>
      </w:r>
    </w:p>
    <w:p w14:paraId="53AB71B9" w14:textId="75C11489" w:rsidR="00586635" w:rsidRPr="00586635" w:rsidRDefault="00586635" w:rsidP="00586635">
      <w:pPr>
        <w:rPr>
          <w:b/>
          <w:bCs/>
        </w:rPr>
      </w:pPr>
      <w:r w:rsidRPr="00586635">
        <w:rPr>
          <w:b/>
          <w:bCs/>
        </w:rPr>
        <w:t>Implementation (PDSA):</w:t>
      </w:r>
    </w:p>
    <w:p w14:paraId="32811A66" w14:textId="46C29CF5" w:rsidR="00586635" w:rsidRDefault="00586635" w:rsidP="00586635">
      <w:r w:rsidRPr="00586635">
        <w:rPr>
          <w:b/>
          <w:bCs/>
        </w:rPr>
        <w:lastRenderedPageBreak/>
        <w:t>Plan:</w:t>
      </w:r>
      <w:r>
        <w:t xml:space="preserve"> Standardize an incident investigation template with a section on family feedback to be mandatory and an independent outside chair to all serious incidents</w:t>
      </w:r>
      <w:r w:rsidR="00A50088">
        <w:t xml:space="preserve"> </w:t>
      </w:r>
      <w:r w:rsidR="00A50088" w:rsidRPr="00A50088">
        <w:t>(Unkels et al., 2023)</w:t>
      </w:r>
      <w:r>
        <w:t>.</w:t>
      </w:r>
    </w:p>
    <w:p w14:paraId="3CEA3497" w14:textId="240D845A" w:rsidR="00586635" w:rsidRDefault="00586635" w:rsidP="00586635">
      <w:r w:rsidRPr="00586635">
        <w:rPr>
          <w:b/>
          <w:bCs/>
        </w:rPr>
        <w:t>Do:</w:t>
      </w:r>
      <w:r>
        <w:t xml:space="preserve"> Put the new template to test on the following three serious incidents reported to the Trust.</w:t>
      </w:r>
    </w:p>
    <w:p w14:paraId="4C81B180" w14:textId="15F3AAC1" w:rsidR="00586635" w:rsidRDefault="00586635" w:rsidP="00586635">
      <w:r w:rsidRPr="00586635">
        <w:rPr>
          <w:b/>
          <w:bCs/>
        </w:rPr>
        <w:t>Study:</w:t>
      </w:r>
      <w:r>
        <w:t xml:space="preserve"> Test the effectiveness of considering families and external chairs in identification of root causes that would otherwise be undiscovered through purely internal reviews.</w:t>
      </w:r>
    </w:p>
    <w:p w14:paraId="287CD835" w14:textId="327EF612" w:rsidR="00586635" w:rsidRDefault="00586635" w:rsidP="00586635">
      <w:r w:rsidRPr="00586635">
        <w:rPr>
          <w:b/>
          <w:bCs/>
        </w:rPr>
        <w:t>Act:</w:t>
      </w:r>
      <w:r>
        <w:t xml:space="preserve"> Standard learning can be promoted by formally adopting the template and disseminating the results to the Regional Maternity System</w:t>
      </w:r>
      <w:r w:rsidR="00A50088">
        <w:t xml:space="preserve"> </w:t>
      </w:r>
      <w:r w:rsidR="00A50088" w:rsidRPr="00A50088">
        <w:t>(Van Houdt et al., 2013)</w:t>
      </w:r>
      <w:r w:rsidR="00A50088">
        <w:t>.</w:t>
      </w:r>
    </w:p>
    <w:p w14:paraId="47DF4BC6" w14:textId="77777777" w:rsidR="00586635" w:rsidRPr="00586635" w:rsidRDefault="00586635" w:rsidP="00586635">
      <w:pPr>
        <w:rPr>
          <w:b/>
          <w:bCs/>
        </w:rPr>
      </w:pPr>
      <w:r w:rsidRPr="00586635">
        <w:rPr>
          <w:b/>
          <w:bCs/>
        </w:rPr>
        <w:t>Pillar 3: Reducing Inequalities and Listening to Families</w:t>
      </w:r>
    </w:p>
    <w:p w14:paraId="242B19F7" w14:textId="073C7482" w:rsidR="00586635" w:rsidRDefault="00586635" w:rsidP="00586635">
      <w:r>
        <w:t>Addressing the "unacceptable care" received by Black, Asian, and socially deprived families is a public health priority.</w:t>
      </w:r>
    </w:p>
    <w:p w14:paraId="35C75A2B" w14:textId="142BA4E0" w:rsidR="00586635" w:rsidRDefault="00586635" w:rsidP="00586635">
      <w:r w:rsidRPr="00586635">
        <w:rPr>
          <w:b/>
          <w:bCs/>
        </w:rPr>
        <w:t>Recommendation:</w:t>
      </w:r>
      <w:r>
        <w:t xml:space="preserve"> Assign each trust with a Maternity and Neonatal Senior Independent Advocate (MNISA) to guarantee that families are listened to, and their interests are addressed. Targeted MCoC should be provided for women from high-risk backgrounds</w:t>
      </w:r>
      <w:r w:rsidR="00A50088">
        <w:t xml:space="preserve"> </w:t>
      </w:r>
      <w:r w:rsidR="00A50088" w:rsidRPr="00A50088">
        <w:t>(Webb, Stevens and Newton, 2023)</w:t>
      </w:r>
      <w:r>
        <w:t>.</w:t>
      </w:r>
    </w:p>
    <w:p w14:paraId="573837B5" w14:textId="319D8776" w:rsidR="00586635" w:rsidRPr="00586635" w:rsidRDefault="00586635" w:rsidP="00586635">
      <w:pPr>
        <w:rPr>
          <w:b/>
          <w:bCs/>
        </w:rPr>
      </w:pPr>
      <w:r w:rsidRPr="00586635">
        <w:rPr>
          <w:b/>
          <w:bCs/>
        </w:rPr>
        <w:t>Implementation (PDSA):</w:t>
      </w:r>
    </w:p>
    <w:p w14:paraId="5ED3F5CC" w14:textId="37D98BC1" w:rsidR="00586635" w:rsidRDefault="00586635" w:rsidP="00586635">
      <w:r w:rsidRPr="00586635">
        <w:rPr>
          <w:b/>
          <w:bCs/>
        </w:rPr>
        <w:t>Plan:</w:t>
      </w:r>
      <w:r>
        <w:t xml:space="preserve"> Launch a pilot project to provide a consistent midwife for Black and Asian mothers in one neighbourhood with high deprivation.</w:t>
      </w:r>
    </w:p>
    <w:p w14:paraId="3CD9B04F" w14:textId="2FD330CC" w:rsidR="00586635" w:rsidRDefault="00586635" w:rsidP="00586635">
      <w:r w:rsidRPr="00586635">
        <w:rPr>
          <w:b/>
          <w:bCs/>
        </w:rPr>
        <w:t>Do:</w:t>
      </w:r>
      <w:r>
        <w:t xml:space="preserve"> Monitor the attendance on antenatal bookings and the proportion of spontaneous vaginal birth and elective intervention.</w:t>
      </w:r>
    </w:p>
    <w:p w14:paraId="52F1F4CD" w14:textId="2117EDD3" w:rsidR="00586635" w:rsidRDefault="00586635" w:rsidP="00586635">
      <w:r w:rsidRPr="00586635">
        <w:rPr>
          <w:b/>
          <w:bCs/>
        </w:rPr>
        <w:t>Study:</w:t>
      </w:r>
      <w:r>
        <w:t xml:space="preserve"> Compare the results with the past results of the demographic. Was the trusting relationship associated with earlier complications diagnosis?</w:t>
      </w:r>
    </w:p>
    <w:p w14:paraId="354E50E8" w14:textId="6D711A86" w:rsidR="00586635" w:rsidRDefault="00586635" w:rsidP="00586635">
      <w:r w:rsidRPr="00586635">
        <w:rPr>
          <w:b/>
          <w:bCs/>
        </w:rPr>
        <w:t>Act:</w:t>
      </w:r>
      <w:r>
        <w:t xml:space="preserve"> Expand the desired MCoC model in case the outcomes are getting better, targeting areas of postcode lottery.</w:t>
      </w:r>
    </w:p>
    <w:p w14:paraId="03AF60FF" w14:textId="77777777" w:rsidR="00586635" w:rsidRPr="00586635" w:rsidRDefault="00586635" w:rsidP="00586635">
      <w:pPr>
        <w:rPr>
          <w:b/>
          <w:bCs/>
        </w:rPr>
      </w:pPr>
      <w:r w:rsidRPr="00586635">
        <w:rPr>
          <w:b/>
          <w:bCs/>
        </w:rPr>
        <w:t>Pillar 4: Multidisciplinary Training and Clinical Standards</w:t>
      </w:r>
    </w:p>
    <w:p w14:paraId="0865FD27" w14:textId="77777777" w:rsidR="00586635" w:rsidRDefault="00586635" w:rsidP="00586635">
      <w:r w:rsidRPr="00586635">
        <w:t>"Staff who work together must train together".</w:t>
      </w:r>
    </w:p>
    <w:p w14:paraId="1D3A7150" w14:textId="20A1F383" w:rsidR="00586635" w:rsidRDefault="00586635" w:rsidP="00586635">
      <w:r w:rsidRPr="00586635">
        <w:rPr>
          <w:b/>
          <w:bCs/>
        </w:rPr>
        <w:t>Recommendation:</w:t>
      </w:r>
      <w:r w:rsidRPr="00586635">
        <w:t xml:space="preserve"> Implement mandatory multi-professional training (PROMPT) covering fetal monitoring (CTG), neonatal resuscitation, and management of obstetric emergencies</w:t>
      </w:r>
      <w:r w:rsidR="00A50088">
        <w:t xml:space="preserve"> </w:t>
      </w:r>
      <w:r w:rsidR="00A50088" w:rsidRPr="00A50088">
        <w:t>(Akhtar, Haleem and Javaid, 2023)</w:t>
      </w:r>
      <w:r w:rsidRPr="00586635">
        <w:t>.</w:t>
      </w:r>
    </w:p>
    <w:p w14:paraId="08887AC5" w14:textId="77777777" w:rsidR="00586635" w:rsidRPr="00586635" w:rsidRDefault="00586635" w:rsidP="00586635">
      <w:pPr>
        <w:rPr>
          <w:b/>
          <w:bCs/>
        </w:rPr>
      </w:pPr>
      <w:r w:rsidRPr="00586635">
        <w:rPr>
          <w:b/>
          <w:bCs/>
        </w:rPr>
        <w:t>Implementation (PDSA):</w:t>
      </w:r>
    </w:p>
    <w:p w14:paraId="379F477B" w14:textId="6A028EAF" w:rsidR="00586635" w:rsidRDefault="00586635" w:rsidP="00586635">
      <w:r w:rsidRPr="00586635">
        <w:rPr>
          <w:b/>
          <w:bCs/>
        </w:rPr>
        <w:lastRenderedPageBreak/>
        <w:t>Plan:</w:t>
      </w:r>
      <w:r w:rsidRPr="00586635">
        <w:t xml:space="preserve"> Schedule monthly "Fresh Eyes" training sessions where midwives and obstetricians jointly review anonymized CTG tracings from the previous week</w:t>
      </w:r>
      <w:r w:rsidR="00A50088">
        <w:t xml:space="preserve"> </w:t>
      </w:r>
      <w:r w:rsidR="00A50088" w:rsidRPr="00A50088">
        <w:t>(Alzoubi et al., 2019)</w:t>
      </w:r>
      <w:r w:rsidRPr="00586635">
        <w:t>.</w:t>
      </w:r>
    </w:p>
    <w:p w14:paraId="5662D074" w14:textId="77777777" w:rsidR="00586635" w:rsidRDefault="00586635" w:rsidP="00586635">
      <w:r w:rsidRPr="00586635">
        <w:rPr>
          <w:b/>
          <w:bCs/>
        </w:rPr>
        <w:t>Do:</w:t>
      </w:r>
      <w:r w:rsidRPr="00586635">
        <w:t xml:space="preserve"> Conduct the sessions and document any differences in interpretation between professional groups.</w:t>
      </w:r>
    </w:p>
    <w:p w14:paraId="6C5C8817" w14:textId="77777777" w:rsidR="00586635" w:rsidRDefault="00586635" w:rsidP="00586635">
      <w:r w:rsidRPr="00586635">
        <w:rPr>
          <w:b/>
          <w:bCs/>
        </w:rPr>
        <w:t>Study:</w:t>
      </w:r>
      <w:r w:rsidRPr="00586635">
        <w:t xml:space="preserve"> Use clinical audit to see if the rate of "missed" fetal distress signals decreased on the ward following the training.</w:t>
      </w:r>
    </w:p>
    <w:p w14:paraId="27136D1C" w14:textId="6CB85B3B" w:rsidR="00586635" w:rsidRDefault="00586635" w:rsidP="00586635">
      <w:r w:rsidRPr="00586635">
        <w:rPr>
          <w:b/>
          <w:bCs/>
        </w:rPr>
        <w:t>Act:</w:t>
      </w:r>
      <w:r w:rsidRPr="00586635">
        <w:t xml:space="preserve"> Standardize "Fresh Eyes" as a daily handover requirement.</w:t>
      </w:r>
    </w:p>
    <w:p w14:paraId="7790DAF2" w14:textId="508CB2D2" w:rsidR="00586635" w:rsidRPr="00586635" w:rsidRDefault="00586635" w:rsidP="00586635">
      <w:pPr>
        <w:rPr>
          <w:b/>
          <w:bCs/>
        </w:rPr>
      </w:pPr>
      <w:r w:rsidRPr="00586635">
        <w:rPr>
          <w:b/>
          <w:bCs/>
        </w:rPr>
        <w:t>Real-World Benchmark: The "4Rs" Approach</w:t>
      </w:r>
    </w:p>
    <w:p w14:paraId="7BA195AD" w14:textId="4E3625F2" w:rsidR="00586635" w:rsidRDefault="00586635" w:rsidP="00586635">
      <w:r w:rsidRPr="00586635">
        <w:t>Success in reducing mortality can be found in the "Breakthrough Series Collaborative" in Brazilian maternity hospitals. They used a series of Recognize, Rescue, Reassess, and Refer (the 4Rs) with the Modified Early Obstetric Warning Score (MEOWS). This repeatable methodology that was tested by PDSA cycles resulted in a 34.2% reduction of maternal death and a 72.9% decrease of hemorrhage-related death</w:t>
      </w:r>
      <w:r w:rsidR="00A50088">
        <w:t xml:space="preserve"> </w:t>
      </w:r>
      <w:r w:rsidR="00A50088" w:rsidRPr="00A50088">
        <w:t>(Barclay and Moore, 2024)</w:t>
      </w:r>
      <w:r w:rsidRPr="00586635">
        <w:t>.</w:t>
      </w:r>
    </w:p>
    <w:p w14:paraId="44540614" w14:textId="77777777" w:rsidR="006D1403" w:rsidRDefault="006D1403">
      <w:pPr>
        <w:spacing w:line="259" w:lineRule="auto"/>
        <w:jc w:val="left"/>
        <w:rPr>
          <w:rFonts w:eastAsiaTheme="majorEastAsia" w:cstheme="majorBidi"/>
          <w:color w:val="2F5496" w:themeColor="accent1" w:themeShade="BF"/>
          <w:sz w:val="32"/>
          <w:szCs w:val="32"/>
        </w:rPr>
      </w:pPr>
      <w:bookmarkStart w:id="8" w:name="_Toc226984270"/>
      <w:r>
        <w:br w:type="page"/>
      </w:r>
    </w:p>
    <w:p w14:paraId="3BE8CAC9" w14:textId="0E5A96B3" w:rsidR="00586635" w:rsidRDefault="00586635" w:rsidP="00586635">
      <w:pPr>
        <w:pStyle w:val="Heading1"/>
      </w:pPr>
      <w:r>
        <w:lastRenderedPageBreak/>
        <w:t>Conclusion</w:t>
      </w:r>
      <w:bookmarkEnd w:id="8"/>
    </w:p>
    <w:p w14:paraId="05E14DC3" w14:textId="1C8D0317" w:rsidR="00586635" w:rsidRDefault="00586635" w:rsidP="00586635">
      <w:r>
        <w:t>The analysis of the Shrewsbury and Telford Hospital NHS Trust maternity scandal identifies a complex breach of quality assurance, with lack of transparency, inappropriate staffing, and a poisonous organizational culture, in which clinical safety was not a priority, but ideological birth targets. The Ockenden Report determined clinical governance was not functional, with the Trust not investigating the incidents with appropriate rigor or bringing the lived experiences of families into their learning loops. The above root causes based on Fishbone analysis are compounded by the macro-environmental forces as noted in PESTLE analysis: a workforce in crisis, run-down physical estates, and broader social inequalities in maternal outcomes.</w:t>
      </w:r>
    </w:p>
    <w:p w14:paraId="1B254E90" w14:textId="68BC39FC" w:rsidR="00586635" w:rsidRDefault="00586635" w:rsidP="00586635">
      <w:r>
        <w:t>The findings of this report highlight the fact that the lessons not learned of the past safety failures are a big threat to the future of the NHS. But the 15 Immediate and Essential Actions offer the ultimate blueprint of safety in case they are enhanced with the help of quality improvement tools such as PDSA cycles. Trusts can start to restore the so tragically damaged trust by standardizing multidisciplinary training, prioritizing safe staffing over service expansion (such as the suspension of MCoC), and raising the so-called family voice, by means of such a role as the MNISA.</w:t>
      </w:r>
    </w:p>
    <w:p w14:paraId="4C40607D" w14:textId="18095978" w:rsidR="00586635" w:rsidRDefault="00586635" w:rsidP="00586635">
      <w:r>
        <w:t>The end objective of quality assurance in maternity care is to stop all of the individual preventable tragedies. This would only be made possible through a shift in the current reactive culture of blame to a more proactive and evidence-based learning system that would provide all mothers and babies with the safe and compassionate care they merit. The bravery of the 1,486 families who gave their support to the Ockenden Review needs to be matched by an unwavering dedication to change the system, so that the lives that have been lost in Shropshire and other areas were not lost in vain.</w:t>
      </w:r>
    </w:p>
    <w:p w14:paraId="39BA1561" w14:textId="32D2FA56" w:rsidR="00586635" w:rsidRDefault="00586635">
      <w:pPr>
        <w:spacing w:line="259" w:lineRule="auto"/>
        <w:jc w:val="left"/>
      </w:pPr>
      <w:r>
        <w:br w:type="page"/>
      </w:r>
    </w:p>
    <w:p w14:paraId="62DA95BF" w14:textId="6F1F697E" w:rsidR="00586635" w:rsidRDefault="00586635" w:rsidP="00586635">
      <w:pPr>
        <w:pStyle w:val="Heading1"/>
      </w:pPr>
      <w:bookmarkStart w:id="9" w:name="_Toc226984271"/>
      <w:r>
        <w:lastRenderedPageBreak/>
        <w:t>References</w:t>
      </w:r>
      <w:bookmarkEnd w:id="9"/>
    </w:p>
    <w:p w14:paraId="2A07B53C" w14:textId="03BDC4D7" w:rsidR="00A50088" w:rsidRDefault="00A50088" w:rsidP="00A50088">
      <w:r>
        <w:t xml:space="preserve">Akhtar, M.N., Haleem, A. and Javaid, M. (2023). Scope of health care system in rural areas under Medical 4.0 environment. </w:t>
      </w:r>
      <w:r>
        <w:rPr>
          <w:i/>
          <w:iCs/>
        </w:rPr>
        <w:t>Intelligent Pharmacy</w:t>
      </w:r>
      <w:r>
        <w:t xml:space="preserve">, [online] 1(4). doi: </w:t>
      </w:r>
      <w:hyperlink r:id="rId10" w:history="1">
        <w:r w:rsidRPr="00280323">
          <w:rPr>
            <w:rStyle w:val="Hyperlink"/>
          </w:rPr>
          <w:t>https://doi.org/10.1016/j.ipha.2023.07.003</w:t>
        </w:r>
      </w:hyperlink>
      <w:r>
        <w:t>.</w:t>
      </w:r>
    </w:p>
    <w:p w14:paraId="04C08083" w14:textId="11184064" w:rsidR="00A50088" w:rsidRDefault="00A50088" w:rsidP="00A50088">
      <w:r>
        <w:t xml:space="preserve">Alzoubi, M.M., Kadir Shahar, H., Abdul Manaf, R., Ariffin, A.A. and Zaid M, A.-H. (2019). Total quality management in the health-care context: Integrating the literature and directing future research. </w:t>
      </w:r>
      <w:r>
        <w:rPr>
          <w:i/>
          <w:iCs/>
        </w:rPr>
        <w:t>Risk Management and Healthcare Policy</w:t>
      </w:r>
      <w:r>
        <w:t xml:space="preserve">, [online] Volume 12(12), pp.167–177. doi: </w:t>
      </w:r>
      <w:hyperlink r:id="rId11" w:history="1">
        <w:r w:rsidRPr="00280323">
          <w:rPr>
            <w:rStyle w:val="Hyperlink"/>
          </w:rPr>
          <w:t>https://doi.org/10.2147/rmhp.s197038</w:t>
        </w:r>
      </w:hyperlink>
      <w:r>
        <w:t>.</w:t>
      </w:r>
    </w:p>
    <w:p w14:paraId="680EE087" w14:textId="27B83A30" w:rsidR="00A50088" w:rsidRDefault="00A50088" w:rsidP="00A50088">
      <w:r>
        <w:t xml:space="preserve">Barclay, K. and Moore, V. (2024). Institutions and their failure to care: Bureaucracy and the practice of emotion. </w:t>
      </w:r>
      <w:r>
        <w:rPr>
          <w:i/>
          <w:iCs/>
        </w:rPr>
        <w:t>Thesis Eleven</w:t>
      </w:r>
      <w:r>
        <w:t xml:space="preserve">, 183(1). doi: </w:t>
      </w:r>
      <w:hyperlink r:id="rId12" w:history="1">
        <w:r w:rsidRPr="00280323">
          <w:rPr>
            <w:rStyle w:val="Hyperlink"/>
          </w:rPr>
          <w:t>https://doi.org/10.1177/07255136241285470</w:t>
        </w:r>
      </w:hyperlink>
      <w:r>
        <w:t>.</w:t>
      </w:r>
    </w:p>
    <w:p w14:paraId="1DC88B10" w14:textId="5730B324" w:rsidR="00A50088" w:rsidRDefault="00A50088" w:rsidP="00A50088">
      <w:r>
        <w:t xml:space="preserve">Blair, A., Cao, J., Wilson, A. and Homer, C. (2022). Access to, and experiences of, maternity care for women with physical disabilities: A scoping review. </w:t>
      </w:r>
      <w:r>
        <w:rPr>
          <w:i/>
          <w:iCs/>
        </w:rPr>
        <w:t>Midwifery</w:t>
      </w:r>
      <w:r>
        <w:t xml:space="preserve">, 107(107), p.103273. doi: </w:t>
      </w:r>
      <w:hyperlink r:id="rId13" w:history="1">
        <w:r w:rsidRPr="00280323">
          <w:rPr>
            <w:rStyle w:val="Hyperlink"/>
          </w:rPr>
          <w:t>https://doi.org/10.1016/j.midw.2022.103273</w:t>
        </w:r>
      </w:hyperlink>
      <w:r>
        <w:t>.</w:t>
      </w:r>
    </w:p>
    <w:p w14:paraId="318BAD7F" w14:textId="038E66DA" w:rsidR="00A50088" w:rsidRDefault="00A50088" w:rsidP="00A50088">
      <w:r>
        <w:t xml:space="preserve">Borem, P., Gushken, A.K.F., Gushken, A.P., Pacagnella, R. de C., Petenate, A.J., Tuma, P., Pedrilio, L.S., Nariño, S., Barker, P., Barros, C.G. de and Vernal, S. (2025). A Comprehensive Strategy to Mitigate Institutional Maternal Mortality: Lessons From a Quality Improvement Initiative in Brazilian Maternity Hospitals. </w:t>
      </w:r>
      <w:r>
        <w:rPr>
          <w:i/>
          <w:iCs/>
        </w:rPr>
        <w:t>Global Health: Science and Practice</w:t>
      </w:r>
      <w:r>
        <w:t xml:space="preserve">, [online] 13(2), p.e2400130. doi: </w:t>
      </w:r>
      <w:hyperlink r:id="rId14" w:history="1">
        <w:r w:rsidRPr="00280323">
          <w:rPr>
            <w:rStyle w:val="Hyperlink"/>
          </w:rPr>
          <w:t>https://doi.org/10.9745/ghsp-d-24-00130</w:t>
        </w:r>
      </w:hyperlink>
      <w:r>
        <w:t>.</w:t>
      </w:r>
    </w:p>
    <w:p w14:paraId="568B9BF4" w14:textId="134C7D5D" w:rsidR="00A50088" w:rsidRDefault="00A50088" w:rsidP="00A50088">
      <w:r>
        <w:t xml:space="preserve">de Jonge, A., De Vries, R. and Declercq, E. (2022). Where the Ockenden report goes wrong: Let us keep calm and follow the evidence. </w:t>
      </w:r>
      <w:r>
        <w:rPr>
          <w:i/>
          <w:iCs/>
        </w:rPr>
        <w:t>BJOG: An International Journal of Obstetrics &amp; Gynaecology</w:t>
      </w:r>
      <w:r>
        <w:t xml:space="preserve">, [online] 130(1). doi: </w:t>
      </w:r>
      <w:hyperlink r:id="rId15" w:history="1">
        <w:r w:rsidRPr="00280323">
          <w:rPr>
            <w:rStyle w:val="Hyperlink"/>
          </w:rPr>
          <w:t>https://doi.org/10.1111/1471-0528.17276</w:t>
        </w:r>
      </w:hyperlink>
      <w:r>
        <w:t>.</w:t>
      </w:r>
    </w:p>
    <w:p w14:paraId="0554AD99" w14:textId="38D6D35F" w:rsidR="00A50088" w:rsidRDefault="00A50088" w:rsidP="00A50088">
      <w:r w:rsidRPr="00605B10">
        <w:t>Department of Health and Social Care (2022)</w:t>
      </w:r>
      <w:r>
        <w:t>.</w:t>
      </w:r>
      <w:r w:rsidRPr="00605B10">
        <w:t xml:space="preserve"> Government Response to the Ockenden Review. Available at: </w:t>
      </w:r>
      <w:hyperlink r:id="rId16" w:history="1">
        <w:r w:rsidRPr="00280323">
          <w:rPr>
            <w:rStyle w:val="Hyperlink"/>
          </w:rPr>
          <w:t>https://www.gov.uk/government/publications/government-response-to-the-ockenden-review</w:t>
        </w:r>
      </w:hyperlink>
      <w:r>
        <w:t>.</w:t>
      </w:r>
    </w:p>
    <w:p w14:paraId="567C0E1A" w14:textId="2CD492D7" w:rsidR="00A50088" w:rsidRDefault="00A50088" w:rsidP="00A50088">
      <w:r>
        <w:t xml:space="preserve">Dobson, J. (2022). Ignoring women’s experience led to the NHS’s biggest maternity scandal. </w:t>
      </w:r>
      <w:r>
        <w:rPr>
          <w:i/>
          <w:iCs/>
        </w:rPr>
        <w:t>BMJ</w:t>
      </w:r>
      <w:r>
        <w:t xml:space="preserve">, p.o899. doi: </w:t>
      </w:r>
      <w:hyperlink r:id="rId17" w:history="1">
        <w:r w:rsidRPr="00280323">
          <w:rPr>
            <w:rStyle w:val="Hyperlink"/>
          </w:rPr>
          <w:t>https://doi.org/10.1136/bmj.o899</w:t>
        </w:r>
      </w:hyperlink>
      <w:r>
        <w:t>.</w:t>
      </w:r>
    </w:p>
    <w:p w14:paraId="2F9F7E8A" w14:textId="38B6BB7B" w:rsidR="00A50088" w:rsidRDefault="00A50088" w:rsidP="00A50088">
      <w:r>
        <w:t xml:space="preserve">Dotse-Gborgbortsi, W., Nilsen, K., Ofosu, A., Matthews, Z., Tejedor-Garavito, N., Wright, J. and Tatem, A.J. (2022). Distance is ‘a big problem’: a geographic analysis of reported and modelled proximity to maternal health services in Ghana. </w:t>
      </w:r>
      <w:r>
        <w:rPr>
          <w:i/>
          <w:iCs/>
        </w:rPr>
        <w:t>BMC Pregnancy and Childbirth</w:t>
      </w:r>
      <w:r>
        <w:t xml:space="preserve">, 22(1). doi: </w:t>
      </w:r>
      <w:hyperlink r:id="rId18" w:history="1">
        <w:r w:rsidRPr="00280323">
          <w:rPr>
            <w:rStyle w:val="Hyperlink"/>
          </w:rPr>
          <w:t>https://doi.org/10.1186/s12884-022-04998-0</w:t>
        </w:r>
      </w:hyperlink>
      <w:r>
        <w:t>.</w:t>
      </w:r>
    </w:p>
    <w:p w14:paraId="39DE3A92" w14:textId="77777777" w:rsidR="00A50088" w:rsidRDefault="00A50088" w:rsidP="00A50088"/>
    <w:p w14:paraId="14C64030" w14:textId="69B56084" w:rsidR="00A50088" w:rsidRDefault="00A50088" w:rsidP="00A50088">
      <w:r>
        <w:lastRenderedPageBreak/>
        <w:t xml:space="preserve">Dyer, C. (2021). Midlands trust told to take urgent action over care of young people with mental health needs. </w:t>
      </w:r>
      <w:r>
        <w:rPr>
          <w:i/>
          <w:iCs/>
        </w:rPr>
        <w:t>BMJ</w:t>
      </w:r>
      <w:r>
        <w:t xml:space="preserve">, p.n1020. doi: </w:t>
      </w:r>
      <w:hyperlink r:id="rId19" w:history="1">
        <w:r w:rsidRPr="00280323">
          <w:rPr>
            <w:rStyle w:val="Hyperlink"/>
          </w:rPr>
          <w:t>https://doi.org/10.1136/bmj.n1020</w:t>
        </w:r>
      </w:hyperlink>
      <w:r>
        <w:t>.</w:t>
      </w:r>
    </w:p>
    <w:p w14:paraId="149932EE" w14:textId="42AC415E" w:rsidR="00A50088" w:rsidRDefault="00A50088" w:rsidP="00A50088">
      <w:r>
        <w:t xml:space="preserve">Endalamaw, A., Khatri, R.B., Mengistu, T.S., Erku, D., Wolka, E., Zewdie, A. and Assefa, Y. (2024). A scoping review of continuous quality improvement in healthcare system: Conceptualization, models and tools, barriers and facilitators, and impact. </w:t>
      </w:r>
      <w:r>
        <w:rPr>
          <w:i/>
          <w:iCs/>
        </w:rPr>
        <w:t>BioMed Central health services research</w:t>
      </w:r>
      <w:r>
        <w:t xml:space="preserve">, [online] 24(1), p.487. doi: </w:t>
      </w:r>
      <w:hyperlink r:id="rId20" w:history="1">
        <w:r w:rsidRPr="00280323">
          <w:rPr>
            <w:rStyle w:val="Hyperlink"/>
          </w:rPr>
          <w:t>https://doi.org/10.1186/s12913-024-10828-0</w:t>
        </w:r>
      </w:hyperlink>
      <w:r>
        <w:t>.</w:t>
      </w:r>
    </w:p>
    <w:p w14:paraId="54437E7F" w14:textId="1B3EEA43" w:rsidR="00A50088" w:rsidRDefault="00A50088" w:rsidP="00A50088">
      <w:r>
        <w:t xml:space="preserve">England, N. (2025a). </w:t>
      </w:r>
      <w:r>
        <w:rPr>
          <w:i/>
          <w:iCs/>
        </w:rPr>
        <w:t>NHS England» Maternity and neonatal infrastructure review findings</w:t>
      </w:r>
      <w:r>
        <w:t xml:space="preserve">. [online] England.nhs.uk. Available at: </w:t>
      </w:r>
      <w:hyperlink r:id="rId21" w:history="1">
        <w:r w:rsidRPr="00280323">
          <w:rPr>
            <w:rStyle w:val="Hyperlink"/>
          </w:rPr>
          <w:t>https://www.england.nhs.uk/long-read/maternity-and-neonatal-infrastructure-review-findings/</w:t>
        </w:r>
      </w:hyperlink>
      <w:r>
        <w:t>.</w:t>
      </w:r>
    </w:p>
    <w:p w14:paraId="3C58A428" w14:textId="4F79DA2E" w:rsidR="00A50088" w:rsidRDefault="00A50088" w:rsidP="00A50088">
      <w:r>
        <w:t xml:space="preserve">England, N. (2025b). </w:t>
      </w:r>
      <w:r>
        <w:rPr>
          <w:i/>
          <w:iCs/>
        </w:rPr>
        <w:t>NHS England» Performance report</w:t>
      </w:r>
      <w:r>
        <w:t xml:space="preserve">. [online] England.nhs.uk. Available at: </w:t>
      </w:r>
      <w:hyperlink r:id="rId22" w:history="1">
        <w:r w:rsidRPr="00280323">
          <w:rPr>
            <w:rStyle w:val="Hyperlink"/>
          </w:rPr>
          <w:t>https://www.england.nhs.uk/long-read/performance-report-24-25/</w:t>
        </w:r>
      </w:hyperlink>
      <w:r>
        <w:t>.</w:t>
      </w:r>
    </w:p>
    <w:p w14:paraId="2F9E5A17" w14:textId="6072D9D5" w:rsidR="00A50088" w:rsidRDefault="00A50088" w:rsidP="00A50088">
      <w:r>
        <w:t xml:space="preserve">Foley, C., McCourt, C. and Yuill, C. (2025). An exploration of midwives’ perceptions of the Ockenden review: a qualitative study. </w:t>
      </w:r>
      <w:r>
        <w:rPr>
          <w:i/>
          <w:iCs/>
        </w:rPr>
        <w:t>Sexual &amp; Reproductive Healthcare</w:t>
      </w:r>
      <w:r>
        <w:t xml:space="preserve">, 46, p.101166. doi: </w:t>
      </w:r>
      <w:hyperlink r:id="rId23" w:history="1">
        <w:r w:rsidRPr="00280323">
          <w:rPr>
            <w:rStyle w:val="Hyperlink"/>
          </w:rPr>
          <w:t>https://doi.org/10.1016/j.srhc.2025.101166</w:t>
        </w:r>
      </w:hyperlink>
      <w:r>
        <w:t>.</w:t>
      </w:r>
    </w:p>
    <w:p w14:paraId="68F2E9BD" w14:textId="5CD70D07" w:rsidR="00A50088" w:rsidRDefault="00A50088" w:rsidP="00A50088">
      <w:r>
        <w:t xml:space="preserve">Gauld, R. and Horsburgh, S. (2015). Healthcare professionals’ perceptions of clinical governance implementation: a qualitative New Zealand study of 3205 open-ended survey comments. </w:t>
      </w:r>
      <w:r>
        <w:rPr>
          <w:i/>
          <w:iCs/>
        </w:rPr>
        <w:t>BMJ Open</w:t>
      </w:r>
      <w:r>
        <w:t xml:space="preserve">, [online] 5(1), pp.e006157–e006157. doi: </w:t>
      </w:r>
      <w:hyperlink r:id="rId24" w:history="1">
        <w:r w:rsidRPr="00280323">
          <w:rPr>
            <w:rStyle w:val="Hyperlink"/>
          </w:rPr>
          <w:t>https://doi.org/10.1136/bmjopen-2014-006157</w:t>
        </w:r>
      </w:hyperlink>
      <w:r>
        <w:t>.</w:t>
      </w:r>
    </w:p>
    <w:p w14:paraId="49FDD924" w14:textId="3FE1169C" w:rsidR="00A50088" w:rsidRDefault="00A50088" w:rsidP="00A50088">
      <w:r>
        <w:t xml:space="preserve">Grierson, J. (2025). </w:t>
      </w:r>
      <w:r>
        <w:rPr>
          <w:i/>
          <w:iCs/>
        </w:rPr>
        <w:t>Victims of NHS maternity failings in England ‘received unacceptable care’</w:t>
      </w:r>
      <w:r>
        <w:t xml:space="preserve">. [online] the Guardian. Available at: </w:t>
      </w:r>
      <w:hyperlink r:id="rId25" w:history="1">
        <w:r w:rsidRPr="00280323">
          <w:rPr>
            <w:rStyle w:val="Hyperlink"/>
          </w:rPr>
          <w:t>https://www.theguardian.com/society/2025/dec/09/victims-of-nhs-maternity-failings-in-england-received-unacceptable-care-says-report-head</w:t>
        </w:r>
      </w:hyperlink>
      <w:r>
        <w:t>.</w:t>
      </w:r>
    </w:p>
    <w:p w14:paraId="2A801FFB" w14:textId="042FE29D" w:rsidR="00A50088" w:rsidRDefault="00A50088" w:rsidP="00A50088">
      <w:r>
        <w:t xml:space="preserve">Kruk, M.E., Lewis, T.P., Arsenault, C., Bhutta, Z.A., Irimu, G., Jeong, J., Lassi, Z.S., Sawyer, S.M., Vaivada, T., Waiswa, P. and Yousafzai, A.K. (2022). Improving health and social systems for all children in LMICs: structural innovations to deliver high-quality services. </w:t>
      </w:r>
      <w:r>
        <w:rPr>
          <w:i/>
          <w:iCs/>
        </w:rPr>
        <w:t>The Lancet</w:t>
      </w:r>
      <w:r>
        <w:t xml:space="preserve">, 399(10337). doi: </w:t>
      </w:r>
      <w:hyperlink r:id="rId26" w:history="1">
        <w:r w:rsidRPr="00280323">
          <w:rPr>
            <w:rStyle w:val="Hyperlink"/>
          </w:rPr>
          <w:t>https://doi.org/10.1016/s0140-6736(21)02532-0</w:t>
        </w:r>
      </w:hyperlink>
      <w:r>
        <w:t>.</w:t>
      </w:r>
    </w:p>
    <w:p w14:paraId="1057BB3A" w14:textId="23846C63" w:rsidR="00A50088" w:rsidRDefault="00A50088" w:rsidP="00A50088">
      <w:r>
        <w:t xml:space="preserve">Kumah, A., Nwogu, C.N., Issah, A.-R., Obot, E., Kanamitie, D.T., Sifa, J.S. and Aidoo, L.A. (2024). Cause-and-Effect (Fishbone) Diagram: a Tool for Generating and Organizing Quality Improvement Ideas. </w:t>
      </w:r>
      <w:r>
        <w:rPr>
          <w:i/>
          <w:iCs/>
        </w:rPr>
        <w:t>Innovations Journals</w:t>
      </w:r>
      <w:r>
        <w:t xml:space="preserve">, [online] 7(2), pp.85–87. doi: </w:t>
      </w:r>
      <w:hyperlink r:id="rId27" w:history="1">
        <w:r w:rsidRPr="00280323">
          <w:rPr>
            <w:rStyle w:val="Hyperlink"/>
          </w:rPr>
          <w:t>https://doi.org/10.36401/JQSH-23-42</w:t>
        </w:r>
      </w:hyperlink>
      <w:r>
        <w:t>.</w:t>
      </w:r>
    </w:p>
    <w:p w14:paraId="3E10C3D1" w14:textId="77777777" w:rsidR="00A50088" w:rsidRDefault="00A50088" w:rsidP="00A50088"/>
    <w:p w14:paraId="10B647C9" w14:textId="0EAE5A03" w:rsidR="00A50088" w:rsidRDefault="00A50088" w:rsidP="00A50088">
      <w:r>
        <w:lastRenderedPageBreak/>
        <w:t xml:space="preserve">Middlemiss, A.L., Channon, S., Sanders, J., Strange, H., Milton, R., Kenyon, S., Prendeville, T., Barry, S. and Jones, A. (2025). The Moral Regime of Midwifery Continuity of Carer Implementation in England. </w:t>
      </w:r>
      <w:r>
        <w:rPr>
          <w:i/>
          <w:iCs/>
        </w:rPr>
        <w:t>Sociology of Health &amp; Illness</w:t>
      </w:r>
      <w:r>
        <w:t xml:space="preserve">, [online] 47(8). doi: </w:t>
      </w:r>
      <w:hyperlink r:id="rId28" w:history="1">
        <w:r w:rsidRPr="00280323">
          <w:rPr>
            <w:rStyle w:val="Hyperlink"/>
          </w:rPr>
          <w:t>https://doi.org/10.1111/1467-9566.70087</w:t>
        </w:r>
      </w:hyperlink>
      <w:r>
        <w:t>.</w:t>
      </w:r>
    </w:p>
    <w:p w14:paraId="3BECA7D6" w14:textId="13D733E3" w:rsidR="00A50088" w:rsidRDefault="00A50088" w:rsidP="00A50088">
      <w:r>
        <w:t xml:space="preserve">Mofidi, R. and Marrow, C. (2017). The effects of the NHS reforms on quality of care. </w:t>
      </w:r>
      <w:r>
        <w:rPr>
          <w:i/>
          <w:iCs/>
        </w:rPr>
        <w:t>British Journal of Healthcare Management</w:t>
      </w:r>
      <w:r>
        <w:t xml:space="preserve">, 23(3), pp.120–130. doi: </w:t>
      </w:r>
      <w:hyperlink r:id="rId29" w:history="1">
        <w:r w:rsidRPr="00280323">
          <w:rPr>
            <w:rStyle w:val="Hyperlink"/>
          </w:rPr>
          <w:t>https://doi.org/10.12968/bjhc.2017.23.3.120</w:t>
        </w:r>
      </w:hyperlink>
      <w:r>
        <w:t>.</w:t>
      </w:r>
    </w:p>
    <w:p w14:paraId="00EF90F7" w14:textId="3C9840C5" w:rsidR="00A50088" w:rsidRDefault="00A50088" w:rsidP="00A50088">
      <w:r>
        <w:t xml:space="preserve">Naz, S., Saleem, S., Shamsul Islam, Z., Bhamani, S. and Sheikh, L. (2022). Obstetric triage improvement process using the Donabedian model of quality care: a quality improvement initiative. </w:t>
      </w:r>
      <w:r>
        <w:rPr>
          <w:i/>
          <w:iCs/>
        </w:rPr>
        <w:t>BMJ Open Quality</w:t>
      </w:r>
      <w:r>
        <w:t xml:space="preserve">, 11(2), p.e001483. doi: </w:t>
      </w:r>
      <w:hyperlink r:id="rId30" w:history="1">
        <w:r w:rsidRPr="00280323">
          <w:rPr>
            <w:rStyle w:val="Hyperlink"/>
          </w:rPr>
          <w:t>https://doi.org/10.1136/bmjoq-2021-001483</w:t>
        </w:r>
      </w:hyperlink>
      <w:r>
        <w:t>.</w:t>
      </w:r>
    </w:p>
    <w:p w14:paraId="01990D81" w14:textId="77777777" w:rsidR="00A50088" w:rsidRDefault="00A50088" w:rsidP="00A50088">
      <w:r w:rsidRPr="00605B10">
        <w:t>NHS England (2023)</w:t>
      </w:r>
      <w:r>
        <w:t>.</w:t>
      </w:r>
      <w:r w:rsidRPr="00605B10">
        <w:t xml:space="preserve"> Three-Year Delivery Plan for Maternity and Neonatal Services. Available at: </w:t>
      </w:r>
      <w:hyperlink r:id="rId31" w:history="1">
        <w:r w:rsidRPr="00280323">
          <w:rPr>
            <w:rStyle w:val="Hyperlink"/>
          </w:rPr>
          <w:t>https://www.england.nhs.uk/publication/three-year-delivery-plan-for-maternity-and-neonatal-services</w:t>
        </w:r>
      </w:hyperlink>
    </w:p>
    <w:p w14:paraId="67A7C310" w14:textId="148636A2" w:rsidR="00A50088" w:rsidRDefault="00A50088" w:rsidP="00A50088">
      <w:r>
        <w:t xml:space="preserve">Norman, J.E., Stock, S.J. and Harmer, C. (2022). After the Ockenden review: a chance to reset maternal and perinatal care in the UK? </w:t>
      </w:r>
      <w:r>
        <w:rPr>
          <w:i/>
          <w:iCs/>
        </w:rPr>
        <w:t>The Lancet</w:t>
      </w:r>
      <w:r>
        <w:t xml:space="preserve">. doi: </w:t>
      </w:r>
      <w:hyperlink r:id="rId32" w:history="1">
        <w:r w:rsidRPr="00280323">
          <w:rPr>
            <w:rStyle w:val="Hyperlink"/>
          </w:rPr>
          <w:t>https://doi.org/10.1016/s0140-6736(22)00823-6</w:t>
        </w:r>
      </w:hyperlink>
      <w:r>
        <w:t>.</w:t>
      </w:r>
    </w:p>
    <w:p w14:paraId="29F320CE" w14:textId="6E699538" w:rsidR="00A50088" w:rsidRDefault="00A50088" w:rsidP="00A50088">
      <w:r>
        <w:t xml:space="preserve">O’Dowd, A. (2025). Maternity care: 14 NHS trusts at centre of investigation named. </w:t>
      </w:r>
      <w:r>
        <w:rPr>
          <w:i/>
          <w:iCs/>
        </w:rPr>
        <w:t>BMJ</w:t>
      </w:r>
      <w:r>
        <w:t xml:space="preserve">, [online] 390, pp.r1941–r1941. doi: </w:t>
      </w:r>
      <w:hyperlink r:id="rId33" w:history="1">
        <w:r w:rsidRPr="00280323">
          <w:rPr>
            <w:rStyle w:val="Hyperlink"/>
          </w:rPr>
          <w:t>https://doi.org/10.1136/bmj.r1941</w:t>
        </w:r>
      </w:hyperlink>
      <w:r>
        <w:t>.</w:t>
      </w:r>
    </w:p>
    <w:p w14:paraId="6F3E3DD9" w14:textId="1FFE4FB8" w:rsidR="00A50088" w:rsidRDefault="00A50088" w:rsidP="00A50088">
      <w:r>
        <w:t xml:space="preserve">Ockenden, D. (2022). </w:t>
      </w:r>
      <w:r>
        <w:rPr>
          <w:i/>
          <w:iCs/>
        </w:rPr>
        <w:t>Ockenden review: summary of findings, conclusions and essential actions</w:t>
      </w:r>
      <w:r>
        <w:t xml:space="preserve">. [online] GOV.UK. Available at: </w:t>
      </w:r>
      <w:hyperlink r:id="rId34" w:history="1">
        <w:r w:rsidRPr="00280323">
          <w:rPr>
            <w:rStyle w:val="Hyperlink"/>
          </w:rPr>
          <w:t>https://www.gov.uk/government/publications/final-report-of-the-ockenden-review/ockenden-review-summary-of-findings-conclusions-and-essential-actions</w:t>
        </w:r>
      </w:hyperlink>
      <w:r>
        <w:t>.</w:t>
      </w:r>
    </w:p>
    <w:p w14:paraId="41D7A4D2" w14:textId="2994C456" w:rsidR="00A50088" w:rsidRDefault="00A50088" w:rsidP="00A50088">
      <w:r>
        <w:t xml:space="preserve">Renfrew, M.J., Cheyne, H., Burnett, A., Crozier, K., Downe, S., Heazell, A., Hundley, V., Hunter, B., King, K., Marshall, J.E., McCourt, C., McFadden, A., Mondeh, K., Nightingale, P., Sandall, J., Sinclair, M., Way, S., Page, L. and Gamble, J. (2022). Responding to the Ockenden Review: safe care for all needs evidence-based system change - and strengthened midwifery. </w:t>
      </w:r>
      <w:r>
        <w:rPr>
          <w:i/>
          <w:iCs/>
        </w:rPr>
        <w:t>Midwifery</w:t>
      </w:r>
      <w:r>
        <w:t xml:space="preserve">, 112, p.103391. doi: </w:t>
      </w:r>
      <w:hyperlink r:id="rId35" w:history="1">
        <w:r w:rsidRPr="00280323">
          <w:rPr>
            <w:rStyle w:val="Hyperlink"/>
          </w:rPr>
          <w:t>https://doi.org/10.1016/j.midw.2022.103391</w:t>
        </w:r>
      </w:hyperlink>
      <w:r>
        <w:t>.</w:t>
      </w:r>
    </w:p>
    <w:p w14:paraId="08DAD0DA" w14:textId="7AB92487" w:rsidR="00A50088" w:rsidRDefault="00A50088" w:rsidP="00A50088">
      <w:r>
        <w:t xml:space="preserve">Saeb, S. and Gregory, K.D. (2025). Plan Do Study Act Quality Improvement Model in Maternity Care. </w:t>
      </w:r>
      <w:r>
        <w:rPr>
          <w:i/>
          <w:iCs/>
        </w:rPr>
        <w:t>Obstetrics and Gynecology Clinics of North America</w:t>
      </w:r>
      <w:r>
        <w:t xml:space="preserve">. doi: </w:t>
      </w:r>
      <w:hyperlink r:id="rId36" w:history="1">
        <w:r w:rsidRPr="00280323">
          <w:rPr>
            <w:rStyle w:val="Hyperlink"/>
          </w:rPr>
          <w:t>https://doi.org/10.1016/j.ogc.2025.09.001</w:t>
        </w:r>
      </w:hyperlink>
      <w:r>
        <w:t>.</w:t>
      </w:r>
    </w:p>
    <w:p w14:paraId="77B25A0D" w14:textId="77777777" w:rsidR="00A50088" w:rsidRDefault="00A50088" w:rsidP="00A50088"/>
    <w:p w14:paraId="4D8AF663" w14:textId="207B2B74" w:rsidR="00A50088" w:rsidRDefault="00A50088" w:rsidP="00A50088">
      <w:r>
        <w:lastRenderedPageBreak/>
        <w:t xml:space="preserve">Sheaff, R. and Allen, P. (2023). NHS hospitals and the bedpan doctrine: the first 75 years. </w:t>
      </w:r>
      <w:r>
        <w:rPr>
          <w:i/>
          <w:iCs/>
        </w:rPr>
        <w:t>Policy Press eBooks</w:t>
      </w:r>
      <w:r>
        <w:t xml:space="preserve">, pp.112–135. doi: </w:t>
      </w:r>
      <w:hyperlink r:id="rId37" w:history="1">
        <w:r w:rsidRPr="00280323">
          <w:rPr>
            <w:rStyle w:val="Hyperlink"/>
          </w:rPr>
          <w:t>https://doi.org/10.51952/9781447368625.ch006</w:t>
        </w:r>
      </w:hyperlink>
      <w:r>
        <w:t>.</w:t>
      </w:r>
    </w:p>
    <w:p w14:paraId="671B20D5" w14:textId="67B50631" w:rsidR="00A50088" w:rsidRDefault="00A50088" w:rsidP="00A50088">
      <w:r>
        <w:t xml:space="preserve">The Lancet Regional Health – Europe (2025). National investigation must redefine maternity care in the UK. </w:t>
      </w:r>
      <w:r>
        <w:rPr>
          <w:i/>
          <w:iCs/>
        </w:rPr>
        <w:t>The Lancet Regional Health - Europe</w:t>
      </w:r>
      <w:r>
        <w:t xml:space="preserve">, [online] 58, p.101515. doi: </w:t>
      </w:r>
      <w:hyperlink r:id="rId38" w:history="1">
        <w:r w:rsidRPr="00280323">
          <w:rPr>
            <w:rStyle w:val="Hyperlink"/>
          </w:rPr>
          <w:t>https://doi.org/10.1016/j.lanepe.2025.101515</w:t>
        </w:r>
      </w:hyperlink>
      <w:r>
        <w:t>.</w:t>
      </w:r>
    </w:p>
    <w:p w14:paraId="16C788A9" w14:textId="337FF493" w:rsidR="00A50088" w:rsidRDefault="00A50088" w:rsidP="00A50088">
      <w:r>
        <w:t xml:space="preserve">Unkels, R., Fadhlun Alwy Al-Beity, Julius, Z., Elibariki Mkumbo, Pembe, A.B., Hanson, C. and Helle Molsted-Alvesson (2023). Understanding maternity care providers’ use of data in Southern Tanzania. </w:t>
      </w:r>
      <w:r>
        <w:rPr>
          <w:i/>
          <w:iCs/>
        </w:rPr>
        <w:t>BMJ Global Health</w:t>
      </w:r>
      <w:r>
        <w:t xml:space="preserve">, 8(1), pp.e010937–e010937. doi: </w:t>
      </w:r>
      <w:hyperlink r:id="rId39" w:history="1">
        <w:r w:rsidRPr="00280323">
          <w:rPr>
            <w:rStyle w:val="Hyperlink"/>
          </w:rPr>
          <w:t>https://doi.org/10.1136/bmjgh-2022-010937</w:t>
        </w:r>
      </w:hyperlink>
      <w:r>
        <w:t>.</w:t>
      </w:r>
    </w:p>
    <w:p w14:paraId="7FD289D7" w14:textId="02E30FE6" w:rsidR="00A50088" w:rsidRDefault="00A50088" w:rsidP="00A50088">
      <w:r>
        <w:t xml:space="preserve">Van Houdt, S., Heyrman, J., Vanhaecht, K., Sermeus, W. and De Lepeleire, J. (2013). An in-depth analysis of theoretical frameworks for the study of care coordination. </w:t>
      </w:r>
      <w:r>
        <w:rPr>
          <w:i/>
          <w:iCs/>
        </w:rPr>
        <w:t>International Journal of Integrated Care</w:t>
      </w:r>
      <w:r>
        <w:t xml:space="preserve">, [online] 13(2). doi: </w:t>
      </w:r>
      <w:hyperlink r:id="rId40" w:history="1">
        <w:r w:rsidRPr="00280323">
          <w:rPr>
            <w:rStyle w:val="Hyperlink"/>
          </w:rPr>
          <w:t>https://doi.org/10.5334/ijic.1068</w:t>
        </w:r>
      </w:hyperlink>
      <w:r>
        <w:t>.</w:t>
      </w:r>
    </w:p>
    <w:p w14:paraId="4AFF0420" w14:textId="38BCF8F7" w:rsidR="00A50088" w:rsidRDefault="00A50088" w:rsidP="00A50088">
      <w:r>
        <w:t xml:space="preserve">Webb, J., Stevens, J. and Newton, P. (2023). Study with us. </w:t>
      </w:r>
      <w:r>
        <w:rPr>
          <w:i/>
          <w:iCs/>
        </w:rPr>
        <w:t>University of Greenwich</w:t>
      </w:r>
      <w:r>
        <w:t xml:space="preserve">. [online] doi: </w:t>
      </w:r>
      <w:hyperlink r:id="rId41" w:history="1">
        <w:r w:rsidRPr="00280323">
          <w:rPr>
            <w:rStyle w:val="Hyperlink"/>
          </w:rPr>
          <w:t>http://gala.gre.ac.uk/id/eprint/45724/7/45724_NEWTON_Evaluation_of_clinical_nurse_tutor_project_at_Dartford_and_Gravesham_NHS_Trust.pdf</w:t>
        </w:r>
      </w:hyperlink>
      <w:r>
        <w:t>.</w:t>
      </w:r>
    </w:p>
    <w:p w14:paraId="026BC95E" w14:textId="77777777" w:rsidR="00A50088" w:rsidRDefault="00A50088" w:rsidP="00A50088"/>
    <w:p w14:paraId="46D9A6B3" w14:textId="77777777" w:rsidR="00605B10" w:rsidRDefault="00605B10" w:rsidP="00605B10"/>
    <w:sectPr w:rsidR="00605B1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4085CD" w14:textId="77777777" w:rsidR="00431BBF" w:rsidRDefault="00431BBF" w:rsidP="00A50088">
      <w:pPr>
        <w:spacing w:after="0" w:line="240" w:lineRule="auto"/>
      </w:pPr>
      <w:r>
        <w:separator/>
      </w:r>
    </w:p>
  </w:endnote>
  <w:endnote w:type="continuationSeparator" w:id="0">
    <w:p w14:paraId="54A8B7C4" w14:textId="77777777" w:rsidR="00431BBF" w:rsidRDefault="00431BBF" w:rsidP="00A500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3927985"/>
      <w:docPartObj>
        <w:docPartGallery w:val="Page Numbers (Bottom of Page)"/>
        <w:docPartUnique/>
      </w:docPartObj>
    </w:sdtPr>
    <w:sdtEndPr>
      <w:rPr>
        <w:color w:val="7F7F7F" w:themeColor="background1" w:themeShade="7F"/>
        <w:spacing w:val="60"/>
      </w:rPr>
    </w:sdtEndPr>
    <w:sdtContent>
      <w:p w14:paraId="4D273271" w14:textId="446D0202" w:rsidR="00A50088" w:rsidRDefault="00A5008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4100F" w:rsidRPr="00A4100F">
          <w:rPr>
            <w:b/>
            <w:bCs/>
            <w:noProof/>
          </w:rPr>
          <w:t>1</w:t>
        </w:r>
        <w:r>
          <w:rPr>
            <w:b/>
            <w:bCs/>
            <w:noProof/>
          </w:rPr>
          <w:fldChar w:fldCharType="end"/>
        </w:r>
        <w:r>
          <w:rPr>
            <w:b/>
            <w:bCs/>
          </w:rPr>
          <w:t xml:space="preserve"> | </w:t>
        </w:r>
        <w:r>
          <w:rPr>
            <w:color w:val="7F7F7F" w:themeColor="background1" w:themeShade="7F"/>
            <w:spacing w:val="60"/>
          </w:rPr>
          <w:t>Page</w:t>
        </w:r>
      </w:p>
    </w:sdtContent>
  </w:sdt>
  <w:p w14:paraId="2FD4FD8A" w14:textId="77777777" w:rsidR="00A50088" w:rsidRDefault="00A50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082BF1" w14:textId="77777777" w:rsidR="00431BBF" w:rsidRDefault="00431BBF" w:rsidP="00A50088">
      <w:pPr>
        <w:spacing w:after="0" w:line="240" w:lineRule="auto"/>
      </w:pPr>
      <w:r>
        <w:separator/>
      </w:r>
    </w:p>
  </w:footnote>
  <w:footnote w:type="continuationSeparator" w:id="0">
    <w:p w14:paraId="59DB787D" w14:textId="77777777" w:rsidR="00431BBF" w:rsidRDefault="00431BBF" w:rsidP="00A500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43A6"/>
    <w:rsid w:val="0006000E"/>
    <w:rsid w:val="00124C0D"/>
    <w:rsid w:val="00431BBF"/>
    <w:rsid w:val="004643A6"/>
    <w:rsid w:val="00495FBF"/>
    <w:rsid w:val="005278B6"/>
    <w:rsid w:val="00586635"/>
    <w:rsid w:val="00605B10"/>
    <w:rsid w:val="006572EE"/>
    <w:rsid w:val="006D1403"/>
    <w:rsid w:val="007B15E0"/>
    <w:rsid w:val="007B5443"/>
    <w:rsid w:val="008745AE"/>
    <w:rsid w:val="008A26D9"/>
    <w:rsid w:val="009109B0"/>
    <w:rsid w:val="00955F96"/>
    <w:rsid w:val="00A4100F"/>
    <w:rsid w:val="00A50088"/>
    <w:rsid w:val="00B53C8D"/>
    <w:rsid w:val="00C12E49"/>
    <w:rsid w:val="00C239A9"/>
    <w:rsid w:val="00E63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4C11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43A6"/>
    <w:pPr>
      <w:spacing w:line="360" w:lineRule="auto"/>
      <w:jc w:val="both"/>
    </w:pPr>
    <w:rPr>
      <w:rFonts w:ascii="Arial" w:hAnsi="Arial"/>
    </w:rPr>
  </w:style>
  <w:style w:type="paragraph" w:styleId="Heading1">
    <w:name w:val="heading 1"/>
    <w:basedOn w:val="Normal"/>
    <w:next w:val="Normal"/>
    <w:link w:val="Heading1Char"/>
    <w:autoRedefine/>
    <w:uiPriority w:val="9"/>
    <w:qFormat/>
    <w:rsid w:val="004643A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4643A6"/>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43A6"/>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4643A6"/>
    <w:rPr>
      <w:rFonts w:ascii="Arial" w:eastAsiaTheme="majorEastAsia" w:hAnsi="Arial" w:cstheme="majorBidi"/>
      <w:color w:val="2F5496" w:themeColor="accent1" w:themeShade="BF"/>
      <w:sz w:val="32"/>
      <w:szCs w:val="32"/>
    </w:rPr>
  </w:style>
  <w:style w:type="table" w:styleId="ListTable1Light-Accent2">
    <w:name w:val="List Table 1 Light Accent 2"/>
    <w:basedOn w:val="TableNormal"/>
    <w:uiPriority w:val="46"/>
    <w:rsid w:val="004643A6"/>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3">
    <w:name w:val="List Table 3"/>
    <w:basedOn w:val="TableNormal"/>
    <w:uiPriority w:val="48"/>
    <w:rsid w:val="004643A6"/>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TableGrid">
    <w:name w:val="Table Grid"/>
    <w:basedOn w:val="TableNormal"/>
    <w:uiPriority w:val="39"/>
    <w:rsid w:val="00B53C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5B10"/>
    <w:rPr>
      <w:color w:val="0563C1" w:themeColor="hyperlink"/>
      <w:u w:val="single"/>
    </w:rPr>
  </w:style>
  <w:style w:type="character" w:customStyle="1" w:styleId="UnresolvedMention">
    <w:name w:val="Unresolved Mention"/>
    <w:basedOn w:val="DefaultParagraphFont"/>
    <w:uiPriority w:val="99"/>
    <w:semiHidden/>
    <w:unhideWhenUsed/>
    <w:rsid w:val="00605B10"/>
    <w:rPr>
      <w:color w:val="605E5C"/>
      <w:shd w:val="clear" w:color="auto" w:fill="E1DFDD"/>
    </w:rPr>
  </w:style>
  <w:style w:type="table" w:styleId="PlainTable2">
    <w:name w:val="Plain Table 2"/>
    <w:basedOn w:val="TableNormal"/>
    <w:uiPriority w:val="42"/>
    <w:rsid w:val="00A5008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A500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088"/>
    <w:rPr>
      <w:rFonts w:ascii="Arial" w:hAnsi="Arial"/>
    </w:rPr>
  </w:style>
  <w:style w:type="paragraph" w:styleId="Footer">
    <w:name w:val="footer"/>
    <w:basedOn w:val="Normal"/>
    <w:link w:val="FooterChar"/>
    <w:uiPriority w:val="99"/>
    <w:unhideWhenUsed/>
    <w:rsid w:val="00A500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088"/>
    <w:rPr>
      <w:rFonts w:ascii="Arial" w:hAnsi="Arial"/>
    </w:rPr>
  </w:style>
  <w:style w:type="table" w:styleId="PlainTable1">
    <w:name w:val="Plain Table 1"/>
    <w:basedOn w:val="TableNormal"/>
    <w:uiPriority w:val="41"/>
    <w:rsid w:val="00A5008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5008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50088"/>
    <w:pPr>
      <w:spacing w:after="100"/>
    </w:pPr>
  </w:style>
  <w:style w:type="paragraph" w:styleId="TOC2">
    <w:name w:val="toc 2"/>
    <w:basedOn w:val="Normal"/>
    <w:next w:val="Normal"/>
    <w:autoRedefine/>
    <w:uiPriority w:val="39"/>
    <w:unhideWhenUsed/>
    <w:rsid w:val="00A50088"/>
    <w:pPr>
      <w:spacing w:after="100"/>
      <w:ind w:left="220"/>
    </w:pPr>
  </w:style>
  <w:style w:type="paragraph" w:styleId="NormalWeb">
    <w:name w:val="Normal (Web)"/>
    <w:basedOn w:val="Normal"/>
    <w:uiPriority w:val="99"/>
    <w:semiHidden/>
    <w:unhideWhenUsed/>
    <w:rsid w:val="00A50088"/>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1033084">
      <w:bodyDiv w:val="1"/>
      <w:marLeft w:val="0"/>
      <w:marRight w:val="0"/>
      <w:marTop w:val="0"/>
      <w:marBottom w:val="0"/>
      <w:divBdr>
        <w:top w:val="none" w:sz="0" w:space="0" w:color="auto"/>
        <w:left w:val="none" w:sz="0" w:space="0" w:color="auto"/>
        <w:bottom w:val="none" w:sz="0" w:space="0" w:color="auto"/>
        <w:right w:val="none" w:sz="0" w:space="0" w:color="auto"/>
      </w:divBdr>
      <w:divsChild>
        <w:div w:id="2266904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midw.2022.103273" TargetMode="External"/><Relationship Id="rId18" Type="http://schemas.openxmlformats.org/officeDocument/2006/relationships/hyperlink" Target="https://doi.org/10.1186/s12884-022-04998-0" TargetMode="External"/><Relationship Id="rId26" Type="http://schemas.openxmlformats.org/officeDocument/2006/relationships/hyperlink" Target="https://doi.org/10.1016/s0140-6736(21)02532-0" TargetMode="External"/><Relationship Id="rId39" Type="http://schemas.openxmlformats.org/officeDocument/2006/relationships/hyperlink" Target="https://doi.org/10.1136/bmjgh-2022-010937" TargetMode="External"/><Relationship Id="rId21" Type="http://schemas.openxmlformats.org/officeDocument/2006/relationships/hyperlink" Target="https://www.england.nhs.uk/long-read/maternity-and-neonatal-infrastructure-review-findings/" TargetMode="External"/><Relationship Id="rId34" Type="http://schemas.openxmlformats.org/officeDocument/2006/relationships/hyperlink" Target="https://www.gov.uk/government/publications/final-report-of-the-ockenden-review/ockenden-review-summary-of-findings-conclusions-and-essential-actions"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publications/government-response-to-the-ockenden-review" TargetMode="External"/><Relationship Id="rId20" Type="http://schemas.openxmlformats.org/officeDocument/2006/relationships/hyperlink" Target="https://doi.org/10.1186/s12913-024-10828-0" TargetMode="External"/><Relationship Id="rId29" Type="http://schemas.openxmlformats.org/officeDocument/2006/relationships/hyperlink" Target="https://doi.org/10.12968/bjhc.2017.23.3.120" TargetMode="External"/><Relationship Id="rId41" Type="http://schemas.openxmlformats.org/officeDocument/2006/relationships/hyperlink" Target="http://gala.gre.ac.uk/id/eprint/45724/7/45724_NEWTON_Evaluation_of_clinical_nurse_tutor_project_at_Dartford_and_Gravesham_NHS_Trus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47/rmhp.s197038" TargetMode="External"/><Relationship Id="rId24" Type="http://schemas.openxmlformats.org/officeDocument/2006/relationships/hyperlink" Target="https://doi.org/10.1136/bmjopen-2014-006157" TargetMode="External"/><Relationship Id="rId32" Type="http://schemas.openxmlformats.org/officeDocument/2006/relationships/hyperlink" Target="https://doi.org/10.1016/s0140-6736(22)00823-6" TargetMode="External"/><Relationship Id="rId37" Type="http://schemas.openxmlformats.org/officeDocument/2006/relationships/hyperlink" Target="https://doi.org/10.51952/9781447368625.ch006" TargetMode="External"/><Relationship Id="rId40" Type="http://schemas.openxmlformats.org/officeDocument/2006/relationships/hyperlink" Target="https://doi.org/10.5334/ijic.1068" TargetMode="External"/><Relationship Id="rId5" Type="http://schemas.openxmlformats.org/officeDocument/2006/relationships/footnotes" Target="footnotes.xml"/><Relationship Id="rId15" Type="http://schemas.openxmlformats.org/officeDocument/2006/relationships/hyperlink" Target="https://doi.org/10.1111/1471-0528.17276" TargetMode="External"/><Relationship Id="rId23" Type="http://schemas.openxmlformats.org/officeDocument/2006/relationships/hyperlink" Target="https://doi.org/10.1016/j.srhc.2025.101166" TargetMode="External"/><Relationship Id="rId28" Type="http://schemas.openxmlformats.org/officeDocument/2006/relationships/hyperlink" Target="https://doi.org/10.1111/1467-9566.70087" TargetMode="External"/><Relationship Id="rId36" Type="http://schemas.openxmlformats.org/officeDocument/2006/relationships/hyperlink" Target="https://doi.org/10.1016/j.ogc.2025.09.001" TargetMode="External"/><Relationship Id="rId10" Type="http://schemas.openxmlformats.org/officeDocument/2006/relationships/hyperlink" Target="https://doi.org/10.1016/j.ipha.2023.07.003" TargetMode="External"/><Relationship Id="rId19" Type="http://schemas.openxmlformats.org/officeDocument/2006/relationships/hyperlink" Target="https://doi.org/10.1136/bmj.n1020" TargetMode="External"/><Relationship Id="rId31" Type="http://schemas.openxmlformats.org/officeDocument/2006/relationships/hyperlink" Target="https://www.england.nhs.uk/publication/three-year-delivery-plan-for-maternity-and-neonatal-servic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9745/ghsp-d-24-00130" TargetMode="External"/><Relationship Id="rId22" Type="http://schemas.openxmlformats.org/officeDocument/2006/relationships/hyperlink" Target="https://www.england.nhs.uk/long-read/performance-report-24-25/" TargetMode="External"/><Relationship Id="rId27" Type="http://schemas.openxmlformats.org/officeDocument/2006/relationships/hyperlink" Target="https://doi.org/10.36401/JQSH-23-42" TargetMode="External"/><Relationship Id="rId30" Type="http://schemas.openxmlformats.org/officeDocument/2006/relationships/hyperlink" Target="https://doi.org/10.1136/bmjoq-2021-001483" TargetMode="External"/><Relationship Id="rId35" Type="http://schemas.openxmlformats.org/officeDocument/2006/relationships/hyperlink" Target="https://doi.org/10.1016/j.midw.2022.103391"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177/07255136241285470" TargetMode="External"/><Relationship Id="rId17" Type="http://schemas.openxmlformats.org/officeDocument/2006/relationships/hyperlink" Target="https://doi.org/10.1136/bmj.o899" TargetMode="External"/><Relationship Id="rId25" Type="http://schemas.openxmlformats.org/officeDocument/2006/relationships/hyperlink" Target="https://www.theguardian.com/society/2025/dec/09/victims-of-nhs-maternity-failings-in-england-received-unacceptable-care-says-report-head" TargetMode="External"/><Relationship Id="rId33" Type="http://schemas.openxmlformats.org/officeDocument/2006/relationships/hyperlink" Target="https://doi.org/10.1136/bmj.r1941" TargetMode="External"/><Relationship Id="rId38" Type="http://schemas.openxmlformats.org/officeDocument/2006/relationships/hyperlink" Target="https://doi.org/10.1016/j.lanepe.2025.101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B63408-231C-44D8-B9F0-8E4D6DAA3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4612</Words>
  <Characters>26292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2026-04-15T10:19:00Z</dcterms:created>
  <dcterms:modified xsi:type="dcterms:W3CDTF">2026-04-15T10:19:00Z</dcterms:modified>
</cp:coreProperties>
</file>