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978" w:rsidRPr="00542ED8" w:rsidRDefault="007B40EB" w:rsidP="00542ED8">
      <w:pPr>
        <w:ind w:firstLine="720"/>
        <w:rPr>
          <w:b/>
        </w:rPr>
      </w:pPr>
      <w:r w:rsidRPr="00542ED8">
        <w:rPr>
          <w:b/>
        </w:rPr>
        <w:t xml:space="preserve">Reflective account </w:t>
      </w:r>
      <w:r w:rsidR="00542ED8" w:rsidRPr="00542ED8">
        <w:rPr>
          <w:b/>
        </w:rPr>
        <w:t>on electronic handover tool development initiative</w:t>
      </w:r>
    </w:p>
    <w:p w:rsidR="007B40EB" w:rsidRPr="00542ED8" w:rsidRDefault="007B40EB">
      <w:pPr>
        <w:rPr>
          <w:b/>
        </w:rPr>
      </w:pPr>
      <w:r w:rsidRPr="00542ED8">
        <w:rPr>
          <w:b/>
        </w:rPr>
        <w:t>Introduction</w:t>
      </w:r>
    </w:p>
    <w:p w:rsidR="006626FC" w:rsidRDefault="007B40EB">
      <w:r>
        <w:t>The policy aim and goal that I chose to address within our health board context through a key digital enabler</w:t>
      </w:r>
      <w:r w:rsidR="004B31F0">
        <w:t xml:space="preserve"> is the concept of ‘handover’. Handover has featured as a key area of policy within several a</w:t>
      </w:r>
      <w:r w:rsidR="00542ED8">
        <w:t>uthoritative bodies including the General Medical Council.</w:t>
      </w:r>
    </w:p>
    <w:p w:rsidR="00DC435E" w:rsidRDefault="00E5757F">
      <w:pPr>
        <w:rPr>
          <w:rFonts w:cstheme="minorHAnsi"/>
        </w:rPr>
      </w:pPr>
      <w:r>
        <w:rPr>
          <w:rFonts w:cstheme="minorHAnsi"/>
        </w:rPr>
        <w:t xml:space="preserve">Clinical handover is a theme that generates passionate views across the clinical spectrum, and every colleague I spoke to about the issue had a </w:t>
      </w:r>
      <w:r w:rsidR="00DC435E">
        <w:rPr>
          <w:rFonts w:cstheme="minorHAnsi"/>
        </w:rPr>
        <w:t xml:space="preserve">story, a </w:t>
      </w:r>
      <w:r>
        <w:rPr>
          <w:rFonts w:cstheme="minorHAnsi"/>
        </w:rPr>
        <w:t xml:space="preserve">concern, an example of poor handover, </w:t>
      </w:r>
      <w:r w:rsidR="00DC435E">
        <w:rPr>
          <w:rFonts w:cstheme="minorHAnsi"/>
        </w:rPr>
        <w:t xml:space="preserve">an </w:t>
      </w:r>
      <w:r>
        <w:rPr>
          <w:rFonts w:cstheme="minorHAnsi"/>
        </w:rPr>
        <w:t>example of patient harm, poor efficiency</w:t>
      </w:r>
      <w:r w:rsidR="00DC435E">
        <w:rPr>
          <w:rFonts w:cstheme="minorHAnsi"/>
        </w:rPr>
        <w:t xml:space="preserve"> and medico-legal</w:t>
      </w:r>
      <w:r>
        <w:rPr>
          <w:rFonts w:cstheme="minorHAnsi"/>
        </w:rPr>
        <w:t xml:space="preserve"> </w:t>
      </w:r>
      <w:r w:rsidR="00DC435E">
        <w:rPr>
          <w:rFonts w:cstheme="minorHAnsi"/>
        </w:rPr>
        <w:t>consequence to share. The issue seemed to cut through grades, seniorities, roles and motivations. Whilst scoping out views as to the feasibility of taking this initiative on, it was striking that every conversation resulted in an expression of yearning to resolve this with a digital solution.</w:t>
      </w:r>
    </w:p>
    <w:p w:rsidR="009B6260" w:rsidRPr="006626FC" w:rsidRDefault="009B6260">
      <w:r>
        <w:rPr>
          <w:rFonts w:cstheme="minorHAnsi"/>
        </w:rPr>
        <w:t xml:space="preserve">The pace of this project was incredible, and given the limited availability of key individuals, I had to juggle several balls in the air over the Easter period. This meant that I had not managed to keep a reflective log that was contemporaneous. Whilst considering the different models of reflection, I felt that the Driscoll model </w:t>
      </w:r>
      <w:sdt>
        <w:sdtPr>
          <w:rPr>
            <w:rFonts w:ascii="Calibri" w:hAnsi="Calibri" w:cs="Calibri"/>
            <w:color w:val="000000"/>
            <w:highlight w:val="white"/>
          </w:rPr>
          <w:alias w:val="2060978714"/>
          <w:tag w:val="{&quot;referencesIds&quot;:[&quot;doc:62a0f6d18f08d96f1b27485f&quot;],&quot;referencesOptions&quot;:{&quot;doc:62a0f6d18f08d96f1b27485f&quot;:{&quot;author&quot;:true,&quot;year&quot;:true,&quot;pageReplace&quot;:&quot;&quot;,&quot;prefix&quot;:&quot;&quot;,&quot;suffix&quot;:&quot;&quot;}},&quot;hasBrokenReferences&quot;:false,&quot;hasManualEdits&quot;:false,&quot;citationType&quot;:&quot;inline&quot;}"/>
          <w:id w:val="2060978714"/>
          <w:placeholder>
            <w:docPart w:val="A98BF40E549143118ED347DF183357AE"/>
          </w:placeholder>
          <w15:webExtensionLinked/>
        </w:sdtPr>
        <w:sdtEndPr/>
        <w:sdtContent>
          <w:r w:rsidRPr="009B6260">
            <w:rPr>
              <w:rFonts w:ascii="Calibri" w:eastAsia="Times New Roman" w:hAnsi="Calibri" w:cs="Calibri"/>
              <w:color w:val="000000"/>
              <w:highlight w:val="white"/>
            </w:rPr>
            <w:t>(Driscoll, 2007)</w:t>
          </w:r>
        </w:sdtContent>
      </w:sdt>
      <w:r w:rsidR="00F771FB">
        <w:rPr>
          <w:rFonts w:ascii="Calibri" w:hAnsi="Calibri" w:cs="Calibri"/>
          <w:color w:val="000000"/>
        </w:rPr>
        <w:t xml:space="preserve"> provided me the best recall of events in addition to the recorded meetings.</w:t>
      </w:r>
      <w:r>
        <w:rPr>
          <w:rFonts w:ascii="Calibri" w:hAnsi="Calibri" w:cs="Calibri"/>
          <w:color w:val="000000"/>
        </w:rPr>
        <w:t xml:space="preserve"> Therefore, it felt </w:t>
      </w:r>
      <w:r w:rsidR="00F771FB">
        <w:rPr>
          <w:rFonts w:ascii="Calibri" w:hAnsi="Calibri" w:cs="Calibri"/>
          <w:color w:val="000000"/>
        </w:rPr>
        <w:t>‘right’</w:t>
      </w:r>
      <w:r>
        <w:rPr>
          <w:rFonts w:ascii="Calibri" w:hAnsi="Calibri" w:cs="Calibri"/>
          <w:color w:val="000000"/>
        </w:rPr>
        <w:t xml:space="preserve"> </w:t>
      </w:r>
      <w:r w:rsidR="00F771FB">
        <w:rPr>
          <w:rFonts w:ascii="Calibri" w:hAnsi="Calibri" w:cs="Calibri"/>
          <w:color w:val="000000"/>
        </w:rPr>
        <w:t>to choose this model</w:t>
      </w:r>
      <w:r>
        <w:rPr>
          <w:rFonts w:ascii="Calibri" w:hAnsi="Calibri" w:cs="Calibri"/>
          <w:color w:val="000000"/>
        </w:rPr>
        <w:t xml:space="preserve"> for this account.</w:t>
      </w:r>
    </w:p>
    <w:p w:rsidR="00DC435E" w:rsidRPr="00542ED8" w:rsidRDefault="00542ED8">
      <w:pPr>
        <w:rPr>
          <w:rFonts w:cstheme="minorHAnsi"/>
          <w:b/>
        </w:rPr>
      </w:pPr>
      <w:r w:rsidRPr="00542ED8">
        <w:rPr>
          <w:rFonts w:cstheme="minorHAnsi"/>
          <w:b/>
        </w:rPr>
        <w:t>The stakeholders</w:t>
      </w:r>
    </w:p>
    <w:p w:rsidR="00542ED8" w:rsidRDefault="00542ED8">
      <w:pPr>
        <w:rPr>
          <w:rFonts w:cstheme="minorHAnsi"/>
        </w:rPr>
      </w:pPr>
      <w:r>
        <w:rPr>
          <w:rFonts w:cstheme="minorHAnsi"/>
        </w:rPr>
        <w:t>The following table shows the list of individuals who were identified as key personnel to shape this initiative.</w:t>
      </w:r>
    </w:p>
    <w:tbl>
      <w:tblPr>
        <w:tblStyle w:val="TableGrid"/>
        <w:tblW w:w="0" w:type="auto"/>
        <w:tblLook w:val="04A0" w:firstRow="1" w:lastRow="0" w:firstColumn="1" w:lastColumn="0" w:noHBand="0" w:noVBand="1"/>
      </w:tblPr>
      <w:tblGrid>
        <w:gridCol w:w="562"/>
        <w:gridCol w:w="5448"/>
        <w:gridCol w:w="3006"/>
      </w:tblGrid>
      <w:tr w:rsidR="00542ED8" w:rsidTr="00542ED8">
        <w:tc>
          <w:tcPr>
            <w:tcW w:w="562" w:type="dxa"/>
          </w:tcPr>
          <w:p w:rsidR="00542ED8" w:rsidRDefault="00542ED8">
            <w:pPr>
              <w:rPr>
                <w:rFonts w:cstheme="minorHAnsi"/>
              </w:rPr>
            </w:pPr>
            <w:r>
              <w:rPr>
                <w:rFonts w:cstheme="minorHAnsi"/>
              </w:rPr>
              <w:t>No.</w:t>
            </w:r>
          </w:p>
        </w:tc>
        <w:tc>
          <w:tcPr>
            <w:tcW w:w="5448" w:type="dxa"/>
          </w:tcPr>
          <w:p w:rsidR="00542ED8" w:rsidRDefault="00542ED8">
            <w:pPr>
              <w:rPr>
                <w:rFonts w:cstheme="minorHAnsi"/>
              </w:rPr>
            </w:pPr>
            <w:r>
              <w:rPr>
                <w:rFonts w:cstheme="minorHAnsi"/>
              </w:rPr>
              <w:t>Wider role</w:t>
            </w:r>
          </w:p>
        </w:tc>
        <w:tc>
          <w:tcPr>
            <w:tcW w:w="3006" w:type="dxa"/>
          </w:tcPr>
          <w:p w:rsidR="00542ED8" w:rsidRDefault="00542ED8">
            <w:pPr>
              <w:rPr>
                <w:rFonts w:cstheme="minorHAnsi"/>
              </w:rPr>
            </w:pPr>
            <w:r>
              <w:rPr>
                <w:rFonts w:cstheme="minorHAnsi"/>
              </w:rPr>
              <w:t>Role within the initiative</w:t>
            </w:r>
          </w:p>
        </w:tc>
      </w:tr>
      <w:tr w:rsidR="00542ED8" w:rsidTr="00542ED8">
        <w:tc>
          <w:tcPr>
            <w:tcW w:w="562" w:type="dxa"/>
          </w:tcPr>
          <w:p w:rsidR="00542ED8" w:rsidRDefault="00542ED8">
            <w:pPr>
              <w:rPr>
                <w:rFonts w:cstheme="minorHAnsi"/>
              </w:rPr>
            </w:pPr>
            <w:r>
              <w:rPr>
                <w:rFonts w:cstheme="minorHAnsi"/>
              </w:rPr>
              <w:t>1</w:t>
            </w:r>
          </w:p>
          <w:p w:rsidR="00542ED8" w:rsidRDefault="00542ED8">
            <w:pPr>
              <w:rPr>
                <w:rFonts w:cstheme="minorHAnsi"/>
              </w:rPr>
            </w:pPr>
            <w:r>
              <w:rPr>
                <w:rFonts w:cstheme="minorHAnsi"/>
              </w:rPr>
              <w:t>2</w:t>
            </w:r>
          </w:p>
          <w:p w:rsidR="00542ED8" w:rsidRDefault="00542ED8">
            <w:pPr>
              <w:rPr>
                <w:rFonts w:cstheme="minorHAnsi"/>
              </w:rPr>
            </w:pPr>
            <w:r>
              <w:rPr>
                <w:rFonts w:cstheme="minorHAnsi"/>
              </w:rPr>
              <w:t>3</w:t>
            </w:r>
          </w:p>
          <w:p w:rsidR="00542ED8" w:rsidRDefault="00542ED8">
            <w:pPr>
              <w:rPr>
                <w:rFonts w:cstheme="minorHAnsi"/>
              </w:rPr>
            </w:pPr>
          </w:p>
          <w:p w:rsidR="00542ED8" w:rsidRDefault="00542ED8">
            <w:pPr>
              <w:rPr>
                <w:rFonts w:cstheme="minorHAnsi"/>
              </w:rPr>
            </w:pPr>
            <w:r>
              <w:rPr>
                <w:rFonts w:cstheme="minorHAnsi"/>
              </w:rPr>
              <w:t>4</w:t>
            </w:r>
          </w:p>
          <w:p w:rsidR="00542ED8" w:rsidRDefault="00542ED8">
            <w:pPr>
              <w:rPr>
                <w:rFonts w:cstheme="minorHAnsi"/>
              </w:rPr>
            </w:pPr>
          </w:p>
          <w:p w:rsidR="00542ED8" w:rsidRDefault="00542ED8">
            <w:pPr>
              <w:rPr>
                <w:rFonts w:cstheme="minorHAnsi"/>
              </w:rPr>
            </w:pPr>
            <w:r>
              <w:rPr>
                <w:rFonts w:cstheme="minorHAnsi"/>
              </w:rPr>
              <w:t>5</w:t>
            </w:r>
          </w:p>
          <w:p w:rsidR="00542ED8" w:rsidRDefault="00542ED8">
            <w:pPr>
              <w:rPr>
                <w:rFonts w:cstheme="minorHAnsi"/>
              </w:rPr>
            </w:pPr>
            <w:r>
              <w:rPr>
                <w:rFonts w:cstheme="minorHAnsi"/>
              </w:rPr>
              <w:t>6</w:t>
            </w:r>
          </w:p>
          <w:p w:rsidR="00542ED8" w:rsidRDefault="00542ED8">
            <w:pPr>
              <w:rPr>
                <w:rFonts w:cstheme="minorHAnsi"/>
              </w:rPr>
            </w:pPr>
            <w:r>
              <w:rPr>
                <w:rFonts w:cstheme="minorHAnsi"/>
              </w:rPr>
              <w:t>7</w:t>
            </w:r>
          </w:p>
          <w:p w:rsidR="00542ED8" w:rsidRDefault="00542ED8">
            <w:pPr>
              <w:rPr>
                <w:rFonts w:cstheme="minorHAnsi"/>
              </w:rPr>
            </w:pPr>
          </w:p>
          <w:p w:rsidR="00542ED8" w:rsidRDefault="00542ED8">
            <w:pPr>
              <w:rPr>
                <w:rFonts w:cstheme="minorHAnsi"/>
              </w:rPr>
            </w:pPr>
            <w:r>
              <w:rPr>
                <w:rFonts w:cstheme="minorHAnsi"/>
              </w:rPr>
              <w:t>8</w:t>
            </w:r>
          </w:p>
          <w:p w:rsidR="00542ED8" w:rsidRDefault="00542ED8">
            <w:pPr>
              <w:rPr>
                <w:rFonts w:cstheme="minorHAnsi"/>
              </w:rPr>
            </w:pPr>
            <w:r>
              <w:rPr>
                <w:rFonts w:cstheme="minorHAnsi"/>
              </w:rPr>
              <w:t>9</w:t>
            </w:r>
          </w:p>
          <w:p w:rsidR="00542ED8" w:rsidRDefault="00542ED8">
            <w:pPr>
              <w:rPr>
                <w:rFonts w:cstheme="minorHAnsi"/>
              </w:rPr>
            </w:pPr>
            <w:r>
              <w:rPr>
                <w:rFonts w:cstheme="minorHAnsi"/>
              </w:rPr>
              <w:t>10</w:t>
            </w:r>
          </w:p>
          <w:p w:rsidR="00542ED8" w:rsidRDefault="00542ED8">
            <w:pPr>
              <w:rPr>
                <w:rFonts w:cstheme="minorHAnsi"/>
              </w:rPr>
            </w:pPr>
            <w:r>
              <w:rPr>
                <w:rFonts w:cstheme="minorHAnsi"/>
              </w:rPr>
              <w:t>11</w:t>
            </w:r>
          </w:p>
          <w:p w:rsidR="00542ED8" w:rsidRDefault="00542ED8">
            <w:pPr>
              <w:rPr>
                <w:rFonts w:cstheme="minorHAnsi"/>
              </w:rPr>
            </w:pPr>
          </w:p>
          <w:p w:rsidR="00542ED8" w:rsidRDefault="00542ED8">
            <w:pPr>
              <w:rPr>
                <w:rFonts w:cstheme="minorHAnsi"/>
              </w:rPr>
            </w:pPr>
          </w:p>
        </w:tc>
        <w:tc>
          <w:tcPr>
            <w:tcW w:w="5448" w:type="dxa"/>
          </w:tcPr>
          <w:p w:rsidR="00542ED8" w:rsidRDefault="00542ED8" w:rsidP="00542ED8">
            <w:pPr>
              <w:ind w:left="720"/>
              <w:rPr>
                <w:rFonts w:cstheme="minorHAnsi"/>
              </w:rPr>
            </w:pPr>
            <w:r w:rsidRPr="00542ED8">
              <w:rPr>
                <w:rFonts w:cstheme="minorHAnsi"/>
              </w:rPr>
              <w:t>The Royal College of Physicians Tutor</w:t>
            </w:r>
          </w:p>
          <w:p w:rsidR="00542ED8" w:rsidRPr="00542ED8" w:rsidRDefault="00542ED8" w:rsidP="00542ED8">
            <w:pPr>
              <w:ind w:left="720"/>
              <w:rPr>
                <w:rFonts w:cstheme="minorHAnsi"/>
              </w:rPr>
            </w:pPr>
            <w:r w:rsidRPr="00542ED8">
              <w:rPr>
                <w:rFonts w:cstheme="minorHAnsi"/>
              </w:rPr>
              <w:t>The Junior Doctors Forum representative</w:t>
            </w:r>
          </w:p>
          <w:p w:rsidR="00542ED8" w:rsidRPr="00542ED8" w:rsidRDefault="00542ED8" w:rsidP="00542ED8">
            <w:pPr>
              <w:ind w:left="720"/>
              <w:rPr>
                <w:rFonts w:cstheme="minorHAnsi"/>
              </w:rPr>
            </w:pPr>
            <w:r w:rsidRPr="00542ED8">
              <w:rPr>
                <w:rFonts w:cstheme="minorHAnsi"/>
              </w:rPr>
              <w:t>Representative of the OMD (Office of the Medical Director)</w:t>
            </w:r>
          </w:p>
          <w:p w:rsidR="00542ED8" w:rsidRPr="00542ED8" w:rsidRDefault="00542ED8" w:rsidP="00542ED8">
            <w:pPr>
              <w:ind w:left="720"/>
              <w:rPr>
                <w:rFonts w:cstheme="minorHAnsi"/>
              </w:rPr>
            </w:pPr>
            <w:r w:rsidRPr="00542ED8">
              <w:rPr>
                <w:rFonts w:cstheme="minorHAnsi"/>
              </w:rPr>
              <w:t>Training Program Director (TPD) representing the Welsh Deanery</w:t>
            </w:r>
          </w:p>
          <w:p w:rsidR="00542ED8" w:rsidRPr="00542ED8" w:rsidRDefault="00542ED8" w:rsidP="00542ED8">
            <w:pPr>
              <w:ind w:left="720"/>
              <w:rPr>
                <w:rFonts w:cstheme="minorHAnsi"/>
              </w:rPr>
            </w:pPr>
            <w:r w:rsidRPr="00542ED8">
              <w:rPr>
                <w:rFonts w:cstheme="minorHAnsi"/>
              </w:rPr>
              <w:t>Senior Consultant User representative</w:t>
            </w:r>
          </w:p>
          <w:p w:rsidR="00542ED8" w:rsidRPr="00542ED8" w:rsidRDefault="00542ED8" w:rsidP="00542ED8">
            <w:pPr>
              <w:ind w:left="720"/>
              <w:rPr>
                <w:rFonts w:cstheme="minorHAnsi"/>
              </w:rPr>
            </w:pPr>
            <w:r w:rsidRPr="00542ED8">
              <w:rPr>
                <w:rFonts w:cstheme="minorHAnsi"/>
              </w:rPr>
              <w:t>Department of Surgery representative</w:t>
            </w:r>
          </w:p>
          <w:p w:rsidR="00542ED8" w:rsidRPr="00542ED8" w:rsidRDefault="00542ED8" w:rsidP="00542ED8">
            <w:pPr>
              <w:ind w:left="720"/>
              <w:rPr>
                <w:rFonts w:cstheme="minorHAnsi"/>
              </w:rPr>
            </w:pPr>
            <w:r w:rsidRPr="00542ED8">
              <w:rPr>
                <w:rFonts w:cstheme="minorHAnsi"/>
              </w:rPr>
              <w:t>Clinical Informatics Senior Leadership Team Member (The Program team for governance)</w:t>
            </w:r>
          </w:p>
          <w:p w:rsidR="00542ED8" w:rsidRPr="00542ED8" w:rsidRDefault="00542ED8" w:rsidP="00542ED8">
            <w:pPr>
              <w:ind w:left="720"/>
              <w:rPr>
                <w:rFonts w:cstheme="minorHAnsi"/>
              </w:rPr>
            </w:pPr>
            <w:r w:rsidRPr="00542ED8">
              <w:rPr>
                <w:rFonts w:cstheme="minorHAnsi"/>
              </w:rPr>
              <w:t>Information Governance representative</w:t>
            </w:r>
          </w:p>
          <w:p w:rsidR="00542ED8" w:rsidRPr="00542ED8" w:rsidRDefault="00542ED8" w:rsidP="00542ED8">
            <w:pPr>
              <w:ind w:left="720"/>
              <w:rPr>
                <w:rFonts w:cstheme="minorHAnsi"/>
              </w:rPr>
            </w:pPr>
            <w:r w:rsidRPr="00542ED8">
              <w:rPr>
                <w:rFonts w:cstheme="minorHAnsi"/>
              </w:rPr>
              <w:t>Medical Informatics Officer</w:t>
            </w:r>
          </w:p>
          <w:p w:rsidR="00542ED8" w:rsidRPr="00542ED8" w:rsidRDefault="00542ED8" w:rsidP="00542ED8">
            <w:pPr>
              <w:ind w:left="720"/>
              <w:rPr>
                <w:rFonts w:cstheme="minorHAnsi"/>
              </w:rPr>
            </w:pPr>
            <w:r w:rsidRPr="00542ED8">
              <w:rPr>
                <w:rFonts w:cstheme="minorHAnsi"/>
              </w:rPr>
              <w:t>In-house design team member</w:t>
            </w:r>
          </w:p>
          <w:p w:rsidR="00542ED8" w:rsidRPr="00542ED8" w:rsidRDefault="00542ED8" w:rsidP="00542ED8">
            <w:pPr>
              <w:ind w:left="720"/>
              <w:rPr>
                <w:rFonts w:cstheme="minorHAnsi"/>
              </w:rPr>
            </w:pPr>
            <w:r w:rsidRPr="00542ED8">
              <w:rPr>
                <w:rFonts w:cstheme="minorHAnsi"/>
              </w:rPr>
              <w:t xml:space="preserve">Member of the </w:t>
            </w:r>
            <w:proofErr w:type="spellStart"/>
            <w:r w:rsidRPr="00542ED8">
              <w:rPr>
                <w:rFonts w:cstheme="minorHAnsi"/>
              </w:rPr>
              <w:t>Cito</w:t>
            </w:r>
            <w:proofErr w:type="spellEnd"/>
            <w:r w:rsidRPr="00542ED8">
              <w:rPr>
                <w:rFonts w:cstheme="minorHAnsi"/>
              </w:rPr>
              <w:t xml:space="preserve"> team (Digital ecosystem supplier)</w:t>
            </w:r>
          </w:p>
          <w:p w:rsidR="00542ED8" w:rsidRDefault="00542ED8">
            <w:pPr>
              <w:rPr>
                <w:rFonts w:cstheme="minorHAnsi"/>
              </w:rPr>
            </w:pPr>
          </w:p>
        </w:tc>
        <w:tc>
          <w:tcPr>
            <w:tcW w:w="3006" w:type="dxa"/>
          </w:tcPr>
          <w:p w:rsidR="00542ED8" w:rsidRDefault="00542ED8">
            <w:pPr>
              <w:rPr>
                <w:rFonts w:cstheme="minorHAnsi"/>
              </w:rPr>
            </w:pPr>
            <w:r>
              <w:rPr>
                <w:rFonts w:cstheme="minorHAnsi"/>
              </w:rPr>
              <w:t>Visionary</w:t>
            </w:r>
          </w:p>
          <w:p w:rsidR="00542ED8" w:rsidRDefault="00542ED8">
            <w:pPr>
              <w:rPr>
                <w:rFonts w:cstheme="minorHAnsi"/>
              </w:rPr>
            </w:pPr>
            <w:r>
              <w:rPr>
                <w:rFonts w:cstheme="minorHAnsi"/>
              </w:rPr>
              <w:t>End user</w:t>
            </w:r>
          </w:p>
          <w:p w:rsidR="00542ED8" w:rsidRDefault="00542ED8">
            <w:pPr>
              <w:rPr>
                <w:rFonts w:cstheme="minorHAnsi"/>
              </w:rPr>
            </w:pPr>
            <w:r>
              <w:rPr>
                <w:rFonts w:cstheme="minorHAnsi"/>
              </w:rPr>
              <w:t>Sponsor</w:t>
            </w:r>
          </w:p>
          <w:p w:rsidR="00542ED8" w:rsidRDefault="00542ED8">
            <w:pPr>
              <w:rPr>
                <w:rFonts w:cstheme="minorHAnsi"/>
              </w:rPr>
            </w:pPr>
          </w:p>
          <w:p w:rsidR="00542ED8" w:rsidRDefault="00542ED8">
            <w:pPr>
              <w:rPr>
                <w:rFonts w:cstheme="minorHAnsi"/>
              </w:rPr>
            </w:pPr>
            <w:r>
              <w:rPr>
                <w:rFonts w:cstheme="minorHAnsi"/>
              </w:rPr>
              <w:t>Thought leader</w:t>
            </w:r>
          </w:p>
          <w:p w:rsidR="00542ED8" w:rsidRDefault="00542ED8">
            <w:pPr>
              <w:rPr>
                <w:rFonts w:cstheme="minorHAnsi"/>
              </w:rPr>
            </w:pPr>
          </w:p>
          <w:p w:rsidR="00542ED8" w:rsidRDefault="00542ED8">
            <w:pPr>
              <w:rPr>
                <w:rFonts w:cstheme="minorHAnsi"/>
              </w:rPr>
            </w:pPr>
            <w:r>
              <w:rPr>
                <w:rFonts w:cstheme="minorHAnsi"/>
              </w:rPr>
              <w:t>Senior user</w:t>
            </w:r>
          </w:p>
          <w:p w:rsidR="00542ED8" w:rsidRDefault="00542ED8">
            <w:pPr>
              <w:rPr>
                <w:rFonts w:cstheme="minorHAnsi"/>
              </w:rPr>
            </w:pPr>
            <w:r>
              <w:rPr>
                <w:rFonts w:cstheme="minorHAnsi"/>
              </w:rPr>
              <w:t>Senior user</w:t>
            </w:r>
          </w:p>
          <w:p w:rsidR="00542ED8" w:rsidRDefault="00542ED8">
            <w:pPr>
              <w:rPr>
                <w:rFonts w:cstheme="minorHAnsi"/>
              </w:rPr>
            </w:pPr>
            <w:r>
              <w:rPr>
                <w:rFonts w:cstheme="minorHAnsi"/>
              </w:rPr>
              <w:t>Project leader</w:t>
            </w:r>
          </w:p>
          <w:p w:rsidR="00542ED8" w:rsidRDefault="00542ED8">
            <w:pPr>
              <w:rPr>
                <w:rFonts w:cstheme="minorHAnsi"/>
              </w:rPr>
            </w:pPr>
          </w:p>
          <w:p w:rsidR="00542ED8" w:rsidRDefault="00542ED8">
            <w:pPr>
              <w:rPr>
                <w:rFonts w:cstheme="minorHAnsi"/>
              </w:rPr>
            </w:pPr>
            <w:r>
              <w:rPr>
                <w:rFonts w:cstheme="minorHAnsi"/>
              </w:rPr>
              <w:t>Information Governance</w:t>
            </w:r>
          </w:p>
          <w:p w:rsidR="00542ED8" w:rsidRDefault="00542ED8">
            <w:pPr>
              <w:rPr>
                <w:rFonts w:cstheme="minorHAnsi"/>
              </w:rPr>
            </w:pPr>
            <w:r>
              <w:rPr>
                <w:rFonts w:cstheme="minorHAnsi"/>
              </w:rPr>
              <w:t>Digital visionary</w:t>
            </w:r>
          </w:p>
          <w:p w:rsidR="00542ED8" w:rsidRDefault="00542ED8">
            <w:pPr>
              <w:rPr>
                <w:rFonts w:cstheme="minorHAnsi"/>
              </w:rPr>
            </w:pPr>
            <w:r>
              <w:rPr>
                <w:rFonts w:cstheme="minorHAnsi"/>
              </w:rPr>
              <w:t xml:space="preserve">Development </w:t>
            </w:r>
          </w:p>
          <w:p w:rsidR="00542ED8" w:rsidRDefault="00542ED8">
            <w:pPr>
              <w:rPr>
                <w:rFonts w:cstheme="minorHAnsi"/>
              </w:rPr>
            </w:pPr>
            <w:r>
              <w:rPr>
                <w:rFonts w:cstheme="minorHAnsi"/>
              </w:rPr>
              <w:t>Commercial partner</w:t>
            </w:r>
          </w:p>
        </w:tc>
      </w:tr>
    </w:tbl>
    <w:p w:rsidR="00542ED8" w:rsidRDefault="00542ED8">
      <w:pPr>
        <w:rPr>
          <w:rFonts w:cstheme="minorHAnsi"/>
        </w:rPr>
      </w:pPr>
    </w:p>
    <w:p w:rsidR="00E5757F" w:rsidRPr="00542ED8" w:rsidRDefault="00542ED8">
      <w:pPr>
        <w:rPr>
          <w:rFonts w:cstheme="minorHAnsi"/>
          <w:b/>
        </w:rPr>
      </w:pPr>
      <w:r w:rsidRPr="00542ED8">
        <w:rPr>
          <w:rFonts w:cstheme="minorHAnsi"/>
          <w:b/>
        </w:rPr>
        <w:t>‘What?’</w:t>
      </w:r>
    </w:p>
    <w:p w:rsidR="00E5757F" w:rsidRDefault="00E5757F">
      <w:r>
        <w:t>Gap analysis</w:t>
      </w:r>
    </w:p>
    <w:p w:rsidR="005D77C1" w:rsidRDefault="005D77C1">
      <w:r>
        <w:t>The gap analysis was constructed with the help of a focus group derived from the above who had agreed in principle to participate in shaping this solu</w:t>
      </w:r>
      <w:r w:rsidR="00542ED8">
        <w:t>tion. Although</w:t>
      </w:r>
      <w:r>
        <w:t xml:space="preserve"> the first scoping meeting was held around the Easter break period, the attendance was hearteningly good (all but two individuals were able to participate</w:t>
      </w:r>
      <w:r w:rsidR="00C158CB">
        <w:t xml:space="preserve">), which was a key indicator as to the level of investment these stakeholders </w:t>
      </w:r>
      <w:r w:rsidR="00542ED8">
        <w:lastRenderedPageBreak/>
        <w:t xml:space="preserve">were prepared to make to progress </w:t>
      </w:r>
      <w:r w:rsidR="00C158CB">
        <w:t>this aim. The meeting was held virtually through Microsoft Teams, and was recorded for the benefit of those who were unable to attend. These recordings were viewed within 24 hours by the relevant key individuals without prompt.</w:t>
      </w:r>
    </w:p>
    <w:p w:rsidR="00C158CB" w:rsidRDefault="00C158CB">
      <w:r>
        <w:t>I had managed to discuss my proposed plan of constructing a roadmap to improve handover within the health board with most of the stakeholders prior to the meeting. I was struck by the determination of p</w:t>
      </w:r>
      <w:r w:rsidR="00F771FB">
        <w:t>otential end users</w:t>
      </w:r>
      <w:r>
        <w:t xml:space="preserve"> to make this succeed and this had provided me with the motivation and hope that this ‘essay’ has a strong chance of materialising into a usable solution.</w:t>
      </w:r>
    </w:p>
    <w:p w:rsidR="00C158CB" w:rsidRDefault="00C158CB">
      <w:r>
        <w:t>The initial meeting was to complete the gap analysis required to derive the long list of options, and we had hoped to get to the point of agreeing a shortlist within the session, but the allocated 90 minutes were</w:t>
      </w:r>
      <w:r w:rsidR="007463E2">
        <w:t xml:space="preserve"> not suff</w:t>
      </w:r>
      <w:r w:rsidR="00074FA5">
        <w:t xml:space="preserve">icient to </w:t>
      </w:r>
      <w:r w:rsidR="00F771FB">
        <w:t>achieve this</w:t>
      </w:r>
      <w:r w:rsidR="00074FA5">
        <w:t xml:space="preserve"> (we had but a long list at the end of this session)</w:t>
      </w:r>
    </w:p>
    <w:p w:rsidR="009E6C8D" w:rsidRDefault="00074FA5" w:rsidP="007463E2">
      <w:pPr>
        <w:rPr>
          <w:rFonts w:ascii="Calibri" w:hAnsi="Calibri" w:cs="Calibri"/>
          <w:color w:val="000000"/>
        </w:rPr>
      </w:pPr>
      <w:r>
        <w:t xml:space="preserve">The gap analysis </w:t>
      </w:r>
      <w:r w:rsidR="007463E2">
        <w:t>and the option appraisal session</w:t>
      </w:r>
      <w:r>
        <w:t>s</w:t>
      </w:r>
      <w:r w:rsidR="007463E2">
        <w:t xml:space="preserve"> were sandwiched by the interview with site medical director (MD) to provide strategic clarity and context to this policy goal. I was struck by the level of frustration felt by his office that the issue of handover had not been dea</w:t>
      </w:r>
      <w:r w:rsidR="00F771FB">
        <w:t>lt with effectively despite evidence</w:t>
      </w:r>
      <w:r w:rsidR="007463E2">
        <w:t xml:space="preserve"> </w:t>
      </w:r>
      <w:sdt>
        <w:sdtPr>
          <w:rPr>
            <w:rFonts w:ascii="Calibri" w:hAnsi="Calibri" w:cs="Calibri"/>
            <w:color w:val="000000"/>
            <w:highlight w:val="white"/>
          </w:rPr>
          <w:alias w:val="-1552219347"/>
          <w:tag w:val="{&quot;referencesIds&quot;:[&quot;doc:6283fe1d8f080f6692a5e994&quot;],&quot;referencesOptions&quot;:{&quot;doc:6283fe1d8f080f6692a5e994&quot;:{&quot;author&quot;:true,&quot;year&quot;:true,&quot;pageReplace&quot;:&quot;&quot;,&quot;prefix&quot;:&quot;&quot;,&quot;suffix&quot;:&quot;&quot;}},&quot;hasBrokenReferences&quot;:false,&quot;hasManualEdits&quot;:false,&quot;citationType&quot;:&quot;inline&quot;}"/>
          <w:id w:val="-1552219347"/>
          <w:placeholder>
            <w:docPart w:val="CF87BC91598B4543975609B2CDF6F104"/>
          </w:placeholder>
          <w15:webExtensionLinked/>
        </w:sdtPr>
        <w:sdtEndPr/>
        <w:sdtContent>
          <w:r w:rsidR="009B6260" w:rsidRPr="009B6260">
            <w:rPr>
              <w:rFonts w:ascii="Calibri" w:eastAsia="Times New Roman" w:hAnsi="Calibri" w:cs="Calibri"/>
              <w:color w:val="000000"/>
              <w:highlight w:val="white"/>
            </w:rPr>
            <w:t>(Chakrabarti, 2013)</w:t>
          </w:r>
        </w:sdtContent>
      </w:sdt>
      <w:r w:rsidR="007463E2">
        <w:rPr>
          <w:rFonts w:ascii="Calibri" w:hAnsi="Calibri" w:cs="Calibri"/>
          <w:color w:val="000000"/>
        </w:rPr>
        <w:t xml:space="preserve"> showing that this was an area of concern within the health board. The site MD guided me towards narrowing the definition of clinical handover to</w:t>
      </w:r>
      <w:r w:rsidR="009E6C8D">
        <w:rPr>
          <w:rFonts w:ascii="Calibri" w:hAnsi="Calibri" w:cs="Calibri"/>
          <w:color w:val="000000"/>
        </w:rPr>
        <w:t xml:space="preserve"> a narrower realm in order that the solution meets the most urgent concern within the health board. The wealth of resources </w:t>
      </w:r>
      <w:r>
        <w:rPr>
          <w:rFonts w:ascii="Calibri" w:hAnsi="Calibri" w:cs="Calibri"/>
          <w:color w:val="000000"/>
        </w:rPr>
        <w:t xml:space="preserve">at his disposal </w:t>
      </w:r>
      <w:r w:rsidR="009E6C8D">
        <w:rPr>
          <w:rFonts w:ascii="Calibri" w:hAnsi="Calibri" w:cs="Calibri"/>
          <w:color w:val="000000"/>
        </w:rPr>
        <w:t xml:space="preserve">and evidence </w:t>
      </w:r>
      <w:r w:rsidR="00F771FB">
        <w:rPr>
          <w:rFonts w:ascii="Calibri" w:hAnsi="Calibri" w:cs="Calibri"/>
          <w:color w:val="000000"/>
        </w:rPr>
        <w:t>painted a</w:t>
      </w:r>
      <w:r w:rsidR="009E6C8D">
        <w:rPr>
          <w:rFonts w:ascii="Calibri" w:hAnsi="Calibri" w:cs="Calibri"/>
          <w:color w:val="000000"/>
        </w:rPr>
        <w:t xml:space="preserve"> clear picture, confirming the determinations of the gap analysis. He finished the interview with the remark, ‘it is about time we fixed this!’</w:t>
      </w:r>
    </w:p>
    <w:p w:rsidR="009E6C8D" w:rsidRDefault="009E6C8D" w:rsidP="007463E2">
      <w:pPr>
        <w:rPr>
          <w:rFonts w:ascii="Calibri" w:hAnsi="Calibri" w:cs="Calibri"/>
          <w:color w:val="000000"/>
        </w:rPr>
      </w:pPr>
      <w:r>
        <w:rPr>
          <w:rFonts w:ascii="Calibri" w:hAnsi="Calibri" w:cs="Calibri"/>
          <w:color w:val="000000"/>
        </w:rPr>
        <w:t>I had also managed to complete my evaluation of available literature on quality improvement work elsewhere in the world in this domain.</w:t>
      </w:r>
    </w:p>
    <w:p w:rsidR="00F964C1" w:rsidRDefault="009E6C8D" w:rsidP="007463E2">
      <w:pPr>
        <w:rPr>
          <w:rFonts w:ascii="Calibri" w:hAnsi="Calibri" w:cs="Calibri"/>
          <w:color w:val="000000"/>
        </w:rPr>
      </w:pPr>
      <w:r>
        <w:rPr>
          <w:rFonts w:ascii="Calibri" w:hAnsi="Calibri" w:cs="Calibri"/>
          <w:color w:val="000000"/>
        </w:rPr>
        <w:t xml:space="preserve">The options appraisal meeting </w:t>
      </w:r>
      <w:r w:rsidR="00F771FB">
        <w:rPr>
          <w:rFonts w:ascii="Calibri" w:hAnsi="Calibri" w:cs="Calibri"/>
          <w:color w:val="000000"/>
        </w:rPr>
        <w:t>had all stakeholders attending with one exception</w:t>
      </w:r>
      <w:r>
        <w:rPr>
          <w:rFonts w:ascii="Calibri" w:hAnsi="Calibri" w:cs="Calibri"/>
          <w:color w:val="000000"/>
        </w:rPr>
        <w:t xml:space="preserve"> (the </w:t>
      </w:r>
      <w:proofErr w:type="spellStart"/>
      <w:r>
        <w:rPr>
          <w:rFonts w:ascii="Calibri" w:hAnsi="Calibri" w:cs="Calibri"/>
          <w:color w:val="000000"/>
        </w:rPr>
        <w:t>Civica</w:t>
      </w:r>
      <w:proofErr w:type="spellEnd"/>
      <w:r>
        <w:rPr>
          <w:rFonts w:ascii="Calibri" w:hAnsi="Calibri" w:cs="Calibri"/>
          <w:color w:val="000000"/>
        </w:rPr>
        <w:t xml:space="preserve"> </w:t>
      </w:r>
      <w:proofErr w:type="spellStart"/>
      <w:r>
        <w:rPr>
          <w:rFonts w:ascii="Calibri" w:hAnsi="Calibri" w:cs="Calibri"/>
          <w:color w:val="000000"/>
        </w:rPr>
        <w:t>Cito</w:t>
      </w:r>
      <w:proofErr w:type="spellEnd"/>
      <w:r>
        <w:rPr>
          <w:rFonts w:ascii="Calibri" w:hAnsi="Calibri" w:cs="Calibri"/>
          <w:color w:val="000000"/>
        </w:rPr>
        <w:t xml:space="preserve"> representative, but I had managed to have a discussion with the team prior, which informed the conversation), which was a remarkable feat considering that I had requested a second slot within a fortnight of the first. This was the key conversation that would shape the eventual direction of travel, and I was eager that we work across disciplines and arrive at a solution that meets the needs of the health board. At the end of the meeting, we had arrived at </w:t>
      </w:r>
      <w:r w:rsidR="00F964C1">
        <w:rPr>
          <w:rFonts w:ascii="Calibri" w:hAnsi="Calibri" w:cs="Calibri"/>
          <w:color w:val="000000"/>
        </w:rPr>
        <w:t>the likeliest option with the best chance of success in design, resource, implementation and evaluation terms. Quite remarkably, this was not the choice I had thought was the front runner before that meeting.</w:t>
      </w:r>
    </w:p>
    <w:p w:rsidR="00F964C1" w:rsidRDefault="00F964C1" w:rsidP="007463E2">
      <w:pPr>
        <w:rPr>
          <w:rFonts w:ascii="Calibri" w:hAnsi="Calibri" w:cs="Calibri"/>
          <w:color w:val="000000"/>
        </w:rPr>
      </w:pPr>
      <w:r>
        <w:rPr>
          <w:rFonts w:ascii="Calibri" w:hAnsi="Calibri" w:cs="Calibri"/>
          <w:color w:val="000000"/>
        </w:rPr>
        <w:t>There was a subsequent meeting with end-users, and the technical team to arrive at the list of requirements as an output which has been submitted as my course work. There have been further subtle iterations of the plan and timelines since my submission, which gives me the hope that this proposal will translate into a workable and viable solution.</w:t>
      </w:r>
    </w:p>
    <w:p w:rsidR="00F964C1" w:rsidRPr="008663FA" w:rsidRDefault="002134B5" w:rsidP="007463E2">
      <w:pPr>
        <w:rPr>
          <w:rFonts w:ascii="Calibri" w:hAnsi="Calibri" w:cs="Calibri"/>
          <w:b/>
          <w:color w:val="000000"/>
        </w:rPr>
      </w:pPr>
      <w:r w:rsidRPr="008663FA">
        <w:rPr>
          <w:rFonts w:ascii="Calibri" w:hAnsi="Calibri" w:cs="Calibri"/>
          <w:b/>
          <w:color w:val="000000"/>
        </w:rPr>
        <w:t>‘</w:t>
      </w:r>
      <w:r w:rsidR="00F964C1" w:rsidRPr="008663FA">
        <w:rPr>
          <w:rFonts w:ascii="Calibri" w:hAnsi="Calibri" w:cs="Calibri"/>
          <w:b/>
          <w:color w:val="000000"/>
        </w:rPr>
        <w:t>So what?</w:t>
      </w:r>
      <w:r w:rsidRPr="008663FA">
        <w:rPr>
          <w:rFonts w:ascii="Calibri" w:hAnsi="Calibri" w:cs="Calibri"/>
          <w:b/>
          <w:color w:val="000000"/>
        </w:rPr>
        <w:t>’</w:t>
      </w:r>
    </w:p>
    <w:p w:rsidR="00F12862" w:rsidRDefault="00F964C1" w:rsidP="007463E2">
      <w:pPr>
        <w:rPr>
          <w:rFonts w:ascii="Calibri" w:hAnsi="Calibri" w:cs="Calibri"/>
          <w:color w:val="000000"/>
        </w:rPr>
      </w:pPr>
      <w:r>
        <w:rPr>
          <w:rFonts w:ascii="Calibri" w:hAnsi="Calibri" w:cs="Calibri"/>
          <w:color w:val="000000"/>
        </w:rPr>
        <w:t>Throughout the process, I w</w:t>
      </w:r>
      <w:bookmarkStart w:id="0" w:name="_GoBack"/>
      <w:bookmarkEnd w:id="0"/>
      <w:r>
        <w:rPr>
          <w:rFonts w:ascii="Calibri" w:hAnsi="Calibri" w:cs="Calibri"/>
          <w:color w:val="000000"/>
        </w:rPr>
        <w:t xml:space="preserve">as struck by the enthusiasm of senior leaders and clinicians to </w:t>
      </w:r>
      <w:r w:rsidR="00F810F9">
        <w:rPr>
          <w:rFonts w:ascii="Calibri" w:hAnsi="Calibri" w:cs="Calibri"/>
          <w:color w:val="000000"/>
        </w:rPr>
        <w:t>advance this aim</w:t>
      </w:r>
      <w:r>
        <w:rPr>
          <w:rFonts w:ascii="Calibri" w:hAnsi="Calibri" w:cs="Calibri"/>
          <w:color w:val="000000"/>
        </w:rPr>
        <w:t xml:space="preserve">, and the frustration that we do not have a digital product for this domain. In contrast with some other initiatives in </w:t>
      </w:r>
      <w:r w:rsidR="002134B5">
        <w:rPr>
          <w:rFonts w:ascii="Calibri" w:hAnsi="Calibri" w:cs="Calibri"/>
          <w:color w:val="000000"/>
        </w:rPr>
        <w:t>the</w:t>
      </w:r>
      <w:r>
        <w:rPr>
          <w:rFonts w:ascii="Calibri" w:hAnsi="Calibri" w:cs="Calibri"/>
          <w:color w:val="000000"/>
        </w:rPr>
        <w:t xml:space="preserve"> past, where engagement with key personnel had been challenging</w:t>
      </w:r>
      <w:r w:rsidR="00135DAD">
        <w:rPr>
          <w:rFonts w:ascii="Calibri" w:hAnsi="Calibri" w:cs="Calibri"/>
          <w:color w:val="000000"/>
        </w:rPr>
        <w:t xml:space="preserve">, it was refreshingly easy to access views, anecdotes and time from colleagues on this project. I reflected on the motivation of the individuals to engage, and I found that there were positive (eagerness to shape something that was integral to their daily working) and negative (deep frustration at the poor level of digital maturity within the health board) drivers, which culminated in strong engagement. These thoughts are in line with other industries where motivation of staff has been identified as the key that can unlock progress with engagement </w:t>
      </w:r>
      <w:sdt>
        <w:sdtPr>
          <w:rPr>
            <w:rFonts w:ascii="Calibri" w:hAnsi="Calibri" w:cs="Calibri"/>
            <w:color w:val="000000"/>
            <w:highlight w:val="white"/>
          </w:rPr>
          <w:alias w:val="-1542132937"/>
          <w:tag w:val="{&quot;referencesIds&quot;:[&quot;doc:629e65848f08aadbc75c37e1&quot;],&quot;referencesOptions&quot;:{&quot;doc:629e65848f08aadbc75c37e1&quot;:{&quot;author&quot;:true,&quot;year&quot;:true,&quot;pageReplace&quot;:&quot;&quot;,&quot;prefix&quot;:&quot;&quot;,&quot;suffix&quot;:&quot;&quot;}},&quot;hasBrokenReferences&quot;:false,&quot;hasManualEdits&quot;:false,&quot;citationType&quot;:&quot;inline&quot;}"/>
          <w:id w:val="-1542132937"/>
          <w:placeholder>
            <w:docPart w:val="E194A0580DB541E3B73C45FC27B83549"/>
          </w:placeholder>
          <w15:webExtensionLinked/>
        </w:sdtPr>
        <w:sdtEndPr/>
        <w:sdtContent>
          <w:r w:rsidR="009B6260" w:rsidRPr="009B6260">
            <w:rPr>
              <w:rFonts w:ascii="Calibri" w:eastAsia="Times New Roman" w:hAnsi="Calibri" w:cs="Calibri"/>
              <w:color w:val="000000"/>
              <w:highlight w:val="white"/>
            </w:rPr>
            <w:t>(Delaney &amp; Royal, 2017)</w:t>
          </w:r>
        </w:sdtContent>
      </w:sdt>
      <w:r w:rsidR="00135DAD">
        <w:rPr>
          <w:rFonts w:ascii="Calibri" w:hAnsi="Calibri" w:cs="Calibri"/>
          <w:color w:val="000000"/>
        </w:rPr>
        <w:t xml:space="preserve">. This also reinforced my view that the choice of domain for this assignment had met some of the key </w:t>
      </w:r>
      <w:r w:rsidR="00135DAD">
        <w:rPr>
          <w:rFonts w:ascii="Calibri" w:hAnsi="Calibri" w:cs="Calibri"/>
          <w:color w:val="000000"/>
        </w:rPr>
        <w:lastRenderedPageBreak/>
        <w:t>factors such as psychological empowerment</w:t>
      </w:r>
      <w:r w:rsidR="00F12862">
        <w:rPr>
          <w:rFonts w:ascii="Calibri" w:hAnsi="Calibri" w:cs="Calibri"/>
          <w:color w:val="000000"/>
        </w:rPr>
        <w:t>, task cohesion, transformational leadership and value for time</w:t>
      </w:r>
      <w:r w:rsidR="00135DAD">
        <w:rPr>
          <w:rFonts w:ascii="Calibri" w:hAnsi="Calibri" w:cs="Calibri"/>
          <w:color w:val="000000"/>
        </w:rPr>
        <w:t xml:space="preserve"> </w:t>
      </w:r>
      <w:sdt>
        <w:sdtPr>
          <w:rPr>
            <w:rFonts w:ascii="Calibri" w:hAnsi="Calibri" w:cs="Calibri"/>
            <w:color w:val="000000"/>
            <w:highlight w:val="white"/>
          </w:rPr>
          <w:alias w:val="1258091365"/>
          <w:tag w:val="{&quot;referencesIds&quot;:[&quot;doc:629e67558f08aadbc75c3a36&quot;],&quot;referencesOptions&quot;:{&quot;doc:629e67558f08aadbc75c3a36&quot;:{&quot;author&quot;:true,&quot;year&quot;:true,&quot;pageReplace&quot;:&quot;&quot;,&quot;prefix&quot;:&quot;&quot;,&quot;suffix&quot;:&quot;&quot;}},&quot;hasBrokenReferences&quot;:false,&quot;hasManualEdits&quot;:false,&quot;citationType&quot;:&quot;inline&quot;}"/>
          <w:id w:val="1258091365"/>
          <w:placeholder>
            <w:docPart w:val="157B2A981EAD45A28D702D2041826550"/>
          </w:placeholder>
          <w15:webExtensionLinked/>
        </w:sdtPr>
        <w:sdtEndPr/>
        <w:sdtContent>
          <w:r w:rsidR="009B6260" w:rsidRPr="009B6260">
            <w:rPr>
              <w:rFonts w:ascii="Calibri" w:eastAsia="Times New Roman" w:hAnsi="Calibri" w:cs="Calibri"/>
              <w:color w:val="000000"/>
              <w:highlight w:val="white"/>
            </w:rPr>
            <w:t>(Fischer et al., 2021)</w:t>
          </w:r>
        </w:sdtContent>
      </w:sdt>
      <w:r w:rsidR="00F12862">
        <w:rPr>
          <w:rFonts w:ascii="Calibri" w:hAnsi="Calibri" w:cs="Calibri"/>
          <w:color w:val="000000"/>
        </w:rPr>
        <w:t>, that have been shown to enable clinicians to engage effectively.</w:t>
      </w:r>
    </w:p>
    <w:p w:rsidR="00F12862" w:rsidRDefault="00F12862" w:rsidP="007463E2">
      <w:pPr>
        <w:rPr>
          <w:rFonts w:ascii="Calibri" w:hAnsi="Calibri" w:cs="Calibri"/>
          <w:color w:val="000000"/>
        </w:rPr>
      </w:pPr>
      <w:r>
        <w:rPr>
          <w:rFonts w:ascii="Calibri" w:hAnsi="Calibri" w:cs="Calibri"/>
          <w:color w:val="000000"/>
        </w:rPr>
        <w:t xml:space="preserve">At the first meeting, I felt that the outline discussion that set out our aim took the longest amount of time, as every member had at least one, if not many, emotive examples of the current gaps. Whilst I was keen to allow the participants to express their views freely, I regretted the fact that we had not </w:t>
      </w:r>
      <w:r w:rsidR="00F810F9">
        <w:rPr>
          <w:rFonts w:ascii="Calibri" w:hAnsi="Calibri" w:cs="Calibri"/>
          <w:color w:val="000000"/>
        </w:rPr>
        <w:t>met our objectives</w:t>
      </w:r>
      <w:r>
        <w:rPr>
          <w:rFonts w:ascii="Calibri" w:hAnsi="Calibri" w:cs="Calibri"/>
          <w:color w:val="000000"/>
        </w:rPr>
        <w:t>. I had intended to provide some glimpses of a potential solution, which I felt was required for the group to ‘return’ in strength to complete the task at hand on the second session. However, I was pleasantly surprised that we had a complete turnout to ensure all views were represented at the key session when a conclusive direction was chosen.</w:t>
      </w:r>
    </w:p>
    <w:p w:rsidR="00EE7613" w:rsidRDefault="00F12862" w:rsidP="007463E2">
      <w:pPr>
        <w:rPr>
          <w:rFonts w:ascii="Calibri" w:hAnsi="Calibri" w:cs="Calibri"/>
          <w:color w:val="000000"/>
        </w:rPr>
      </w:pPr>
      <w:r>
        <w:rPr>
          <w:rFonts w:ascii="Calibri" w:hAnsi="Calibri" w:cs="Calibri"/>
          <w:color w:val="000000"/>
        </w:rPr>
        <w:t>I ha</w:t>
      </w:r>
      <w:r w:rsidR="00905E10">
        <w:rPr>
          <w:rFonts w:ascii="Calibri" w:hAnsi="Calibri" w:cs="Calibri"/>
          <w:color w:val="000000"/>
        </w:rPr>
        <w:t>d prepared a table of pros and cons</w:t>
      </w:r>
      <w:r>
        <w:rPr>
          <w:rFonts w:ascii="Calibri" w:hAnsi="Calibri" w:cs="Calibri"/>
          <w:color w:val="000000"/>
        </w:rPr>
        <w:t xml:space="preserve"> to accompany the long list of opt</w:t>
      </w:r>
      <w:r w:rsidR="00EE7613">
        <w:rPr>
          <w:rFonts w:ascii="Calibri" w:hAnsi="Calibri" w:cs="Calibri"/>
          <w:color w:val="000000"/>
        </w:rPr>
        <w:t>ions</w:t>
      </w:r>
      <w:r w:rsidR="00905E10">
        <w:rPr>
          <w:rFonts w:ascii="Calibri" w:hAnsi="Calibri" w:cs="Calibri"/>
          <w:color w:val="000000"/>
        </w:rPr>
        <w:t xml:space="preserve"> </w:t>
      </w:r>
      <w:r w:rsidR="00EE7613">
        <w:rPr>
          <w:rFonts w:ascii="Calibri" w:hAnsi="Calibri" w:cs="Calibri"/>
          <w:color w:val="000000"/>
        </w:rPr>
        <w:t>and this was very effective in avoiding repetition of ground that had been covered. I was surprised to find that the diverse voices eventually agreed on the most pragmatic way for</w:t>
      </w:r>
      <w:r w:rsidR="00905E10">
        <w:rPr>
          <w:rFonts w:ascii="Calibri" w:hAnsi="Calibri" w:cs="Calibri"/>
          <w:color w:val="000000"/>
        </w:rPr>
        <w:t xml:space="preserve">ward, which wasn’t </w:t>
      </w:r>
      <w:r w:rsidR="00F810F9">
        <w:rPr>
          <w:rFonts w:ascii="Calibri" w:hAnsi="Calibri" w:cs="Calibri"/>
          <w:color w:val="000000"/>
        </w:rPr>
        <w:t>‘</w:t>
      </w:r>
      <w:r w:rsidR="00905E10">
        <w:rPr>
          <w:rFonts w:ascii="Calibri" w:hAnsi="Calibri" w:cs="Calibri"/>
          <w:color w:val="000000"/>
        </w:rPr>
        <w:t>my</w:t>
      </w:r>
      <w:r w:rsidR="00F810F9">
        <w:rPr>
          <w:rFonts w:ascii="Calibri" w:hAnsi="Calibri" w:cs="Calibri"/>
          <w:color w:val="000000"/>
        </w:rPr>
        <w:t>’</w:t>
      </w:r>
      <w:r w:rsidR="00905E10">
        <w:rPr>
          <w:rFonts w:ascii="Calibri" w:hAnsi="Calibri" w:cs="Calibri"/>
          <w:color w:val="000000"/>
        </w:rPr>
        <w:t xml:space="preserve"> leading choice. </w:t>
      </w:r>
      <w:r w:rsidR="00EE7613">
        <w:rPr>
          <w:rFonts w:ascii="Calibri" w:hAnsi="Calibri" w:cs="Calibri"/>
          <w:color w:val="000000"/>
        </w:rPr>
        <w:t xml:space="preserve">This has taught me to avoid my personal bias in future, and has given me the humility to remember to let the conversation take its shape without leading it, as described in other settings </w:t>
      </w:r>
      <w:sdt>
        <w:sdtPr>
          <w:rPr>
            <w:rFonts w:ascii="Calibri" w:hAnsi="Calibri" w:cs="Calibri"/>
            <w:color w:val="000000"/>
            <w:highlight w:val="white"/>
          </w:rPr>
          <w:alias w:val="-1173715211"/>
          <w:tag w:val="{&quot;referencesIds&quot;:[&quot;doc:629e78a68f0854880baba556&quot;],&quot;referencesOptions&quot;:{&quot;doc:629e78a68f0854880baba556&quot;:{&quot;author&quot;:true,&quot;year&quot;:true,&quot;pageReplace&quot;:&quot;&quot;,&quot;prefix&quot;:&quot;&quot;,&quot;suffix&quot;:&quot;&quot;}},&quot;hasBrokenReferences&quot;:false,&quot;hasManualEdits&quot;:false,&quot;citationType&quot;:&quot;inline&quot;}"/>
          <w:id w:val="-1173715211"/>
          <w:placeholder>
            <w:docPart w:val="DDDEC141A1704E8992C4CD5BCC5B4D1A"/>
          </w:placeholder>
          <w15:webExtensionLinked/>
        </w:sdtPr>
        <w:sdtEndPr/>
        <w:sdtContent>
          <w:r w:rsidR="009B6260" w:rsidRPr="009B6260">
            <w:rPr>
              <w:rFonts w:ascii="Calibri" w:eastAsia="Times New Roman" w:hAnsi="Calibri" w:cs="Calibri"/>
              <w:color w:val="000000"/>
              <w:highlight w:val="white"/>
            </w:rPr>
            <w:t>(Fernandez, 2007)</w:t>
          </w:r>
        </w:sdtContent>
      </w:sdt>
      <w:r w:rsidR="00EE7613">
        <w:rPr>
          <w:rFonts w:ascii="Calibri" w:hAnsi="Calibri" w:cs="Calibri"/>
          <w:color w:val="000000"/>
        </w:rPr>
        <w:t>.</w:t>
      </w:r>
    </w:p>
    <w:p w:rsidR="00EE7613" w:rsidRDefault="00EE7613" w:rsidP="007463E2">
      <w:pPr>
        <w:rPr>
          <w:rFonts w:ascii="Calibri" w:hAnsi="Calibri" w:cs="Calibri"/>
          <w:color w:val="000000"/>
        </w:rPr>
      </w:pPr>
      <w:r>
        <w:rPr>
          <w:rFonts w:ascii="Calibri" w:hAnsi="Calibri" w:cs="Calibri"/>
          <w:color w:val="000000"/>
        </w:rPr>
        <w:t>I was acutely aware of the phenomenon of groupthink, described by Janis in 1972</w:t>
      </w:r>
      <w:r w:rsidR="00905E10">
        <w:rPr>
          <w:rFonts w:ascii="Calibri" w:hAnsi="Calibri" w:cs="Calibri"/>
          <w:color w:val="000000"/>
        </w:rPr>
        <w:t xml:space="preserve"> and subsequently in 1983</w:t>
      </w:r>
      <w:r>
        <w:rPr>
          <w:rFonts w:ascii="Calibri" w:hAnsi="Calibri" w:cs="Calibri"/>
          <w:color w:val="000000"/>
        </w:rPr>
        <w:t xml:space="preserve"> </w:t>
      </w:r>
      <w:sdt>
        <w:sdtPr>
          <w:rPr>
            <w:rFonts w:ascii="Calibri" w:hAnsi="Calibri" w:cs="Calibri"/>
            <w:color w:val="000000"/>
            <w:highlight w:val="white"/>
          </w:rPr>
          <w:alias w:val="-10690196"/>
          <w:tag w:val="{&quot;referencesIds&quot;:[&quot;doc:629e71088f08e34e2c6af595&quot;],&quot;referencesOptions&quot;:{&quot;doc:629e71088f08e34e2c6af595&quot;:{&quot;author&quot;:true,&quot;year&quot;:true,&quot;pageReplace&quot;:&quot;&quot;,&quot;prefix&quot;:&quot;&quot;,&quot;suffix&quot;:&quot;&quot;}},&quot;hasBrokenReferences&quot;:false,&quot;hasManualEdits&quot;:false,&quot;citationType&quot;:&quot;inline&quot;}"/>
          <w:id w:val="-10690196"/>
          <w:placeholder>
            <w:docPart w:val="CCB88282A07D46309E517A1C866090D0"/>
          </w:placeholder>
          <w15:webExtensionLinked/>
        </w:sdtPr>
        <w:sdtEndPr/>
        <w:sdtContent>
          <w:r w:rsidR="009B6260" w:rsidRPr="009B6260">
            <w:rPr>
              <w:rFonts w:ascii="Calibri" w:eastAsia="Times New Roman" w:hAnsi="Calibri" w:cs="Calibri"/>
              <w:color w:val="000000"/>
              <w:highlight w:val="white"/>
            </w:rPr>
            <w:t>(Janis, 1983)</w:t>
          </w:r>
        </w:sdtContent>
      </w:sdt>
      <w:r w:rsidR="00C84837">
        <w:rPr>
          <w:rFonts w:ascii="Calibri" w:hAnsi="Calibri" w:cs="Calibri"/>
          <w:color w:val="000000"/>
        </w:rPr>
        <w:t xml:space="preserve">, where there isn’t sufficient lateral thought. I had some </w:t>
      </w:r>
      <w:r w:rsidR="00585FC1">
        <w:rPr>
          <w:rFonts w:ascii="Calibri" w:hAnsi="Calibri" w:cs="Calibri"/>
          <w:color w:val="000000"/>
        </w:rPr>
        <w:t>prior conversations with j</w:t>
      </w:r>
      <w:r w:rsidR="00C84837">
        <w:rPr>
          <w:rFonts w:ascii="Calibri" w:hAnsi="Calibri" w:cs="Calibri"/>
          <w:color w:val="000000"/>
        </w:rPr>
        <w:t>unior medical staff who were present as end user repres</w:t>
      </w:r>
      <w:r w:rsidR="00585FC1">
        <w:rPr>
          <w:rFonts w:ascii="Calibri" w:hAnsi="Calibri" w:cs="Calibri"/>
          <w:color w:val="000000"/>
        </w:rPr>
        <w:t>entatives</w:t>
      </w:r>
      <w:r w:rsidR="00C84837">
        <w:rPr>
          <w:rFonts w:ascii="Calibri" w:hAnsi="Calibri" w:cs="Calibri"/>
          <w:color w:val="000000"/>
        </w:rPr>
        <w:t xml:space="preserve"> to ensure they felt empowered to express themselves. I was pleasantly surprised that they needed little encouragement to make themselves heard, and indeed took the lead in nudging the group towards expanding the functionality of an existing solu</w:t>
      </w:r>
      <w:r w:rsidR="00585FC1">
        <w:rPr>
          <w:rFonts w:ascii="Calibri" w:hAnsi="Calibri" w:cs="Calibri"/>
          <w:color w:val="000000"/>
        </w:rPr>
        <w:t>tion which was eventually agreed</w:t>
      </w:r>
      <w:r w:rsidR="00C84837">
        <w:rPr>
          <w:rFonts w:ascii="Calibri" w:hAnsi="Calibri" w:cs="Calibri"/>
          <w:color w:val="000000"/>
        </w:rPr>
        <w:t xml:space="preserve">. They proved to be the ‘devil’s advocate’ which has been shown to be successful </w:t>
      </w:r>
      <w:sdt>
        <w:sdtPr>
          <w:rPr>
            <w:rFonts w:ascii="Calibri" w:hAnsi="Calibri" w:cs="Calibri"/>
            <w:color w:val="000000"/>
            <w:highlight w:val="white"/>
          </w:rPr>
          <w:alias w:val="1055889481"/>
          <w:tag w:val="{&quot;referencesIds&quot;:[&quot;doc:629e7c2a8f089039a66061dc&quot;],&quot;referencesOptions&quot;:{&quot;doc:629e7c2a8f089039a66061dc&quot;:{&quot;author&quot;:true,&quot;year&quot;:true,&quot;pageReplace&quot;:&quot;&quot;,&quot;prefix&quot;:&quot;&quot;,&quot;suffix&quot;:&quot;&quot;}},&quot;hasBrokenReferences&quot;:false,&quot;hasManualEdits&quot;:false,&quot;citationType&quot;:&quot;inline&quot;}"/>
          <w:id w:val="1055889481"/>
          <w:placeholder>
            <w:docPart w:val="A0AAA7586A3B4E2D83148C4E72B2B840"/>
          </w:placeholder>
          <w15:webExtensionLinked/>
        </w:sdtPr>
        <w:sdtEndPr/>
        <w:sdtContent>
          <w:r w:rsidR="009B6260" w:rsidRPr="009B6260">
            <w:rPr>
              <w:rFonts w:ascii="Calibri" w:eastAsia="Times New Roman" w:hAnsi="Calibri" w:cs="Calibri"/>
              <w:color w:val="000000"/>
              <w:highlight w:val="white"/>
            </w:rPr>
            <w:t>(MacDougall &amp; Baum, 1997)</w:t>
          </w:r>
        </w:sdtContent>
      </w:sdt>
      <w:r w:rsidR="00C84837">
        <w:rPr>
          <w:rFonts w:ascii="Calibri" w:hAnsi="Calibri" w:cs="Calibri"/>
          <w:color w:val="000000"/>
        </w:rPr>
        <w:t>.</w:t>
      </w:r>
    </w:p>
    <w:p w:rsidR="002D1376" w:rsidRDefault="002D1376" w:rsidP="007463E2">
      <w:pPr>
        <w:rPr>
          <w:rFonts w:ascii="Calibri" w:hAnsi="Calibri" w:cs="Calibri"/>
          <w:color w:val="000000"/>
        </w:rPr>
      </w:pPr>
      <w:r>
        <w:rPr>
          <w:rFonts w:ascii="Calibri" w:hAnsi="Calibri" w:cs="Calibri"/>
          <w:color w:val="000000"/>
        </w:rPr>
        <w:t>I had encouraged the technical design team staff to contribute to the conversation with their expertise, but they were largely silent and resorted to taking notes. Later, they reflected that the requirements were simple and did not require to intervene. However, my efforts to create an interdisciplinary conversation had not materialised. I was satisfied that the output of our group was ‘multidisciplinary’</w:t>
      </w:r>
      <w:r w:rsidR="00C47748">
        <w:rPr>
          <w:rFonts w:ascii="Calibri" w:hAnsi="Calibri" w:cs="Calibri"/>
          <w:color w:val="000000"/>
        </w:rPr>
        <w:t xml:space="preserve"> as defined by some authors </w:t>
      </w:r>
      <w:sdt>
        <w:sdtPr>
          <w:rPr>
            <w:rFonts w:ascii="Calibri" w:hAnsi="Calibri" w:cs="Calibri"/>
            <w:color w:val="000000"/>
            <w:highlight w:val="white"/>
          </w:rPr>
          <w:alias w:val="-1628536028"/>
          <w:tag w:val="{&quot;referencesIds&quot;:[&quot;doc:629d13fb8f0878d12e4bf0ea&quot;],&quot;referencesOptions&quot;:{&quot;doc:629d13fb8f0878d12e4bf0ea&quot;:{&quot;author&quot;:true,&quot;year&quot;:true,&quot;pageReplace&quot;:&quot;&quot;,&quot;prefix&quot;:&quot;&quot;,&quot;suffix&quot;:&quot;&quot;}},&quot;hasBrokenReferences&quot;:false,&quot;hasManualEdits&quot;:false,&quot;citationType&quot;:&quot;inline&quot;}"/>
          <w:id w:val="-1628536028"/>
          <w:placeholder>
            <w:docPart w:val="B64B64B0D20D4FFF910AA36D6C1DF17D"/>
          </w:placeholder>
          <w15:webExtensionLinked/>
        </w:sdtPr>
        <w:sdtEndPr/>
        <w:sdtContent>
          <w:r w:rsidR="009B6260" w:rsidRPr="009B6260">
            <w:rPr>
              <w:rFonts w:ascii="Calibri" w:eastAsia="Times New Roman" w:hAnsi="Calibri" w:cs="Calibri"/>
              <w:color w:val="000000"/>
              <w:highlight w:val="white"/>
            </w:rPr>
            <w:t>(</w:t>
          </w:r>
          <w:proofErr w:type="spellStart"/>
          <w:r w:rsidR="009B6260" w:rsidRPr="009B6260">
            <w:rPr>
              <w:rFonts w:ascii="Calibri" w:eastAsia="Times New Roman" w:hAnsi="Calibri" w:cs="Calibri"/>
              <w:color w:val="000000"/>
              <w:highlight w:val="white"/>
            </w:rPr>
            <w:t>MacCaull</w:t>
          </w:r>
          <w:proofErr w:type="spellEnd"/>
          <w:r w:rsidR="009B6260" w:rsidRPr="009B6260">
            <w:rPr>
              <w:rFonts w:ascii="Calibri" w:eastAsia="Times New Roman" w:hAnsi="Calibri" w:cs="Calibri"/>
              <w:color w:val="000000"/>
              <w:highlight w:val="white"/>
            </w:rPr>
            <w:t xml:space="preserve"> et al., 2010)</w:t>
          </w:r>
        </w:sdtContent>
      </w:sdt>
    </w:p>
    <w:p w:rsidR="00C84837" w:rsidRPr="00585FC1" w:rsidRDefault="00C84837" w:rsidP="007463E2">
      <w:pPr>
        <w:rPr>
          <w:rFonts w:ascii="Calibri" w:hAnsi="Calibri" w:cs="Calibri"/>
          <w:b/>
          <w:color w:val="000000"/>
        </w:rPr>
      </w:pPr>
      <w:r w:rsidRPr="00585FC1">
        <w:rPr>
          <w:rFonts w:ascii="Calibri" w:hAnsi="Calibri" w:cs="Calibri"/>
          <w:b/>
          <w:color w:val="000000"/>
        </w:rPr>
        <w:t>What now?</w:t>
      </w:r>
    </w:p>
    <w:p w:rsidR="00585FC1" w:rsidRDefault="00C84837" w:rsidP="007463E2">
      <w:pPr>
        <w:rPr>
          <w:rFonts w:ascii="Calibri" w:hAnsi="Calibri" w:cs="Calibri"/>
          <w:color w:val="000000"/>
        </w:rPr>
      </w:pPr>
      <w:r>
        <w:rPr>
          <w:rFonts w:ascii="Calibri" w:hAnsi="Calibri" w:cs="Calibri"/>
          <w:color w:val="000000"/>
        </w:rPr>
        <w:t>I would regard engagement with all possible stakeholders as an essential ingredient for success in future endeavours, and I would remind myself to pre</w:t>
      </w:r>
      <w:r w:rsidR="002D1376">
        <w:rPr>
          <w:rFonts w:ascii="Calibri" w:hAnsi="Calibri" w:cs="Calibri"/>
          <w:color w:val="000000"/>
        </w:rPr>
        <w:t>p</w:t>
      </w:r>
      <w:r>
        <w:rPr>
          <w:rFonts w:ascii="Calibri" w:hAnsi="Calibri" w:cs="Calibri"/>
          <w:color w:val="000000"/>
        </w:rPr>
        <w:t>are more thoroughly</w:t>
      </w:r>
      <w:r w:rsidR="002D1376">
        <w:rPr>
          <w:rFonts w:ascii="Calibri" w:hAnsi="Calibri" w:cs="Calibri"/>
          <w:color w:val="000000"/>
        </w:rPr>
        <w:t xml:space="preserve"> prior to a group session to focus and redirect conversations. </w:t>
      </w:r>
      <w:r w:rsidR="00585FC1">
        <w:rPr>
          <w:rFonts w:ascii="Calibri" w:hAnsi="Calibri" w:cs="Calibri"/>
          <w:color w:val="000000"/>
        </w:rPr>
        <w:t xml:space="preserve">I would prepare a document with background, historic perspective, broad aims and scope to facilitate understanding. </w:t>
      </w:r>
      <w:r w:rsidR="002D1376">
        <w:rPr>
          <w:rFonts w:ascii="Calibri" w:hAnsi="Calibri" w:cs="Calibri"/>
          <w:color w:val="000000"/>
        </w:rPr>
        <w:t xml:space="preserve">I would set aside separate time for key thought leaders as a group meeting is unlikely to be suitable ‘for making the case’. I would utilise ‘devil’s advocates’ as lateral thinkers in a group to avoid personal biases to materialise. I would utilise written plans/options and preparatory notes that helps avoid repetition and utilise time more effectively. </w:t>
      </w:r>
    </w:p>
    <w:p w:rsidR="00C84837" w:rsidRDefault="002D1376" w:rsidP="007463E2">
      <w:pPr>
        <w:rPr>
          <w:rFonts w:ascii="Calibri" w:hAnsi="Calibri" w:cs="Calibri"/>
          <w:color w:val="000000"/>
        </w:rPr>
      </w:pPr>
      <w:r>
        <w:rPr>
          <w:rFonts w:ascii="Calibri" w:hAnsi="Calibri" w:cs="Calibri"/>
          <w:color w:val="000000"/>
        </w:rPr>
        <w:t>I need to further hone my skills to ensure solutions are truly interdisciplinary and not merely a list of instructions passed from one section to another to enact</w:t>
      </w:r>
      <w:r w:rsidR="00C47748">
        <w:rPr>
          <w:rFonts w:ascii="Calibri" w:hAnsi="Calibri" w:cs="Calibri"/>
          <w:color w:val="000000"/>
        </w:rPr>
        <w:t>.</w:t>
      </w:r>
      <w:r w:rsidR="00585FC1">
        <w:rPr>
          <w:rFonts w:ascii="Calibri" w:hAnsi="Calibri" w:cs="Calibri"/>
          <w:color w:val="000000"/>
        </w:rPr>
        <w:t xml:space="preserve"> I need further development to execute a truly interdisciplinary output.</w:t>
      </w:r>
    </w:p>
    <w:p w:rsidR="00C84837" w:rsidRPr="00585FC1" w:rsidRDefault="00C84837" w:rsidP="007463E2">
      <w:pPr>
        <w:rPr>
          <w:rFonts w:ascii="Calibri" w:hAnsi="Calibri" w:cs="Calibri"/>
          <w:b/>
          <w:color w:val="000000"/>
        </w:rPr>
      </w:pPr>
      <w:r w:rsidRPr="00585FC1">
        <w:rPr>
          <w:rFonts w:ascii="Calibri" w:hAnsi="Calibri" w:cs="Calibri"/>
          <w:b/>
          <w:color w:val="000000"/>
        </w:rPr>
        <w:t>Conclusion</w:t>
      </w:r>
    </w:p>
    <w:p w:rsidR="00C84837" w:rsidRDefault="00C84837" w:rsidP="007463E2">
      <w:pPr>
        <w:rPr>
          <w:rFonts w:ascii="Calibri" w:hAnsi="Calibri" w:cs="Calibri"/>
          <w:color w:val="000000"/>
        </w:rPr>
      </w:pPr>
      <w:r>
        <w:rPr>
          <w:rFonts w:ascii="Calibri" w:hAnsi="Calibri" w:cs="Calibri"/>
          <w:color w:val="000000"/>
        </w:rPr>
        <w:t>My reflection of this coursework has left me highly motivated to translate the option chosen</w:t>
      </w:r>
      <w:r w:rsidR="00C47748">
        <w:rPr>
          <w:rFonts w:ascii="Calibri" w:hAnsi="Calibri" w:cs="Calibri"/>
          <w:color w:val="000000"/>
        </w:rPr>
        <w:t xml:space="preserve"> into a reality. I have learnt about techniques that prove effective in liaising with and energising </w:t>
      </w:r>
      <w:r w:rsidR="00C47748">
        <w:rPr>
          <w:rFonts w:ascii="Calibri" w:hAnsi="Calibri" w:cs="Calibri"/>
          <w:color w:val="000000"/>
        </w:rPr>
        <w:lastRenderedPageBreak/>
        <w:t>stakeholders, and most significantly, to seek progre</w:t>
      </w:r>
      <w:r w:rsidR="00585FC1">
        <w:rPr>
          <w:rFonts w:ascii="Calibri" w:hAnsi="Calibri" w:cs="Calibri"/>
          <w:color w:val="000000"/>
        </w:rPr>
        <w:t>ss in the areas which matter most to end users. I have identified my own strengths and weaknesses which requires further personal development.</w:t>
      </w:r>
    </w:p>
    <w:p w:rsidR="007463E2" w:rsidRPr="00F12862" w:rsidRDefault="007463E2" w:rsidP="007463E2">
      <w:pPr>
        <w:rPr>
          <w:rFonts w:ascii="Calibri" w:hAnsi="Calibri" w:cs="Calibri"/>
          <w:color w:val="000000"/>
        </w:rPr>
      </w:pPr>
    </w:p>
    <w:sdt>
      <w:sdtPr>
        <w:rPr>
          <w:rFonts w:asciiTheme="minorHAnsi" w:eastAsiaTheme="minorHAnsi" w:hAnsiTheme="minorHAnsi" w:cstheme="minorBidi"/>
          <w:sz w:val="22"/>
          <w:szCs w:val="22"/>
          <w:lang w:eastAsia="en-US"/>
        </w:rPr>
        <w:tag w:val="rw.biblio"/>
        <w:id w:val="1642007435"/>
        <w:placeholder>
          <w:docPart w:val="5DAC921B01AA4912A693178657EDFE80"/>
        </w:placeholder>
      </w:sdtPr>
      <w:sdtEndPr/>
      <w:sdtContent>
        <w:p w:rsidR="009B6260" w:rsidRDefault="009B6260">
          <w:pPr>
            <w:pStyle w:val="NormalWeb"/>
            <w:spacing w:line="480" w:lineRule="auto"/>
            <w:jc w:val="center"/>
            <w:divId w:val="416365493"/>
            <w:rPr>
              <w:rFonts w:ascii="Calibri" w:hAnsi="Calibri" w:cs="Calibri"/>
              <w:color w:val="000000"/>
              <w:sz w:val="22"/>
              <w:szCs w:val="22"/>
            </w:rPr>
          </w:pPr>
          <w:r>
            <w:rPr>
              <w:rFonts w:ascii="Calibri" w:hAnsi="Calibri" w:cs="Calibri"/>
              <w:color w:val="000000"/>
              <w:sz w:val="22"/>
              <w:szCs w:val="22"/>
            </w:rPr>
            <w:t>References</w:t>
          </w:r>
        </w:p>
        <w:p w:rsidR="009B6260" w:rsidRDefault="009B6260">
          <w:pPr>
            <w:pStyle w:val="NormalWeb"/>
            <w:spacing w:line="480" w:lineRule="auto"/>
            <w:ind w:left="450" w:hanging="450"/>
            <w:divId w:val="416365493"/>
            <w:rPr>
              <w:rFonts w:ascii="Calibri" w:hAnsi="Calibri" w:cs="Calibri"/>
              <w:color w:val="000000"/>
              <w:sz w:val="22"/>
              <w:szCs w:val="22"/>
            </w:rPr>
          </w:pPr>
          <w:r>
            <w:rPr>
              <w:rFonts w:ascii="Calibri" w:hAnsi="Calibri" w:cs="Calibri"/>
              <w:color w:val="000000"/>
              <w:sz w:val="22"/>
              <w:szCs w:val="22"/>
            </w:rPr>
            <w:t xml:space="preserve">Chakrabarti, S. (2013). </w:t>
          </w:r>
          <w:r>
            <w:rPr>
              <w:rFonts w:ascii="Calibri" w:hAnsi="Calibri" w:cs="Calibri"/>
              <w:i/>
              <w:iCs/>
              <w:color w:val="000000"/>
              <w:sz w:val="22"/>
              <w:szCs w:val="22"/>
            </w:rPr>
            <w:t>Internal audit on handover practices.</w:t>
          </w:r>
          <w:r>
            <w:rPr>
              <w:rFonts w:ascii="Calibri" w:hAnsi="Calibri" w:cs="Calibri"/>
              <w:color w:val="000000"/>
              <w:sz w:val="22"/>
              <w:szCs w:val="22"/>
            </w:rPr>
            <w:t xml:space="preserve"> (</w:t>
          </w:r>
          <w:r w:rsidR="00F810F9">
            <w:rPr>
              <w:rFonts w:ascii="Calibri" w:hAnsi="Calibri" w:cs="Calibri"/>
              <w:color w:val="000000"/>
              <w:sz w:val="22"/>
              <w:szCs w:val="22"/>
            </w:rPr>
            <w:t>CEG</w:t>
          </w:r>
          <w:r>
            <w:rPr>
              <w:rFonts w:ascii="Calibri" w:hAnsi="Calibri" w:cs="Calibri"/>
              <w:color w:val="000000"/>
              <w:sz w:val="22"/>
              <w:szCs w:val="22"/>
            </w:rPr>
            <w:t>).</w:t>
          </w:r>
        </w:p>
        <w:p w:rsidR="009B6260" w:rsidRDefault="009B6260">
          <w:pPr>
            <w:pStyle w:val="NormalWeb"/>
            <w:spacing w:line="480" w:lineRule="auto"/>
            <w:ind w:left="450" w:hanging="450"/>
            <w:divId w:val="416365493"/>
            <w:rPr>
              <w:rFonts w:ascii="Calibri" w:hAnsi="Calibri" w:cs="Calibri"/>
              <w:color w:val="000000"/>
              <w:sz w:val="22"/>
              <w:szCs w:val="22"/>
            </w:rPr>
          </w:pPr>
          <w:r>
            <w:rPr>
              <w:rFonts w:ascii="Calibri" w:hAnsi="Calibri" w:cs="Calibri"/>
              <w:color w:val="000000"/>
              <w:sz w:val="22"/>
              <w:szCs w:val="22"/>
            </w:rPr>
            <w:t>Delaney, M. L., &amp; Royal, M. A. (2017). Breaking engagement apart: The role of intrinsic and extrinsic motivation in engagement strategies.</w:t>
          </w:r>
          <w:r>
            <w:rPr>
              <w:rFonts w:ascii="Calibri" w:hAnsi="Calibri" w:cs="Calibri"/>
              <w:i/>
              <w:iCs/>
              <w:color w:val="000000"/>
              <w:sz w:val="22"/>
              <w:szCs w:val="22"/>
            </w:rPr>
            <w:t xml:space="preserve"> Industrial and Organizational Psychology, 10</w:t>
          </w:r>
          <w:r>
            <w:rPr>
              <w:rFonts w:ascii="Calibri" w:hAnsi="Calibri" w:cs="Calibri"/>
              <w:color w:val="000000"/>
              <w:sz w:val="22"/>
              <w:szCs w:val="22"/>
            </w:rPr>
            <w:t xml:space="preserve">(1), 127-140. </w:t>
          </w:r>
        </w:p>
        <w:p w:rsidR="009B6260" w:rsidRDefault="009B6260">
          <w:pPr>
            <w:pStyle w:val="NormalWeb"/>
            <w:spacing w:line="480" w:lineRule="auto"/>
            <w:ind w:left="450" w:hanging="450"/>
            <w:divId w:val="416365493"/>
            <w:rPr>
              <w:rFonts w:ascii="Calibri" w:hAnsi="Calibri" w:cs="Calibri"/>
              <w:color w:val="000000"/>
              <w:sz w:val="22"/>
              <w:szCs w:val="22"/>
            </w:rPr>
          </w:pPr>
          <w:r>
            <w:rPr>
              <w:rFonts w:ascii="Calibri" w:hAnsi="Calibri" w:cs="Calibri"/>
              <w:color w:val="000000"/>
              <w:sz w:val="22"/>
              <w:szCs w:val="22"/>
            </w:rPr>
            <w:t>Driscoll, J. (2007). Supported reflective learning: the essence of clinical supervision.</w:t>
          </w:r>
          <w:r>
            <w:rPr>
              <w:rFonts w:ascii="Calibri" w:hAnsi="Calibri" w:cs="Calibri"/>
              <w:i/>
              <w:iCs/>
              <w:color w:val="000000"/>
              <w:sz w:val="22"/>
              <w:szCs w:val="22"/>
            </w:rPr>
            <w:t xml:space="preserve"> Practising Clinical Supervision: A Reflective Approach for Healthcare Professionals</w:t>
          </w:r>
          <w:proofErr w:type="gramStart"/>
          <w:r>
            <w:rPr>
              <w:rFonts w:ascii="Calibri" w:hAnsi="Calibri" w:cs="Calibri"/>
              <w:i/>
              <w:iCs/>
              <w:color w:val="000000"/>
              <w:sz w:val="22"/>
              <w:szCs w:val="22"/>
            </w:rPr>
            <w:t xml:space="preserve">, </w:t>
          </w:r>
          <w:r>
            <w:rPr>
              <w:rFonts w:ascii="Calibri" w:hAnsi="Calibri" w:cs="Calibri"/>
              <w:color w:val="000000"/>
              <w:sz w:val="22"/>
              <w:szCs w:val="22"/>
            </w:rPr>
            <w:t>,</w:t>
          </w:r>
          <w:proofErr w:type="gramEnd"/>
          <w:r>
            <w:rPr>
              <w:rFonts w:ascii="Calibri" w:hAnsi="Calibri" w:cs="Calibri"/>
              <w:color w:val="000000"/>
              <w:sz w:val="22"/>
              <w:szCs w:val="22"/>
            </w:rPr>
            <w:t xml:space="preserve"> 27-52. </w:t>
          </w:r>
        </w:p>
        <w:p w:rsidR="009B6260" w:rsidRDefault="009B6260">
          <w:pPr>
            <w:pStyle w:val="NormalWeb"/>
            <w:spacing w:line="480" w:lineRule="auto"/>
            <w:ind w:left="450" w:hanging="450"/>
            <w:divId w:val="416365493"/>
            <w:rPr>
              <w:rFonts w:ascii="Calibri" w:hAnsi="Calibri" w:cs="Calibri"/>
              <w:color w:val="000000"/>
              <w:sz w:val="22"/>
              <w:szCs w:val="22"/>
            </w:rPr>
          </w:pPr>
          <w:r>
            <w:rPr>
              <w:rFonts w:ascii="Calibri" w:hAnsi="Calibri" w:cs="Calibri"/>
              <w:color w:val="000000"/>
              <w:sz w:val="22"/>
              <w:szCs w:val="22"/>
            </w:rPr>
            <w:t>Fernandez, C. P. (2007). Creating thought diversity: the antidote to group think.</w:t>
          </w:r>
          <w:r>
            <w:rPr>
              <w:rFonts w:ascii="Calibri" w:hAnsi="Calibri" w:cs="Calibri"/>
              <w:i/>
              <w:iCs/>
              <w:color w:val="000000"/>
              <w:sz w:val="22"/>
              <w:szCs w:val="22"/>
            </w:rPr>
            <w:t xml:space="preserve"> Journal of Public Health Management and Practice, 13</w:t>
          </w:r>
          <w:r>
            <w:rPr>
              <w:rFonts w:ascii="Calibri" w:hAnsi="Calibri" w:cs="Calibri"/>
              <w:color w:val="000000"/>
              <w:sz w:val="22"/>
              <w:szCs w:val="22"/>
            </w:rPr>
            <w:t xml:space="preserve">(6), 670-671. </w:t>
          </w:r>
        </w:p>
        <w:p w:rsidR="009B6260" w:rsidRDefault="009B6260">
          <w:pPr>
            <w:pStyle w:val="NormalWeb"/>
            <w:spacing w:line="480" w:lineRule="auto"/>
            <w:ind w:left="450" w:hanging="450"/>
            <w:divId w:val="416365493"/>
            <w:rPr>
              <w:rFonts w:ascii="Calibri" w:hAnsi="Calibri" w:cs="Calibri"/>
              <w:color w:val="000000"/>
              <w:sz w:val="22"/>
              <w:szCs w:val="22"/>
            </w:rPr>
          </w:pPr>
          <w:r>
            <w:rPr>
              <w:rFonts w:ascii="Calibri" w:hAnsi="Calibri" w:cs="Calibri"/>
              <w:color w:val="000000"/>
              <w:sz w:val="22"/>
              <w:szCs w:val="22"/>
            </w:rPr>
            <w:t>Fischer, S., Patterson, K., &amp; Marr, C. (2021). Enabling clinician engagement in safety and quality improvement.</w:t>
          </w:r>
          <w:r>
            <w:rPr>
              <w:rFonts w:ascii="Calibri" w:hAnsi="Calibri" w:cs="Calibri"/>
              <w:i/>
              <w:iCs/>
              <w:color w:val="000000"/>
              <w:sz w:val="22"/>
              <w:szCs w:val="22"/>
            </w:rPr>
            <w:t xml:space="preserve"> Australian Health Review, 45</w:t>
          </w:r>
          <w:r>
            <w:rPr>
              <w:rFonts w:ascii="Calibri" w:hAnsi="Calibri" w:cs="Calibri"/>
              <w:color w:val="000000"/>
              <w:sz w:val="22"/>
              <w:szCs w:val="22"/>
            </w:rPr>
            <w:t xml:space="preserve">(4), 455-462. </w:t>
          </w:r>
        </w:p>
        <w:p w:rsidR="009B6260" w:rsidRDefault="009B6260">
          <w:pPr>
            <w:pStyle w:val="NormalWeb"/>
            <w:spacing w:line="480" w:lineRule="auto"/>
            <w:ind w:left="450" w:hanging="450"/>
            <w:divId w:val="416365493"/>
            <w:rPr>
              <w:rFonts w:ascii="Calibri" w:hAnsi="Calibri" w:cs="Calibri"/>
              <w:color w:val="000000"/>
              <w:sz w:val="22"/>
              <w:szCs w:val="22"/>
            </w:rPr>
          </w:pPr>
          <w:r>
            <w:rPr>
              <w:rFonts w:ascii="Calibri" w:hAnsi="Calibri" w:cs="Calibri"/>
              <w:color w:val="000000"/>
              <w:sz w:val="22"/>
              <w:szCs w:val="22"/>
            </w:rPr>
            <w:t xml:space="preserve">Janis, I. L. (1983). </w:t>
          </w:r>
          <w:r>
            <w:rPr>
              <w:rFonts w:ascii="Calibri" w:hAnsi="Calibri" w:cs="Calibri"/>
              <w:i/>
              <w:iCs/>
              <w:color w:val="000000"/>
              <w:sz w:val="22"/>
              <w:szCs w:val="22"/>
            </w:rPr>
            <w:t>Groupthink</w:t>
          </w:r>
          <w:r>
            <w:rPr>
              <w:rFonts w:ascii="Calibri" w:hAnsi="Calibri" w:cs="Calibri"/>
              <w:color w:val="000000"/>
              <w:sz w:val="22"/>
              <w:szCs w:val="22"/>
            </w:rPr>
            <w:t xml:space="preserve">. Houghton Mifflin Boston. </w:t>
          </w:r>
        </w:p>
        <w:p w:rsidR="009B6260" w:rsidRDefault="009B6260">
          <w:pPr>
            <w:pStyle w:val="NormalWeb"/>
            <w:spacing w:line="480" w:lineRule="auto"/>
            <w:ind w:left="450" w:hanging="450"/>
            <w:divId w:val="416365493"/>
            <w:rPr>
              <w:rFonts w:ascii="Calibri" w:hAnsi="Calibri" w:cs="Calibri"/>
              <w:color w:val="000000"/>
              <w:sz w:val="22"/>
              <w:szCs w:val="22"/>
            </w:rPr>
          </w:pPr>
          <w:proofErr w:type="spellStart"/>
          <w:r>
            <w:rPr>
              <w:rFonts w:ascii="Calibri" w:hAnsi="Calibri" w:cs="Calibri"/>
              <w:color w:val="000000"/>
              <w:sz w:val="22"/>
              <w:szCs w:val="22"/>
            </w:rPr>
            <w:t>MacCaull</w:t>
          </w:r>
          <w:proofErr w:type="spellEnd"/>
          <w:r>
            <w:rPr>
              <w:rFonts w:ascii="Calibri" w:hAnsi="Calibri" w:cs="Calibri"/>
              <w:color w:val="000000"/>
              <w:sz w:val="22"/>
              <w:szCs w:val="22"/>
            </w:rPr>
            <w:t xml:space="preserve">, W., </w:t>
          </w:r>
          <w:proofErr w:type="spellStart"/>
          <w:r>
            <w:rPr>
              <w:rFonts w:ascii="Calibri" w:hAnsi="Calibri" w:cs="Calibri"/>
              <w:color w:val="000000"/>
              <w:sz w:val="22"/>
              <w:szCs w:val="22"/>
            </w:rPr>
            <w:t>Jewers</w:t>
          </w:r>
          <w:proofErr w:type="spellEnd"/>
          <w:r>
            <w:rPr>
              <w:rFonts w:ascii="Calibri" w:hAnsi="Calibri" w:cs="Calibri"/>
              <w:color w:val="000000"/>
              <w:sz w:val="22"/>
              <w:szCs w:val="22"/>
            </w:rPr>
            <w:t xml:space="preserve">, H., &amp; </w:t>
          </w:r>
          <w:proofErr w:type="spellStart"/>
          <w:r>
            <w:rPr>
              <w:rFonts w:ascii="Calibri" w:hAnsi="Calibri" w:cs="Calibri"/>
              <w:color w:val="000000"/>
              <w:sz w:val="22"/>
              <w:szCs w:val="22"/>
            </w:rPr>
            <w:t>Latzel</w:t>
          </w:r>
          <w:proofErr w:type="spellEnd"/>
          <w:r>
            <w:rPr>
              <w:rFonts w:ascii="Calibri" w:hAnsi="Calibri" w:cs="Calibri"/>
              <w:color w:val="000000"/>
              <w:sz w:val="22"/>
              <w:szCs w:val="22"/>
            </w:rPr>
            <w:t xml:space="preserve">, M. (2010). Using an interdisciplinary approach to develop a knowledge-driven </w:t>
          </w:r>
          <w:proofErr w:type="spellStart"/>
          <w:r>
            <w:rPr>
              <w:rFonts w:ascii="Calibri" w:hAnsi="Calibri" w:cs="Calibri"/>
              <w:color w:val="000000"/>
              <w:sz w:val="22"/>
              <w:szCs w:val="22"/>
            </w:rPr>
            <w:t>careflow</w:t>
          </w:r>
          <w:proofErr w:type="spellEnd"/>
          <w:r>
            <w:rPr>
              <w:rFonts w:ascii="Calibri" w:hAnsi="Calibri" w:cs="Calibri"/>
              <w:color w:val="000000"/>
              <w:sz w:val="22"/>
              <w:szCs w:val="22"/>
            </w:rPr>
            <w:t xml:space="preserve"> management system for collaborative patient-centred palliative care. Paper presented at the </w:t>
          </w:r>
          <w:r>
            <w:rPr>
              <w:rFonts w:ascii="Calibri" w:hAnsi="Calibri" w:cs="Calibri"/>
              <w:i/>
              <w:iCs/>
              <w:color w:val="000000"/>
              <w:sz w:val="22"/>
              <w:szCs w:val="22"/>
            </w:rPr>
            <w:t xml:space="preserve">Proceedings of the 1st ACM International Health Informatics Symposium, </w:t>
          </w:r>
          <w:r>
            <w:rPr>
              <w:rFonts w:ascii="Calibri" w:hAnsi="Calibri" w:cs="Calibri"/>
              <w:color w:val="000000"/>
              <w:sz w:val="22"/>
              <w:szCs w:val="22"/>
            </w:rPr>
            <w:t xml:space="preserve">507-511. </w:t>
          </w:r>
        </w:p>
        <w:p w:rsidR="009B6260" w:rsidRDefault="009B6260">
          <w:pPr>
            <w:pStyle w:val="NormalWeb"/>
            <w:spacing w:line="480" w:lineRule="auto"/>
            <w:ind w:left="450" w:hanging="450"/>
            <w:divId w:val="416365493"/>
            <w:rPr>
              <w:rFonts w:ascii="Calibri" w:hAnsi="Calibri" w:cs="Calibri"/>
              <w:color w:val="000000"/>
              <w:sz w:val="22"/>
              <w:szCs w:val="22"/>
            </w:rPr>
          </w:pPr>
          <w:r>
            <w:rPr>
              <w:rFonts w:ascii="Calibri" w:hAnsi="Calibri" w:cs="Calibri"/>
              <w:color w:val="000000"/>
              <w:sz w:val="22"/>
              <w:szCs w:val="22"/>
            </w:rPr>
            <w:t>MacDougall, C., &amp; Baum, F. (1997). The devil's advocate: A strategy to avoid groupthink and stimulate discussion in focus groups.</w:t>
          </w:r>
          <w:r>
            <w:rPr>
              <w:rFonts w:ascii="Calibri" w:hAnsi="Calibri" w:cs="Calibri"/>
              <w:i/>
              <w:iCs/>
              <w:color w:val="000000"/>
              <w:sz w:val="22"/>
              <w:szCs w:val="22"/>
            </w:rPr>
            <w:t xml:space="preserve"> Qualitative Health Research, 7</w:t>
          </w:r>
          <w:r>
            <w:rPr>
              <w:rFonts w:ascii="Calibri" w:hAnsi="Calibri" w:cs="Calibri"/>
              <w:color w:val="000000"/>
              <w:sz w:val="22"/>
              <w:szCs w:val="22"/>
            </w:rPr>
            <w:t xml:space="preserve">(4), 532-541. </w:t>
          </w:r>
        </w:p>
        <w:p w:rsidR="007463E2" w:rsidRDefault="009B6260">
          <w:r>
            <w:rPr>
              <w:vanish/>
            </w:rPr>
            <w:t>stylefix</w:t>
          </w:r>
        </w:p>
      </w:sdtContent>
    </w:sdt>
    <w:p w:rsidR="00E5757F" w:rsidRDefault="00E5757F"/>
    <w:sectPr w:rsidR="00E575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CC6B9C"/>
    <w:multiLevelType w:val="hybridMultilevel"/>
    <w:tmpl w:val="3BB84B66"/>
    <w:lvl w:ilvl="0" w:tplc="7E38CA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0EB"/>
    <w:rsid w:val="00074FA5"/>
    <w:rsid w:val="00135DAD"/>
    <w:rsid w:val="002134B5"/>
    <w:rsid w:val="002775AF"/>
    <w:rsid w:val="002D1376"/>
    <w:rsid w:val="0031758C"/>
    <w:rsid w:val="004B31F0"/>
    <w:rsid w:val="00542ED8"/>
    <w:rsid w:val="00585FC1"/>
    <w:rsid w:val="005D77C1"/>
    <w:rsid w:val="006626FC"/>
    <w:rsid w:val="006B0C37"/>
    <w:rsid w:val="007463E2"/>
    <w:rsid w:val="007B40EB"/>
    <w:rsid w:val="008663FA"/>
    <w:rsid w:val="00905E10"/>
    <w:rsid w:val="009B6260"/>
    <w:rsid w:val="009E6C8D"/>
    <w:rsid w:val="00C158CB"/>
    <w:rsid w:val="00C47748"/>
    <w:rsid w:val="00C84837"/>
    <w:rsid w:val="00DB14B0"/>
    <w:rsid w:val="00DC435E"/>
    <w:rsid w:val="00E5757F"/>
    <w:rsid w:val="00EB46BE"/>
    <w:rsid w:val="00EC3A40"/>
    <w:rsid w:val="00EE7613"/>
    <w:rsid w:val="00F12862"/>
    <w:rsid w:val="00F771FB"/>
    <w:rsid w:val="00F810F9"/>
    <w:rsid w:val="00F964C1"/>
    <w:rsid w:val="00FF3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3AA498-C961-48D5-9916-1527FA038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57F"/>
    <w:pPr>
      <w:ind w:left="720"/>
      <w:contextualSpacing/>
    </w:pPr>
  </w:style>
  <w:style w:type="character" w:styleId="PlaceholderText">
    <w:name w:val="Placeholder Text"/>
    <w:basedOn w:val="DefaultParagraphFont"/>
    <w:uiPriority w:val="99"/>
    <w:semiHidden/>
    <w:rsid w:val="007463E2"/>
    <w:rPr>
      <w:color w:val="808080"/>
    </w:rPr>
  </w:style>
  <w:style w:type="paragraph" w:styleId="NormalWeb">
    <w:name w:val="Normal (Web)"/>
    <w:basedOn w:val="Normal"/>
    <w:uiPriority w:val="99"/>
    <w:semiHidden/>
    <w:unhideWhenUsed/>
    <w:rsid w:val="007463E2"/>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42E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2326">
      <w:bodyDiv w:val="1"/>
      <w:marLeft w:val="0"/>
      <w:marRight w:val="0"/>
      <w:marTop w:val="0"/>
      <w:marBottom w:val="0"/>
      <w:divBdr>
        <w:top w:val="none" w:sz="0" w:space="0" w:color="auto"/>
        <w:left w:val="none" w:sz="0" w:space="0" w:color="auto"/>
        <w:bottom w:val="none" w:sz="0" w:space="0" w:color="auto"/>
        <w:right w:val="none" w:sz="0" w:space="0" w:color="auto"/>
      </w:divBdr>
    </w:div>
    <w:div w:id="101804109">
      <w:bodyDiv w:val="1"/>
      <w:marLeft w:val="0"/>
      <w:marRight w:val="0"/>
      <w:marTop w:val="0"/>
      <w:marBottom w:val="0"/>
      <w:divBdr>
        <w:top w:val="none" w:sz="0" w:space="0" w:color="auto"/>
        <w:left w:val="none" w:sz="0" w:space="0" w:color="auto"/>
        <w:bottom w:val="none" w:sz="0" w:space="0" w:color="auto"/>
        <w:right w:val="none" w:sz="0" w:space="0" w:color="auto"/>
      </w:divBdr>
    </w:div>
    <w:div w:id="165831122">
      <w:bodyDiv w:val="1"/>
      <w:marLeft w:val="0"/>
      <w:marRight w:val="0"/>
      <w:marTop w:val="0"/>
      <w:marBottom w:val="0"/>
      <w:divBdr>
        <w:top w:val="none" w:sz="0" w:space="0" w:color="auto"/>
        <w:left w:val="none" w:sz="0" w:space="0" w:color="auto"/>
        <w:bottom w:val="none" w:sz="0" w:space="0" w:color="auto"/>
        <w:right w:val="none" w:sz="0" w:space="0" w:color="auto"/>
      </w:divBdr>
    </w:div>
    <w:div w:id="181821943">
      <w:bodyDiv w:val="1"/>
      <w:marLeft w:val="0"/>
      <w:marRight w:val="0"/>
      <w:marTop w:val="0"/>
      <w:marBottom w:val="0"/>
      <w:divBdr>
        <w:top w:val="none" w:sz="0" w:space="0" w:color="auto"/>
        <w:left w:val="none" w:sz="0" w:space="0" w:color="auto"/>
        <w:bottom w:val="none" w:sz="0" w:space="0" w:color="auto"/>
        <w:right w:val="none" w:sz="0" w:space="0" w:color="auto"/>
      </w:divBdr>
    </w:div>
    <w:div w:id="182480928">
      <w:bodyDiv w:val="1"/>
      <w:marLeft w:val="0"/>
      <w:marRight w:val="0"/>
      <w:marTop w:val="0"/>
      <w:marBottom w:val="0"/>
      <w:divBdr>
        <w:top w:val="none" w:sz="0" w:space="0" w:color="auto"/>
        <w:left w:val="none" w:sz="0" w:space="0" w:color="auto"/>
        <w:bottom w:val="none" w:sz="0" w:space="0" w:color="auto"/>
        <w:right w:val="none" w:sz="0" w:space="0" w:color="auto"/>
      </w:divBdr>
    </w:div>
    <w:div w:id="215433066">
      <w:bodyDiv w:val="1"/>
      <w:marLeft w:val="0"/>
      <w:marRight w:val="0"/>
      <w:marTop w:val="0"/>
      <w:marBottom w:val="0"/>
      <w:divBdr>
        <w:top w:val="none" w:sz="0" w:space="0" w:color="auto"/>
        <w:left w:val="none" w:sz="0" w:space="0" w:color="auto"/>
        <w:bottom w:val="none" w:sz="0" w:space="0" w:color="auto"/>
        <w:right w:val="none" w:sz="0" w:space="0" w:color="auto"/>
      </w:divBdr>
    </w:div>
    <w:div w:id="297414251">
      <w:bodyDiv w:val="1"/>
      <w:marLeft w:val="0"/>
      <w:marRight w:val="0"/>
      <w:marTop w:val="0"/>
      <w:marBottom w:val="0"/>
      <w:divBdr>
        <w:top w:val="none" w:sz="0" w:space="0" w:color="auto"/>
        <w:left w:val="none" w:sz="0" w:space="0" w:color="auto"/>
        <w:bottom w:val="none" w:sz="0" w:space="0" w:color="auto"/>
        <w:right w:val="none" w:sz="0" w:space="0" w:color="auto"/>
      </w:divBdr>
    </w:div>
    <w:div w:id="409621727">
      <w:bodyDiv w:val="1"/>
      <w:marLeft w:val="0"/>
      <w:marRight w:val="0"/>
      <w:marTop w:val="0"/>
      <w:marBottom w:val="0"/>
      <w:divBdr>
        <w:top w:val="none" w:sz="0" w:space="0" w:color="auto"/>
        <w:left w:val="none" w:sz="0" w:space="0" w:color="auto"/>
        <w:bottom w:val="none" w:sz="0" w:space="0" w:color="auto"/>
        <w:right w:val="none" w:sz="0" w:space="0" w:color="auto"/>
      </w:divBdr>
    </w:div>
    <w:div w:id="416365493">
      <w:bodyDiv w:val="1"/>
      <w:marLeft w:val="0"/>
      <w:marRight w:val="0"/>
      <w:marTop w:val="0"/>
      <w:marBottom w:val="0"/>
      <w:divBdr>
        <w:top w:val="none" w:sz="0" w:space="0" w:color="auto"/>
        <w:left w:val="none" w:sz="0" w:space="0" w:color="auto"/>
        <w:bottom w:val="none" w:sz="0" w:space="0" w:color="auto"/>
        <w:right w:val="none" w:sz="0" w:space="0" w:color="auto"/>
      </w:divBdr>
    </w:div>
    <w:div w:id="423651119">
      <w:bodyDiv w:val="1"/>
      <w:marLeft w:val="0"/>
      <w:marRight w:val="0"/>
      <w:marTop w:val="0"/>
      <w:marBottom w:val="0"/>
      <w:divBdr>
        <w:top w:val="none" w:sz="0" w:space="0" w:color="auto"/>
        <w:left w:val="none" w:sz="0" w:space="0" w:color="auto"/>
        <w:bottom w:val="none" w:sz="0" w:space="0" w:color="auto"/>
        <w:right w:val="none" w:sz="0" w:space="0" w:color="auto"/>
      </w:divBdr>
    </w:div>
    <w:div w:id="432939525">
      <w:bodyDiv w:val="1"/>
      <w:marLeft w:val="0"/>
      <w:marRight w:val="0"/>
      <w:marTop w:val="0"/>
      <w:marBottom w:val="0"/>
      <w:divBdr>
        <w:top w:val="none" w:sz="0" w:space="0" w:color="auto"/>
        <w:left w:val="none" w:sz="0" w:space="0" w:color="auto"/>
        <w:bottom w:val="none" w:sz="0" w:space="0" w:color="auto"/>
        <w:right w:val="none" w:sz="0" w:space="0" w:color="auto"/>
      </w:divBdr>
    </w:div>
    <w:div w:id="436291308">
      <w:bodyDiv w:val="1"/>
      <w:marLeft w:val="0"/>
      <w:marRight w:val="0"/>
      <w:marTop w:val="0"/>
      <w:marBottom w:val="0"/>
      <w:divBdr>
        <w:top w:val="none" w:sz="0" w:space="0" w:color="auto"/>
        <w:left w:val="none" w:sz="0" w:space="0" w:color="auto"/>
        <w:bottom w:val="none" w:sz="0" w:space="0" w:color="auto"/>
        <w:right w:val="none" w:sz="0" w:space="0" w:color="auto"/>
      </w:divBdr>
    </w:div>
    <w:div w:id="453210402">
      <w:bodyDiv w:val="1"/>
      <w:marLeft w:val="0"/>
      <w:marRight w:val="0"/>
      <w:marTop w:val="0"/>
      <w:marBottom w:val="0"/>
      <w:divBdr>
        <w:top w:val="none" w:sz="0" w:space="0" w:color="auto"/>
        <w:left w:val="none" w:sz="0" w:space="0" w:color="auto"/>
        <w:bottom w:val="none" w:sz="0" w:space="0" w:color="auto"/>
        <w:right w:val="none" w:sz="0" w:space="0" w:color="auto"/>
      </w:divBdr>
    </w:div>
    <w:div w:id="490029985">
      <w:bodyDiv w:val="1"/>
      <w:marLeft w:val="0"/>
      <w:marRight w:val="0"/>
      <w:marTop w:val="0"/>
      <w:marBottom w:val="0"/>
      <w:divBdr>
        <w:top w:val="none" w:sz="0" w:space="0" w:color="auto"/>
        <w:left w:val="none" w:sz="0" w:space="0" w:color="auto"/>
        <w:bottom w:val="none" w:sz="0" w:space="0" w:color="auto"/>
        <w:right w:val="none" w:sz="0" w:space="0" w:color="auto"/>
      </w:divBdr>
    </w:div>
    <w:div w:id="588084562">
      <w:bodyDiv w:val="1"/>
      <w:marLeft w:val="0"/>
      <w:marRight w:val="0"/>
      <w:marTop w:val="0"/>
      <w:marBottom w:val="0"/>
      <w:divBdr>
        <w:top w:val="none" w:sz="0" w:space="0" w:color="auto"/>
        <w:left w:val="none" w:sz="0" w:space="0" w:color="auto"/>
        <w:bottom w:val="none" w:sz="0" w:space="0" w:color="auto"/>
        <w:right w:val="none" w:sz="0" w:space="0" w:color="auto"/>
      </w:divBdr>
    </w:div>
    <w:div w:id="601960649">
      <w:bodyDiv w:val="1"/>
      <w:marLeft w:val="0"/>
      <w:marRight w:val="0"/>
      <w:marTop w:val="0"/>
      <w:marBottom w:val="0"/>
      <w:divBdr>
        <w:top w:val="none" w:sz="0" w:space="0" w:color="auto"/>
        <w:left w:val="none" w:sz="0" w:space="0" w:color="auto"/>
        <w:bottom w:val="none" w:sz="0" w:space="0" w:color="auto"/>
        <w:right w:val="none" w:sz="0" w:space="0" w:color="auto"/>
      </w:divBdr>
    </w:div>
    <w:div w:id="621813867">
      <w:bodyDiv w:val="1"/>
      <w:marLeft w:val="0"/>
      <w:marRight w:val="0"/>
      <w:marTop w:val="0"/>
      <w:marBottom w:val="0"/>
      <w:divBdr>
        <w:top w:val="none" w:sz="0" w:space="0" w:color="auto"/>
        <w:left w:val="none" w:sz="0" w:space="0" w:color="auto"/>
        <w:bottom w:val="none" w:sz="0" w:space="0" w:color="auto"/>
        <w:right w:val="none" w:sz="0" w:space="0" w:color="auto"/>
      </w:divBdr>
    </w:div>
    <w:div w:id="634411760">
      <w:bodyDiv w:val="1"/>
      <w:marLeft w:val="0"/>
      <w:marRight w:val="0"/>
      <w:marTop w:val="0"/>
      <w:marBottom w:val="0"/>
      <w:divBdr>
        <w:top w:val="none" w:sz="0" w:space="0" w:color="auto"/>
        <w:left w:val="none" w:sz="0" w:space="0" w:color="auto"/>
        <w:bottom w:val="none" w:sz="0" w:space="0" w:color="auto"/>
        <w:right w:val="none" w:sz="0" w:space="0" w:color="auto"/>
      </w:divBdr>
    </w:div>
    <w:div w:id="638540060">
      <w:bodyDiv w:val="1"/>
      <w:marLeft w:val="0"/>
      <w:marRight w:val="0"/>
      <w:marTop w:val="0"/>
      <w:marBottom w:val="0"/>
      <w:divBdr>
        <w:top w:val="none" w:sz="0" w:space="0" w:color="auto"/>
        <w:left w:val="none" w:sz="0" w:space="0" w:color="auto"/>
        <w:bottom w:val="none" w:sz="0" w:space="0" w:color="auto"/>
        <w:right w:val="none" w:sz="0" w:space="0" w:color="auto"/>
      </w:divBdr>
    </w:div>
    <w:div w:id="664015608">
      <w:bodyDiv w:val="1"/>
      <w:marLeft w:val="0"/>
      <w:marRight w:val="0"/>
      <w:marTop w:val="0"/>
      <w:marBottom w:val="0"/>
      <w:divBdr>
        <w:top w:val="none" w:sz="0" w:space="0" w:color="auto"/>
        <w:left w:val="none" w:sz="0" w:space="0" w:color="auto"/>
        <w:bottom w:val="none" w:sz="0" w:space="0" w:color="auto"/>
        <w:right w:val="none" w:sz="0" w:space="0" w:color="auto"/>
      </w:divBdr>
    </w:div>
    <w:div w:id="686254209">
      <w:bodyDiv w:val="1"/>
      <w:marLeft w:val="0"/>
      <w:marRight w:val="0"/>
      <w:marTop w:val="0"/>
      <w:marBottom w:val="0"/>
      <w:divBdr>
        <w:top w:val="none" w:sz="0" w:space="0" w:color="auto"/>
        <w:left w:val="none" w:sz="0" w:space="0" w:color="auto"/>
        <w:bottom w:val="none" w:sz="0" w:space="0" w:color="auto"/>
        <w:right w:val="none" w:sz="0" w:space="0" w:color="auto"/>
      </w:divBdr>
    </w:div>
    <w:div w:id="738869882">
      <w:bodyDiv w:val="1"/>
      <w:marLeft w:val="0"/>
      <w:marRight w:val="0"/>
      <w:marTop w:val="0"/>
      <w:marBottom w:val="0"/>
      <w:divBdr>
        <w:top w:val="none" w:sz="0" w:space="0" w:color="auto"/>
        <w:left w:val="none" w:sz="0" w:space="0" w:color="auto"/>
        <w:bottom w:val="none" w:sz="0" w:space="0" w:color="auto"/>
        <w:right w:val="none" w:sz="0" w:space="0" w:color="auto"/>
      </w:divBdr>
    </w:div>
    <w:div w:id="764308486">
      <w:bodyDiv w:val="1"/>
      <w:marLeft w:val="0"/>
      <w:marRight w:val="0"/>
      <w:marTop w:val="0"/>
      <w:marBottom w:val="0"/>
      <w:divBdr>
        <w:top w:val="none" w:sz="0" w:space="0" w:color="auto"/>
        <w:left w:val="none" w:sz="0" w:space="0" w:color="auto"/>
        <w:bottom w:val="none" w:sz="0" w:space="0" w:color="auto"/>
        <w:right w:val="none" w:sz="0" w:space="0" w:color="auto"/>
      </w:divBdr>
    </w:div>
    <w:div w:id="779567279">
      <w:bodyDiv w:val="1"/>
      <w:marLeft w:val="0"/>
      <w:marRight w:val="0"/>
      <w:marTop w:val="0"/>
      <w:marBottom w:val="0"/>
      <w:divBdr>
        <w:top w:val="none" w:sz="0" w:space="0" w:color="auto"/>
        <w:left w:val="none" w:sz="0" w:space="0" w:color="auto"/>
        <w:bottom w:val="none" w:sz="0" w:space="0" w:color="auto"/>
        <w:right w:val="none" w:sz="0" w:space="0" w:color="auto"/>
      </w:divBdr>
    </w:div>
    <w:div w:id="893152921">
      <w:bodyDiv w:val="1"/>
      <w:marLeft w:val="0"/>
      <w:marRight w:val="0"/>
      <w:marTop w:val="0"/>
      <w:marBottom w:val="0"/>
      <w:divBdr>
        <w:top w:val="none" w:sz="0" w:space="0" w:color="auto"/>
        <w:left w:val="none" w:sz="0" w:space="0" w:color="auto"/>
        <w:bottom w:val="none" w:sz="0" w:space="0" w:color="auto"/>
        <w:right w:val="none" w:sz="0" w:space="0" w:color="auto"/>
      </w:divBdr>
    </w:div>
    <w:div w:id="962612855">
      <w:bodyDiv w:val="1"/>
      <w:marLeft w:val="0"/>
      <w:marRight w:val="0"/>
      <w:marTop w:val="0"/>
      <w:marBottom w:val="0"/>
      <w:divBdr>
        <w:top w:val="none" w:sz="0" w:space="0" w:color="auto"/>
        <w:left w:val="none" w:sz="0" w:space="0" w:color="auto"/>
        <w:bottom w:val="none" w:sz="0" w:space="0" w:color="auto"/>
        <w:right w:val="none" w:sz="0" w:space="0" w:color="auto"/>
      </w:divBdr>
    </w:div>
    <w:div w:id="975724614">
      <w:bodyDiv w:val="1"/>
      <w:marLeft w:val="0"/>
      <w:marRight w:val="0"/>
      <w:marTop w:val="0"/>
      <w:marBottom w:val="0"/>
      <w:divBdr>
        <w:top w:val="none" w:sz="0" w:space="0" w:color="auto"/>
        <w:left w:val="none" w:sz="0" w:space="0" w:color="auto"/>
        <w:bottom w:val="none" w:sz="0" w:space="0" w:color="auto"/>
        <w:right w:val="none" w:sz="0" w:space="0" w:color="auto"/>
      </w:divBdr>
    </w:div>
    <w:div w:id="1077702290">
      <w:bodyDiv w:val="1"/>
      <w:marLeft w:val="0"/>
      <w:marRight w:val="0"/>
      <w:marTop w:val="0"/>
      <w:marBottom w:val="0"/>
      <w:divBdr>
        <w:top w:val="none" w:sz="0" w:space="0" w:color="auto"/>
        <w:left w:val="none" w:sz="0" w:space="0" w:color="auto"/>
        <w:bottom w:val="none" w:sz="0" w:space="0" w:color="auto"/>
        <w:right w:val="none" w:sz="0" w:space="0" w:color="auto"/>
      </w:divBdr>
    </w:div>
    <w:div w:id="1179469442">
      <w:bodyDiv w:val="1"/>
      <w:marLeft w:val="0"/>
      <w:marRight w:val="0"/>
      <w:marTop w:val="0"/>
      <w:marBottom w:val="0"/>
      <w:divBdr>
        <w:top w:val="none" w:sz="0" w:space="0" w:color="auto"/>
        <w:left w:val="none" w:sz="0" w:space="0" w:color="auto"/>
        <w:bottom w:val="none" w:sz="0" w:space="0" w:color="auto"/>
        <w:right w:val="none" w:sz="0" w:space="0" w:color="auto"/>
      </w:divBdr>
    </w:div>
    <w:div w:id="1191065988">
      <w:bodyDiv w:val="1"/>
      <w:marLeft w:val="0"/>
      <w:marRight w:val="0"/>
      <w:marTop w:val="0"/>
      <w:marBottom w:val="0"/>
      <w:divBdr>
        <w:top w:val="none" w:sz="0" w:space="0" w:color="auto"/>
        <w:left w:val="none" w:sz="0" w:space="0" w:color="auto"/>
        <w:bottom w:val="none" w:sz="0" w:space="0" w:color="auto"/>
        <w:right w:val="none" w:sz="0" w:space="0" w:color="auto"/>
      </w:divBdr>
    </w:div>
    <w:div w:id="1263106013">
      <w:bodyDiv w:val="1"/>
      <w:marLeft w:val="0"/>
      <w:marRight w:val="0"/>
      <w:marTop w:val="0"/>
      <w:marBottom w:val="0"/>
      <w:divBdr>
        <w:top w:val="none" w:sz="0" w:space="0" w:color="auto"/>
        <w:left w:val="none" w:sz="0" w:space="0" w:color="auto"/>
        <w:bottom w:val="none" w:sz="0" w:space="0" w:color="auto"/>
        <w:right w:val="none" w:sz="0" w:space="0" w:color="auto"/>
      </w:divBdr>
    </w:div>
    <w:div w:id="1280533449">
      <w:bodyDiv w:val="1"/>
      <w:marLeft w:val="0"/>
      <w:marRight w:val="0"/>
      <w:marTop w:val="0"/>
      <w:marBottom w:val="0"/>
      <w:divBdr>
        <w:top w:val="none" w:sz="0" w:space="0" w:color="auto"/>
        <w:left w:val="none" w:sz="0" w:space="0" w:color="auto"/>
        <w:bottom w:val="none" w:sz="0" w:space="0" w:color="auto"/>
        <w:right w:val="none" w:sz="0" w:space="0" w:color="auto"/>
      </w:divBdr>
    </w:div>
    <w:div w:id="1322613463">
      <w:bodyDiv w:val="1"/>
      <w:marLeft w:val="0"/>
      <w:marRight w:val="0"/>
      <w:marTop w:val="0"/>
      <w:marBottom w:val="0"/>
      <w:divBdr>
        <w:top w:val="none" w:sz="0" w:space="0" w:color="auto"/>
        <w:left w:val="none" w:sz="0" w:space="0" w:color="auto"/>
        <w:bottom w:val="none" w:sz="0" w:space="0" w:color="auto"/>
        <w:right w:val="none" w:sz="0" w:space="0" w:color="auto"/>
      </w:divBdr>
    </w:div>
    <w:div w:id="1366296059">
      <w:bodyDiv w:val="1"/>
      <w:marLeft w:val="0"/>
      <w:marRight w:val="0"/>
      <w:marTop w:val="0"/>
      <w:marBottom w:val="0"/>
      <w:divBdr>
        <w:top w:val="none" w:sz="0" w:space="0" w:color="auto"/>
        <w:left w:val="none" w:sz="0" w:space="0" w:color="auto"/>
        <w:bottom w:val="none" w:sz="0" w:space="0" w:color="auto"/>
        <w:right w:val="none" w:sz="0" w:space="0" w:color="auto"/>
      </w:divBdr>
    </w:div>
    <w:div w:id="1390106217">
      <w:bodyDiv w:val="1"/>
      <w:marLeft w:val="0"/>
      <w:marRight w:val="0"/>
      <w:marTop w:val="0"/>
      <w:marBottom w:val="0"/>
      <w:divBdr>
        <w:top w:val="none" w:sz="0" w:space="0" w:color="auto"/>
        <w:left w:val="none" w:sz="0" w:space="0" w:color="auto"/>
        <w:bottom w:val="none" w:sz="0" w:space="0" w:color="auto"/>
        <w:right w:val="none" w:sz="0" w:space="0" w:color="auto"/>
      </w:divBdr>
    </w:div>
    <w:div w:id="1429934857">
      <w:bodyDiv w:val="1"/>
      <w:marLeft w:val="0"/>
      <w:marRight w:val="0"/>
      <w:marTop w:val="0"/>
      <w:marBottom w:val="0"/>
      <w:divBdr>
        <w:top w:val="none" w:sz="0" w:space="0" w:color="auto"/>
        <w:left w:val="none" w:sz="0" w:space="0" w:color="auto"/>
        <w:bottom w:val="none" w:sz="0" w:space="0" w:color="auto"/>
        <w:right w:val="none" w:sz="0" w:space="0" w:color="auto"/>
      </w:divBdr>
    </w:div>
    <w:div w:id="1460879582">
      <w:bodyDiv w:val="1"/>
      <w:marLeft w:val="0"/>
      <w:marRight w:val="0"/>
      <w:marTop w:val="0"/>
      <w:marBottom w:val="0"/>
      <w:divBdr>
        <w:top w:val="none" w:sz="0" w:space="0" w:color="auto"/>
        <w:left w:val="none" w:sz="0" w:space="0" w:color="auto"/>
        <w:bottom w:val="none" w:sz="0" w:space="0" w:color="auto"/>
        <w:right w:val="none" w:sz="0" w:space="0" w:color="auto"/>
      </w:divBdr>
    </w:div>
    <w:div w:id="1536307562">
      <w:bodyDiv w:val="1"/>
      <w:marLeft w:val="0"/>
      <w:marRight w:val="0"/>
      <w:marTop w:val="0"/>
      <w:marBottom w:val="0"/>
      <w:divBdr>
        <w:top w:val="none" w:sz="0" w:space="0" w:color="auto"/>
        <w:left w:val="none" w:sz="0" w:space="0" w:color="auto"/>
        <w:bottom w:val="none" w:sz="0" w:space="0" w:color="auto"/>
        <w:right w:val="none" w:sz="0" w:space="0" w:color="auto"/>
      </w:divBdr>
    </w:div>
    <w:div w:id="1563903851">
      <w:bodyDiv w:val="1"/>
      <w:marLeft w:val="0"/>
      <w:marRight w:val="0"/>
      <w:marTop w:val="0"/>
      <w:marBottom w:val="0"/>
      <w:divBdr>
        <w:top w:val="none" w:sz="0" w:space="0" w:color="auto"/>
        <w:left w:val="none" w:sz="0" w:space="0" w:color="auto"/>
        <w:bottom w:val="none" w:sz="0" w:space="0" w:color="auto"/>
        <w:right w:val="none" w:sz="0" w:space="0" w:color="auto"/>
      </w:divBdr>
    </w:div>
    <w:div w:id="1706251707">
      <w:bodyDiv w:val="1"/>
      <w:marLeft w:val="0"/>
      <w:marRight w:val="0"/>
      <w:marTop w:val="0"/>
      <w:marBottom w:val="0"/>
      <w:divBdr>
        <w:top w:val="none" w:sz="0" w:space="0" w:color="auto"/>
        <w:left w:val="none" w:sz="0" w:space="0" w:color="auto"/>
        <w:bottom w:val="none" w:sz="0" w:space="0" w:color="auto"/>
        <w:right w:val="none" w:sz="0" w:space="0" w:color="auto"/>
      </w:divBdr>
    </w:div>
    <w:div w:id="1821119385">
      <w:bodyDiv w:val="1"/>
      <w:marLeft w:val="0"/>
      <w:marRight w:val="0"/>
      <w:marTop w:val="0"/>
      <w:marBottom w:val="0"/>
      <w:divBdr>
        <w:top w:val="none" w:sz="0" w:space="0" w:color="auto"/>
        <w:left w:val="none" w:sz="0" w:space="0" w:color="auto"/>
        <w:bottom w:val="none" w:sz="0" w:space="0" w:color="auto"/>
        <w:right w:val="none" w:sz="0" w:space="0" w:color="auto"/>
      </w:divBdr>
    </w:div>
    <w:div w:id="1843424189">
      <w:bodyDiv w:val="1"/>
      <w:marLeft w:val="0"/>
      <w:marRight w:val="0"/>
      <w:marTop w:val="0"/>
      <w:marBottom w:val="0"/>
      <w:divBdr>
        <w:top w:val="none" w:sz="0" w:space="0" w:color="auto"/>
        <w:left w:val="none" w:sz="0" w:space="0" w:color="auto"/>
        <w:bottom w:val="none" w:sz="0" w:space="0" w:color="auto"/>
        <w:right w:val="none" w:sz="0" w:space="0" w:color="auto"/>
      </w:divBdr>
    </w:div>
    <w:div w:id="1949507972">
      <w:bodyDiv w:val="1"/>
      <w:marLeft w:val="0"/>
      <w:marRight w:val="0"/>
      <w:marTop w:val="0"/>
      <w:marBottom w:val="0"/>
      <w:divBdr>
        <w:top w:val="none" w:sz="0" w:space="0" w:color="auto"/>
        <w:left w:val="none" w:sz="0" w:space="0" w:color="auto"/>
        <w:bottom w:val="none" w:sz="0" w:space="0" w:color="auto"/>
        <w:right w:val="none" w:sz="0" w:space="0" w:color="auto"/>
      </w:divBdr>
    </w:div>
    <w:div w:id="2001036547">
      <w:bodyDiv w:val="1"/>
      <w:marLeft w:val="0"/>
      <w:marRight w:val="0"/>
      <w:marTop w:val="0"/>
      <w:marBottom w:val="0"/>
      <w:divBdr>
        <w:top w:val="none" w:sz="0" w:space="0" w:color="auto"/>
        <w:left w:val="none" w:sz="0" w:space="0" w:color="auto"/>
        <w:bottom w:val="none" w:sz="0" w:space="0" w:color="auto"/>
        <w:right w:val="none" w:sz="0" w:space="0" w:color="auto"/>
      </w:divBdr>
    </w:div>
    <w:div w:id="2080908108">
      <w:bodyDiv w:val="1"/>
      <w:marLeft w:val="0"/>
      <w:marRight w:val="0"/>
      <w:marTop w:val="0"/>
      <w:marBottom w:val="0"/>
      <w:divBdr>
        <w:top w:val="none" w:sz="0" w:space="0" w:color="auto"/>
        <w:left w:val="none" w:sz="0" w:space="0" w:color="auto"/>
        <w:bottom w:val="none" w:sz="0" w:space="0" w:color="auto"/>
        <w:right w:val="none" w:sz="0" w:space="0" w:color="auto"/>
      </w:divBdr>
    </w:div>
    <w:div w:id="2098935427">
      <w:bodyDiv w:val="1"/>
      <w:marLeft w:val="0"/>
      <w:marRight w:val="0"/>
      <w:marTop w:val="0"/>
      <w:marBottom w:val="0"/>
      <w:divBdr>
        <w:top w:val="none" w:sz="0" w:space="0" w:color="auto"/>
        <w:left w:val="none" w:sz="0" w:space="0" w:color="auto"/>
        <w:bottom w:val="none" w:sz="0" w:space="0" w:color="auto"/>
        <w:right w:val="none" w:sz="0" w:space="0" w:color="auto"/>
      </w:divBdr>
    </w:div>
    <w:div w:id="214546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F87BC91598B4543975609B2CDF6F104"/>
        <w:category>
          <w:name w:val="General"/>
          <w:gallery w:val="placeholder"/>
        </w:category>
        <w:types>
          <w:type w:val="bbPlcHdr"/>
        </w:types>
        <w:behaviors>
          <w:behavior w:val="content"/>
        </w:behaviors>
        <w:guid w:val="{EB75F828-1F1D-41D7-A32E-D98489402134}"/>
      </w:docPartPr>
      <w:docPartBody>
        <w:p w:rsidR="00AC691C" w:rsidRDefault="004E4F5D">
          <w:r w:rsidRPr="00CC717F">
            <w:rPr>
              <w:rStyle w:val="PlaceholderText"/>
            </w:rPr>
            <w:t>Formatting...</w:t>
          </w:r>
        </w:p>
      </w:docPartBody>
    </w:docPart>
    <w:docPart>
      <w:docPartPr>
        <w:name w:val="5DAC921B01AA4912A693178657EDFE80"/>
        <w:category>
          <w:name w:val="General"/>
          <w:gallery w:val="placeholder"/>
        </w:category>
        <w:types>
          <w:type w:val="bbPlcHdr"/>
        </w:types>
        <w:behaviors>
          <w:behavior w:val="content"/>
        </w:behaviors>
        <w:guid w:val="{9C50AA83-3530-48E9-A08D-6B6C4274E524}"/>
      </w:docPartPr>
      <w:docPartBody>
        <w:p w:rsidR="00AC691C" w:rsidRDefault="004E4F5D">
          <w:r w:rsidRPr="00CC717F">
            <w:rPr>
              <w:rStyle w:val="PlaceholderText"/>
            </w:rPr>
            <w:t>Formatting Bibliography...</w:t>
          </w:r>
        </w:p>
      </w:docPartBody>
    </w:docPart>
    <w:docPart>
      <w:docPartPr>
        <w:name w:val="E194A0580DB541E3B73C45FC27B83549"/>
        <w:category>
          <w:name w:val="General"/>
          <w:gallery w:val="placeholder"/>
        </w:category>
        <w:types>
          <w:type w:val="bbPlcHdr"/>
        </w:types>
        <w:behaviors>
          <w:behavior w:val="content"/>
        </w:behaviors>
        <w:guid w:val="{4EAC2FD7-9881-43D8-AE0D-F01C83B53116}"/>
      </w:docPartPr>
      <w:docPartBody>
        <w:p w:rsidR="00AC691C" w:rsidRDefault="004E4F5D">
          <w:r w:rsidRPr="00CC717F">
            <w:rPr>
              <w:rStyle w:val="PlaceholderText"/>
            </w:rPr>
            <w:t>Formatting...</w:t>
          </w:r>
        </w:p>
      </w:docPartBody>
    </w:docPart>
    <w:docPart>
      <w:docPartPr>
        <w:name w:val="157B2A981EAD45A28D702D2041826550"/>
        <w:category>
          <w:name w:val="General"/>
          <w:gallery w:val="placeholder"/>
        </w:category>
        <w:types>
          <w:type w:val="bbPlcHdr"/>
        </w:types>
        <w:behaviors>
          <w:behavior w:val="content"/>
        </w:behaviors>
        <w:guid w:val="{7B03AD3A-880B-45A9-912A-D640127C31BB}"/>
      </w:docPartPr>
      <w:docPartBody>
        <w:p w:rsidR="00AC691C" w:rsidRDefault="004E4F5D">
          <w:r w:rsidRPr="00CC717F">
            <w:rPr>
              <w:rStyle w:val="PlaceholderText"/>
            </w:rPr>
            <w:t>Formatting...</w:t>
          </w:r>
        </w:p>
      </w:docPartBody>
    </w:docPart>
    <w:docPart>
      <w:docPartPr>
        <w:name w:val="DDDEC141A1704E8992C4CD5BCC5B4D1A"/>
        <w:category>
          <w:name w:val="General"/>
          <w:gallery w:val="placeholder"/>
        </w:category>
        <w:types>
          <w:type w:val="bbPlcHdr"/>
        </w:types>
        <w:behaviors>
          <w:behavior w:val="content"/>
        </w:behaviors>
        <w:guid w:val="{6274E07B-A2FA-40E1-B9B5-DE4EF0E5B954}"/>
      </w:docPartPr>
      <w:docPartBody>
        <w:p w:rsidR="00AC691C" w:rsidRDefault="004E4F5D">
          <w:r w:rsidRPr="00CC717F">
            <w:rPr>
              <w:rStyle w:val="PlaceholderText"/>
            </w:rPr>
            <w:t>Formatting...</w:t>
          </w:r>
        </w:p>
      </w:docPartBody>
    </w:docPart>
    <w:docPart>
      <w:docPartPr>
        <w:name w:val="CCB88282A07D46309E517A1C866090D0"/>
        <w:category>
          <w:name w:val="General"/>
          <w:gallery w:val="placeholder"/>
        </w:category>
        <w:types>
          <w:type w:val="bbPlcHdr"/>
        </w:types>
        <w:behaviors>
          <w:behavior w:val="content"/>
        </w:behaviors>
        <w:guid w:val="{5C09EF72-D362-45A3-B42B-061F5F211EC6}"/>
      </w:docPartPr>
      <w:docPartBody>
        <w:p w:rsidR="00AC691C" w:rsidRDefault="004E4F5D">
          <w:r w:rsidRPr="00CC717F">
            <w:rPr>
              <w:rStyle w:val="PlaceholderText"/>
            </w:rPr>
            <w:t>Formatting...</w:t>
          </w:r>
        </w:p>
      </w:docPartBody>
    </w:docPart>
    <w:docPart>
      <w:docPartPr>
        <w:name w:val="A0AAA7586A3B4E2D83148C4E72B2B840"/>
        <w:category>
          <w:name w:val="General"/>
          <w:gallery w:val="placeholder"/>
        </w:category>
        <w:types>
          <w:type w:val="bbPlcHdr"/>
        </w:types>
        <w:behaviors>
          <w:behavior w:val="content"/>
        </w:behaviors>
        <w:guid w:val="{38BB703E-1B7C-4568-AE7B-9722C966A62B}"/>
      </w:docPartPr>
      <w:docPartBody>
        <w:p w:rsidR="00AC691C" w:rsidRDefault="004E4F5D">
          <w:r w:rsidRPr="00CC717F">
            <w:rPr>
              <w:rStyle w:val="PlaceholderText"/>
            </w:rPr>
            <w:t>Formatting...</w:t>
          </w:r>
        </w:p>
      </w:docPartBody>
    </w:docPart>
    <w:docPart>
      <w:docPartPr>
        <w:name w:val="B64B64B0D20D4FFF910AA36D6C1DF17D"/>
        <w:category>
          <w:name w:val="General"/>
          <w:gallery w:val="placeholder"/>
        </w:category>
        <w:types>
          <w:type w:val="bbPlcHdr"/>
        </w:types>
        <w:behaviors>
          <w:behavior w:val="content"/>
        </w:behaviors>
        <w:guid w:val="{4368FEB2-F0F2-4FA9-844C-1A9380337239}"/>
      </w:docPartPr>
      <w:docPartBody>
        <w:p w:rsidR="00AC691C" w:rsidRDefault="004E4F5D">
          <w:r w:rsidRPr="00CC717F">
            <w:rPr>
              <w:rStyle w:val="PlaceholderText"/>
            </w:rPr>
            <w:t>Formatting...</w:t>
          </w:r>
        </w:p>
      </w:docPartBody>
    </w:docPart>
    <w:docPart>
      <w:docPartPr>
        <w:name w:val="A98BF40E549143118ED347DF183357AE"/>
        <w:category>
          <w:name w:val="General"/>
          <w:gallery w:val="placeholder"/>
        </w:category>
        <w:types>
          <w:type w:val="bbPlcHdr"/>
        </w:types>
        <w:behaviors>
          <w:behavior w:val="content"/>
        </w:behaviors>
        <w:guid w:val="{C9B17D7B-B1BD-4FEC-B374-42E706E933F3}"/>
      </w:docPartPr>
      <w:docPartBody>
        <w:p w:rsidR="008854CD" w:rsidRDefault="00AC691C">
          <w:r w:rsidRPr="00E03E1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F5D"/>
    <w:rsid w:val="003C15FC"/>
    <w:rsid w:val="004E4F5D"/>
    <w:rsid w:val="008854CD"/>
    <w:rsid w:val="00AC691C"/>
    <w:rsid w:val="00BE4B9B"/>
    <w:rsid w:val="00DE1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691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BAE63EA-6483-4DDC-83CA-A2FF0F139A87}">
  <we:reference id="wa104380122" version="2.1.0.1" store="en-001" storeType="OMEX"/>
  <we:alternateReferences>
    <we:reference id="wa104380122" version="2.1.0.1" store="wa104380122" storeType="OMEX"/>
  </we:alternateReferences>
  <we:properties>
    <we:property name="bibliographyEnabled" value="&quot;bibliographyEnabled&quot;"/>
    <we:property name="rw.control.unlocked" value="true"/>
    <we:property name="citations" value="{&quot;1055889481&quot;:{&quot;referencesIds&quot;:[&quot;doc:629e7c2a8f089039a66061dc&quot;],&quot;referencesOptions&quot;:{&quot;doc:629e7c2a8f089039a66061dc&quot;:{&quot;author&quot;:true,&quot;year&quot;:true,&quot;pageReplace&quot;:&quot;&quot;,&quot;prefix&quot;:&quot;&quot;,&quot;suffix&quot;:&quot;&quot;}},&quot;hasBrokenReferences&quot;:false,&quot;hasManualEdits&quot;:false,&quot;citationType&quot;:&quot;inline&quot;,&quot;id&quot;:1055889481,&quot;citationText&quot;:&quot;&lt;span style=\&quot;font-family:Calibri;font-size:14.666666666666666px;color:#000000\&quot;&gt;(MacDougall &amp;amp; Baum, 1997)&lt;/span&gt;&quot;},&quot;1258091365&quot;:{&quot;referencesIds&quot;:[&quot;doc:629e67558f08aadbc75c3a36&quot;],&quot;referencesOptions&quot;:{&quot;doc:629e67558f08aadbc75c3a36&quot;:{&quot;author&quot;:true,&quot;year&quot;:true,&quot;pageReplace&quot;:&quot;&quot;,&quot;prefix&quot;:&quot;&quot;,&quot;suffix&quot;:&quot;&quot;}},&quot;hasBrokenReferences&quot;:false,&quot;hasManualEdits&quot;:false,&quot;citationType&quot;:&quot;inline&quot;,&quot;id&quot;:1258091365,&quot;citationText&quot;:&quot;&lt;span style=\&quot;font-family:Calibri;font-size:14.666666666666666px;color:#000000\&quot;&gt;(Fischer et al., 2021)&lt;/span&gt;&quot;},&quot;2060978714&quot;:{&quot;referencesIds&quot;:[&quot;doc:62a0f6d18f08d96f1b27485f&quot;],&quot;referencesOptions&quot;:{&quot;doc:62a0f6d18f08d96f1b27485f&quot;:{&quot;author&quot;:true,&quot;year&quot;:true,&quot;pageReplace&quot;:&quot;&quot;,&quot;prefix&quot;:&quot;&quot;,&quot;suffix&quot;:&quot;&quot;}},&quot;hasBrokenReferences&quot;:false,&quot;hasManualEdits&quot;:false,&quot;citationType&quot;:&quot;inline&quot;,&quot;id&quot;:2060978714,&quot;citationText&quot;:&quot;&lt;span style=\&quot;font-family:Calibri;font-size:14.666666666666666px;color:#000000\&quot;&gt;(Driscoll, 2007)&lt;/span&gt;&quot;},&quot;-1552219347&quot;:{&quot;referencesIds&quot;:[&quot;doc:6283fe1d8f080f6692a5e994&quot;],&quot;referencesOptions&quot;:{&quot;doc:6283fe1d8f080f6692a5e994&quot;:{&quot;author&quot;:true,&quot;year&quot;:true,&quot;pageReplace&quot;:&quot;&quot;,&quot;prefix&quot;:&quot;&quot;,&quot;suffix&quot;:&quot;&quot;}},&quot;hasBrokenReferences&quot;:false,&quot;hasManualEdits&quot;:false,&quot;citationType&quot;:&quot;inline&quot;,&quot;id&quot;:-1552219347,&quot;citationText&quot;:&quot;&lt;span style=\&quot;font-family:Calibri;font-size:14.666666666666666px;color:#000000\&quot;&gt;(Chakrabarti, 2013)&lt;/span&gt;&quot;},&quot;-1542132937&quot;:{&quot;referencesIds&quot;:[&quot;doc:629e65848f08aadbc75c37e1&quot;],&quot;referencesOptions&quot;:{&quot;doc:629e65848f08aadbc75c37e1&quot;:{&quot;author&quot;:true,&quot;year&quot;:true,&quot;pageReplace&quot;:&quot;&quot;,&quot;prefix&quot;:&quot;&quot;,&quot;suffix&quot;:&quot;&quot;}},&quot;hasBrokenReferences&quot;:false,&quot;hasManualEdits&quot;:false,&quot;citationType&quot;:&quot;inline&quot;,&quot;id&quot;:-1542132937,&quot;citationText&quot;:&quot;&lt;span style=\&quot;font-family:Calibri;font-size:14.666666666666666px;color:#000000\&quot;&gt;(Delaney &amp;amp; Royal, 2017)&lt;/span&gt;&quot;},&quot;-1173715211&quot;:{&quot;referencesIds&quot;:[&quot;doc:629e78a68f0854880baba556&quot;],&quot;referencesOptions&quot;:{&quot;doc:629e78a68f0854880baba556&quot;:{&quot;author&quot;:true,&quot;year&quot;:true,&quot;pageReplace&quot;:&quot;&quot;,&quot;prefix&quot;:&quot;&quot;,&quot;suffix&quot;:&quot;&quot;}},&quot;hasBrokenReferences&quot;:false,&quot;hasManualEdits&quot;:false,&quot;citationType&quot;:&quot;inline&quot;,&quot;id&quot;:-1173715211,&quot;citationText&quot;:&quot;&lt;span style=\&quot;font-family:Calibri;font-size:14.666666666666666px;color:#000000\&quot;&gt;(Fernandez, 2007)&lt;/span&gt;&quot;},&quot;-10690196&quot;:{&quot;referencesIds&quot;:[&quot;doc:629e71088f08e34e2c6af595&quot;],&quot;referencesOptions&quot;:{&quot;doc:629e71088f08e34e2c6af595&quot;:{&quot;author&quot;:true,&quot;year&quot;:true,&quot;pageReplace&quot;:&quot;&quot;,&quot;prefix&quot;:&quot;&quot;,&quot;suffix&quot;:&quot;&quot;}},&quot;hasBrokenReferences&quot;:false,&quot;hasManualEdits&quot;:false,&quot;citationType&quot;:&quot;inline&quot;,&quot;id&quot;:-10690196,&quot;citationText&quot;:&quot;&lt;span style=\&quot;font-family:Calibri;font-size:14.666666666666666px;color:#000000\&quot;&gt;(Janis, 1983)&lt;/span&gt;&quot;},&quot;-1628536028&quot;:{&quot;referencesIds&quot;:[&quot;doc:629d13fb8f0878d12e4bf0ea&quot;],&quot;referencesOptions&quot;:{&quot;doc:629d13fb8f0878d12e4bf0ea&quot;:{&quot;author&quot;:true,&quot;year&quot;:true,&quot;pageReplace&quot;:&quot;&quot;,&quot;prefix&quot;:&quot;&quot;,&quot;suffix&quot;:&quot;&quot;}},&quot;hasBrokenReferences&quot;:false,&quot;hasManualEdits&quot;:false,&quot;citationType&quot;:&quot;inline&quot;,&quot;id&quot;:-1628536028,&quot;citationText&quot;:&quot;&lt;span style=\&quot;font-family:Calibri;font-size:14.666666666666666px;color:#000000\&quot;&gt;(MacCaull et al., 2010)&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w.officeVersion" value="&quot;1.2&quot;"/>
    <we:property name="rcm.version" value="2"/>
  </we:properties>
  <we:bindings>
    <we:binding id="-1552219347" type="text" appref="2742747949"/>
    <we:binding id="-1542132937" type="text" appref="2752834359"/>
    <we:binding id="1258091365" type="text" appref="1258091365"/>
    <we:binding id="-1173715211" type="text" appref="3121252085"/>
    <we:binding id="-10690196" type="text" appref="4284277100"/>
    <we:binding id="1055889481" type="text" appref="1055889481"/>
    <we:binding id="-1628536028" type="text" appref="2666431268"/>
    <we:binding id="2060978714" type="text" appref="2060978714"/>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52443-1845-4C19-91D5-FD4F55513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1757</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Sakkarai Ambalavanan (BCUHB - Respiratory Medicine)</dc:creator>
  <cp:keywords/>
  <dc:description/>
  <cp:lastModifiedBy>Sakkarai Ambalavanan (BCUHB - Respiratory Medicine)</cp:lastModifiedBy>
  <cp:revision>13</cp:revision>
  <dcterms:created xsi:type="dcterms:W3CDTF">2022-06-06T18:22:00Z</dcterms:created>
  <dcterms:modified xsi:type="dcterms:W3CDTF">2022-06-09T17:49:00Z</dcterms:modified>
</cp:coreProperties>
</file>