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FCAC1D" w14:textId="023893AF" w:rsidR="00D67926" w:rsidRPr="0085788F" w:rsidRDefault="1B1827CC" w:rsidP="595E708A">
      <w:pPr>
        <w:ind w:left="2880" w:firstLine="720"/>
        <w:rPr>
          <w:rFonts w:eastAsiaTheme="minorEastAsia"/>
          <w:b/>
          <w:bCs/>
          <w:sz w:val="24"/>
          <w:szCs w:val="24"/>
        </w:rPr>
      </w:pPr>
      <w:r w:rsidRPr="595E708A">
        <w:rPr>
          <w:rFonts w:eastAsiaTheme="minorEastAsia"/>
          <w:b/>
          <w:bCs/>
          <w:sz w:val="24"/>
          <w:szCs w:val="24"/>
        </w:rPr>
        <w:t>Task 1</w:t>
      </w:r>
    </w:p>
    <w:p w14:paraId="3FA6C4BA" w14:textId="77777777" w:rsidR="00D67926" w:rsidRDefault="00D67926" w:rsidP="595E708A">
      <w:pPr>
        <w:rPr>
          <w:rFonts w:eastAsiaTheme="minorEastAsia"/>
        </w:rPr>
      </w:pPr>
    </w:p>
    <w:p w14:paraId="37952F75" w14:textId="5BE10EB9" w:rsidR="00B33BDB" w:rsidRPr="00556E70" w:rsidRDefault="7CDC9EAA" w:rsidP="595E708A">
      <w:pPr>
        <w:rPr>
          <w:rFonts w:eastAsiaTheme="minorEastAsia"/>
        </w:rPr>
      </w:pPr>
      <w:r w:rsidRPr="00556E70">
        <w:rPr>
          <w:rFonts w:eastAsiaTheme="minorEastAsia"/>
        </w:rPr>
        <w:t xml:space="preserve">Organisational justice has affected </w:t>
      </w:r>
      <w:r w:rsidR="2673F71E" w:rsidRPr="00556E70">
        <w:rPr>
          <w:rFonts w:eastAsiaTheme="minorEastAsia"/>
        </w:rPr>
        <w:t xml:space="preserve">me </w:t>
      </w:r>
      <w:r w:rsidRPr="00556E70">
        <w:rPr>
          <w:rFonts w:eastAsiaTheme="minorEastAsia"/>
        </w:rPr>
        <w:t xml:space="preserve">in many </w:t>
      </w:r>
      <w:r w:rsidR="2673F71E" w:rsidRPr="00556E70">
        <w:rPr>
          <w:rFonts w:eastAsiaTheme="minorEastAsia"/>
        </w:rPr>
        <w:t>ways</w:t>
      </w:r>
      <w:r w:rsidRPr="00556E70">
        <w:rPr>
          <w:rFonts w:eastAsiaTheme="minorEastAsia"/>
        </w:rPr>
        <w:t xml:space="preserve">, during this essay </w:t>
      </w:r>
      <w:r w:rsidR="2673F71E" w:rsidRPr="00556E70">
        <w:rPr>
          <w:rFonts w:eastAsiaTheme="minorEastAsia"/>
        </w:rPr>
        <w:t xml:space="preserve">I </w:t>
      </w:r>
      <w:r w:rsidRPr="00556E70">
        <w:rPr>
          <w:rFonts w:eastAsiaTheme="minorEastAsia"/>
        </w:rPr>
        <w:t xml:space="preserve">am going </w:t>
      </w:r>
      <w:r w:rsidR="2673F71E" w:rsidRPr="00556E70">
        <w:rPr>
          <w:rFonts w:eastAsiaTheme="minorEastAsia"/>
        </w:rPr>
        <w:t xml:space="preserve">to </w:t>
      </w:r>
      <w:r w:rsidRPr="00556E70">
        <w:rPr>
          <w:rFonts w:eastAsiaTheme="minorEastAsia"/>
        </w:rPr>
        <w:t xml:space="preserve">reflect on </w:t>
      </w:r>
      <w:r w:rsidR="2673F71E" w:rsidRPr="00556E70">
        <w:rPr>
          <w:rFonts w:eastAsiaTheme="minorEastAsia"/>
        </w:rPr>
        <w:t xml:space="preserve">what </w:t>
      </w:r>
      <w:r w:rsidRPr="00556E70">
        <w:rPr>
          <w:rFonts w:eastAsiaTheme="minorEastAsia"/>
        </w:rPr>
        <w:t xml:space="preserve">organisational justice means and </w:t>
      </w:r>
      <w:r w:rsidR="2673F71E" w:rsidRPr="00556E70">
        <w:rPr>
          <w:rFonts w:eastAsiaTheme="minorEastAsia"/>
        </w:rPr>
        <w:t xml:space="preserve">how </w:t>
      </w:r>
      <w:r w:rsidRPr="00556E70">
        <w:rPr>
          <w:rFonts w:eastAsiaTheme="minorEastAsia"/>
        </w:rPr>
        <w:t xml:space="preserve">it </w:t>
      </w:r>
      <w:r w:rsidR="2673F71E" w:rsidRPr="00556E70">
        <w:rPr>
          <w:rFonts w:eastAsiaTheme="minorEastAsia"/>
        </w:rPr>
        <w:t xml:space="preserve">affects </w:t>
      </w:r>
      <w:r w:rsidRPr="00556E70">
        <w:rPr>
          <w:rFonts w:eastAsiaTheme="minorEastAsia"/>
        </w:rPr>
        <w:t xml:space="preserve">myself and my colleagues on </w:t>
      </w:r>
      <w:r w:rsidR="2673F71E" w:rsidRPr="00556E70">
        <w:rPr>
          <w:rFonts w:eastAsiaTheme="minorEastAsia"/>
        </w:rPr>
        <w:t xml:space="preserve">the </w:t>
      </w:r>
      <w:r w:rsidRPr="00556E70">
        <w:rPr>
          <w:rFonts w:eastAsiaTheme="minorEastAsia"/>
        </w:rPr>
        <w:t xml:space="preserve">front line </w:t>
      </w:r>
      <w:r w:rsidR="2673F71E" w:rsidRPr="00556E70">
        <w:rPr>
          <w:rFonts w:eastAsiaTheme="minorEastAsia"/>
        </w:rPr>
        <w:t xml:space="preserve">of </w:t>
      </w:r>
      <w:r w:rsidRPr="00556E70">
        <w:rPr>
          <w:rFonts w:eastAsiaTheme="minorEastAsia"/>
        </w:rPr>
        <w:t>policing.</w:t>
      </w:r>
      <w:r w:rsidR="7445DBB2" w:rsidRPr="00556E70">
        <w:rPr>
          <w:rFonts w:eastAsiaTheme="minorEastAsia"/>
        </w:rPr>
        <w:t xml:space="preserve"> </w:t>
      </w:r>
      <w:r w:rsidR="2673F71E" w:rsidRPr="00556E70">
        <w:rPr>
          <w:rFonts w:eastAsiaTheme="minorEastAsia"/>
        </w:rPr>
        <w:t xml:space="preserve">The </w:t>
      </w:r>
      <w:r w:rsidR="7445DBB2" w:rsidRPr="00556E70">
        <w:rPr>
          <w:rFonts w:eastAsiaTheme="minorEastAsia"/>
        </w:rPr>
        <w:t xml:space="preserve">term ‘Organisational Justice’ is closely linked </w:t>
      </w:r>
      <w:r w:rsidR="2673F71E" w:rsidRPr="00556E70">
        <w:rPr>
          <w:rFonts w:eastAsiaTheme="minorEastAsia"/>
        </w:rPr>
        <w:t xml:space="preserve">to the </w:t>
      </w:r>
      <w:r w:rsidR="7445DBB2" w:rsidRPr="00556E70">
        <w:rPr>
          <w:rFonts w:eastAsiaTheme="minorEastAsia"/>
        </w:rPr>
        <w:t xml:space="preserve">Police </w:t>
      </w:r>
      <w:r w:rsidR="2673F71E" w:rsidRPr="00556E70">
        <w:rPr>
          <w:rFonts w:eastAsiaTheme="minorEastAsia"/>
        </w:rPr>
        <w:t xml:space="preserve">force </w:t>
      </w:r>
      <w:r w:rsidR="7445DBB2" w:rsidRPr="00556E70">
        <w:rPr>
          <w:rFonts w:eastAsiaTheme="minorEastAsia"/>
        </w:rPr>
        <w:t xml:space="preserve">own standards method </w:t>
      </w:r>
      <w:r w:rsidR="2673F71E" w:rsidRPr="00556E70">
        <w:rPr>
          <w:rFonts w:eastAsiaTheme="minorEastAsia"/>
        </w:rPr>
        <w:t xml:space="preserve">which </w:t>
      </w:r>
      <w:r w:rsidR="7445DBB2" w:rsidRPr="00556E70">
        <w:rPr>
          <w:rFonts w:eastAsiaTheme="minorEastAsia"/>
        </w:rPr>
        <w:t xml:space="preserve">is known as </w:t>
      </w:r>
      <w:r w:rsidR="2673F71E" w:rsidRPr="00556E70">
        <w:rPr>
          <w:rFonts w:eastAsiaTheme="minorEastAsia"/>
        </w:rPr>
        <w:t xml:space="preserve">the </w:t>
      </w:r>
      <w:r w:rsidR="7445DBB2" w:rsidRPr="00556E70">
        <w:rPr>
          <w:rFonts w:eastAsiaTheme="minorEastAsia"/>
        </w:rPr>
        <w:t xml:space="preserve">code </w:t>
      </w:r>
      <w:r w:rsidR="2673F71E" w:rsidRPr="00556E70">
        <w:rPr>
          <w:rFonts w:eastAsiaTheme="minorEastAsia"/>
        </w:rPr>
        <w:t xml:space="preserve">of </w:t>
      </w:r>
      <w:r w:rsidR="7445DBB2" w:rsidRPr="00556E70">
        <w:rPr>
          <w:rFonts w:eastAsiaTheme="minorEastAsia"/>
        </w:rPr>
        <w:t xml:space="preserve">ethics. </w:t>
      </w:r>
    </w:p>
    <w:p w14:paraId="312D8036" w14:textId="265FD77D" w:rsidR="00912C60" w:rsidRPr="00556E70" w:rsidRDefault="7445DBB2" w:rsidP="595E708A">
      <w:pPr>
        <w:rPr>
          <w:rFonts w:eastAsiaTheme="minorEastAsia"/>
        </w:rPr>
      </w:pPr>
      <w:r w:rsidRPr="00556E70">
        <w:rPr>
          <w:rFonts w:eastAsiaTheme="minorEastAsia"/>
        </w:rPr>
        <w:t xml:space="preserve">Over </w:t>
      </w:r>
      <w:r w:rsidR="2673F71E" w:rsidRPr="00556E70">
        <w:rPr>
          <w:rFonts w:eastAsiaTheme="minorEastAsia"/>
        </w:rPr>
        <w:t xml:space="preserve">the </w:t>
      </w:r>
      <w:r w:rsidRPr="00556E70">
        <w:rPr>
          <w:rFonts w:eastAsiaTheme="minorEastAsia"/>
        </w:rPr>
        <w:t xml:space="preserve">next </w:t>
      </w:r>
      <w:r w:rsidR="2673F71E" w:rsidRPr="00556E70">
        <w:rPr>
          <w:rFonts w:eastAsiaTheme="minorEastAsia"/>
        </w:rPr>
        <w:t xml:space="preserve">few </w:t>
      </w:r>
      <w:r w:rsidRPr="00556E70">
        <w:rPr>
          <w:rFonts w:eastAsiaTheme="minorEastAsia"/>
        </w:rPr>
        <w:t xml:space="preserve">paragraphs </w:t>
      </w:r>
      <w:r w:rsidR="2673F71E" w:rsidRPr="00556E70">
        <w:rPr>
          <w:rFonts w:eastAsiaTheme="minorEastAsia"/>
        </w:rPr>
        <w:t xml:space="preserve">I </w:t>
      </w:r>
      <w:r w:rsidRPr="00556E70">
        <w:rPr>
          <w:rFonts w:eastAsiaTheme="minorEastAsia"/>
        </w:rPr>
        <w:t xml:space="preserve">am going </w:t>
      </w:r>
      <w:r w:rsidR="2673F71E" w:rsidRPr="00556E70">
        <w:rPr>
          <w:rFonts w:eastAsiaTheme="minorEastAsia"/>
        </w:rPr>
        <w:t xml:space="preserve">to </w:t>
      </w:r>
      <w:r w:rsidRPr="00556E70">
        <w:rPr>
          <w:rFonts w:eastAsiaTheme="minorEastAsia"/>
        </w:rPr>
        <w:t xml:space="preserve">describe </w:t>
      </w:r>
      <w:r w:rsidR="2673F71E" w:rsidRPr="00556E70">
        <w:rPr>
          <w:rFonts w:eastAsiaTheme="minorEastAsia"/>
        </w:rPr>
        <w:t xml:space="preserve">the </w:t>
      </w:r>
      <w:r w:rsidRPr="00556E70">
        <w:rPr>
          <w:rFonts w:eastAsiaTheme="minorEastAsia"/>
        </w:rPr>
        <w:t xml:space="preserve">impact that these </w:t>
      </w:r>
      <w:r w:rsidR="2673F71E" w:rsidRPr="00556E70">
        <w:rPr>
          <w:rFonts w:eastAsiaTheme="minorEastAsia"/>
        </w:rPr>
        <w:t xml:space="preserve">principles have </w:t>
      </w:r>
      <w:r w:rsidRPr="00556E70">
        <w:rPr>
          <w:rFonts w:eastAsiaTheme="minorEastAsia"/>
        </w:rPr>
        <w:t xml:space="preserve">on my day </w:t>
      </w:r>
      <w:r w:rsidR="2673F71E" w:rsidRPr="00556E70">
        <w:rPr>
          <w:rFonts w:eastAsiaTheme="minorEastAsia"/>
        </w:rPr>
        <w:t xml:space="preserve">to </w:t>
      </w:r>
      <w:r w:rsidRPr="00556E70">
        <w:rPr>
          <w:rFonts w:eastAsiaTheme="minorEastAsia"/>
        </w:rPr>
        <w:t xml:space="preserve">day decision making </w:t>
      </w:r>
      <w:r w:rsidR="2673F71E" w:rsidRPr="00556E70">
        <w:rPr>
          <w:rFonts w:eastAsiaTheme="minorEastAsia"/>
        </w:rPr>
        <w:t>process</w:t>
      </w:r>
      <w:r w:rsidRPr="00556E70">
        <w:rPr>
          <w:rFonts w:eastAsiaTheme="minorEastAsia"/>
        </w:rPr>
        <w:t xml:space="preserve">. </w:t>
      </w:r>
      <w:r w:rsidR="2673F71E" w:rsidRPr="00556E70">
        <w:rPr>
          <w:rFonts w:eastAsiaTheme="minorEastAsia"/>
        </w:rPr>
        <w:t xml:space="preserve">Within </w:t>
      </w:r>
      <w:r w:rsidR="1E7F3CE7" w:rsidRPr="00556E70">
        <w:rPr>
          <w:rFonts w:eastAsiaTheme="minorEastAsia"/>
        </w:rPr>
        <w:t xml:space="preserve">this paper </w:t>
      </w:r>
      <w:r w:rsidR="2673F71E" w:rsidRPr="00556E70">
        <w:rPr>
          <w:rFonts w:eastAsiaTheme="minorEastAsia"/>
        </w:rPr>
        <w:t xml:space="preserve">I </w:t>
      </w:r>
      <w:r w:rsidR="1E7F3CE7" w:rsidRPr="00556E70">
        <w:rPr>
          <w:rFonts w:eastAsiaTheme="minorEastAsia"/>
        </w:rPr>
        <w:t xml:space="preserve">am going </w:t>
      </w:r>
      <w:r w:rsidR="2673F71E" w:rsidRPr="00556E70">
        <w:rPr>
          <w:rFonts w:eastAsiaTheme="minorEastAsia"/>
        </w:rPr>
        <w:t xml:space="preserve">to </w:t>
      </w:r>
      <w:r w:rsidR="1E7F3CE7" w:rsidRPr="00556E70">
        <w:rPr>
          <w:rFonts w:eastAsiaTheme="minorEastAsia"/>
        </w:rPr>
        <w:t xml:space="preserve">detail </w:t>
      </w:r>
      <w:r w:rsidR="2673F71E" w:rsidRPr="00556E70">
        <w:rPr>
          <w:rFonts w:eastAsiaTheme="minorEastAsia"/>
        </w:rPr>
        <w:t xml:space="preserve">some of the </w:t>
      </w:r>
      <w:r w:rsidR="1E7F3CE7" w:rsidRPr="00556E70">
        <w:rPr>
          <w:rFonts w:eastAsiaTheme="minorEastAsia"/>
        </w:rPr>
        <w:t xml:space="preserve">strides being </w:t>
      </w:r>
      <w:r w:rsidR="2673F71E" w:rsidRPr="00556E70">
        <w:rPr>
          <w:rFonts w:eastAsiaTheme="minorEastAsia"/>
        </w:rPr>
        <w:t xml:space="preserve">taken by the </w:t>
      </w:r>
      <w:r w:rsidR="1E7F3CE7" w:rsidRPr="00556E70">
        <w:rPr>
          <w:rFonts w:eastAsiaTheme="minorEastAsia"/>
        </w:rPr>
        <w:t xml:space="preserve">police </w:t>
      </w:r>
      <w:r w:rsidR="2673F71E" w:rsidRPr="00556E70">
        <w:rPr>
          <w:rFonts w:eastAsiaTheme="minorEastAsia"/>
        </w:rPr>
        <w:t xml:space="preserve">service to attain good </w:t>
      </w:r>
      <w:r w:rsidR="1E7F3CE7" w:rsidRPr="00556E70">
        <w:rPr>
          <w:rFonts w:eastAsiaTheme="minorEastAsia"/>
        </w:rPr>
        <w:t>ethical standards.</w:t>
      </w:r>
    </w:p>
    <w:p w14:paraId="10CBF9C9" w14:textId="070A0573" w:rsidR="00A5185B" w:rsidRPr="00556E70" w:rsidRDefault="2673F71E" w:rsidP="595E708A">
      <w:pPr>
        <w:rPr>
          <w:rFonts w:eastAsiaTheme="minorEastAsia"/>
        </w:rPr>
      </w:pPr>
      <w:r w:rsidRPr="00556E70">
        <w:rPr>
          <w:rFonts w:eastAsiaTheme="minorEastAsia"/>
        </w:rPr>
        <w:t xml:space="preserve">The college of </w:t>
      </w:r>
      <w:r w:rsidR="7445DBB2" w:rsidRPr="00556E70">
        <w:rPr>
          <w:rFonts w:eastAsiaTheme="minorEastAsia"/>
        </w:rPr>
        <w:t xml:space="preserve">policing has released </w:t>
      </w:r>
      <w:r w:rsidRPr="00556E70">
        <w:rPr>
          <w:rFonts w:eastAsiaTheme="minorEastAsia"/>
        </w:rPr>
        <w:t xml:space="preserve">its </w:t>
      </w:r>
      <w:r w:rsidR="7445DBB2" w:rsidRPr="00556E70">
        <w:rPr>
          <w:rFonts w:eastAsiaTheme="minorEastAsia"/>
        </w:rPr>
        <w:t xml:space="preserve">own documentation and guidelines explaining </w:t>
      </w:r>
      <w:r w:rsidR="6EFF4AD6" w:rsidRPr="00556E70">
        <w:rPr>
          <w:rFonts w:eastAsiaTheme="minorEastAsia"/>
        </w:rPr>
        <w:t>o</w:t>
      </w:r>
      <w:r w:rsidR="7445DBB2" w:rsidRPr="00556E70">
        <w:rPr>
          <w:rFonts w:eastAsiaTheme="minorEastAsia"/>
        </w:rPr>
        <w:t xml:space="preserve">rganisational justice, behaviour and ethical policing </w:t>
      </w:r>
      <w:r w:rsidRPr="00556E70">
        <w:rPr>
          <w:rFonts w:eastAsiaTheme="minorEastAsia"/>
        </w:rPr>
        <w:t xml:space="preserve">which </w:t>
      </w:r>
      <w:r w:rsidR="7445DBB2" w:rsidRPr="00556E70">
        <w:rPr>
          <w:rFonts w:eastAsiaTheme="minorEastAsia"/>
        </w:rPr>
        <w:t xml:space="preserve">outlines </w:t>
      </w:r>
      <w:r w:rsidRPr="00556E70">
        <w:rPr>
          <w:rFonts w:eastAsiaTheme="minorEastAsia"/>
        </w:rPr>
        <w:t xml:space="preserve">the core principles </w:t>
      </w:r>
      <w:r w:rsidR="1E7F3CE7" w:rsidRPr="00556E70">
        <w:rPr>
          <w:rFonts w:eastAsiaTheme="minorEastAsia"/>
        </w:rPr>
        <w:t xml:space="preserve">needed as </w:t>
      </w:r>
      <w:r w:rsidRPr="00556E70">
        <w:rPr>
          <w:rFonts w:eastAsiaTheme="minorEastAsia"/>
        </w:rPr>
        <w:t xml:space="preserve">the force </w:t>
      </w:r>
      <w:r w:rsidR="1E7F3CE7" w:rsidRPr="00556E70">
        <w:rPr>
          <w:rFonts w:eastAsiaTheme="minorEastAsia"/>
        </w:rPr>
        <w:t xml:space="preserve">moves </w:t>
      </w:r>
      <w:r w:rsidRPr="00556E70">
        <w:rPr>
          <w:rFonts w:eastAsiaTheme="minorEastAsia"/>
        </w:rPr>
        <w:t>forward</w:t>
      </w:r>
      <w:r w:rsidR="1E7F3CE7" w:rsidRPr="00556E70">
        <w:rPr>
          <w:rFonts w:eastAsiaTheme="minorEastAsia"/>
        </w:rPr>
        <w:t xml:space="preserve">. </w:t>
      </w:r>
    </w:p>
    <w:p w14:paraId="068E1688" w14:textId="44D44FD4" w:rsidR="00912C60" w:rsidRPr="00556E70" w:rsidRDefault="2673F71E" w:rsidP="595E708A">
      <w:pPr>
        <w:rPr>
          <w:rFonts w:eastAsiaTheme="minorEastAsia"/>
        </w:rPr>
      </w:pPr>
      <w:r w:rsidRPr="00556E70">
        <w:rPr>
          <w:rFonts w:eastAsiaTheme="minorEastAsia"/>
        </w:rPr>
        <w:t xml:space="preserve">The </w:t>
      </w:r>
      <w:r w:rsidR="1E7F3CE7" w:rsidRPr="00556E70">
        <w:rPr>
          <w:rFonts w:eastAsiaTheme="minorEastAsia"/>
        </w:rPr>
        <w:t xml:space="preserve">document explains </w:t>
      </w:r>
      <w:r w:rsidRPr="00556E70">
        <w:rPr>
          <w:rFonts w:eastAsiaTheme="minorEastAsia"/>
        </w:rPr>
        <w:t xml:space="preserve">the </w:t>
      </w:r>
      <w:r w:rsidR="1E7F3CE7" w:rsidRPr="00556E70">
        <w:rPr>
          <w:rFonts w:eastAsiaTheme="minorEastAsia"/>
        </w:rPr>
        <w:t xml:space="preserve">attitudes and behaviours </w:t>
      </w:r>
      <w:r w:rsidRPr="00556E70">
        <w:rPr>
          <w:rFonts w:eastAsiaTheme="minorEastAsia"/>
        </w:rPr>
        <w:t xml:space="preserve">of </w:t>
      </w:r>
      <w:r w:rsidR="1E7F3CE7" w:rsidRPr="00556E70">
        <w:rPr>
          <w:rFonts w:eastAsiaTheme="minorEastAsia"/>
        </w:rPr>
        <w:t>officers which can be</w:t>
      </w:r>
      <w:r w:rsidRPr="00556E70">
        <w:rPr>
          <w:rFonts w:eastAsiaTheme="minorEastAsia"/>
        </w:rPr>
        <w:t xml:space="preserve"> </w:t>
      </w:r>
      <w:r w:rsidR="1E7F3CE7" w:rsidRPr="00556E70">
        <w:rPr>
          <w:rFonts w:eastAsiaTheme="minorEastAsia"/>
        </w:rPr>
        <w:t xml:space="preserve">affected </w:t>
      </w:r>
      <w:r w:rsidRPr="00556E70">
        <w:rPr>
          <w:rFonts w:eastAsiaTheme="minorEastAsia"/>
        </w:rPr>
        <w:t xml:space="preserve">by the </w:t>
      </w:r>
      <w:r w:rsidR="1E7F3CE7" w:rsidRPr="00556E70">
        <w:rPr>
          <w:rFonts w:eastAsiaTheme="minorEastAsia"/>
        </w:rPr>
        <w:t xml:space="preserve">fairness and respect they receive from </w:t>
      </w:r>
      <w:r w:rsidRPr="00556E70">
        <w:rPr>
          <w:rFonts w:eastAsiaTheme="minorEastAsia"/>
        </w:rPr>
        <w:t xml:space="preserve">higher </w:t>
      </w:r>
      <w:r w:rsidR="1E7F3CE7" w:rsidRPr="00556E70">
        <w:rPr>
          <w:rFonts w:eastAsiaTheme="minorEastAsia"/>
        </w:rPr>
        <w:t xml:space="preserve">ranking supervisors. </w:t>
      </w:r>
      <w:r w:rsidR="226B4C31" w:rsidRPr="00556E70">
        <w:rPr>
          <w:rFonts w:eastAsiaTheme="minorEastAsia"/>
        </w:rPr>
        <w:t xml:space="preserve">Throughout industries, </w:t>
      </w:r>
      <w:r w:rsidRPr="00556E70">
        <w:rPr>
          <w:rFonts w:eastAsiaTheme="minorEastAsia"/>
        </w:rPr>
        <w:t xml:space="preserve">the </w:t>
      </w:r>
      <w:r w:rsidR="226B4C31" w:rsidRPr="00556E70">
        <w:rPr>
          <w:rFonts w:eastAsiaTheme="minorEastAsia"/>
        </w:rPr>
        <w:t xml:space="preserve">common trend </w:t>
      </w:r>
      <w:r w:rsidRPr="00556E70">
        <w:rPr>
          <w:rFonts w:eastAsiaTheme="minorEastAsia"/>
        </w:rPr>
        <w:t xml:space="preserve">when </w:t>
      </w:r>
      <w:r w:rsidR="226B4C31" w:rsidRPr="00556E70">
        <w:rPr>
          <w:rFonts w:eastAsiaTheme="minorEastAsia"/>
        </w:rPr>
        <w:t xml:space="preserve">communicating with employee’s </w:t>
      </w:r>
      <w:r w:rsidRPr="00556E70">
        <w:rPr>
          <w:rFonts w:eastAsiaTheme="minorEastAsia"/>
        </w:rPr>
        <w:t xml:space="preserve">would be </w:t>
      </w:r>
      <w:r w:rsidR="226B4C31" w:rsidRPr="00556E70">
        <w:rPr>
          <w:rFonts w:eastAsiaTheme="minorEastAsia"/>
        </w:rPr>
        <w:t xml:space="preserve">that being valued and treated fairly </w:t>
      </w:r>
      <w:r w:rsidRPr="00556E70">
        <w:rPr>
          <w:rFonts w:eastAsiaTheme="minorEastAsia"/>
        </w:rPr>
        <w:t xml:space="preserve">by the </w:t>
      </w:r>
      <w:r w:rsidR="226B4C31" w:rsidRPr="00556E70">
        <w:rPr>
          <w:rFonts w:eastAsiaTheme="minorEastAsia"/>
        </w:rPr>
        <w:t xml:space="preserve">employer was </w:t>
      </w:r>
      <w:r w:rsidRPr="00556E70">
        <w:rPr>
          <w:rFonts w:eastAsiaTheme="minorEastAsia"/>
        </w:rPr>
        <w:t xml:space="preserve">one of the main </w:t>
      </w:r>
      <w:r w:rsidR="226B4C31" w:rsidRPr="00556E70">
        <w:rPr>
          <w:rFonts w:eastAsiaTheme="minorEastAsia"/>
        </w:rPr>
        <w:t>ideologies. To</w:t>
      </w:r>
      <w:r w:rsidRPr="00556E70">
        <w:rPr>
          <w:rFonts w:eastAsiaTheme="minorEastAsia"/>
        </w:rPr>
        <w:t xml:space="preserve"> </w:t>
      </w:r>
      <w:r w:rsidR="226B4C31" w:rsidRPr="00556E70">
        <w:rPr>
          <w:rFonts w:eastAsiaTheme="minorEastAsia"/>
        </w:rPr>
        <w:t xml:space="preserve">maintain a successful business or organisation, research suggests employees need to buy into the idea the organisation is trying to promote. </w:t>
      </w:r>
    </w:p>
    <w:p w14:paraId="7612349E" w14:textId="485F3731" w:rsidR="001526B1" w:rsidRPr="00556E70" w:rsidRDefault="226B4C31" w:rsidP="595E708A">
      <w:pPr>
        <w:rPr>
          <w:rFonts w:eastAsiaTheme="minorEastAsia"/>
        </w:rPr>
      </w:pPr>
      <w:r w:rsidRPr="00556E70">
        <w:rPr>
          <w:rFonts w:eastAsiaTheme="minorEastAsia"/>
        </w:rPr>
        <w:t xml:space="preserve">In short, if officers believe that supervisors are being fair and respectful towards them, the </w:t>
      </w:r>
      <w:r w:rsidR="5B7BA0DA" w:rsidRPr="00556E70">
        <w:rPr>
          <w:rFonts w:eastAsiaTheme="minorEastAsia"/>
        </w:rPr>
        <w:t>front-line</w:t>
      </w:r>
      <w:r w:rsidRPr="00556E70">
        <w:rPr>
          <w:rFonts w:eastAsiaTheme="minorEastAsia"/>
        </w:rPr>
        <w:t xml:space="preserve"> worker will feel engaged </w:t>
      </w:r>
      <w:r w:rsidR="5B7BA0DA" w:rsidRPr="00556E70">
        <w:rPr>
          <w:rFonts w:eastAsiaTheme="minorEastAsia"/>
        </w:rPr>
        <w:t xml:space="preserve">and empowered when conducting their own role. The officer is more inclined to </w:t>
      </w:r>
      <w:r w:rsidRPr="00556E70">
        <w:rPr>
          <w:rFonts w:eastAsiaTheme="minorEastAsia"/>
        </w:rPr>
        <w:t>acknowledge</w:t>
      </w:r>
      <w:r w:rsidR="5B7BA0DA" w:rsidRPr="00556E70">
        <w:rPr>
          <w:rFonts w:eastAsiaTheme="minorEastAsia"/>
        </w:rPr>
        <w:t xml:space="preserve"> and understand</w:t>
      </w:r>
      <w:r w:rsidRPr="00556E70">
        <w:rPr>
          <w:rFonts w:eastAsiaTheme="minorEastAsia"/>
        </w:rPr>
        <w:t xml:space="preserve"> the role the</w:t>
      </w:r>
      <w:r w:rsidR="5B7BA0DA" w:rsidRPr="00556E70">
        <w:rPr>
          <w:rFonts w:eastAsiaTheme="minorEastAsia"/>
        </w:rPr>
        <w:t>y play. The officer will feel duty bound to treat people they meet in the same way that they themselves are treated.</w:t>
      </w:r>
      <w:r w:rsidR="21C19972" w:rsidRPr="00556E70">
        <w:rPr>
          <w:rFonts w:eastAsiaTheme="minorEastAsia"/>
        </w:rPr>
        <w:t xml:space="preserve"> These behaviours have developed and moved on from the ‘carrot and stick ‘style incentivised tactics used in earlier generations of police supervision</w:t>
      </w:r>
      <w:r w:rsidR="1E584489" w:rsidRPr="00556E70">
        <w:rPr>
          <w:rFonts w:eastAsiaTheme="minorEastAsia"/>
        </w:rPr>
        <w:t xml:space="preserve"> (Cooper and Cooper,2017)</w:t>
      </w:r>
      <w:r w:rsidR="21C19972" w:rsidRPr="00556E70">
        <w:rPr>
          <w:rFonts w:eastAsiaTheme="minorEastAsia"/>
        </w:rPr>
        <w:t xml:space="preserve">. </w:t>
      </w:r>
    </w:p>
    <w:p w14:paraId="2360104F" w14:textId="0E6932CA" w:rsidR="00F870E5" w:rsidRPr="00556E70" w:rsidRDefault="5B7BA0DA" w:rsidP="595E708A">
      <w:pPr>
        <w:rPr>
          <w:rFonts w:eastAsiaTheme="minorEastAsia"/>
        </w:rPr>
      </w:pPr>
      <w:r w:rsidRPr="00556E70">
        <w:rPr>
          <w:rFonts w:eastAsiaTheme="minorEastAsia"/>
        </w:rPr>
        <w:t>Policing is a hard vocation and one that requires empathy, courage, legitimacy and ethics. The police service primarily has the backing of the community it polices. Maintaining that balance between fairness and correctness</w:t>
      </w:r>
      <w:r w:rsidR="3A88D2AF" w:rsidRPr="00556E70">
        <w:rPr>
          <w:rFonts w:eastAsiaTheme="minorEastAsia"/>
        </w:rPr>
        <w:t xml:space="preserve"> is a constant battle the police </w:t>
      </w:r>
      <w:r w:rsidR="21C19972" w:rsidRPr="00556E70">
        <w:rPr>
          <w:rFonts w:eastAsiaTheme="minorEastAsia"/>
        </w:rPr>
        <w:t>must</w:t>
      </w:r>
      <w:r w:rsidR="3A88D2AF" w:rsidRPr="00556E70">
        <w:rPr>
          <w:rFonts w:eastAsiaTheme="minorEastAsia"/>
        </w:rPr>
        <w:t xml:space="preserve"> decide upon several thousand times a day throughout the force.</w:t>
      </w:r>
      <w:r w:rsidR="21C19972" w:rsidRPr="00556E70">
        <w:rPr>
          <w:rFonts w:eastAsiaTheme="minorEastAsia"/>
        </w:rPr>
        <w:t xml:space="preserve"> </w:t>
      </w:r>
    </w:p>
    <w:p w14:paraId="4937CDBB" w14:textId="71FE060E" w:rsidR="00FC21EE" w:rsidRPr="00556E70" w:rsidRDefault="21C19972" w:rsidP="595E708A">
      <w:pPr>
        <w:rPr>
          <w:rFonts w:eastAsiaTheme="minorEastAsia"/>
        </w:rPr>
      </w:pPr>
      <w:r w:rsidRPr="00556E70">
        <w:rPr>
          <w:rFonts w:eastAsiaTheme="minorEastAsia"/>
        </w:rPr>
        <w:t xml:space="preserve">By having the backing and respect of the supervising team, a </w:t>
      </w:r>
      <w:r w:rsidR="4817B04B" w:rsidRPr="00556E70">
        <w:rPr>
          <w:rFonts w:eastAsiaTheme="minorEastAsia"/>
        </w:rPr>
        <w:t>front-line</w:t>
      </w:r>
      <w:r w:rsidRPr="00556E70">
        <w:rPr>
          <w:rFonts w:eastAsiaTheme="minorEastAsia"/>
        </w:rPr>
        <w:t xml:space="preserve"> officer has the </w:t>
      </w:r>
      <w:r w:rsidR="75975519" w:rsidRPr="00556E70">
        <w:rPr>
          <w:rFonts w:eastAsiaTheme="minorEastAsia"/>
        </w:rPr>
        <w:t>tendency</w:t>
      </w:r>
      <w:r w:rsidRPr="00556E70">
        <w:rPr>
          <w:rFonts w:eastAsiaTheme="minorEastAsia"/>
        </w:rPr>
        <w:t xml:space="preserve"> to feel more appreciated and subsequently picks up more work and conduct themselves in a way that portrays the organisation with fairness and equality. Officers are more likely to see the value in giving a good service to the community and will have more courage and conviction when making decisions </w:t>
      </w:r>
      <w:r w:rsidR="1E584489" w:rsidRPr="00556E70">
        <w:rPr>
          <w:rFonts w:eastAsiaTheme="minorEastAsia"/>
        </w:rPr>
        <w:t>(Adams,2018).</w:t>
      </w:r>
    </w:p>
    <w:p w14:paraId="19488CA5" w14:textId="17CE9BE0" w:rsidR="001526B1" w:rsidRPr="00556E70" w:rsidRDefault="3A88D2AF" w:rsidP="595E708A">
      <w:pPr>
        <w:rPr>
          <w:rFonts w:eastAsiaTheme="minorEastAsia"/>
        </w:rPr>
      </w:pPr>
      <w:r w:rsidRPr="00556E70">
        <w:rPr>
          <w:rFonts w:eastAsiaTheme="minorEastAsia"/>
        </w:rPr>
        <w:t>If the force can portray a sense of legitimacy when making decisions, the community will engage with the police service and they will work in partnership. This partnership will allow for better information and intelligence links and will mostly police itself, only requiring police intervention once a law has been broken</w:t>
      </w:r>
      <w:r w:rsidR="1E584489" w:rsidRPr="00556E70">
        <w:rPr>
          <w:rFonts w:eastAsiaTheme="minorEastAsia"/>
        </w:rPr>
        <w:t>.</w:t>
      </w:r>
    </w:p>
    <w:p w14:paraId="6C3EAAB4" w14:textId="3D713B55" w:rsidR="000B4503" w:rsidRPr="00556E70" w:rsidRDefault="7C03D014" w:rsidP="595E708A">
      <w:pPr>
        <w:rPr>
          <w:rFonts w:eastAsiaTheme="minorEastAsia"/>
        </w:rPr>
      </w:pPr>
      <w:r w:rsidRPr="00556E70">
        <w:rPr>
          <w:rFonts w:eastAsiaTheme="minorEastAsia"/>
        </w:rPr>
        <w:lastRenderedPageBreak/>
        <w:t>When departments operate at high levels of trust, it appears that individual officers build up more trusting interactions with the community (Carr and Maxwell,2017).</w:t>
      </w:r>
    </w:p>
    <w:p w14:paraId="1C216014" w14:textId="6A28E10F" w:rsidR="006A5F89" w:rsidRPr="00556E70" w:rsidRDefault="1E584489" w:rsidP="595E708A">
      <w:pPr>
        <w:rPr>
          <w:rFonts w:eastAsiaTheme="minorEastAsia"/>
        </w:rPr>
      </w:pPr>
      <w:r w:rsidRPr="00556E70">
        <w:rPr>
          <w:rFonts w:eastAsiaTheme="minorEastAsia"/>
        </w:rPr>
        <w:t xml:space="preserve">The </w:t>
      </w:r>
      <w:r w:rsidR="7C03D014" w:rsidRPr="00556E70">
        <w:rPr>
          <w:rFonts w:eastAsiaTheme="minorEastAsia"/>
        </w:rPr>
        <w:t>consensus</w:t>
      </w:r>
      <w:r w:rsidRPr="00556E70">
        <w:rPr>
          <w:rFonts w:eastAsiaTheme="minorEastAsia"/>
        </w:rPr>
        <w:t xml:space="preserve"> amongst front line officers is that supervisors tend to forget quickly how stressful, fast paced and tense the job is. Forgetting the size of the workload each individual officer carries and </w:t>
      </w:r>
      <w:r w:rsidR="7C03D014" w:rsidRPr="00556E70">
        <w:rPr>
          <w:rFonts w:eastAsiaTheme="minorEastAsia"/>
        </w:rPr>
        <w:t xml:space="preserve">time critical the decisions are. This is coupled with the issues surrounding pay for front line officers who are arguably the face of the force. </w:t>
      </w:r>
    </w:p>
    <w:p w14:paraId="3D4EF875" w14:textId="2157E77C" w:rsidR="00D703D6" w:rsidRPr="00556E70" w:rsidRDefault="59F42920" w:rsidP="595E708A">
      <w:pPr>
        <w:rPr>
          <w:rFonts w:eastAsiaTheme="minorEastAsia"/>
        </w:rPr>
      </w:pPr>
      <w:r w:rsidRPr="00556E70">
        <w:rPr>
          <w:rFonts w:eastAsiaTheme="minorEastAsia"/>
        </w:rPr>
        <w:t>I have found the workload to be high and the expectation of standards to be even higher. Because of this I have found myself becoming very tired during my rest days and have put this largely down to the shift pattern and the effects it has on the human body. Working shift patterns that involve nightshifts have been proven to cause a reduction in job performance and physical injuries including chronic diseases such as diabetes,</w:t>
      </w:r>
      <w:r w:rsidR="55F244C7" w:rsidRPr="00556E70">
        <w:rPr>
          <w:rFonts w:eastAsiaTheme="minorEastAsia"/>
        </w:rPr>
        <w:t xml:space="preserve"> </w:t>
      </w:r>
      <w:r w:rsidRPr="00556E70">
        <w:rPr>
          <w:rFonts w:eastAsiaTheme="minorEastAsia"/>
        </w:rPr>
        <w:t xml:space="preserve">high blood pressure </w:t>
      </w:r>
      <w:r w:rsidR="55F244C7" w:rsidRPr="00556E70">
        <w:rPr>
          <w:rFonts w:eastAsiaTheme="minorEastAsia"/>
        </w:rPr>
        <w:t xml:space="preserve">cerebral vascular injuries (Colten, Altevogt and Institute </w:t>
      </w:r>
      <w:r w:rsidR="4817B04B" w:rsidRPr="00556E70">
        <w:rPr>
          <w:rFonts w:eastAsiaTheme="minorEastAsia"/>
        </w:rPr>
        <w:t>of</w:t>
      </w:r>
      <w:r w:rsidR="55F244C7" w:rsidRPr="00556E70">
        <w:rPr>
          <w:rFonts w:eastAsiaTheme="minorEastAsia"/>
        </w:rPr>
        <w:t xml:space="preserve"> Medicine (U.S.). Committee </w:t>
      </w:r>
      <w:r w:rsidR="4817B04B" w:rsidRPr="00556E70">
        <w:rPr>
          <w:rFonts w:eastAsiaTheme="minorEastAsia"/>
        </w:rPr>
        <w:t>on</w:t>
      </w:r>
      <w:r w:rsidR="55F244C7" w:rsidRPr="00556E70">
        <w:rPr>
          <w:rFonts w:eastAsiaTheme="minorEastAsia"/>
        </w:rPr>
        <w:t xml:space="preserve"> Sleep Medicine </w:t>
      </w:r>
      <w:r w:rsidR="4817B04B" w:rsidRPr="00556E70">
        <w:rPr>
          <w:rFonts w:eastAsiaTheme="minorEastAsia"/>
        </w:rPr>
        <w:t>and</w:t>
      </w:r>
      <w:r w:rsidR="55F244C7" w:rsidRPr="00556E70">
        <w:rPr>
          <w:rFonts w:eastAsiaTheme="minorEastAsia"/>
        </w:rPr>
        <w:t xml:space="preserve"> Research, 2006).</w:t>
      </w:r>
    </w:p>
    <w:p w14:paraId="1DD4E789" w14:textId="237F58C6" w:rsidR="0066383D" w:rsidRPr="00556E70" w:rsidRDefault="5212F163" w:rsidP="595E708A">
      <w:pPr>
        <w:rPr>
          <w:rFonts w:eastAsiaTheme="minorEastAsia"/>
          <w:i/>
          <w:iCs/>
        </w:rPr>
      </w:pPr>
      <w:r w:rsidRPr="00556E70">
        <w:rPr>
          <w:rFonts w:eastAsiaTheme="minorEastAsia"/>
        </w:rPr>
        <w:t xml:space="preserve">In 2014 the College of Policing in England and Wales </w:t>
      </w:r>
      <w:r w:rsidR="4817B04B" w:rsidRPr="00556E70">
        <w:rPr>
          <w:rFonts w:eastAsiaTheme="minorEastAsia"/>
        </w:rPr>
        <w:t>introduced a</w:t>
      </w:r>
      <w:r w:rsidRPr="00556E70">
        <w:rPr>
          <w:rFonts w:eastAsiaTheme="minorEastAsia"/>
        </w:rPr>
        <w:t xml:space="preserve"> ‘Code of Ethics</w:t>
      </w:r>
      <w:r w:rsidR="4817B04B" w:rsidRPr="00556E70">
        <w:rPr>
          <w:rFonts w:eastAsiaTheme="minorEastAsia"/>
        </w:rPr>
        <w:t>’,</w:t>
      </w:r>
      <w:r w:rsidRPr="00556E70">
        <w:rPr>
          <w:rFonts w:eastAsiaTheme="minorEastAsia"/>
        </w:rPr>
        <w:t xml:space="preserve"> this was </w:t>
      </w:r>
      <w:r w:rsidR="5411C4DE" w:rsidRPr="00556E70">
        <w:rPr>
          <w:rFonts w:eastAsiaTheme="minorEastAsia"/>
        </w:rPr>
        <w:t>created to stipulate a set framework and to define acceptable behaviours for all policing staff. The code of ethics set out by the College of Policing 2014 describes ethics as</w:t>
      </w:r>
      <w:r w:rsidR="5411C4DE" w:rsidRPr="00556E70">
        <w:rPr>
          <w:rFonts w:eastAsiaTheme="minorEastAsia"/>
          <w:i/>
          <w:iCs/>
        </w:rPr>
        <w:t xml:space="preserve"> ‘being self-aware, ensuring that everyone in policing feels able to always do the right thing and is confident to challenge colleagues irrespective of their rank or role’. </w:t>
      </w:r>
    </w:p>
    <w:p w14:paraId="01408A62" w14:textId="44488203" w:rsidR="007346B9" w:rsidRPr="00556E70" w:rsidRDefault="5411C4DE" w:rsidP="595E708A">
      <w:pPr>
        <w:rPr>
          <w:rFonts w:eastAsiaTheme="minorEastAsia"/>
        </w:rPr>
      </w:pPr>
      <w:r w:rsidRPr="00556E70">
        <w:rPr>
          <w:rFonts w:eastAsiaTheme="minorEastAsia"/>
        </w:rPr>
        <w:t xml:space="preserve">An organisation </w:t>
      </w:r>
      <w:r w:rsidR="2B588A0D" w:rsidRPr="00556E70">
        <w:rPr>
          <w:rFonts w:eastAsiaTheme="minorEastAsia"/>
        </w:rPr>
        <w:t>must</w:t>
      </w:r>
      <w:r w:rsidRPr="00556E70">
        <w:rPr>
          <w:rFonts w:eastAsiaTheme="minorEastAsia"/>
        </w:rPr>
        <w:t xml:space="preserve"> do more than just create a code of ethics to stand by. Research suggests, when organisations try to inst</w:t>
      </w:r>
      <w:r w:rsidR="2B588A0D" w:rsidRPr="00556E70">
        <w:rPr>
          <w:rFonts w:eastAsiaTheme="minorEastAsia"/>
        </w:rPr>
        <w:t>all</w:t>
      </w:r>
      <w:r w:rsidRPr="00556E70">
        <w:rPr>
          <w:rFonts w:eastAsiaTheme="minorEastAsia"/>
        </w:rPr>
        <w:t xml:space="preserve"> a code of ethics and </w:t>
      </w:r>
      <w:r w:rsidR="2B588A0D" w:rsidRPr="00556E70">
        <w:rPr>
          <w:rFonts w:eastAsiaTheme="minorEastAsia"/>
        </w:rPr>
        <w:t>leaves it as just words on a poster or page the employees rarely take it on board. There becomes a gap between being told the information and acting out the actions of the process (Seglin, 2002).</w:t>
      </w:r>
    </w:p>
    <w:p w14:paraId="5B370C76" w14:textId="5BFA16C2" w:rsidR="005E163E" w:rsidRPr="00556E70" w:rsidRDefault="2B588A0D" w:rsidP="595E708A">
      <w:pPr>
        <w:rPr>
          <w:rFonts w:eastAsiaTheme="minorEastAsia"/>
        </w:rPr>
      </w:pPr>
      <w:r w:rsidRPr="00556E70">
        <w:rPr>
          <w:rFonts w:eastAsiaTheme="minorEastAsia"/>
        </w:rPr>
        <w:t>The answer to a question is not always right or wrong, especially when ethics is introduced</w:t>
      </w:r>
      <w:r w:rsidR="0F42C5B6" w:rsidRPr="00556E70">
        <w:rPr>
          <w:rFonts w:eastAsiaTheme="minorEastAsia"/>
        </w:rPr>
        <w:t>. One person’s ethics will be different from another. It largely depends on how that person is taught, brought up or educated.</w:t>
      </w:r>
    </w:p>
    <w:p w14:paraId="0AE42006" w14:textId="255108F3" w:rsidR="008072F0" w:rsidRPr="00556E70" w:rsidRDefault="0F42C5B6" w:rsidP="595E708A">
      <w:pPr>
        <w:rPr>
          <w:rFonts w:eastAsiaTheme="minorEastAsia"/>
        </w:rPr>
      </w:pPr>
      <w:r w:rsidRPr="00556E70">
        <w:rPr>
          <w:rFonts w:eastAsiaTheme="minorEastAsia"/>
        </w:rPr>
        <w:t xml:space="preserve">Ethics is described as a set of moral principles, or method used to get to a moral outcome in the Merriam-Webster Dictionary (Merriam-Webster, 2022). A person’s own individual ethics will be influenced by </w:t>
      </w:r>
      <w:r w:rsidR="3B3819DD" w:rsidRPr="00556E70">
        <w:rPr>
          <w:rFonts w:eastAsiaTheme="minorEastAsia"/>
        </w:rPr>
        <w:t>their life experiences and figure out what is right or wrong. As a person experiences more situations, then their perception of the rights and wrongs change.</w:t>
      </w:r>
    </w:p>
    <w:p w14:paraId="31ED8862" w14:textId="77E929F9" w:rsidR="00B85730" w:rsidRPr="00556E70" w:rsidRDefault="3B3819DD" w:rsidP="595E708A">
      <w:pPr>
        <w:rPr>
          <w:rFonts w:eastAsiaTheme="minorEastAsia"/>
        </w:rPr>
      </w:pPr>
      <w:r w:rsidRPr="00556E70">
        <w:rPr>
          <w:rFonts w:eastAsiaTheme="minorEastAsia"/>
        </w:rPr>
        <w:t xml:space="preserve">The police service </w:t>
      </w:r>
      <w:r w:rsidR="4817B04B" w:rsidRPr="00556E70">
        <w:rPr>
          <w:rFonts w:eastAsiaTheme="minorEastAsia"/>
        </w:rPr>
        <w:t>has</w:t>
      </w:r>
      <w:r w:rsidRPr="00556E70">
        <w:rPr>
          <w:rFonts w:eastAsiaTheme="minorEastAsia"/>
        </w:rPr>
        <w:t xml:space="preserve"> got to be seen as treating everyone as equals and with fairness. </w:t>
      </w:r>
      <w:r w:rsidR="42A4F5AB" w:rsidRPr="00556E70">
        <w:rPr>
          <w:rFonts w:eastAsiaTheme="minorEastAsia"/>
        </w:rPr>
        <w:t>When</w:t>
      </w:r>
      <w:r w:rsidRPr="00556E70">
        <w:rPr>
          <w:rFonts w:eastAsiaTheme="minorEastAsia"/>
        </w:rPr>
        <w:t xml:space="preserve"> dealing with the public, officers are guided by the code of ethics. </w:t>
      </w:r>
    </w:p>
    <w:p w14:paraId="5F2C6AD8" w14:textId="73396AA9" w:rsidR="00D67926" w:rsidRPr="00556E70" w:rsidRDefault="245DA861" w:rsidP="595E708A">
      <w:pPr>
        <w:rPr>
          <w:rFonts w:eastAsiaTheme="minorEastAsia"/>
        </w:rPr>
      </w:pPr>
      <w:r w:rsidRPr="00556E70">
        <w:rPr>
          <w:rFonts w:eastAsiaTheme="minorEastAsia"/>
        </w:rPr>
        <w:t>Word count 900</w:t>
      </w:r>
    </w:p>
    <w:p w14:paraId="4F8925BC" w14:textId="5B798166" w:rsidR="00D67926" w:rsidRPr="00556E70" w:rsidRDefault="00D67926" w:rsidP="595E708A">
      <w:pPr>
        <w:rPr>
          <w:rFonts w:eastAsiaTheme="minorEastAsia"/>
        </w:rPr>
      </w:pPr>
    </w:p>
    <w:p w14:paraId="6AF3995F" w14:textId="085744D5" w:rsidR="00D67926" w:rsidRPr="00556E70" w:rsidRDefault="1B1827CC" w:rsidP="595E708A">
      <w:pPr>
        <w:ind w:left="2880" w:firstLine="720"/>
        <w:rPr>
          <w:rFonts w:eastAsiaTheme="minorEastAsia"/>
          <w:b/>
          <w:bCs/>
          <w:sz w:val="24"/>
          <w:szCs w:val="24"/>
        </w:rPr>
      </w:pPr>
      <w:r w:rsidRPr="00556E70">
        <w:rPr>
          <w:rFonts w:eastAsiaTheme="minorEastAsia"/>
          <w:b/>
          <w:bCs/>
          <w:sz w:val="24"/>
          <w:szCs w:val="24"/>
        </w:rPr>
        <w:t>Task 2</w:t>
      </w:r>
    </w:p>
    <w:p w14:paraId="1E4FD311" w14:textId="77777777" w:rsidR="00D67926" w:rsidRPr="00556E70" w:rsidRDefault="245DA861" w:rsidP="595E708A">
      <w:pPr>
        <w:rPr>
          <w:rFonts w:eastAsiaTheme="minorEastAsia"/>
        </w:rPr>
      </w:pPr>
      <w:r w:rsidRPr="00556E70">
        <w:rPr>
          <w:rFonts w:eastAsiaTheme="minorEastAsia"/>
        </w:rPr>
        <w:t xml:space="preserve">During the essay I will use Borton’s model of reflection which requires me to describe the problem or issue, analyse and describe what I did before finishing the reflection with a </w:t>
      </w:r>
      <w:r w:rsidRPr="00556E70">
        <w:rPr>
          <w:rFonts w:eastAsiaTheme="minorEastAsia"/>
        </w:rPr>
        <w:lastRenderedPageBreak/>
        <w:t>conclusion and how to improve (Dabell,2018). I will describe a policing incident where I used decision-making methods, the research skills and the discretion required.</w:t>
      </w:r>
    </w:p>
    <w:p w14:paraId="7760E8E5" w14:textId="220BE2BE" w:rsidR="00D67926" w:rsidRPr="00556E70" w:rsidRDefault="245DA861" w:rsidP="595E708A">
      <w:pPr>
        <w:rPr>
          <w:rFonts w:eastAsiaTheme="minorEastAsia"/>
        </w:rPr>
      </w:pPr>
      <w:r w:rsidRPr="00556E70">
        <w:rPr>
          <w:rFonts w:eastAsiaTheme="minorEastAsia"/>
        </w:rPr>
        <w:t>Firstly, I am going to give a brief description of the incident I was presented with, followed by what options I considered when incorporating support services. I will explain the process I used when deciding which option was appropriate to resolve the problem and how I evaluated the available evidence.</w:t>
      </w:r>
    </w:p>
    <w:p w14:paraId="5BD3A275" w14:textId="77777777" w:rsidR="00D67926" w:rsidRPr="00556E70" w:rsidRDefault="245DA861" w:rsidP="595E708A">
      <w:pPr>
        <w:rPr>
          <w:rFonts w:eastAsiaTheme="minorEastAsia"/>
        </w:rPr>
      </w:pPr>
      <w:r w:rsidRPr="00556E70">
        <w:rPr>
          <w:rFonts w:eastAsiaTheme="minorEastAsia"/>
        </w:rPr>
        <w:t>Finally, I will justify my involvement and discuss any possible consequences to my intervention.</w:t>
      </w:r>
    </w:p>
    <w:p w14:paraId="610C59B7" w14:textId="77777777" w:rsidR="00D67926" w:rsidRPr="00556E70" w:rsidRDefault="245DA861" w:rsidP="595E708A">
      <w:pPr>
        <w:rPr>
          <w:rFonts w:eastAsiaTheme="minorEastAsia"/>
        </w:rPr>
      </w:pPr>
      <w:r w:rsidRPr="00556E70">
        <w:rPr>
          <w:rFonts w:eastAsiaTheme="minorEastAsia"/>
        </w:rPr>
        <w:t>During an evening just a few days into the Christmas school holidays, I was alerted by my Force Control Room (FCR) to a potential Burglary in progress at the local comprehensive school.</w:t>
      </w:r>
    </w:p>
    <w:p w14:paraId="31DA9AF2" w14:textId="0CB4F94C" w:rsidR="00D67926" w:rsidRPr="00556E70" w:rsidRDefault="245DA861" w:rsidP="595E708A">
      <w:pPr>
        <w:rPr>
          <w:rFonts w:eastAsiaTheme="minorEastAsia"/>
        </w:rPr>
      </w:pPr>
      <w:r w:rsidRPr="00556E70">
        <w:rPr>
          <w:rFonts w:eastAsiaTheme="minorEastAsia"/>
        </w:rPr>
        <w:t>I was tasked to attend the school site to meet the caretaker, who had attended the grounds because of the alarm activation. A colleague and I immediately attended the school and met with the caretaker. Upon meeting with him, we were informed of a break-in to the main hall of the school. We were taken to the building where it was clear that people had broken in and used the amenities to occupy themselves. I contacted our own Crime Scene Investigators (explore health careers, 2022) also referred to as C.S.I.</w:t>
      </w:r>
    </w:p>
    <w:p w14:paraId="2A770B1C" w14:textId="77777777" w:rsidR="00D67926" w:rsidRPr="00556E70" w:rsidRDefault="245DA861" w:rsidP="595E708A">
      <w:pPr>
        <w:rPr>
          <w:rFonts w:eastAsiaTheme="minorEastAsia"/>
        </w:rPr>
      </w:pPr>
      <w:r w:rsidRPr="00556E70">
        <w:rPr>
          <w:rFonts w:eastAsiaTheme="minorEastAsia"/>
        </w:rPr>
        <w:t>The forensics officer attended the scene and during the detailed examinations they recovered fingerprints and possible D.N.A from a sweet that had been discarded at the scene.</w:t>
      </w:r>
    </w:p>
    <w:p w14:paraId="33F1F8CE" w14:textId="77777777" w:rsidR="00D67926" w:rsidRPr="00556E70" w:rsidRDefault="245DA861" w:rsidP="595E708A">
      <w:pPr>
        <w:rPr>
          <w:rFonts w:eastAsiaTheme="minorEastAsia"/>
        </w:rPr>
      </w:pPr>
      <w:r w:rsidRPr="00556E70">
        <w:rPr>
          <w:rFonts w:eastAsiaTheme="minorEastAsia"/>
        </w:rPr>
        <w:t>D.N.A is unique to its host and can be retrieved by forensic investigators from sources such as bodily fluid (Medline Plus, 2021).</w:t>
      </w:r>
    </w:p>
    <w:p w14:paraId="64E2C330" w14:textId="77777777" w:rsidR="00D67926" w:rsidRPr="00556E70" w:rsidRDefault="245DA861" w:rsidP="595E708A">
      <w:pPr>
        <w:rPr>
          <w:rFonts w:eastAsiaTheme="minorEastAsia"/>
        </w:rPr>
      </w:pPr>
      <w:r w:rsidRPr="00556E70">
        <w:rPr>
          <w:rFonts w:eastAsiaTheme="minorEastAsia"/>
        </w:rPr>
        <w:t>Fingerprints taken from a scene will also be analysed using the police database which is a collection of all persons who have passed through police custody.</w:t>
      </w:r>
    </w:p>
    <w:p w14:paraId="6A66E5CC" w14:textId="0244CA4F" w:rsidR="00D67926" w:rsidRPr="00556E70" w:rsidRDefault="245DA861" w:rsidP="595E708A">
      <w:pPr>
        <w:rPr>
          <w:rFonts w:eastAsiaTheme="minorEastAsia"/>
        </w:rPr>
      </w:pPr>
      <w:r w:rsidRPr="00556E70">
        <w:rPr>
          <w:rFonts w:eastAsiaTheme="minorEastAsia"/>
        </w:rPr>
        <w:t xml:space="preserve">During the investigation, I became aware of a window in the main hall which had been used as the entry point to the building. The caretaker accessed the schools Closed Circuit Television system (C.C.T.V) and found footage from a camera was sighted over-looking the entry point. </w:t>
      </w:r>
    </w:p>
    <w:p w14:paraId="088AA964" w14:textId="61A0910D" w:rsidR="00D67926" w:rsidRPr="00556E70" w:rsidRDefault="245DA861" w:rsidP="595E708A">
      <w:pPr>
        <w:rPr>
          <w:rFonts w:eastAsiaTheme="minorEastAsia"/>
        </w:rPr>
      </w:pPr>
      <w:r w:rsidRPr="00556E70">
        <w:rPr>
          <w:rFonts w:eastAsiaTheme="minorEastAsia"/>
        </w:rPr>
        <w:t>As we examined the footage, it clearly showed five children who at the time were pupils of the school. The footage showed them bypassing the main security gate to the compound by sliding underneath and making way directly to the window which was partially open. The footage then showed the children setting off the fire extinguisher before making use of the facilities to play pool and access the internet via computers within the main hall.</w:t>
      </w:r>
    </w:p>
    <w:p w14:paraId="4A91127B" w14:textId="5044F2C7" w:rsidR="00D67926" w:rsidRPr="00556E70" w:rsidRDefault="245DA861" w:rsidP="595E708A">
      <w:pPr>
        <w:rPr>
          <w:rFonts w:eastAsiaTheme="minorEastAsia"/>
        </w:rPr>
      </w:pPr>
      <w:r w:rsidRPr="00556E70">
        <w:rPr>
          <w:rFonts w:eastAsiaTheme="minorEastAsia"/>
        </w:rPr>
        <w:t>During the investigation, it was decided to seek engagement from the local council, community wardens and Youth offender services (Y.O.S).</w:t>
      </w:r>
    </w:p>
    <w:p w14:paraId="3A7ED884" w14:textId="4D0F85AA" w:rsidR="00D67926" w:rsidRPr="00556E70" w:rsidRDefault="245DA861" w:rsidP="595E708A">
      <w:pPr>
        <w:rPr>
          <w:rFonts w:eastAsiaTheme="minorEastAsia"/>
        </w:rPr>
      </w:pPr>
      <w:r w:rsidRPr="00556E70">
        <w:rPr>
          <w:rFonts w:eastAsiaTheme="minorEastAsia"/>
        </w:rPr>
        <w:t xml:space="preserve">The reason for the inclusion of local councils were to design a strategy for giving the youths of the area a place to go and play and socialise. A place for the youths to gather, but in a controlled environment, somewhere they can play but without the concern of </w:t>
      </w:r>
      <w:r w:rsidRPr="00556E70">
        <w:rPr>
          <w:rFonts w:eastAsiaTheme="minorEastAsia"/>
        </w:rPr>
        <w:lastRenderedPageBreak/>
        <w:t xml:space="preserve">them causing damage or anti-social behaviour towards residents. Anti-social behaviour has been </w:t>
      </w:r>
      <w:r w:rsidR="745A2817" w:rsidRPr="00556E70">
        <w:rPr>
          <w:rFonts w:eastAsiaTheme="minorEastAsia"/>
        </w:rPr>
        <w:t>described</w:t>
      </w:r>
      <w:r w:rsidRPr="00556E70">
        <w:rPr>
          <w:rFonts w:eastAsiaTheme="minorEastAsia"/>
        </w:rPr>
        <w:t xml:space="preserve"> as easier to recognise than define (Andrew,</w:t>
      </w:r>
      <w:r w:rsidR="2245E8A0" w:rsidRPr="00556E70">
        <w:rPr>
          <w:rFonts w:eastAsiaTheme="minorEastAsia"/>
        </w:rPr>
        <w:t>2008, p.</w:t>
      </w:r>
      <w:r w:rsidRPr="00556E70">
        <w:rPr>
          <w:rFonts w:eastAsiaTheme="minorEastAsia"/>
        </w:rPr>
        <w:t xml:space="preserve">1). </w:t>
      </w:r>
    </w:p>
    <w:p w14:paraId="2F452602" w14:textId="77777777" w:rsidR="00D67926" w:rsidRPr="00556E70" w:rsidRDefault="245DA861" w:rsidP="595E708A">
      <w:pPr>
        <w:rPr>
          <w:rFonts w:eastAsiaTheme="minorEastAsia"/>
        </w:rPr>
      </w:pPr>
      <w:r w:rsidRPr="00556E70">
        <w:rPr>
          <w:rFonts w:eastAsiaTheme="minorEastAsia"/>
        </w:rPr>
        <w:t xml:space="preserve">The children were not being anti-social towards any people but merely getting into a warm dry environment to play games and occupy themselves on a dark wet evening. </w:t>
      </w:r>
    </w:p>
    <w:p w14:paraId="0ACFDD57" w14:textId="3BF641F8" w:rsidR="00D67926" w:rsidRPr="00556E70" w:rsidRDefault="245DA861" w:rsidP="595E708A">
      <w:pPr>
        <w:rPr>
          <w:rFonts w:eastAsiaTheme="minorEastAsia"/>
        </w:rPr>
      </w:pPr>
      <w:r w:rsidRPr="00556E70">
        <w:rPr>
          <w:rFonts w:eastAsiaTheme="minorEastAsia"/>
        </w:rPr>
        <w:t>The school itself was another agency that was consulted about how they wanted the situation managed. The school management were caught in a difficult situation, whereby they wanted the offending children disciplined but also required them to be educated. This approach also requires the engagement of the offender and to do this several key areas of research need to be explored.</w:t>
      </w:r>
    </w:p>
    <w:p w14:paraId="636B1870" w14:textId="3F93EE90" w:rsidR="00D67926" w:rsidRPr="00556E70" w:rsidRDefault="245DA861" w:rsidP="595E708A">
      <w:pPr>
        <w:rPr>
          <w:rFonts w:eastAsiaTheme="minorEastAsia"/>
        </w:rPr>
      </w:pPr>
      <w:r w:rsidRPr="00556E70">
        <w:rPr>
          <w:rFonts w:eastAsiaTheme="minorEastAsia"/>
        </w:rPr>
        <w:t>The first area is the offender themselves, and the identification of key factors or circumstances around reasons behind the behaviour such as lack of school attendance or mental health issues. It is also important that multi agency approaches to an offender’s behaviour is managed carefully and the correct agencies identified as best suited for the individual, this will be managed by a case manager.</w:t>
      </w:r>
    </w:p>
    <w:p w14:paraId="1E95659E" w14:textId="77777777" w:rsidR="00D67926" w:rsidRPr="00556E70" w:rsidRDefault="245DA861" w:rsidP="595E708A">
      <w:pPr>
        <w:rPr>
          <w:rFonts w:eastAsiaTheme="minorEastAsia"/>
        </w:rPr>
      </w:pPr>
      <w:r w:rsidRPr="00556E70">
        <w:rPr>
          <w:rFonts w:eastAsiaTheme="minorEastAsia"/>
        </w:rPr>
        <w:t xml:space="preserve">After identifying the offenders, a case worker is assigned to work on a one to one basis which allows the relationship of the offender and the agency to become more personalised. </w:t>
      </w:r>
    </w:p>
    <w:p w14:paraId="64682B93" w14:textId="2045E1FF" w:rsidR="00D67926" w:rsidRPr="00556E70" w:rsidRDefault="245DA861" w:rsidP="595E708A">
      <w:pPr>
        <w:rPr>
          <w:rFonts w:eastAsiaTheme="minorEastAsia"/>
        </w:rPr>
      </w:pPr>
      <w:r w:rsidRPr="00556E70">
        <w:rPr>
          <w:rFonts w:eastAsiaTheme="minorEastAsia"/>
        </w:rPr>
        <w:t>Approaches to dealing with individuals can take many forms such as cognitive behavioural therapy or CBT. CBT is an understanding of the internal thought process affecting the external expressions or behaviours (Fenn and Byrne, 2013). Another area to consider, is the holistic considerations of the offender, such as their background or home life being a large overriding factor in the behaviours.</w:t>
      </w:r>
    </w:p>
    <w:p w14:paraId="0B5C83B1" w14:textId="7CF53BC5" w:rsidR="00D67926" w:rsidRPr="00556E70" w:rsidRDefault="245DA861" w:rsidP="595E708A">
      <w:pPr>
        <w:rPr>
          <w:rFonts w:eastAsiaTheme="minorEastAsia"/>
        </w:rPr>
      </w:pPr>
      <w:r w:rsidRPr="00556E70">
        <w:rPr>
          <w:rFonts w:eastAsiaTheme="minorEastAsia"/>
        </w:rPr>
        <w:t>An offender genetic make-up is also a factor in the reasons for offending with a study at the University of Delaware into Genetic factors being used to predict criminals. During a study conducted in the 1970’s, attention was paid to studies concluding a high prevalence of XYY syndrome amongst offenders in the criminal justice system. This abnormality has been linked to a higher state of aggression and anti-social trends (University of Texas at Dallas, 2012).</w:t>
      </w:r>
    </w:p>
    <w:p w14:paraId="7734D63E" w14:textId="36CBDA2B" w:rsidR="00D67926" w:rsidRPr="00556E70" w:rsidRDefault="245DA861" w:rsidP="595E708A">
      <w:pPr>
        <w:rPr>
          <w:rFonts w:eastAsiaTheme="minorEastAsia"/>
        </w:rPr>
      </w:pPr>
      <w:r w:rsidRPr="00556E70">
        <w:rPr>
          <w:rFonts w:eastAsiaTheme="minorEastAsia"/>
        </w:rPr>
        <w:t>A multi-agency approach to preventing crime is often referred to as a ‘public health approach’ and involves organisations such as police and crime commissioners, local authorities i.e., children’s services, education leads and community safety partners. Other non-mandatory multi agency partners are NHS Wales and multi-agency risk assessment conference (MARAC) (Public health England, 2019).</w:t>
      </w:r>
    </w:p>
    <w:p w14:paraId="410C0A86" w14:textId="143B98A0" w:rsidR="00D67926" w:rsidRPr="00556E70" w:rsidRDefault="245DA861" w:rsidP="595E708A">
      <w:pPr>
        <w:rPr>
          <w:rFonts w:eastAsiaTheme="minorEastAsia"/>
        </w:rPr>
      </w:pPr>
      <w:r w:rsidRPr="00556E70">
        <w:rPr>
          <w:rFonts w:eastAsiaTheme="minorEastAsia"/>
        </w:rPr>
        <w:t>Some of the options considered when tackling the Anti-social behaviour (ASB) of these teenagers were verbal or written warnings, which would have included a written letter to the parents explaining the next step if ASB did not stop.</w:t>
      </w:r>
    </w:p>
    <w:p w14:paraId="05FC9638" w14:textId="6D572971" w:rsidR="00D67926" w:rsidRPr="00556E70" w:rsidRDefault="245DA861" w:rsidP="595E708A">
      <w:pPr>
        <w:rPr>
          <w:rFonts w:eastAsiaTheme="minorEastAsia"/>
        </w:rPr>
      </w:pPr>
      <w:r w:rsidRPr="00556E70">
        <w:rPr>
          <w:rFonts w:eastAsiaTheme="minorEastAsia"/>
        </w:rPr>
        <w:t xml:space="preserve">Furthering on from the written warning is an Acceptable Behaviour </w:t>
      </w:r>
      <w:r w:rsidR="2245E8A0" w:rsidRPr="00556E70">
        <w:rPr>
          <w:rFonts w:eastAsiaTheme="minorEastAsia"/>
        </w:rPr>
        <w:t>Contract (A, B, C</w:t>
      </w:r>
      <w:r w:rsidRPr="00556E70">
        <w:rPr>
          <w:rFonts w:eastAsiaTheme="minorEastAsia"/>
        </w:rPr>
        <w:t>). This action includes a written contract between police, parents and offender banning the child from entering parts of a community or indulging in certain ASB.</w:t>
      </w:r>
    </w:p>
    <w:p w14:paraId="461B8629" w14:textId="2D1E55A1" w:rsidR="00D67926" w:rsidRPr="00556E70" w:rsidRDefault="245DA861" w:rsidP="595E708A">
      <w:pPr>
        <w:rPr>
          <w:rFonts w:eastAsiaTheme="minorEastAsia"/>
        </w:rPr>
      </w:pPr>
      <w:r w:rsidRPr="00556E70">
        <w:rPr>
          <w:rFonts w:eastAsiaTheme="minorEastAsia"/>
        </w:rPr>
        <w:lastRenderedPageBreak/>
        <w:t>A Youth Conditional Caution was also considered because of the damage to equipment within a public building. This type of punishment requires the youth being arrested, interviewed and charged.</w:t>
      </w:r>
    </w:p>
    <w:p w14:paraId="28F6A5FE" w14:textId="7D0701AB" w:rsidR="00D67926" w:rsidRPr="00556E70" w:rsidRDefault="245DA861" w:rsidP="595E708A">
      <w:pPr>
        <w:rPr>
          <w:rFonts w:eastAsiaTheme="minorEastAsia"/>
        </w:rPr>
      </w:pPr>
      <w:r w:rsidRPr="00556E70">
        <w:rPr>
          <w:rFonts w:eastAsiaTheme="minorEastAsia"/>
        </w:rPr>
        <w:t>During the consultation between police, parents of the youths and school governor’s, it was recommended that the offenders are given a Youth Community Resolution which requires the youths to admit to the offences of trespass (Crown Prosecution Service, 2019) and criminal damage (Connor,2021) and then show remorse for their actions. An agreement is then reached between police, parents and local school officials as to how the upset and damage caused can be put right. This is otherwise known as Restorative Justice (Restorative Justice Council, 2016).</w:t>
      </w:r>
    </w:p>
    <w:p w14:paraId="194AC59C" w14:textId="052D2335" w:rsidR="00D67926" w:rsidRPr="00556E70" w:rsidRDefault="245DA861" w:rsidP="595E708A">
      <w:pPr>
        <w:rPr>
          <w:rFonts w:eastAsiaTheme="minorEastAsia"/>
        </w:rPr>
      </w:pPr>
      <w:r w:rsidRPr="00556E70">
        <w:rPr>
          <w:rFonts w:eastAsiaTheme="minorEastAsia"/>
        </w:rPr>
        <w:t xml:space="preserve">Furthering on from discussions with the local council and school governors, a plan was put in place to introduce after school clubs that children from ages 10 to 15 could use with activities ranging from arts and crafts to football gardening. These clubs were designed to give children things to do during the evening hours and was aimed at tackling the ASB in the local area. The mechanism for the after-school clubs were to give the youths a place to congregate away from the mainly populated areas and hot spots for ASB such as fast food restaurants and supermarkets. Also providing an adult supervised environment supplying warmth and shelter during winter months (college of policing, 2017). </w:t>
      </w:r>
    </w:p>
    <w:p w14:paraId="648BBE52" w14:textId="56F3720D" w:rsidR="00D67926" w:rsidRPr="00556E70" w:rsidRDefault="245DA861" w:rsidP="595E708A">
      <w:pPr>
        <w:rPr>
          <w:rFonts w:eastAsiaTheme="minorEastAsia"/>
        </w:rPr>
      </w:pPr>
      <w:r w:rsidRPr="00556E70">
        <w:rPr>
          <w:rFonts w:eastAsiaTheme="minorEastAsia"/>
        </w:rPr>
        <w:t xml:space="preserve">Research by the Audit Commissioner suggests that having after school activities and potentially stop one in ten youths offending and receiving a prison sentence would save the U.K economy 100 Million pounds </w:t>
      </w:r>
      <w:r w:rsidR="2245E8A0" w:rsidRPr="00556E70">
        <w:rPr>
          <w:rFonts w:eastAsiaTheme="minorEastAsia"/>
        </w:rPr>
        <w:t>per</w:t>
      </w:r>
      <w:r w:rsidRPr="00556E70">
        <w:rPr>
          <w:rFonts w:eastAsiaTheme="minorEastAsia"/>
        </w:rPr>
        <w:t xml:space="preserve"> year (Chambers et al. 2009).</w:t>
      </w:r>
    </w:p>
    <w:p w14:paraId="60114905" w14:textId="00D34A8A" w:rsidR="00D67926" w:rsidRPr="00556E70" w:rsidRDefault="245DA861" w:rsidP="595E708A">
      <w:pPr>
        <w:rPr>
          <w:rFonts w:eastAsiaTheme="minorEastAsia"/>
        </w:rPr>
      </w:pPr>
      <w:r w:rsidRPr="00556E70">
        <w:rPr>
          <w:rFonts w:eastAsiaTheme="minorEastAsia"/>
        </w:rPr>
        <w:t>The inclusion of multiple agencies when dealing with suspects of ASB has allowed the police to visualise the problems as they happen, other support agencies are coming at the problem from a different angle and mindset. The police service role is primarily there to uphold the law and the rights of the community it protects and serves, as dictated in the oath an officer makes when being sworn in as a constable.</w:t>
      </w:r>
    </w:p>
    <w:p w14:paraId="122B40FA" w14:textId="48BAA869" w:rsidR="00D67926" w:rsidRPr="00556E70" w:rsidRDefault="245DA861" w:rsidP="595E708A">
      <w:pPr>
        <w:rPr>
          <w:rFonts w:eastAsiaTheme="minorEastAsia"/>
        </w:rPr>
      </w:pPr>
      <w:r w:rsidRPr="00556E70">
        <w:rPr>
          <w:rFonts w:eastAsiaTheme="minorEastAsia"/>
        </w:rPr>
        <w:t>The cost gained by the local authorities has been negated against the cost in crime, and the reduction seen in ASB within the local town centre and community hotspots. Many shop owners and high street shop workers have said to officers that the evening or night life within the community now feels far safer and more attractive to use. The ASB statistics in the local area is showing a downward trend and has subsequently shown a reduction in police intervention through the dark winter months.</w:t>
      </w:r>
    </w:p>
    <w:p w14:paraId="20686979" w14:textId="77777777" w:rsidR="00D67926" w:rsidRPr="00556E70" w:rsidRDefault="245DA861" w:rsidP="595E708A">
      <w:pPr>
        <w:rPr>
          <w:rFonts w:eastAsiaTheme="minorEastAsia"/>
        </w:rPr>
      </w:pPr>
      <w:r w:rsidRPr="00556E70">
        <w:rPr>
          <w:rFonts w:eastAsiaTheme="minorEastAsia"/>
        </w:rPr>
        <w:t xml:space="preserve">The youths who first broke into the school have not re-offended and are also engaging with the community in projects outside of the school remit. </w:t>
      </w:r>
    </w:p>
    <w:p w14:paraId="60A318B4" w14:textId="77777777" w:rsidR="00D67926" w:rsidRPr="00556E70" w:rsidRDefault="00D67926" w:rsidP="595E708A">
      <w:pPr>
        <w:rPr>
          <w:rFonts w:eastAsiaTheme="minorEastAsia"/>
        </w:rPr>
      </w:pPr>
    </w:p>
    <w:p w14:paraId="6BF791BF" w14:textId="5FFB99FB" w:rsidR="00D67926" w:rsidRPr="00556E70" w:rsidRDefault="245DA861" w:rsidP="595E708A">
      <w:pPr>
        <w:rPr>
          <w:rFonts w:eastAsiaTheme="minorEastAsia"/>
        </w:rPr>
      </w:pPr>
      <w:r w:rsidRPr="00556E70">
        <w:rPr>
          <w:rFonts w:eastAsiaTheme="minorEastAsia"/>
        </w:rPr>
        <w:t>Word count 1426</w:t>
      </w:r>
    </w:p>
    <w:p w14:paraId="524F117E" w14:textId="3E5EEA69" w:rsidR="003110EC" w:rsidRPr="00556E70" w:rsidRDefault="003110EC" w:rsidP="595E708A">
      <w:pPr>
        <w:rPr>
          <w:rFonts w:eastAsiaTheme="minorEastAsia"/>
        </w:rPr>
      </w:pPr>
    </w:p>
    <w:p w14:paraId="5A539D9A" w14:textId="54D20685" w:rsidR="003110EC" w:rsidRPr="00556E70" w:rsidRDefault="003110EC" w:rsidP="595E708A">
      <w:pPr>
        <w:rPr>
          <w:rFonts w:eastAsiaTheme="minorEastAsia"/>
        </w:rPr>
      </w:pPr>
    </w:p>
    <w:p w14:paraId="749B92BA" w14:textId="1D11267D" w:rsidR="003110EC" w:rsidRPr="00556E70" w:rsidRDefault="1B1827CC" w:rsidP="595E708A">
      <w:pPr>
        <w:ind w:left="2880" w:firstLine="720"/>
        <w:rPr>
          <w:rFonts w:eastAsiaTheme="minorEastAsia"/>
          <w:b/>
          <w:bCs/>
          <w:sz w:val="24"/>
          <w:szCs w:val="24"/>
        </w:rPr>
      </w:pPr>
      <w:r w:rsidRPr="00556E70">
        <w:rPr>
          <w:rFonts w:eastAsiaTheme="minorEastAsia"/>
          <w:b/>
          <w:bCs/>
          <w:sz w:val="24"/>
          <w:szCs w:val="24"/>
        </w:rPr>
        <w:lastRenderedPageBreak/>
        <w:t>Task 3</w:t>
      </w:r>
    </w:p>
    <w:p w14:paraId="0F58E01C" w14:textId="77777777" w:rsidR="003110EC" w:rsidRPr="00556E70" w:rsidRDefault="003110EC" w:rsidP="595E708A">
      <w:pPr>
        <w:rPr>
          <w:rFonts w:eastAsiaTheme="minorEastAsia"/>
        </w:rPr>
      </w:pPr>
    </w:p>
    <w:p w14:paraId="5F9A536F" w14:textId="2DA19435" w:rsidR="003110EC" w:rsidRPr="00556E70" w:rsidRDefault="5E1080B6" w:rsidP="595E708A">
      <w:pPr>
        <w:rPr>
          <w:rFonts w:eastAsiaTheme="minorEastAsia"/>
        </w:rPr>
      </w:pPr>
      <w:r w:rsidRPr="00556E70">
        <w:rPr>
          <w:rFonts w:eastAsiaTheme="minorEastAsia"/>
        </w:rPr>
        <w:t>In this essay I am going to describe an incident I was requested to attend and deal with by my Force Control Room (FCR) operator. During the description of events, I will use Borton’s reflective model (Hancock, 2021) to evaluate the different techniques used by police, and that of the many support services available. I will reflect and evaluate what methods are used and the best tactics to use when dealing with vulnerable repeat victims. I will also explain strategies used in the battle to halt repeat offending.</w:t>
      </w:r>
    </w:p>
    <w:p w14:paraId="3E7FAB2E" w14:textId="77777777" w:rsidR="003110EC" w:rsidRPr="00556E70" w:rsidRDefault="5E1080B6" w:rsidP="595E708A">
      <w:pPr>
        <w:rPr>
          <w:rFonts w:eastAsiaTheme="minorEastAsia"/>
        </w:rPr>
      </w:pPr>
      <w:r w:rsidRPr="00556E70">
        <w:rPr>
          <w:rFonts w:eastAsiaTheme="minorEastAsia"/>
        </w:rPr>
        <w:t>The incident was a domestic violence assault involving a young mother of three small children and her partner who was from the traveller community. I was tasked to attend the address as an emergency and was reported as domestic violence with the use of a vehicle. When I arrived at the address, I found a young female in her mid-twenties crying on the doorstep of her house. I noticed a vehicle outside the property had been damaged extensively to the side.</w:t>
      </w:r>
    </w:p>
    <w:p w14:paraId="42D6E618" w14:textId="4FA0CC87" w:rsidR="003110EC" w:rsidRPr="00556E70" w:rsidRDefault="5E1080B6" w:rsidP="595E708A">
      <w:pPr>
        <w:rPr>
          <w:rFonts w:eastAsiaTheme="minorEastAsia"/>
        </w:rPr>
      </w:pPr>
      <w:r w:rsidRPr="00556E70">
        <w:rPr>
          <w:rFonts w:eastAsiaTheme="minorEastAsia"/>
        </w:rPr>
        <w:t xml:space="preserve">As I approached the female, I introduced myself and ushered her back into the property and into a warmer more private environment. I gently calmed her down as she explained to me in broken English the incident that had happened. The distressed female gave both sets of details before going on to describe an incident of domestic violence. The female explained she was from Hungary and could only speak some English due to her boyfriend stopping her from socialising after she arrived in Britain seven years earlier. </w:t>
      </w:r>
    </w:p>
    <w:p w14:paraId="4945ED27" w14:textId="329AE6E9" w:rsidR="003110EC" w:rsidRPr="00556E70" w:rsidRDefault="5E1080B6" w:rsidP="595E708A">
      <w:pPr>
        <w:rPr>
          <w:rFonts w:eastAsiaTheme="minorEastAsia"/>
        </w:rPr>
      </w:pPr>
      <w:r w:rsidRPr="00556E70">
        <w:rPr>
          <w:rFonts w:eastAsiaTheme="minorEastAsia"/>
        </w:rPr>
        <w:t xml:space="preserve">The female victim explained that she had agreed to go for coffee with other young mothers from the local primary school, but when her boyfriend found out he had become violent towards her and drove his van into the side of her car before leaving the area. The details of the van were relayed to my control room and traffic units for observations and arrest when sighted. The male was sighted and arrested at a traveller caravan park two hours later. </w:t>
      </w:r>
    </w:p>
    <w:p w14:paraId="1AA7C11E" w14:textId="77777777" w:rsidR="003110EC" w:rsidRPr="00556E70" w:rsidRDefault="5E1080B6" w:rsidP="595E708A">
      <w:pPr>
        <w:rPr>
          <w:rFonts w:eastAsiaTheme="minorEastAsia"/>
        </w:rPr>
      </w:pPr>
      <w:r w:rsidRPr="00556E70">
        <w:rPr>
          <w:rFonts w:eastAsiaTheme="minorEastAsia"/>
        </w:rPr>
        <w:t>The traveller community which has derived from the gypsy community is said to have at least 300,000 members U.K wide and is thought to be more as not all take part in the census (The Traveller Movement, 2021). In 2011 the Office for National Statistics found travellers to make up only 0.1% of the British population (Office for National Statistics, 2011).</w:t>
      </w:r>
    </w:p>
    <w:p w14:paraId="30A86E78" w14:textId="18E09540" w:rsidR="003110EC" w:rsidRPr="00556E70" w:rsidRDefault="5E1080B6" w:rsidP="595E708A">
      <w:pPr>
        <w:rPr>
          <w:rFonts w:eastAsiaTheme="minorEastAsia"/>
        </w:rPr>
      </w:pPr>
      <w:r w:rsidRPr="00556E70">
        <w:rPr>
          <w:rFonts w:eastAsiaTheme="minorEastAsia"/>
        </w:rPr>
        <w:t xml:space="preserve">I stayed with the female and went through the domestic violence protocol. Firstly, a detailed and comprehensive Domestic Abuse Stalking and Harassment form (DASH) was filled in by the female and me. DASH forms are devised so that the answers to 29 strategic questions can be analysed by an algorithm which grades the incident into three categories, standard, medium or high. </w:t>
      </w:r>
    </w:p>
    <w:p w14:paraId="48A2D1E0" w14:textId="4B65C55F" w:rsidR="003110EC" w:rsidRPr="00556E70" w:rsidRDefault="5E1080B6" w:rsidP="595E708A">
      <w:pPr>
        <w:rPr>
          <w:rFonts w:eastAsiaTheme="minorEastAsia"/>
        </w:rPr>
      </w:pPr>
      <w:r w:rsidRPr="00556E70">
        <w:rPr>
          <w:rFonts w:eastAsiaTheme="minorEastAsia"/>
        </w:rPr>
        <w:t>The DASH form came into prominence in March 2009 when it was implemented by the national police chief’s council (NPCC) and is detailed as being a Risk identification, assessment and management model (Safe lives, n.d.).</w:t>
      </w:r>
    </w:p>
    <w:p w14:paraId="295A67E0" w14:textId="534507FA" w:rsidR="003110EC" w:rsidRPr="00556E70" w:rsidRDefault="5E1080B6" w:rsidP="595E708A">
      <w:pPr>
        <w:rPr>
          <w:rFonts w:eastAsiaTheme="minorEastAsia"/>
        </w:rPr>
      </w:pPr>
      <w:r w:rsidRPr="00556E70">
        <w:rPr>
          <w:rFonts w:eastAsiaTheme="minorEastAsia"/>
        </w:rPr>
        <w:lastRenderedPageBreak/>
        <w:t>With the consent of the victim, the information that had been gathered is passed on to support services such as Women’s Aid, Live Fear Free and Social Services. These available services are a valuable tool to utilise as they primarily deal with victims of this nature and have dedicated and finely tuned methods to approach and deal with victims.</w:t>
      </w:r>
    </w:p>
    <w:p w14:paraId="0C4FCCA0" w14:textId="4CBDD3FE" w:rsidR="003110EC" w:rsidRPr="00556E70" w:rsidRDefault="5E1080B6" w:rsidP="595E708A">
      <w:pPr>
        <w:rPr>
          <w:rFonts w:eastAsiaTheme="minorEastAsia"/>
        </w:rPr>
      </w:pPr>
      <w:r w:rsidRPr="00556E70">
        <w:rPr>
          <w:rFonts w:eastAsiaTheme="minorEastAsia"/>
        </w:rPr>
        <w:t xml:space="preserve">The police service is the first point of contact during an emergency and are the best equipped when people are in immediate danger, but they also have more of a blanket approach. This is when the dedicated support services are required to step in and provide expert help. </w:t>
      </w:r>
    </w:p>
    <w:p w14:paraId="6C69DE34" w14:textId="40F1C3A9" w:rsidR="003110EC" w:rsidRPr="00556E70" w:rsidRDefault="5E1080B6" w:rsidP="595E708A">
      <w:pPr>
        <w:rPr>
          <w:rFonts w:eastAsiaTheme="minorEastAsia"/>
        </w:rPr>
      </w:pPr>
      <w:r w:rsidRPr="00556E70">
        <w:rPr>
          <w:rFonts w:eastAsiaTheme="minorEastAsia"/>
        </w:rPr>
        <w:t xml:space="preserve">Refuge is a charity based in the U.K, and acts as a helpline for female victims of domestic violence. Refuge states, that an abused woman lives in fear due to not being able to predict when the next bout of physical abuse is coming. The females tend to become isolated from family and friends and is often done to appease the perpetrator. Over a period of time, the abuse gradually erodes away the victim’s </w:t>
      </w:r>
      <w:r w:rsidR="2245E8A0" w:rsidRPr="00556E70">
        <w:rPr>
          <w:rFonts w:eastAsiaTheme="minorEastAsia"/>
        </w:rPr>
        <w:t>self-esteem</w:t>
      </w:r>
      <w:r w:rsidRPr="00556E70">
        <w:rPr>
          <w:rFonts w:eastAsiaTheme="minorEastAsia"/>
        </w:rPr>
        <w:t xml:space="preserve"> making the victim feel worthless and often making the victim view the perpetrator as her only loving family (Refuge, 2016). </w:t>
      </w:r>
    </w:p>
    <w:p w14:paraId="347E670E" w14:textId="10CE657E" w:rsidR="003110EC" w:rsidRPr="00556E70" w:rsidRDefault="5E1080B6" w:rsidP="595E708A">
      <w:pPr>
        <w:rPr>
          <w:rFonts w:eastAsiaTheme="minorEastAsia"/>
        </w:rPr>
      </w:pPr>
      <w:r w:rsidRPr="00556E70">
        <w:rPr>
          <w:rFonts w:eastAsiaTheme="minorEastAsia"/>
        </w:rPr>
        <w:t xml:space="preserve">Between 1995 and 2006, a search was conducted into the effects of domestic violence on the health and development of children and young people who are exposed to and witness it. The research found the children to be at an increased risk of experiencing emotional, physical and sexual abuse. </w:t>
      </w:r>
    </w:p>
    <w:p w14:paraId="704448CB" w14:textId="77777777" w:rsidR="003110EC" w:rsidRPr="00556E70" w:rsidRDefault="5E1080B6" w:rsidP="595E708A">
      <w:pPr>
        <w:rPr>
          <w:rFonts w:eastAsiaTheme="minorEastAsia"/>
        </w:rPr>
      </w:pPr>
      <w:r w:rsidRPr="00556E70">
        <w:rPr>
          <w:rFonts w:eastAsiaTheme="minorEastAsia"/>
        </w:rPr>
        <w:t>These children are also more likely to develop emotional and behavioural problems culminating in them having an increased chance of exposure to other adversities in later life. The report by Children’s Research Centre, University of Dublin details the importance of having a holistic and individually tailored approach service delivery for the child victim (Holt, Buckley and Whelan, 2008).</w:t>
      </w:r>
    </w:p>
    <w:p w14:paraId="06A9833E" w14:textId="5B5673E8" w:rsidR="003110EC" w:rsidRPr="00556E70" w:rsidRDefault="5E1080B6" w:rsidP="595E708A">
      <w:pPr>
        <w:rPr>
          <w:rFonts w:eastAsiaTheme="minorEastAsia"/>
        </w:rPr>
      </w:pPr>
      <w:r w:rsidRPr="00556E70">
        <w:rPr>
          <w:rFonts w:eastAsiaTheme="minorEastAsia"/>
        </w:rPr>
        <w:t>The Domestic Abuse Bill has predicted that nearly half a million victims of domestic abuse ask for help from a health care professional every year. This has led to the Domestic Abuse Commissioner, Nicole Jacobs saying that health settings and professionals are trusted environments which can reach out to people from all backgrounds who are subject to domestic abuse (Public health England, 2019).</w:t>
      </w:r>
    </w:p>
    <w:p w14:paraId="301C9FCA" w14:textId="6FB4FBB3" w:rsidR="003110EC" w:rsidRPr="00556E70" w:rsidRDefault="5E1080B6" w:rsidP="595E708A">
      <w:pPr>
        <w:rPr>
          <w:rFonts w:eastAsiaTheme="minorEastAsia"/>
        </w:rPr>
      </w:pPr>
      <w:r w:rsidRPr="00556E70">
        <w:rPr>
          <w:rFonts w:eastAsiaTheme="minorEastAsia"/>
        </w:rPr>
        <w:t xml:space="preserve">Research has been conducted into the levels of revictimisation of high-risk domestic abuse victims within one year after being referred to a Multi-Agency Risk Assessment Conference (MARAC). MARAC provides the communication link between the support agencies and the victim also conducting risk assessments and providing advocacy to the victims. </w:t>
      </w:r>
    </w:p>
    <w:p w14:paraId="552AE00C" w14:textId="49702F8A" w:rsidR="003110EC" w:rsidRPr="00556E70" w:rsidRDefault="5E1080B6" w:rsidP="595E708A">
      <w:pPr>
        <w:rPr>
          <w:rFonts w:eastAsiaTheme="minorEastAsia"/>
          <w:sz w:val="21"/>
          <w:szCs w:val="21"/>
          <w:shd w:val="clear" w:color="auto" w:fill="FFFFFF"/>
        </w:rPr>
      </w:pPr>
      <w:r w:rsidRPr="00556E70">
        <w:rPr>
          <w:rFonts w:eastAsiaTheme="minorEastAsia"/>
        </w:rPr>
        <w:t xml:space="preserve">The significance and justification for MARAC’s inclusion is clear by the statistic of 4 in 10 victims report no further violence within one year of MARAC’s intervention. An article by </w:t>
      </w:r>
      <w:r w:rsidRPr="00556E70">
        <w:rPr>
          <w:rFonts w:eastAsiaTheme="minorEastAsia"/>
          <w:sz w:val="21"/>
          <w:szCs w:val="21"/>
          <w:shd w:val="clear" w:color="auto" w:fill="FFFFFF"/>
        </w:rPr>
        <w:t>Robinson, A. L. and Tregidga, J. in 2007 documents nearly all the victims acknowledged the importance of having multi-agency support once they were ready to end the relationship and change their situation. The research suggests that a holistic multi-agency approach reduces repetition even amongst the most at risk</w:t>
      </w:r>
      <w:r w:rsidRPr="00556E70">
        <w:rPr>
          <w:rFonts w:eastAsiaTheme="minorEastAsia"/>
        </w:rPr>
        <w:t xml:space="preserve"> </w:t>
      </w:r>
      <w:r w:rsidRPr="00556E70">
        <w:rPr>
          <w:rFonts w:eastAsiaTheme="minorEastAsia"/>
          <w:sz w:val="21"/>
          <w:szCs w:val="21"/>
          <w:shd w:val="clear" w:color="auto" w:fill="FFFFFF"/>
        </w:rPr>
        <w:t>(Robinson and Tregidga, 2007).</w:t>
      </w:r>
    </w:p>
    <w:p w14:paraId="68E21A21" w14:textId="313AC55D" w:rsidR="003110EC" w:rsidRPr="00556E70" w:rsidRDefault="5E1080B6" w:rsidP="595E708A">
      <w:pPr>
        <w:rPr>
          <w:rFonts w:eastAsiaTheme="minorEastAsia"/>
          <w:sz w:val="21"/>
          <w:szCs w:val="21"/>
          <w:shd w:val="clear" w:color="auto" w:fill="FFFFFF"/>
        </w:rPr>
      </w:pPr>
      <w:r w:rsidRPr="00556E70">
        <w:rPr>
          <w:rFonts w:eastAsiaTheme="minorEastAsia"/>
          <w:sz w:val="21"/>
          <w:szCs w:val="21"/>
          <w:shd w:val="clear" w:color="auto" w:fill="FFFFFF"/>
        </w:rPr>
        <w:lastRenderedPageBreak/>
        <w:t xml:space="preserve">When targeting repeat offenders of domestic abuse, research shows accurately identifying individuals as possible repeat offenders can lead to a high reduction in harm. A large amount of investment and work force was given to 3 areas of the England and Wales police service to trial and develop policies and methods to tackle repeat offending by targeting the perpetrator as an individual. </w:t>
      </w:r>
    </w:p>
    <w:p w14:paraId="451141CC" w14:textId="77777777" w:rsidR="003110EC" w:rsidRPr="00556E70" w:rsidRDefault="5E1080B6" w:rsidP="595E708A">
      <w:pPr>
        <w:rPr>
          <w:rFonts w:eastAsiaTheme="minorEastAsia"/>
          <w:sz w:val="21"/>
          <w:szCs w:val="21"/>
          <w:shd w:val="clear" w:color="auto" w:fill="FFFFFF"/>
        </w:rPr>
      </w:pPr>
      <w:r w:rsidRPr="00556E70">
        <w:rPr>
          <w:rFonts w:eastAsiaTheme="minorEastAsia"/>
          <w:sz w:val="21"/>
          <w:szCs w:val="21"/>
          <w:shd w:val="clear" w:color="auto" w:fill="FFFFFF"/>
        </w:rPr>
        <w:t>The Priority Perpetrator Identification Tool was used in close to 1500 domestic violence investigations and has shown a major change in the way harmful offenders are recognised and prioritised by multi agency programs (Robinson and Clancy, 2020).</w:t>
      </w:r>
    </w:p>
    <w:p w14:paraId="421618D5" w14:textId="72FBD3F6" w:rsidR="003110EC" w:rsidRPr="00556E70" w:rsidRDefault="5E1080B6" w:rsidP="595E708A">
      <w:pPr>
        <w:rPr>
          <w:rFonts w:eastAsiaTheme="minorEastAsia"/>
          <w:sz w:val="21"/>
          <w:szCs w:val="21"/>
          <w:shd w:val="clear" w:color="auto" w:fill="FFFFFF"/>
        </w:rPr>
      </w:pPr>
      <w:r w:rsidRPr="00556E70">
        <w:rPr>
          <w:rFonts w:eastAsiaTheme="minorEastAsia"/>
          <w:sz w:val="21"/>
          <w:szCs w:val="21"/>
          <w:shd w:val="clear" w:color="auto" w:fill="FFFFFF"/>
        </w:rPr>
        <w:t xml:space="preserve">To recognise what works when tackling re-offending firstly you must identify why it happens. Domestic violence offenders have high rates of recidivism with 60% of convicted domestic abusers being rearrested within two years and 67% of the same group were rearrested for another domestic violence offence (Public Policy Institute of California, 2018). </w:t>
      </w:r>
    </w:p>
    <w:p w14:paraId="64C38888" w14:textId="77777777" w:rsidR="003110EC" w:rsidRPr="00556E70" w:rsidRDefault="5E1080B6" w:rsidP="595E708A">
      <w:pPr>
        <w:rPr>
          <w:rFonts w:eastAsiaTheme="minorEastAsia"/>
          <w:sz w:val="21"/>
          <w:szCs w:val="21"/>
          <w:shd w:val="clear" w:color="auto" w:fill="FFFFFF"/>
        </w:rPr>
      </w:pPr>
      <w:r w:rsidRPr="00556E70">
        <w:rPr>
          <w:rFonts w:eastAsiaTheme="minorEastAsia"/>
          <w:sz w:val="21"/>
          <w:szCs w:val="21"/>
          <w:shd w:val="clear" w:color="auto" w:fill="FFFFFF"/>
        </w:rPr>
        <w:t>Such indicators of potential reoffending are criminal history of the offender with 82% of offenders being convicted of other crimes with 85% being under 45 years of age.</w:t>
      </w:r>
    </w:p>
    <w:p w14:paraId="3C59AB7D" w14:textId="77777777" w:rsidR="003110EC" w:rsidRPr="00556E70" w:rsidRDefault="5E1080B6" w:rsidP="595E708A">
      <w:pPr>
        <w:rPr>
          <w:rFonts w:eastAsiaTheme="minorEastAsia"/>
          <w:sz w:val="21"/>
          <w:szCs w:val="21"/>
          <w:shd w:val="clear" w:color="auto" w:fill="FFFFFF"/>
        </w:rPr>
      </w:pPr>
      <w:r w:rsidRPr="00556E70">
        <w:rPr>
          <w:rFonts w:eastAsiaTheme="minorEastAsia"/>
          <w:sz w:val="21"/>
          <w:szCs w:val="21"/>
          <w:shd w:val="clear" w:color="auto" w:fill="FFFFFF"/>
        </w:rPr>
        <w:t>The Government has introduced programmes to encourage offenders to change attitudes and goals by helping them develop new skills such as problem solving, self-management and perspective talking.</w:t>
      </w:r>
    </w:p>
    <w:p w14:paraId="5714AB55" w14:textId="77777777" w:rsidR="003110EC" w:rsidRPr="00556E70" w:rsidRDefault="5E1080B6" w:rsidP="595E708A">
      <w:pPr>
        <w:rPr>
          <w:rFonts w:eastAsiaTheme="minorEastAsia"/>
          <w:sz w:val="21"/>
          <w:szCs w:val="21"/>
          <w:shd w:val="clear" w:color="auto" w:fill="FFFFFF"/>
        </w:rPr>
      </w:pPr>
      <w:r w:rsidRPr="00556E70">
        <w:rPr>
          <w:rFonts w:eastAsiaTheme="minorEastAsia"/>
          <w:sz w:val="21"/>
          <w:szCs w:val="21"/>
          <w:shd w:val="clear" w:color="auto" w:fill="FFFFFF"/>
        </w:rPr>
        <w:t>The research conducted by the Ministry of Defence also shows agencies should avoid targeting the wrong people and educational programmes should be well run by qualified experienced staff</w:t>
      </w:r>
      <w:r w:rsidRPr="00556E70">
        <w:rPr>
          <w:rFonts w:eastAsiaTheme="minorEastAsia"/>
        </w:rPr>
        <w:t xml:space="preserve"> </w:t>
      </w:r>
      <w:r w:rsidRPr="00556E70">
        <w:rPr>
          <w:rFonts w:eastAsiaTheme="minorEastAsia"/>
          <w:sz w:val="21"/>
          <w:szCs w:val="21"/>
          <w:shd w:val="clear" w:color="auto" w:fill="FFFFFF"/>
        </w:rPr>
        <w:t>(Ministry of Justice, 2018). This can lead to a drop off in engagement by offenders and manifest into further offending.</w:t>
      </w:r>
    </w:p>
    <w:p w14:paraId="4EFDBC50" w14:textId="77777777" w:rsidR="003110EC" w:rsidRPr="00556E70" w:rsidRDefault="003110EC" w:rsidP="595E708A">
      <w:pPr>
        <w:rPr>
          <w:rFonts w:eastAsiaTheme="minorEastAsia"/>
          <w:sz w:val="21"/>
          <w:szCs w:val="21"/>
          <w:shd w:val="clear" w:color="auto" w:fill="FFFFFF"/>
        </w:rPr>
      </w:pPr>
    </w:p>
    <w:p w14:paraId="772E1A22" w14:textId="4FEBD4DC" w:rsidR="003110EC" w:rsidRPr="00556E70" w:rsidRDefault="5E1080B6" w:rsidP="595E708A">
      <w:pPr>
        <w:rPr>
          <w:rFonts w:eastAsiaTheme="minorEastAsia"/>
        </w:rPr>
      </w:pPr>
      <w:r w:rsidRPr="00556E70">
        <w:rPr>
          <w:rFonts w:eastAsiaTheme="minorEastAsia"/>
        </w:rPr>
        <w:t>Word count 1258</w:t>
      </w:r>
    </w:p>
    <w:p w14:paraId="2551CFC5" w14:textId="4E9C75DB" w:rsidR="0085788F" w:rsidRPr="00556E70" w:rsidRDefault="0085788F" w:rsidP="595E708A">
      <w:pPr>
        <w:rPr>
          <w:rFonts w:eastAsiaTheme="minorEastAsia"/>
        </w:rPr>
      </w:pPr>
    </w:p>
    <w:p w14:paraId="636242B9" w14:textId="4BA6B030" w:rsidR="0085788F" w:rsidRPr="00556E70" w:rsidRDefault="0085788F" w:rsidP="595E708A">
      <w:pPr>
        <w:rPr>
          <w:rFonts w:eastAsiaTheme="minorEastAsia"/>
        </w:rPr>
      </w:pPr>
    </w:p>
    <w:p w14:paraId="54C1FA60" w14:textId="72E1B0B9" w:rsidR="0085788F" w:rsidRPr="00556E70" w:rsidRDefault="1B1827CC" w:rsidP="595E708A">
      <w:pPr>
        <w:ind w:left="2880" w:firstLine="720"/>
        <w:rPr>
          <w:rFonts w:eastAsiaTheme="minorEastAsia"/>
          <w:b/>
          <w:bCs/>
          <w:sz w:val="24"/>
          <w:szCs w:val="24"/>
        </w:rPr>
      </w:pPr>
      <w:r w:rsidRPr="00556E70">
        <w:rPr>
          <w:rFonts w:eastAsiaTheme="minorEastAsia"/>
          <w:b/>
          <w:bCs/>
          <w:sz w:val="24"/>
          <w:szCs w:val="24"/>
        </w:rPr>
        <w:t>Task 4</w:t>
      </w:r>
    </w:p>
    <w:p w14:paraId="4A524BEF" w14:textId="55FE04FB" w:rsidR="0085788F" w:rsidRDefault="0085788F" w:rsidP="595E708A">
      <w:pPr>
        <w:rPr>
          <w:rFonts w:eastAsiaTheme="minorEastAsia"/>
        </w:rPr>
      </w:pPr>
    </w:p>
    <w:p w14:paraId="0D11EFF9" w14:textId="042FCE52" w:rsidR="00FF2444" w:rsidRDefault="00FF2444" w:rsidP="595E708A">
      <w:pPr>
        <w:rPr>
          <w:rFonts w:eastAsiaTheme="minorEastAsia"/>
        </w:rPr>
      </w:pPr>
    </w:p>
    <w:p w14:paraId="0DFC3176" w14:textId="77777777" w:rsidR="00FF2444" w:rsidRDefault="00FF2444" w:rsidP="00FF2444">
      <w:r>
        <w:t xml:space="preserve">This essay will be centred around a policing incident in which I played a part of the gathering of evidence, the investigation, and the development of the information into intelligence. I will use the Gibbs reflective cycle (MindTools, 2009) to detail how I developed the information and the intelligence submitted, to inform the tasking and coordination team (Crous, 2012). I will focus on how I made use of additional sources of intelligence and explain how I have learnt from my experience. </w:t>
      </w:r>
    </w:p>
    <w:p w14:paraId="1F0245E6" w14:textId="77777777" w:rsidR="00FF2444" w:rsidRDefault="00FF2444" w:rsidP="00FF2444">
      <w:r>
        <w:t>My reflection will clarify my awareness of core principles around equality, ethics, human rights, and diversity.</w:t>
      </w:r>
    </w:p>
    <w:p w14:paraId="35404DB7" w14:textId="77777777" w:rsidR="00FF2444" w:rsidRDefault="00FF2444" w:rsidP="00FF2444">
      <w:r>
        <w:lastRenderedPageBreak/>
        <w:t xml:space="preserve">Information was submitted by a resident of the local area near to a community bowls club. Information was given to local PCSO’s who then passed it on to the neighbourhood policing team for analysis and development. The information is developed into intelligence through the 3x5x2 intelligence model. The information given by the residents, has highlighted a serious of drug deals by males in high powered vehicles. The males were seen giving carrier bags full of, what looked like, cannabis and cocaine, in exchange for bundles of money to youths on peddle bikes. </w:t>
      </w:r>
    </w:p>
    <w:p w14:paraId="7EF2320E" w14:textId="77777777" w:rsidR="00FF2444" w:rsidRDefault="00FF2444" w:rsidP="00FF2444">
      <w:r>
        <w:t>The transfers were between the males in the cars and several young children of the local area. The children have then been sighted nearby to a house that is known to police as a drugs hotspot. The tenant at that property had been convicted of drug dealing on previous occasions.</w:t>
      </w:r>
    </w:p>
    <w:p w14:paraId="2C77355A" w14:textId="77777777" w:rsidR="00FF2444" w:rsidRDefault="00FF2444" w:rsidP="00FF2444">
      <w:r>
        <w:t>The theory was the children involved, were being used by the drug dealers to disseminate the larger quantities of drugs out to the local dealers. The drug runners reward for their work was expensive items and gifts, such as top of the range trainers and alcohol. The drug dealers utilise the children because they are cheap labour, easily controlled and coerced and can stay inconspicuous to authorities due to their innocent appearance.</w:t>
      </w:r>
    </w:p>
    <w:p w14:paraId="744697AE" w14:textId="77777777" w:rsidR="00FF2444" w:rsidRDefault="00FF2444" w:rsidP="00FF2444">
      <w:r>
        <w:t xml:space="preserve">The local school liaison officer had also given intelligence about the children having expensive items at school and bragging about the money they had, even though they came from a relatively poor background. </w:t>
      </w:r>
    </w:p>
    <w:p w14:paraId="5335F42F" w14:textId="77777777" w:rsidR="00FF2444" w:rsidRDefault="00FF2444" w:rsidP="00FF2444">
      <w:r>
        <w:t xml:space="preserve">The intelligence led to my colleagues making enquiries in the area about the behaviours of the cars and bikes. After conducting house to house visits to residents near to the bowls club, it became clear that the issue in the area was connected to drugs and the supply off. </w:t>
      </w:r>
    </w:p>
    <w:p w14:paraId="57E58038" w14:textId="77777777" w:rsidR="00FF2444" w:rsidRDefault="00FF2444" w:rsidP="00FF2444">
      <w:r>
        <w:t>During one afternoon shift, I studied the information collected from the area along with CCTV footage and ANPR screenings. I arranged a tasking and coordination meeting with support services to tackle the issues of ASB and drug dealing at the bowls club.</w:t>
      </w:r>
    </w:p>
    <w:p w14:paraId="1A74D9AF" w14:textId="77777777" w:rsidR="00FF2444" w:rsidRDefault="00FF2444" w:rsidP="00FF2444">
      <w:r>
        <w:t xml:space="preserve">I arranged for Roads Police Support Units (RPSO), Police Community Support Officers (PCSO), School Liaison Officers (SLO) and local neighbourhood watch organisers to attend the local police station. Also present at the meeting were local response units, Registered Social Landlords (RSL), social services and Tenancy enforcement officers. </w:t>
      </w:r>
    </w:p>
    <w:p w14:paraId="0FCFD349" w14:textId="77777777" w:rsidR="00FF2444" w:rsidRDefault="00FF2444" w:rsidP="00FF2444">
      <w:r>
        <w:t xml:space="preserve">During the meeting, a plan was formulated to tackle the drug dealing, and incorporated all the support services available, and tasks sent to the relevant department for their advice. The plan which was actioned by me and the response units, was to flood the area with officers and support groups with the intention to round up all that were involved. </w:t>
      </w:r>
    </w:p>
    <w:p w14:paraId="32E960A7" w14:textId="77777777" w:rsidR="00FF2444" w:rsidRDefault="00FF2444" w:rsidP="00FF2444">
      <w:r>
        <w:t xml:space="preserve">We acted on the intelligence gathered and decided to strike one afternoon shift during the summer months, when most of the exchanges were happening. Due to the inclusion of several children ranging in teenage years and cultural diversity, the   During the operation we stopped three high powered vehicles and searched the cars and vehicles under Section 23 Misuse of Drugs Act 1971. We identified the main suppliers to the children and ascertained their identities and their guardians. The children who were under 18 years of </w:t>
      </w:r>
      <w:r>
        <w:lastRenderedPageBreak/>
        <w:t>age were referred to Youth offender’s services and the three main adult dealers were all arrested for Possession with intent to supply (PWITS).</w:t>
      </w:r>
    </w:p>
    <w:p w14:paraId="3E2DA4EF" w14:textId="77777777" w:rsidR="00FF2444" w:rsidRDefault="00FF2444" w:rsidP="00FF2444">
      <w:r>
        <w:t xml:space="preserve">At the time of the crimes being committed emotions are mixed. The plus side of the investigation is the feeling of protection to the community once the operation is over and has been a success. The other side of the emotions is the feeling of frustration and thoughts of helplessness for the young drug peddlers being used for the profits of serious criminals. </w:t>
      </w:r>
    </w:p>
    <w:p w14:paraId="781D3C7D" w14:textId="77777777" w:rsidR="00FF2444" w:rsidRDefault="00FF2444" w:rsidP="00FF2444">
      <w:r>
        <w:t>The information was gathered by several sources ranging from house-to-house investigations conducted by PCSO’s. With that information analysed and evaluated by the intelligence model. The 3x5x2 intelligence model evaluates the reliability of the source before analysing the credibility of the source of the information and its possible validity before giving credibility to the intelligence.</w:t>
      </w:r>
    </w:p>
    <w:p w14:paraId="14A6752F" w14:textId="77777777" w:rsidR="00FF2444" w:rsidRDefault="00FF2444" w:rsidP="00FF2444">
      <w:r>
        <w:t>Response officers conducted area searches throughout their duties and logged vehicle registration details of the cars attending the car parks with ANPR checks conducted on the owners of those vehicles. This approach by response officers allows Roads Police Support Units to build intelligence summaries of the vehicles and the pattern of where and when they are travelling. The ANPR network of 13,000 cameras strategically placed on Motorways and ‘A’ Roads captures the vehicle registration marks of every vehicle that passes through its detection range (NPCC, 2020).</w:t>
      </w:r>
    </w:p>
    <w:p w14:paraId="50EA4398" w14:textId="77777777" w:rsidR="00FF2444" w:rsidRDefault="00FF2444" w:rsidP="00FF2444">
      <w:r>
        <w:t xml:space="preserve">During the development stage of the intelligence, a lot of work is being put in to build up the intelligence formed picture of the crime being committed. The crime is on-going and is happening with the knowledge of the officers involved. During this evidence gathering stage the reasoning behind the lack of disruption to the criminal behaviour is so a more secure and reliable case can be built against the perpetrators. </w:t>
      </w:r>
    </w:p>
    <w:p w14:paraId="46300EE9" w14:textId="77777777" w:rsidR="00FF2444" w:rsidRDefault="00FF2444" w:rsidP="00FF2444">
      <w:r>
        <w:t xml:space="preserve">The School Liaison Officers primary role and feelings during the investigation, is to protect the youth offenders involved in the crime. Their role involves breaking down barriers between school pupils and the police. They educate the school children about the law, and legislations and try to prevent criminal behaviours by the 11 to 16-year olds who attend the school. SLO’s also play a big part in discouraging Anti-social Behaviour (ASB) by developing clubs and activities for the youths to get involved in (Henshall, 2017). </w:t>
      </w:r>
    </w:p>
    <w:p w14:paraId="3CB8E1AD" w14:textId="77777777" w:rsidR="00FF2444" w:rsidRDefault="00FF2444" w:rsidP="00FF2444">
      <w:r>
        <w:t xml:space="preserve">Another support service that was tasked was Registered Social Landlords (Kenney, 2022) and Tenancy enforcement departments (Lambeth Living, 2012). These support services were tasked to deal with the housing arrangements of the drug dealers and to make sure no cuckooing of vulnerable residents was happening. Cuckooing is a form of criminal exploitation and involves a drug dealer using and staying at an address of a vulnerable person within the community. The residence is then used to help the drug cultivation or dealing and consists of a dealer controlling and coercing a vulnerable person into letting them use the premises (Spicer, Moyle and Coomber, 2019). </w:t>
      </w:r>
    </w:p>
    <w:p w14:paraId="1BB68C4E" w14:textId="02A98C14" w:rsidR="00FF2444" w:rsidRDefault="00FF2444" w:rsidP="00FF2444">
      <w:r>
        <w:t xml:space="preserve">The offenders who were receiving the drugs from the child runners were investigated and evicted upon their release from prison and housed to another area of the county. An area of concern was the use of surveillance equipment and when seized upon arrest, the </w:t>
      </w:r>
      <w:r>
        <w:lastRenderedPageBreak/>
        <w:t xml:space="preserve">interrogation of the suspects mobile phone devices. Because of the </w:t>
      </w:r>
      <w:r>
        <w:t>large-scale</w:t>
      </w:r>
      <w:r>
        <w:t xml:space="preserve"> possession with the intent to supply (PWITS) charges likely to be brought, meticulous attention was granted to the human rights legislation. </w:t>
      </w:r>
    </w:p>
    <w:p w14:paraId="453159BD" w14:textId="77777777" w:rsidR="00FF2444" w:rsidRDefault="00FF2444" w:rsidP="00FF2444">
      <w:r>
        <w:t xml:space="preserve">When dealing with tasking and coordination processes it was imperative that we treated the use of the youths as drug runners with sensitivity and with an educational bias on our actions. This was tasked to the SLO and social services for their ability in managing the children. Social Services are used when crime involves youths. The skills the service has and are better equipped with a distinct aim to tackle drug abuse within the family environment (Marsh, D’Aunno and Smith, 2000). </w:t>
      </w:r>
    </w:p>
    <w:p w14:paraId="114C737E" w14:textId="77777777" w:rsidR="00FF2444" w:rsidRDefault="00FF2444" w:rsidP="00FF2444">
      <w:r>
        <w:t xml:space="preserve">During the operation, the level of integrity remained at a high level due to the amount of coverage the case would get, fairness would also have been of the highest order when charging the youth offenders. The difference in cultural backgrounds of the youths meant respect was a priority when delivering equality. No unconscious bias could creep in and the accountability of my actions and decisions led to me showing a high degree of leadership throughout the investigation </w:t>
      </w:r>
      <w:r w:rsidRPr="00DB753D">
        <w:t>(Home Office, 2014)</w:t>
      </w:r>
      <w:r>
        <w:t xml:space="preserve">. </w:t>
      </w:r>
    </w:p>
    <w:p w14:paraId="3CF7555B" w14:textId="77777777" w:rsidR="00FF2444" w:rsidRDefault="00FF2444" w:rsidP="00FF2444">
      <w:r>
        <w:t xml:space="preserve">Article 8 of the human rights affords any individual the right to a private life, but the right is only a qualified right and can be bypassed by police when public safety is at risk. This gives the police powers to seize and interrogate the phones of suspected drug dealers. The limited rights of each offender were also breached but legally because the suspects were being detained after being suspected of committing a criminal act (Citizens advice, 2019). </w:t>
      </w:r>
    </w:p>
    <w:p w14:paraId="779260D1" w14:textId="77777777" w:rsidR="00FF2444" w:rsidRDefault="00FF2444" w:rsidP="00FF2444">
      <w:r>
        <w:t>One of the most difficult tools available to the police and surveillance is Section 37 and 38 of Protection of Freedoms Act 2012 (CPS, 2021) and covers the use of surveillance cameras in a public setting. This requires an authorisation form signed by a district judge or lay magistrate and falls under Regulation of Investigatory Powers Act 2000 (RIPA) (Home Office, 2020).</w:t>
      </w:r>
    </w:p>
    <w:p w14:paraId="45992D2F" w14:textId="77777777" w:rsidR="00FF2444" w:rsidRDefault="00FF2444" w:rsidP="00FF2444">
      <w:r>
        <w:t xml:space="preserve">The initial operation to deal with the drug dealing and distribution went as well as could be expected with three arrests for PWITS and referrals for the youth offenders. The general feeling of disappointment by Police and Protection Services with the Police Service (PPU) was down to the lack of continued support for the youths from schools. </w:t>
      </w:r>
    </w:p>
    <w:p w14:paraId="20673646" w14:textId="77777777" w:rsidR="00FF2444" w:rsidRDefault="00FF2444" w:rsidP="00FF2444">
      <w:r>
        <w:t>In a survey conducted by the CDC reports suggests 7.5% of children have used marijuana and 20% of high school children have had an encounter with drugs on school property. The main reason behind the experimenting with drugs was put down to peer pressure and using drugs makes them popular in school. The report says the drug Amphetamines is on the rise in popularity with 7.9%-9.8% of students misusing the drug (The Recovery Village, 2019).</w:t>
      </w:r>
    </w:p>
    <w:p w14:paraId="3299D8DF" w14:textId="77777777" w:rsidR="00FF2444" w:rsidRDefault="00FF2444" w:rsidP="00FF2444">
      <w:r>
        <w:t>The identity of the children was quickly placed on social media by residents of the area and users of the bowls club which undermined the actions taken by police to conceal the names of the youths.</w:t>
      </w:r>
    </w:p>
    <w:p w14:paraId="5321BAC0" w14:textId="77777777" w:rsidR="00FF2444" w:rsidRDefault="00FF2444" w:rsidP="00FF2444">
      <w:r>
        <w:lastRenderedPageBreak/>
        <w:t xml:space="preserve">The overall success of the operation was credited to the good lines of communication between the policing response teams and roads policing units. Credit was given to the research and gathering of information and intelligence by Local PCSO’s when collating the CCTV footage from residential properties near to the bowls club. </w:t>
      </w:r>
    </w:p>
    <w:p w14:paraId="50064C7D" w14:textId="77777777" w:rsidR="00FF2444" w:rsidRDefault="00FF2444" w:rsidP="00FF2444">
      <w:r>
        <w:t xml:space="preserve">Particular attention was given to the care of the youths caught and taken to custody. The custody sergeants did not want children of that age being in and around that kind of environment. This created a problem for officers who needed to arrest some of the runners and interview them. This issue was overcome by de-arresting the youths after being transported to their home address. Voluntary interviews were arranged with children and legal guardians advised of the consequences if the interview was not attended. </w:t>
      </w:r>
    </w:p>
    <w:p w14:paraId="1CB1311A" w14:textId="77777777" w:rsidR="00FF2444" w:rsidRDefault="00FF2444" w:rsidP="00FF2444">
      <w:r>
        <w:t xml:space="preserve">Going forward, things I consider to be a development topic with my investigation, would be to use the support services for some of the leg work and to trust in the capabilities of the school and council services for help. </w:t>
      </w:r>
    </w:p>
    <w:p w14:paraId="54B5762E" w14:textId="501D2E6B" w:rsidR="00FF2444" w:rsidRDefault="00FF2444" w:rsidP="00FF2444">
      <w:r>
        <w:t>Word count 18</w:t>
      </w:r>
      <w:r>
        <w:t>33</w:t>
      </w:r>
    </w:p>
    <w:p w14:paraId="5083A458" w14:textId="77777777" w:rsidR="00FF2444" w:rsidRDefault="00FF2444" w:rsidP="00FF2444">
      <w:r>
        <w:t xml:space="preserve"> </w:t>
      </w:r>
    </w:p>
    <w:p w14:paraId="65449171" w14:textId="77777777" w:rsidR="00FF2444" w:rsidRDefault="00FF2444" w:rsidP="00FF2444"/>
    <w:p w14:paraId="016A235B" w14:textId="2C8C9DD0" w:rsidR="00775E5F" w:rsidRPr="00556E70" w:rsidRDefault="1B1827CC" w:rsidP="00FF2444">
      <w:pPr>
        <w:ind w:left="3600"/>
        <w:rPr>
          <w:rFonts w:eastAsiaTheme="minorEastAsia"/>
          <w:b/>
          <w:bCs/>
          <w:sz w:val="24"/>
          <w:szCs w:val="24"/>
        </w:rPr>
      </w:pPr>
      <w:r w:rsidRPr="00556E70">
        <w:rPr>
          <w:rFonts w:eastAsiaTheme="minorEastAsia"/>
          <w:b/>
          <w:bCs/>
          <w:sz w:val="24"/>
          <w:szCs w:val="24"/>
        </w:rPr>
        <w:t>Task 5</w:t>
      </w:r>
    </w:p>
    <w:p w14:paraId="0E470D11" w14:textId="56CCF08F" w:rsidR="00775E5F" w:rsidRPr="00556E70" w:rsidRDefault="00775E5F" w:rsidP="595E708A">
      <w:pPr>
        <w:rPr>
          <w:rFonts w:eastAsiaTheme="minorEastAsia"/>
        </w:rPr>
      </w:pPr>
    </w:p>
    <w:p w14:paraId="123B66CE" w14:textId="77777777" w:rsidR="00775E5F" w:rsidRPr="00556E70" w:rsidRDefault="7FC6084F" w:rsidP="595E708A">
      <w:pPr>
        <w:rPr>
          <w:rFonts w:eastAsiaTheme="minorEastAsia"/>
        </w:rPr>
      </w:pPr>
      <w:r w:rsidRPr="00556E70">
        <w:rPr>
          <w:rFonts w:eastAsiaTheme="minorEastAsia"/>
        </w:rPr>
        <w:t>During this essay I will be using Borton’s reflective Model to describe and reflect on an incident involving digitally facilitated crime and the actions taken to reduce the harm caused by the incident. I will reflect on the initial response I undertook when given the crime to investigate and discuss who are the more vulnerable to this type of crime.</w:t>
      </w:r>
    </w:p>
    <w:p w14:paraId="0BE3B8F7" w14:textId="778F2F64" w:rsidR="00775E5F" w:rsidRPr="00556E70" w:rsidRDefault="7FC6084F" w:rsidP="595E708A">
      <w:pPr>
        <w:rPr>
          <w:rFonts w:eastAsiaTheme="minorEastAsia"/>
        </w:rPr>
      </w:pPr>
      <w:r w:rsidRPr="00556E70">
        <w:rPr>
          <w:rFonts w:eastAsiaTheme="minorEastAsia"/>
        </w:rPr>
        <w:t xml:space="preserve">During my duty as a response officer, I was given a crime by my Sergeant to investigate which involved an occurrence of revenge porn on a 20-year-old female. The victim had been in a relationship with a male friend for approximately 6 months, but the relationship had ended on a less amicable level. The male became very jealous when the victim started up a new relationship with another male of the same friend’s group. </w:t>
      </w:r>
    </w:p>
    <w:p w14:paraId="3A3BA430" w14:textId="299DE49B" w:rsidR="00775E5F" w:rsidRPr="00556E70" w:rsidRDefault="7FC6084F" w:rsidP="595E708A">
      <w:pPr>
        <w:rPr>
          <w:rFonts w:eastAsiaTheme="minorEastAsia"/>
        </w:rPr>
      </w:pPr>
      <w:r w:rsidRPr="00556E70">
        <w:rPr>
          <w:rFonts w:eastAsiaTheme="minorEastAsia"/>
        </w:rPr>
        <w:t>During the six-month relationship the female had with the perpetrator, she had become sexually active with him for the first time in a relationship. The victim fell in love with the male, and they started to become more adventurous and the use of mobile phones during sex became a regular occurrence.</w:t>
      </w:r>
    </w:p>
    <w:p w14:paraId="1D1691B8" w14:textId="7A1282F9" w:rsidR="00775E5F" w:rsidRPr="00556E70" w:rsidRDefault="7FC6084F" w:rsidP="595E708A">
      <w:pPr>
        <w:rPr>
          <w:rFonts w:eastAsiaTheme="minorEastAsia"/>
        </w:rPr>
      </w:pPr>
      <w:r w:rsidRPr="00556E70">
        <w:rPr>
          <w:rFonts w:eastAsiaTheme="minorEastAsia"/>
        </w:rPr>
        <w:t xml:space="preserve">Eventually, the relationship had run its course due to the difference in cultures on the two families. A brief time after ending the relationship, the female had begun a new relationship with a friend of the male she had dated previously. This has triggered jealousy in the previous male and out spite he has posted several sexually explicit video clips from his mobile phone on to social media sites as well as naming the female victim, this is classed as Revenge Porn (Cary, 2022). </w:t>
      </w:r>
    </w:p>
    <w:p w14:paraId="05E0EFE0" w14:textId="6AD019BE" w:rsidR="00775E5F" w:rsidRPr="00556E70" w:rsidRDefault="7FC6084F" w:rsidP="595E708A">
      <w:pPr>
        <w:rPr>
          <w:rFonts w:eastAsiaTheme="minorEastAsia"/>
        </w:rPr>
      </w:pPr>
      <w:r w:rsidRPr="00556E70">
        <w:rPr>
          <w:rFonts w:eastAsiaTheme="minorEastAsia"/>
        </w:rPr>
        <w:lastRenderedPageBreak/>
        <w:t>A survey by Professor Emma Bond and Katie Tyrell into Understanding Revenge Pornography has collated the knowledge and confidence of police officers throughout England and Wales. The survey also collected information about how much training the officers had received.</w:t>
      </w:r>
    </w:p>
    <w:p w14:paraId="215F2869" w14:textId="2B804D78" w:rsidR="00775E5F" w:rsidRPr="00556E70" w:rsidRDefault="7FC6084F" w:rsidP="595E708A">
      <w:pPr>
        <w:rPr>
          <w:rFonts w:eastAsiaTheme="minorEastAsia"/>
        </w:rPr>
      </w:pPr>
      <w:r w:rsidRPr="00556E70">
        <w:rPr>
          <w:rFonts w:eastAsiaTheme="minorEastAsia"/>
        </w:rPr>
        <w:t>783 officers responded to the request for their participation from the authors of the survey. The findings from the survey suggested that police officers in England and Wales have a limited understanding and knowledge of the legislation surrounding revenge porn. The information within the answers to the survey also suggest officers are not comfortable in how best to investigate and deal with incidents of revenge porn.</w:t>
      </w:r>
    </w:p>
    <w:p w14:paraId="5A9E1B49" w14:textId="7F846CE2" w:rsidR="00775E5F" w:rsidRPr="00556E70" w:rsidRDefault="7FC6084F" w:rsidP="595E708A">
      <w:pPr>
        <w:rPr>
          <w:rFonts w:eastAsiaTheme="minorEastAsia"/>
        </w:rPr>
      </w:pPr>
      <w:r w:rsidRPr="00556E70">
        <w:rPr>
          <w:rFonts w:eastAsiaTheme="minorEastAsia"/>
        </w:rPr>
        <w:t>In the new modern era of digital technology, the use of the internet to facilitate criminal activity has increased immeasurably. The internet has allowed criminals to slip relatively under the radar when committing crimes or organising crimes over the everyday broadband. Crime has established itself on social media sites due to the increased users and increased footfall on the sites.</w:t>
      </w:r>
    </w:p>
    <w:p w14:paraId="7E89A2DF" w14:textId="76E8B949" w:rsidR="00775E5F" w:rsidRPr="00556E70" w:rsidRDefault="7FC6084F" w:rsidP="595E708A">
      <w:pPr>
        <w:rPr>
          <w:rFonts w:eastAsiaTheme="minorEastAsia"/>
        </w:rPr>
      </w:pPr>
      <w:r w:rsidRPr="00556E70">
        <w:rPr>
          <w:rFonts w:eastAsiaTheme="minorEastAsia"/>
        </w:rPr>
        <w:t xml:space="preserve">Revenge porn is covered by the act of disclosing or threatening to disclose private sexual images with intent to cause distress and is covered by section 33 of Criminal justice and courts Act 2015. </w:t>
      </w:r>
    </w:p>
    <w:p w14:paraId="013A3FAC" w14:textId="77777777" w:rsidR="00775E5F" w:rsidRPr="00556E70" w:rsidRDefault="7FC6084F" w:rsidP="595E708A">
      <w:pPr>
        <w:rPr>
          <w:rFonts w:eastAsiaTheme="minorEastAsia"/>
        </w:rPr>
      </w:pPr>
      <w:r w:rsidRPr="00556E70">
        <w:rPr>
          <w:rFonts w:eastAsiaTheme="minorEastAsia"/>
        </w:rPr>
        <w:t>The points to prove a revenge porn incident within the lawful definition states a disclosure of private sexual photographs or film which contains another individual and in doing so, the person intends to cause distress and the disclosure is made without the consent of that individual. The punishment is triable either way. On indictment (Criminal Justice and Courts Act 2015).</w:t>
      </w:r>
    </w:p>
    <w:p w14:paraId="32A96A4C" w14:textId="77777777" w:rsidR="00775E5F" w:rsidRPr="00556E70" w:rsidRDefault="7FC6084F" w:rsidP="595E708A">
      <w:pPr>
        <w:rPr>
          <w:rFonts w:eastAsiaTheme="minorEastAsia"/>
        </w:rPr>
      </w:pPr>
      <w:r w:rsidRPr="00556E70">
        <w:rPr>
          <w:rFonts w:eastAsiaTheme="minorEastAsia"/>
        </w:rPr>
        <w:t>An article documented by the BBC (2016) highlighted a statistic of 206 perpetrators male and female were prosecuted for revenge porn in the 12 months leading on from the introduction of the new law (BBC, 2016).</w:t>
      </w:r>
    </w:p>
    <w:p w14:paraId="285FC406" w14:textId="27900FCA" w:rsidR="00775E5F" w:rsidRPr="00556E70" w:rsidRDefault="7FC6084F" w:rsidP="595E708A">
      <w:pPr>
        <w:rPr>
          <w:rFonts w:eastAsiaTheme="minorEastAsia"/>
        </w:rPr>
      </w:pPr>
      <w:r w:rsidRPr="00556E70">
        <w:rPr>
          <w:rFonts w:eastAsiaTheme="minorEastAsia"/>
        </w:rPr>
        <w:t xml:space="preserve">During the initial stages of my response to the incident, my first thoughts were to safeguard the victim and the want to minimise the embarrassment to her. The first action to take was to arrest and seize the devices that allow the perpetrator access to the internet such as tablets and mobile phones. </w:t>
      </w:r>
    </w:p>
    <w:p w14:paraId="7CEFD40F" w14:textId="687755B6" w:rsidR="00775E5F" w:rsidRPr="00556E70" w:rsidRDefault="7FC6084F" w:rsidP="595E708A">
      <w:pPr>
        <w:rPr>
          <w:rFonts w:eastAsiaTheme="minorEastAsia"/>
        </w:rPr>
      </w:pPr>
      <w:r w:rsidRPr="00556E70">
        <w:rPr>
          <w:rFonts w:eastAsiaTheme="minorEastAsia"/>
        </w:rPr>
        <w:t xml:space="preserve">The digital devices can then be interrogated by Hi-tech crime units and Digital Forensic Units of the police service. In the first instance, electronic devices can be done by XRY trained officers supplying the devices access code has been provided by the owner. XRY is the software used to forensically access and retrieve digital information from seized devices (College of Policing, 2022). </w:t>
      </w:r>
    </w:p>
    <w:p w14:paraId="17A73CA6" w14:textId="77777777" w:rsidR="00775E5F" w:rsidRPr="00556E70" w:rsidRDefault="7FC6084F" w:rsidP="595E708A">
      <w:pPr>
        <w:rPr>
          <w:rFonts w:eastAsiaTheme="minorEastAsia"/>
        </w:rPr>
      </w:pPr>
      <w:r w:rsidRPr="00556E70">
        <w:rPr>
          <w:rFonts w:eastAsiaTheme="minorEastAsia"/>
        </w:rPr>
        <w:t>Safeguarding a victim of Revenge porn can involve them being sign posted to support groups like Safe line, who are an organisation with advisors and counsellors. The counsellors provide a voice for the victims to talk too and can nurse them through the process to minimise the risk to the victim.</w:t>
      </w:r>
    </w:p>
    <w:p w14:paraId="05CE6B79" w14:textId="32E4807A" w:rsidR="00775E5F" w:rsidRPr="00556E70" w:rsidRDefault="7FC6084F" w:rsidP="595E708A">
      <w:pPr>
        <w:rPr>
          <w:rFonts w:eastAsiaTheme="minorEastAsia"/>
        </w:rPr>
      </w:pPr>
      <w:r w:rsidRPr="00556E70">
        <w:rPr>
          <w:rFonts w:eastAsiaTheme="minorEastAsia"/>
        </w:rPr>
        <w:lastRenderedPageBreak/>
        <w:t>A study conducted by Cyber Civil Rights Initiative or (CCRI) in 2014 produced a figure of 68% of victims of revenge porn were 18-30 years old with 27% being between 18-22. The most common age group to be subject of non-consensual pornography (NCP) was the 26-33 age range at 17.7% being a victim of revenge porn followed by 34-41 age bracket at 12.4% (Ma R Y R E P O et al., 2017).</w:t>
      </w:r>
    </w:p>
    <w:p w14:paraId="5AFDB927" w14:textId="29F0EC52" w:rsidR="00775E5F" w:rsidRPr="00556E70" w:rsidRDefault="7FC6084F" w:rsidP="595E708A">
      <w:pPr>
        <w:rPr>
          <w:rFonts w:eastAsiaTheme="minorEastAsia"/>
        </w:rPr>
      </w:pPr>
      <w:r w:rsidRPr="00556E70">
        <w:rPr>
          <w:rFonts w:eastAsiaTheme="minorEastAsia"/>
        </w:rPr>
        <w:t>Research by Best. A (2007) has concluded that the younger age group namely teenagers are deciding to deal with the act of revenge porn by themselves because they see it as too embarrassing to report. This leads to the perpetrators being ostracised from the main social group rather than being dealt with through the criminal route.</w:t>
      </w:r>
    </w:p>
    <w:p w14:paraId="52B4EFD9" w14:textId="2EA3BDA7" w:rsidR="00775E5F" w:rsidRPr="00556E70" w:rsidRDefault="7FC6084F" w:rsidP="595E708A">
      <w:pPr>
        <w:rPr>
          <w:rFonts w:eastAsiaTheme="minorEastAsia"/>
        </w:rPr>
      </w:pPr>
      <w:r w:rsidRPr="00556E70">
        <w:rPr>
          <w:rFonts w:eastAsiaTheme="minorEastAsia"/>
        </w:rPr>
        <w:t>The study by CCRI discovered out of 1405 male participants only 9.3% have admitted to having an NCP image sent to another person without their consent. Compare that to 1639 female participants in the survey, with 15.8% saying they had been the victim of NCP. This equates to women being 1.7 times more likely to be a victim of revenge porn.</w:t>
      </w:r>
    </w:p>
    <w:p w14:paraId="02623A24" w14:textId="77777777" w:rsidR="00775E5F" w:rsidRPr="00556E70" w:rsidRDefault="7FC6084F" w:rsidP="595E708A">
      <w:pPr>
        <w:rPr>
          <w:rFonts w:eastAsiaTheme="minorEastAsia"/>
        </w:rPr>
      </w:pPr>
      <w:r w:rsidRPr="00556E70">
        <w:rPr>
          <w:rFonts w:eastAsiaTheme="minorEastAsia"/>
        </w:rPr>
        <w:t xml:space="preserve">The same study shows 9.2% of all female victims of revenge porn report the incident to police compared to only 6.6% of male victims doing the same. Out of 3044 people surveyed 244 people said they had been victims of revenge porn and of the 244, 66 people (27%) said they were under the age of 18 when the incident happened. </w:t>
      </w:r>
    </w:p>
    <w:p w14:paraId="0D5D368C" w14:textId="77777777" w:rsidR="00775E5F" w:rsidRPr="00556E70" w:rsidRDefault="7FC6084F" w:rsidP="595E708A">
      <w:pPr>
        <w:rPr>
          <w:rFonts w:eastAsiaTheme="minorEastAsia"/>
        </w:rPr>
      </w:pPr>
      <w:r w:rsidRPr="00556E70">
        <w:rPr>
          <w:rFonts w:eastAsiaTheme="minorEastAsia"/>
        </w:rPr>
        <w:t>Male participants are shown to be twice as likely to be the perpetrator than females with 7.4% of men being perpetrators and 3.4% of all women admitting being a perpetrator.</w:t>
      </w:r>
    </w:p>
    <w:p w14:paraId="4C024691" w14:textId="77777777" w:rsidR="00775E5F" w:rsidRPr="00556E70" w:rsidRDefault="7FC6084F" w:rsidP="595E708A">
      <w:pPr>
        <w:rPr>
          <w:rFonts w:eastAsiaTheme="minorEastAsia"/>
        </w:rPr>
      </w:pPr>
      <w:r w:rsidRPr="00556E70">
        <w:rPr>
          <w:rFonts w:eastAsiaTheme="minorEastAsia"/>
        </w:rPr>
        <w:t>Of the 3044 participants the age range showed 8.2% being 18-25-year olds with the next highest percentage being the 34-41-year olds and 50-57-year olds third highest at 5.4%. The survey showed 34-41-year olds being the most likely to be a victim, followed by 26-33-year olds at 11.7%.</w:t>
      </w:r>
    </w:p>
    <w:p w14:paraId="0E5A11E1" w14:textId="16D88DE4" w:rsidR="00775E5F" w:rsidRPr="00556E70" w:rsidRDefault="7FC6084F" w:rsidP="595E708A">
      <w:pPr>
        <w:rPr>
          <w:rFonts w:eastAsiaTheme="minorEastAsia"/>
        </w:rPr>
      </w:pPr>
      <w:r w:rsidRPr="00556E70">
        <w:rPr>
          <w:rFonts w:eastAsiaTheme="minorEastAsia"/>
        </w:rPr>
        <w:t>Going by the results of the survey the perfect scenario would equate to a male perpetrator aged 18-25 sharing images of NCP female victims aged 34-41. The overwhelming motive for sharing revenge porn was to hurt the ex-partner by sharing the video or images with friends at 79%. One perpetrator out of the 159 admitting to doing it to ruin the victim’s life.</w:t>
      </w:r>
    </w:p>
    <w:p w14:paraId="306C991D" w14:textId="22480EEC" w:rsidR="00775E5F" w:rsidRPr="00556E70" w:rsidRDefault="7FC6084F" w:rsidP="595E708A">
      <w:pPr>
        <w:rPr>
          <w:rFonts w:eastAsiaTheme="minorEastAsia"/>
        </w:rPr>
      </w:pPr>
      <w:r w:rsidRPr="00556E70">
        <w:rPr>
          <w:rFonts w:eastAsiaTheme="minorEastAsia"/>
        </w:rPr>
        <w:t>The technique used most to share the images with friends was by direct message, with 44.7% choosing to share the content this way, and 18.9% choosing to post the NCP on social media. The study also shows a higher level of mental health issues and somatic Burden of victims compared to non-victims (Ma R Y R E P O et al., 2017).</w:t>
      </w:r>
    </w:p>
    <w:p w14:paraId="513AC61A" w14:textId="77777777" w:rsidR="00775E5F" w:rsidRPr="00556E70" w:rsidRDefault="7FC6084F" w:rsidP="595E708A">
      <w:pPr>
        <w:rPr>
          <w:rFonts w:eastAsiaTheme="minorEastAsia"/>
        </w:rPr>
      </w:pPr>
      <w:r w:rsidRPr="00556E70">
        <w:rPr>
          <w:rFonts w:eastAsiaTheme="minorEastAsia"/>
        </w:rPr>
        <w:t>A separate study jointly conducted by University of Exeter, The Revenge Porn Helpline and Professionals Online Safety Helpline (POSH) and funded by the Economic and Social Research Council (ESRC) found 3 in 4 victims are female. 9 out of 10 female victims suffer intimate image abuse and 9 out of 10 male victims suffer sextortion.</w:t>
      </w:r>
    </w:p>
    <w:p w14:paraId="56CEA1BF" w14:textId="0EDD6FEB" w:rsidR="00775E5F" w:rsidRPr="00556E70" w:rsidRDefault="7FC6084F" w:rsidP="595E708A">
      <w:pPr>
        <w:rPr>
          <w:rFonts w:eastAsiaTheme="minorEastAsia"/>
        </w:rPr>
      </w:pPr>
      <w:r w:rsidRPr="00556E70">
        <w:rPr>
          <w:rFonts w:eastAsiaTheme="minorEastAsia"/>
        </w:rPr>
        <w:t xml:space="preserve">The study illustrated by Joe Clarke, a digital sociologist, PhD researcher and the Communications officer for Safe. Secure, Online website (Officer, 2019), that male victims reported feeling very little long-term effects and could move on from the initial embarrassment. </w:t>
      </w:r>
      <w:r w:rsidRPr="00556E70">
        <w:rPr>
          <w:rFonts w:eastAsiaTheme="minorEastAsia"/>
        </w:rPr>
        <w:lastRenderedPageBreak/>
        <w:t xml:space="preserve">Female victims suffering much longer lasting social, emotional and physical effects (Sharratt, 2019). </w:t>
      </w:r>
    </w:p>
    <w:p w14:paraId="501FEF1B" w14:textId="3A21690B" w:rsidR="00775E5F" w:rsidRPr="00556E70" w:rsidRDefault="7FC6084F" w:rsidP="595E708A">
      <w:pPr>
        <w:rPr>
          <w:rFonts w:eastAsiaTheme="minorEastAsia"/>
        </w:rPr>
      </w:pPr>
      <w:r w:rsidRPr="00556E70">
        <w:rPr>
          <w:rFonts w:eastAsiaTheme="minorEastAsia"/>
        </w:rPr>
        <w:t>From the research I have done within this essay, the disproportionality between male victims and female victims suggests that the perpetrator is more likely to be a male in their early 20’s and the female victim in her 30’s. The trend of the information gathered would lead to an unconscious bias towards safeguarding the female at the first point of contact and minimising the damage done to the victim’s reputation. The overriding evidence suggests females suffer with long term effects which could lead on to trust issues and even jeopardise future employment prospects.</w:t>
      </w:r>
    </w:p>
    <w:p w14:paraId="7424CD06" w14:textId="55D186E3" w:rsidR="00775E5F" w:rsidRPr="00556E70" w:rsidRDefault="7FC6084F" w:rsidP="595E708A">
      <w:pPr>
        <w:rPr>
          <w:rFonts w:eastAsiaTheme="minorEastAsia"/>
        </w:rPr>
      </w:pPr>
      <w:r w:rsidRPr="00556E70">
        <w:rPr>
          <w:rFonts w:eastAsiaTheme="minorEastAsia"/>
        </w:rPr>
        <w:t>More research is needed into the aftereffects of this crime and a much more severe punishment for the perpetrators. The stigma attached to the crime is heavily biased towards the embarrassment factor which allows the perpetrator to have an emotional hold over the victim stopping the victim from coming forward.</w:t>
      </w:r>
    </w:p>
    <w:p w14:paraId="42DA66CD" w14:textId="77777777" w:rsidR="00775E5F" w:rsidRPr="00556E70" w:rsidRDefault="7FC6084F" w:rsidP="595E708A">
      <w:pPr>
        <w:rPr>
          <w:rFonts w:eastAsiaTheme="minorEastAsia"/>
        </w:rPr>
      </w:pPr>
      <w:r w:rsidRPr="00556E70">
        <w:rPr>
          <w:rFonts w:eastAsiaTheme="minorEastAsia"/>
        </w:rPr>
        <w:t>I will focus more effort into removing the content from the media platform as well as getting support services involved earlier with after care for the victim. My priority will be for victim support alongside the investigation into the criminal aspect.</w:t>
      </w:r>
    </w:p>
    <w:p w14:paraId="45137DBC" w14:textId="0F759DCF" w:rsidR="00775E5F" w:rsidRDefault="7FC6084F" w:rsidP="595E708A">
      <w:pPr>
        <w:rPr>
          <w:rFonts w:eastAsiaTheme="minorEastAsia"/>
        </w:rPr>
      </w:pPr>
      <w:r w:rsidRPr="00556E70">
        <w:rPr>
          <w:rFonts w:eastAsiaTheme="minorEastAsia"/>
        </w:rPr>
        <w:t>Word count 1475</w:t>
      </w:r>
    </w:p>
    <w:p w14:paraId="2E33C13A" w14:textId="12889C4C" w:rsidR="00E50D6A" w:rsidRDefault="00E50D6A" w:rsidP="595E708A">
      <w:pPr>
        <w:rPr>
          <w:rFonts w:eastAsiaTheme="minorEastAsia"/>
        </w:rPr>
      </w:pPr>
    </w:p>
    <w:p w14:paraId="1DE0DB5D" w14:textId="564C4AC3" w:rsidR="00E50D6A" w:rsidRDefault="00E50D6A" w:rsidP="595E708A">
      <w:pPr>
        <w:rPr>
          <w:rFonts w:eastAsiaTheme="minorEastAsia"/>
        </w:rPr>
      </w:pPr>
    </w:p>
    <w:p w14:paraId="47DCFBB9" w14:textId="03B1BCBB" w:rsidR="00E50D6A" w:rsidRDefault="00E50D6A" w:rsidP="595E708A">
      <w:pPr>
        <w:rPr>
          <w:rFonts w:eastAsiaTheme="minorEastAsia"/>
        </w:rPr>
      </w:pPr>
    </w:p>
    <w:p w14:paraId="6615660E"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36"/>
          <w:szCs w:val="36"/>
          <w:lang w:val="en-US"/>
        </w:rPr>
        <w:t>Reference list</w:t>
      </w:r>
    </w:p>
    <w:p w14:paraId="5DF92770"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Adams, J. (2018). </w:t>
      </w:r>
      <w:r>
        <w:rPr>
          <w:rFonts w:ascii="Times New Roman" w:hAnsi="Times New Roman"/>
          <w:i/>
          <w:iCs/>
          <w:sz w:val="24"/>
          <w:szCs w:val="24"/>
          <w:lang w:val="en-US"/>
        </w:rPr>
        <w:t>ScholarWorks The Role of Organizational Justice in Police Interaction Decisions With Citizens Post-Ferguson</w:t>
      </w:r>
      <w:r>
        <w:rPr>
          <w:rFonts w:ascii="Times New Roman" w:hAnsi="Times New Roman"/>
          <w:sz w:val="24"/>
          <w:szCs w:val="24"/>
          <w:lang w:val="en-US"/>
        </w:rPr>
        <w:t xml:space="preserve">. [online] Available at:    </w:t>
      </w:r>
      <w:hyperlink r:id="rId10" w:history="1">
        <w:r w:rsidRPr="00C41839">
          <w:rPr>
            <w:rStyle w:val="Hyperlink"/>
            <w:rFonts w:ascii="Times New Roman" w:hAnsi="Times New Roman"/>
            <w:sz w:val="24"/>
            <w:szCs w:val="24"/>
            <w:lang w:val="en-US"/>
          </w:rPr>
          <w:t>https://scholarworks.waldenu.edu/cgi/viewcontent.cgi?article=6234&amp;context=dissertations</w:t>
        </w:r>
      </w:hyperlink>
      <w:r>
        <w:rPr>
          <w:rFonts w:ascii="Times New Roman" w:hAnsi="Times New Roman"/>
          <w:sz w:val="24"/>
          <w:szCs w:val="24"/>
          <w:lang w:val="en-US"/>
        </w:rPr>
        <w:t xml:space="preserve"> [Accessed 10 Jan. 2022].</w:t>
      </w:r>
    </w:p>
    <w:p w14:paraId="3A6AD34C"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Adams, S. (2020). </w:t>
      </w:r>
      <w:r>
        <w:rPr>
          <w:rFonts w:ascii="Times New Roman" w:hAnsi="Times New Roman"/>
          <w:i/>
          <w:iCs/>
          <w:sz w:val="24"/>
          <w:szCs w:val="24"/>
          <w:lang w:val="en-US"/>
        </w:rPr>
        <w:t>The 5-minute guide to the intelligence grading process and its application in OSINT</w:t>
      </w:r>
      <w:r>
        <w:rPr>
          <w:rFonts w:ascii="Times New Roman" w:hAnsi="Times New Roman"/>
          <w:sz w:val="24"/>
          <w:szCs w:val="24"/>
          <w:lang w:val="en-US"/>
        </w:rPr>
        <w:t xml:space="preserve">. [online] IWS Training. Available at:  </w:t>
      </w:r>
      <w:hyperlink r:id="rId11" w:history="1">
        <w:r w:rsidRPr="00C41839">
          <w:rPr>
            <w:rStyle w:val="Hyperlink"/>
            <w:rFonts w:ascii="Times New Roman" w:hAnsi="Times New Roman"/>
            <w:sz w:val="24"/>
            <w:szCs w:val="24"/>
            <w:lang w:val="en-US"/>
          </w:rPr>
          <w:t>https://www.intelligencewithsteve.com/post/the-5-minute-guide-to-the-intelligence-grading-process-and-its-application-in-osint</w:t>
        </w:r>
      </w:hyperlink>
      <w:r>
        <w:rPr>
          <w:rFonts w:ascii="Times New Roman" w:hAnsi="Times New Roman"/>
          <w:sz w:val="24"/>
          <w:szCs w:val="24"/>
          <w:lang w:val="en-US"/>
        </w:rPr>
        <w:t xml:space="preserve">  [Accessed 26 Jan. 2022].</w:t>
      </w:r>
    </w:p>
    <w:p w14:paraId="2F38DBC2"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Andrew, M. (2008). </w:t>
      </w:r>
      <w:r>
        <w:rPr>
          <w:rFonts w:ascii="Times New Roman" w:hAnsi="Times New Roman"/>
          <w:i/>
          <w:iCs/>
          <w:sz w:val="24"/>
          <w:szCs w:val="24"/>
          <w:lang w:val="en-US"/>
        </w:rPr>
        <w:t>Anti-Social Behaviour</w:t>
      </w:r>
      <w:r>
        <w:rPr>
          <w:rFonts w:ascii="Times New Roman" w:hAnsi="Times New Roman"/>
          <w:sz w:val="24"/>
          <w:szCs w:val="24"/>
          <w:lang w:val="en-US"/>
        </w:rPr>
        <w:t xml:space="preserve">. illustrated ed. [online] </w:t>
      </w:r>
      <w:r>
        <w:rPr>
          <w:rFonts w:ascii="Times New Roman" w:hAnsi="Times New Roman"/>
          <w:i/>
          <w:iCs/>
          <w:sz w:val="24"/>
          <w:szCs w:val="24"/>
          <w:lang w:val="en-US"/>
        </w:rPr>
        <w:t>Google Books</w:t>
      </w:r>
      <w:r>
        <w:rPr>
          <w:rFonts w:ascii="Times New Roman" w:hAnsi="Times New Roman"/>
          <w:sz w:val="24"/>
          <w:szCs w:val="24"/>
          <w:lang w:val="en-US"/>
        </w:rPr>
        <w:t xml:space="preserve">, McGraw-Hill Education (UK), p.1. Available at:   </w:t>
      </w:r>
      <w:hyperlink r:id="rId12" w:anchor="v=onepage&amp;q&amp;f=false" w:history="1">
        <w:r w:rsidRPr="00C41839">
          <w:rPr>
            <w:rStyle w:val="Hyperlink"/>
            <w:rFonts w:ascii="Times New Roman" w:hAnsi="Times New Roman"/>
            <w:sz w:val="24"/>
            <w:szCs w:val="24"/>
            <w:lang w:val="en-US"/>
          </w:rPr>
          <w:t>https://books.google.co.uk/books?hl=en&amp;lr=&amp;id=ngvJpBZ60DwC&amp;oi=fnd&amp;pg=PP</w:t>
        </w:r>
        <w:r w:rsidRPr="00C41839">
          <w:rPr>
            <w:rStyle w:val="Hyperlink"/>
            <w:rFonts w:ascii="Times New Roman" w:hAnsi="Times New Roman"/>
            <w:sz w:val="24"/>
            <w:szCs w:val="24"/>
            <w:lang w:val="en-US"/>
          </w:rPr>
          <w:lastRenderedPageBreak/>
          <w:t>1&amp;dq=anti+social+behaviour+definition&amp;ots=0xfVVTyC8V&amp;sig=fdq7lHf4AXF2Ra91e53-o_SotTA#v=onepage&amp;q&amp;f=false</w:t>
        </w:r>
      </w:hyperlink>
      <w:r>
        <w:rPr>
          <w:rFonts w:ascii="Times New Roman" w:hAnsi="Times New Roman"/>
          <w:sz w:val="24"/>
          <w:szCs w:val="24"/>
          <w:lang w:val="en-US"/>
        </w:rPr>
        <w:t xml:space="preserve"> [Accessed 19 Jan. 2022].</w:t>
      </w:r>
    </w:p>
    <w:p w14:paraId="33537074"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BBC (2016). Revenge porn: More than 200 prosecuted under new law. </w:t>
      </w:r>
      <w:r>
        <w:rPr>
          <w:rFonts w:ascii="Times New Roman" w:hAnsi="Times New Roman"/>
          <w:i/>
          <w:iCs/>
          <w:sz w:val="24"/>
          <w:szCs w:val="24"/>
          <w:lang w:val="en-US"/>
        </w:rPr>
        <w:t>BBC News</w:t>
      </w:r>
      <w:r>
        <w:rPr>
          <w:rFonts w:ascii="Times New Roman" w:hAnsi="Times New Roman"/>
          <w:sz w:val="24"/>
          <w:szCs w:val="24"/>
          <w:lang w:val="en-US"/>
        </w:rPr>
        <w:t xml:space="preserve">. [online] 6 Sep. Available at:  </w:t>
      </w:r>
      <w:hyperlink r:id="rId13" w:history="1">
        <w:r w:rsidRPr="00C41839">
          <w:rPr>
            <w:rStyle w:val="Hyperlink"/>
            <w:rFonts w:ascii="Times New Roman" w:hAnsi="Times New Roman"/>
            <w:sz w:val="24"/>
            <w:szCs w:val="24"/>
            <w:lang w:val="en-US"/>
          </w:rPr>
          <w:t>https://www.bbc.co.uk/news/uk-37278264</w:t>
        </w:r>
      </w:hyperlink>
      <w:r>
        <w:rPr>
          <w:rFonts w:ascii="Times New Roman" w:hAnsi="Times New Roman"/>
          <w:sz w:val="24"/>
          <w:szCs w:val="24"/>
          <w:lang w:val="en-US"/>
        </w:rPr>
        <w:t xml:space="preserve"> [Accessed 25 Jan. 2022].</w:t>
      </w:r>
    </w:p>
    <w:p w14:paraId="230DD6DA"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Carr, J.D. and Maxwell, S.R. (2017). Police officers’ perceptions of organizational justice and their trust in the public. </w:t>
      </w:r>
      <w:r>
        <w:rPr>
          <w:rFonts w:ascii="Times New Roman" w:hAnsi="Times New Roman"/>
          <w:i/>
          <w:iCs/>
          <w:sz w:val="24"/>
          <w:szCs w:val="24"/>
          <w:lang w:val="en-US"/>
        </w:rPr>
        <w:t>Police Practice and Research</w:t>
      </w:r>
      <w:r>
        <w:rPr>
          <w:rFonts w:ascii="Times New Roman" w:hAnsi="Times New Roman"/>
          <w:sz w:val="24"/>
          <w:szCs w:val="24"/>
          <w:lang w:val="en-US"/>
        </w:rPr>
        <w:t>, 19(4), pp.365–379.</w:t>
      </w:r>
    </w:p>
    <w:p w14:paraId="64F83253"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Cary, T. (2022). </w:t>
      </w:r>
      <w:r>
        <w:rPr>
          <w:rFonts w:ascii="Times New Roman" w:hAnsi="Times New Roman"/>
          <w:i/>
          <w:iCs/>
          <w:sz w:val="24"/>
          <w:szCs w:val="24"/>
          <w:lang w:val="en-US"/>
        </w:rPr>
        <w:t>Social Media – new and emerging crimes that are being committed online | Leathes Prior</w:t>
      </w:r>
      <w:r>
        <w:rPr>
          <w:rFonts w:ascii="Times New Roman" w:hAnsi="Times New Roman"/>
          <w:sz w:val="24"/>
          <w:szCs w:val="24"/>
          <w:lang w:val="en-US"/>
        </w:rPr>
        <w:t xml:space="preserve">. [online] www.leathesprior.co.uk.  Available at:   </w:t>
      </w:r>
      <w:hyperlink r:id="rId14" w:history="1">
        <w:r w:rsidRPr="00C41839">
          <w:rPr>
            <w:rStyle w:val="Hyperlink"/>
            <w:rFonts w:ascii="Times New Roman" w:hAnsi="Times New Roman"/>
            <w:sz w:val="24"/>
            <w:szCs w:val="24"/>
            <w:lang w:val="en-US"/>
          </w:rPr>
          <w:t>https://www.leathesprior.co.uk/news/social-media-new-and-emerging-crimes-that-are-being-committed-online</w:t>
        </w:r>
      </w:hyperlink>
      <w:r>
        <w:rPr>
          <w:rFonts w:ascii="Times New Roman" w:hAnsi="Times New Roman"/>
          <w:sz w:val="24"/>
          <w:szCs w:val="24"/>
          <w:lang w:val="en-US"/>
        </w:rPr>
        <w:t xml:space="preserve"> [Accessed 24 Jan. 2022].</w:t>
      </w:r>
    </w:p>
    <w:p w14:paraId="20AF7EC9"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Chambers, M., Ullmann, B. and Waller, I., 2009. </w:t>
      </w:r>
      <w:r>
        <w:rPr>
          <w:rFonts w:ascii="Times New Roman" w:hAnsi="Times New Roman"/>
          <w:i/>
          <w:iCs/>
          <w:sz w:val="24"/>
          <w:szCs w:val="24"/>
          <w:lang w:val="en-US"/>
        </w:rPr>
        <w:t>Less crime, lower costs: implementing effective early crime reduction programmes in England and Wales</w:t>
      </w:r>
      <w:r>
        <w:rPr>
          <w:rFonts w:ascii="Times New Roman" w:hAnsi="Times New Roman"/>
          <w:sz w:val="24"/>
          <w:szCs w:val="24"/>
          <w:lang w:val="en-US"/>
        </w:rPr>
        <w:t xml:space="preserve">. Policy Exchange. </w:t>
      </w:r>
    </w:p>
    <w:p w14:paraId="079F9653"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Citizens advice (2019). </w:t>
      </w:r>
      <w:r>
        <w:rPr>
          <w:rFonts w:ascii="Times New Roman" w:hAnsi="Times New Roman"/>
          <w:i/>
          <w:iCs/>
          <w:sz w:val="24"/>
          <w:szCs w:val="24"/>
          <w:lang w:val="en-US"/>
        </w:rPr>
        <w:t>When can a public authority interfere with your human rights?</w:t>
      </w:r>
      <w:r>
        <w:rPr>
          <w:rFonts w:ascii="Times New Roman" w:hAnsi="Times New Roman"/>
          <w:sz w:val="24"/>
          <w:szCs w:val="24"/>
          <w:lang w:val="en-US"/>
        </w:rPr>
        <w:t xml:space="preserve"> [online] Citizensadvice.org.uk. Available at:  </w:t>
      </w:r>
      <w:hyperlink r:id="rId15" w:history="1">
        <w:r w:rsidRPr="00C41839">
          <w:rPr>
            <w:rStyle w:val="Hyperlink"/>
            <w:rFonts w:ascii="Times New Roman" w:hAnsi="Times New Roman"/>
            <w:sz w:val="24"/>
            <w:szCs w:val="24"/>
            <w:lang w:val="en-US"/>
          </w:rPr>
          <w:t>https://www.citizensadvice.org.uk/law-and-courts/civil-rights/human-rights/when-can-a-public-authority-interfere-with-your-human-rights/</w:t>
        </w:r>
      </w:hyperlink>
      <w:r>
        <w:rPr>
          <w:rFonts w:ascii="Times New Roman" w:hAnsi="Times New Roman"/>
          <w:sz w:val="24"/>
          <w:szCs w:val="24"/>
          <w:lang w:val="en-US"/>
        </w:rPr>
        <w:t xml:space="preserve"> [Accessed 26 Jan. 2022].</w:t>
      </w:r>
    </w:p>
    <w:p w14:paraId="1056B590"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College Of Policing (2014). </w:t>
      </w:r>
      <w:r>
        <w:rPr>
          <w:rFonts w:ascii="Times New Roman" w:hAnsi="Times New Roman"/>
          <w:i/>
          <w:iCs/>
          <w:sz w:val="24"/>
          <w:szCs w:val="24"/>
          <w:lang w:val="en-US"/>
        </w:rPr>
        <w:t>Code of Ethics</w:t>
      </w:r>
      <w:r>
        <w:rPr>
          <w:rFonts w:ascii="Times New Roman" w:hAnsi="Times New Roman"/>
          <w:sz w:val="24"/>
          <w:szCs w:val="24"/>
          <w:lang w:val="en-US"/>
        </w:rPr>
        <w:t xml:space="preserve">. [online] College of Policing. Available at:  </w:t>
      </w:r>
      <w:hyperlink r:id="rId16" w:history="1">
        <w:r w:rsidRPr="00C41839">
          <w:rPr>
            <w:rStyle w:val="Hyperlink"/>
            <w:rFonts w:ascii="Times New Roman" w:hAnsi="Times New Roman"/>
            <w:sz w:val="24"/>
            <w:szCs w:val="24"/>
            <w:lang w:val="en-US"/>
          </w:rPr>
          <w:t>https://www.college.police.uk/ethics/code-of-ethics</w:t>
        </w:r>
      </w:hyperlink>
      <w:r>
        <w:rPr>
          <w:rFonts w:ascii="Times New Roman" w:hAnsi="Times New Roman"/>
          <w:sz w:val="24"/>
          <w:szCs w:val="24"/>
          <w:lang w:val="en-US"/>
        </w:rPr>
        <w:t xml:space="preserve"> [Accessed 11 Jan. 2022].</w:t>
      </w:r>
    </w:p>
    <w:p w14:paraId="69800CC2"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college of policing (2017). </w:t>
      </w:r>
      <w:r>
        <w:rPr>
          <w:rFonts w:ascii="Times New Roman" w:hAnsi="Times New Roman"/>
          <w:i/>
          <w:iCs/>
          <w:sz w:val="24"/>
          <w:szCs w:val="24"/>
          <w:lang w:val="en-US"/>
        </w:rPr>
        <w:t>After school clubs</w:t>
      </w:r>
      <w:r>
        <w:rPr>
          <w:rFonts w:ascii="Times New Roman" w:hAnsi="Times New Roman"/>
          <w:sz w:val="24"/>
          <w:szCs w:val="24"/>
          <w:lang w:val="en-US"/>
        </w:rPr>
        <w:t xml:space="preserve">. [online] whatworks.college.police.uk. Available at:  </w:t>
      </w:r>
      <w:hyperlink r:id="rId17" w:history="1">
        <w:r w:rsidRPr="00C41839">
          <w:rPr>
            <w:rStyle w:val="Hyperlink"/>
            <w:rFonts w:ascii="Times New Roman" w:hAnsi="Times New Roman"/>
            <w:sz w:val="24"/>
            <w:szCs w:val="24"/>
            <w:lang w:val="en-US"/>
          </w:rPr>
          <w:t>https://whatworks.college.police.uk/toolkit/Pages/Intervention.aspx?InterventionID=52</w:t>
        </w:r>
      </w:hyperlink>
      <w:r>
        <w:rPr>
          <w:rFonts w:ascii="Times New Roman" w:hAnsi="Times New Roman"/>
          <w:sz w:val="24"/>
          <w:szCs w:val="24"/>
          <w:lang w:val="en-US"/>
        </w:rPr>
        <w:t xml:space="preserve"> [Accessed 20 Jan. 2022].</w:t>
      </w:r>
    </w:p>
    <w:p w14:paraId="70765833"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College of Policing (2022). </w:t>
      </w:r>
      <w:r>
        <w:rPr>
          <w:rFonts w:ascii="Times New Roman" w:hAnsi="Times New Roman"/>
          <w:i/>
          <w:iCs/>
          <w:sz w:val="24"/>
          <w:szCs w:val="24"/>
          <w:lang w:val="en-US"/>
        </w:rPr>
        <w:t>Core skills in mobile phone forensics</w:t>
      </w:r>
      <w:r>
        <w:rPr>
          <w:rFonts w:ascii="Times New Roman" w:hAnsi="Times New Roman"/>
          <w:sz w:val="24"/>
          <w:szCs w:val="24"/>
          <w:lang w:val="en-US"/>
        </w:rPr>
        <w:t xml:space="preserve">. [online] College of Policing. Available at:  </w:t>
      </w:r>
      <w:hyperlink r:id="rId18" w:history="1">
        <w:r w:rsidRPr="00C41839">
          <w:rPr>
            <w:rStyle w:val="Hyperlink"/>
            <w:rFonts w:ascii="Times New Roman" w:hAnsi="Times New Roman"/>
            <w:sz w:val="24"/>
            <w:szCs w:val="24"/>
            <w:lang w:val="en-US"/>
          </w:rPr>
          <w:t>https://www.college.police.uk/career-</w:t>
        </w:r>
        <w:r w:rsidRPr="00C41839">
          <w:rPr>
            <w:rStyle w:val="Hyperlink"/>
            <w:rFonts w:ascii="Times New Roman" w:hAnsi="Times New Roman"/>
            <w:sz w:val="24"/>
            <w:szCs w:val="24"/>
            <w:lang w:val="en-US"/>
          </w:rPr>
          <w:lastRenderedPageBreak/>
          <w:t>learning/learning/courses/core-skills-mobile-phone-forensics</w:t>
        </w:r>
      </w:hyperlink>
      <w:r>
        <w:rPr>
          <w:rFonts w:ascii="Times New Roman" w:hAnsi="Times New Roman"/>
          <w:sz w:val="24"/>
          <w:szCs w:val="24"/>
          <w:lang w:val="en-US"/>
        </w:rPr>
        <w:t xml:space="preserve"> [Accessed 24 Jan. 2022].</w:t>
      </w:r>
    </w:p>
    <w:p w14:paraId="072281AF"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Colten, H.R., Altevogt, B.M. and Institute Of Medicine (U.S.). Committee On Sleep Medicine And Research (2006). </w:t>
      </w:r>
      <w:r>
        <w:rPr>
          <w:rFonts w:ascii="Times New Roman" w:hAnsi="Times New Roman"/>
          <w:i/>
          <w:iCs/>
          <w:sz w:val="24"/>
          <w:szCs w:val="24"/>
          <w:lang w:val="en-US"/>
        </w:rPr>
        <w:t>Sleep disorders and sleep deprivation : an unmet public health problem</w:t>
      </w:r>
      <w:r>
        <w:rPr>
          <w:rFonts w:ascii="Times New Roman" w:hAnsi="Times New Roman"/>
          <w:sz w:val="24"/>
          <w:szCs w:val="24"/>
          <w:lang w:val="en-US"/>
        </w:rPr>
        <w:t>. Washington, Dc: Institute Of Medicine.</w:t>
      </w:r>
    </w:p>
    <w:p w14:paraId="51D5D271"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Connor, P. (2021). </w:t>
      </w:r>
      <w:r>
        <w:rPr>
          <w:rFonts w:ascii="Times New Roman" w:hAnsi="Times New Roman"/>
          <w:i/>
          <w:iCs/>
          <w:sz w:val="24"/>
          <w:szCs w:val="24"/>
          <w:lang w:val="en-US"/>
        </w:rPr>
        <w:t>Blackstone’s Police Manuals Four Volume Set 2022</w:t>
      </w:r>
      <w:r>
        <w:rPr>
          <w:rFonts w:ascii="Times New Roman" w:hAnsi="Times New Roman"/>
          <w:sz w:val="24"/>
          <w:szCs w:val="24"/>
          <w:lang w:val="en-US"/>
        </w:rPr>
        <w:t>. 23rd ed. Oxford: Oxford University Press.</w:t>
      </w:r>
    </w:p>
    <w:p w14:paraId="12F717EA"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Cooper, M. and Cooper, C. (2017). </w:t>
      </w:r>
      <w:r>
        <w:rPr>
          <w:rFonts w:ascii="Times New Roman" w:hAnsi="Times New Roman"/>
          <w:i/>
          <w:iCs/>
          <w:sz w:val="24"/>
          <w:szCs w:val="24"/>
          <w:lang w:val="en-US"/>
        </w:rPr>
        <w:t>Organisational justice in policing</w:t>
      </w:r>
      <w:r>
        <w:rPr>
          <w:rFonts w:ascii="Times New Roman" w:hAnsi="Times New Roman"/>
          <w:sz w:val="24"/>
          <w:szCs w:val="24"/>
          <w:lang w:val="en-US"/>
        </w:rPr>
        <w:t xml:space="preserve">. [online] Greymalkin Consulting. Available at:  </w:t>
      </w:r>
      <w:hyperlink r:id="rId19" w:history="1">
        <w:r w:rsidRPr="00C41839">
          <w:rPr>
            <w:rStyle w:val="Hyperlink"/>
            <w:rFonts w:ascii="Times New Roman" w:hAnsi="Times New Roman"/>
            <w:sz w:val="24"/>
            <w:szCs w:val="24"/>
            <w:lang w:val="en-US"/>
          </w:rPr>
          <w:t>http://www.greymalkinconsulting.com/our-thinking/oorganisational-justice-in-policing</w:t>
        </w:r>
      </w:hyperlink>
      <w:r>
        <w:rPr>
          <w:rFonts w:ascii="Times New Roman" w:hAnsi="Times New Roman"/>
          <w:sz w:val="24"/>
          <w:szCs w:val="24"/>
          <w:lang w:val="en-US"/>
        </w:rPr>
        <w:t xml:space="preserve"> [Accessed 10 Jan. 2022].</w:t>
      </w:r>
    </w:p>
    <w:p w14:paraId="2C5D1DD6"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CPS (2021). </w:t>
      </w:r>
      <w:r>
        <w:rPr>
          <w:rFonts w:ascii="Times New Roman" w:hAnsi="Times New Roman"/>
          <w:i/>
          <w:iCs/>
          <w:sz w:val="24"/>
          <w:szCs w:val="24"/>
          <w:lang w:val="en-US"/>
        </w:rPr>
        <w:t>Disclosure Manual: Chapter 26 - Dealing with Surveillance Authorisations | The Crown Prosecution Service</w:t>
      </w:r>
      <w:r>
        <w:rPr>
          <w:rFonts w:ascii="Times New Roman" w:hAnsi="Times New Roman"/>
          <w:sz w:val="24"/>
          <w:szCs w:val="24"/>
          <w:lang w:val="en-US"/>
        </w:rPr>
        <w:t xml:space="preserve">. [online] www.cps.gov.uk. Available at:  </w:t>
      </w:r>
      <w:hyperlink r:id="rId20" w:history="1">
        <w:r w:rsidRPr="00C41839">
          <w:rPr>
            <w:rStyle w:val="Hyperlink"/>
            <w:rFonts w:ascii="Times New Roman" w:hAnsi="Times New Roman"/>
            <w:sz w:val="24"/>
            <w:szCs w:val="24"/>
            <w:lang w:val="en-US"/>
          </w:rPr>
          <w:t>https://www.cps.gov.uk/legal-guidance/disclosure-manual-chapter-26-dealing-surveillance-authorisations</w:t>
        </w:r>
      </w:hyperlink>
      <w:r>
        <w:rPr>
          <w:rFonts w:ascii="Times New Roman" w:hAnsi="Times New Roman"/>
          <w:sz w:val="24"/>
          <w:szCs w:val="24"/>
          <w:lang w:val="en-US"/>
        </w:rPr>
        <w:t xml:space="preserve"> [Accessed 26 Jan. 2022].</w:t>
      </w:r>
    </w:p>
    <w:p w14:paraId="0B4E6C91"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proofErr w:type="spellStart"/>
      <w:r>
        <w:rPr>
          <w:rFonts w:ascii="Times New Roman" w:hAnsi="Times New Roman"/>
          <w:sz w:val="24"/>
          <w:szCs w:val="24"/>
          <w:lang w:val="en-US"/>
        </w:rPr>
        <w:t>Crous</w:t>
      </w:r>
      <w:proofErr w:type="spellEnd"/>
      <w:r>
        <w:rPr>
          <w:rFonts w:ascii="Times New Roman" w:hAnsi="Times New Roman"/>
          <w:sz w:val="24"/>
          <w:szCs w:val="24"/>
          <w:lang w:val="en-US"/>
        </w:rPr>
        <w:t xml:space="preserve">, C. (2012) ‘Tasking and coordination: Effective decision making or blind men feeling an elephant?’, </w:t>
      </w:r>
      <w:r>
        <w:rPr>
          <w:rFonts w:ascii="Times New Roman" w:hAnsi="Times New Roman"/>
          <w:i/>
          <w:iCs/>
          <w:sz w:val="24"/>
          <w:szCs w:val="24"/>
          <w:lang w:val="en-US"/>
        </w:rPr>
        <w:t>Journal of the Australian Institute of Professional Intelligence Officers</w:t>
      </w:r>
      <w:r>
        <w:rPr>
          <w:rFonts w:ascii="Times New Roman" w:hAnsi="Times New Roman"/>
          <w:sz w:val="24"/>
          <w:szCs w:val="24"/>
          <w:lang w:val="en-US"/>
        </w:rPr>
        <w:t xml:space="preserve">. Australian Institute of Professional Intelligence Officers, 20(1), pp. 3–16.  </w:t>
      </w:r>
      <w:hyperlink r:id="rId21" w:history="1">
        <w:r w:rsidRPr="00C41839">
          <w:rPr>
            <w:rStyle w:val="Hyperlink"/>
            <w:rFonts w:ascii="Times New Roman" w:hAnsi="Times New Roman"/>
            <w:sz w:val="24"/>
            <w:szCs w:val="24"/>
            <w:lang w:val="en-US"/>
          </w:rPr>
          <w:t>https://search.informit.org/doi/10.3316/informit.294703203835422</w:t>
        </w:r>
      </w:hyperlink>
      <w:r>
        <w:rPr>
          <w:rFonts w:ascii="Times New Roman" w:hAnsi="Times New Roman"/>
          <w:sz w:val="24"/>
          <w:szCs w:val="24"/>
          <w:lang w:val="en-US"/>
        </w:rPr>
        <w:t xml:space="preserve">.  </w:t>
      </w:r>
    </w:p>
    <w:p w14:paraId="5AA7B7A3"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Crown Prosecution Service (2019). </w:t>
      </w:r>
      <w:r>
        <w:rPr>
          <w:rFonts w:ascii="Times New Roman" w:hAnsi="Times New Roman"/>
          <w:i/>
          <w:iCs/>
          <w:sz w:val="24"/>
          <w:szCs w:val="24"/>
          <w:lang w:val="en-US"/>
        </w:rPr>
        <w:t>Trespass and Nuisance on Land | The Crown Prosecution Service</w:t>
      </w:r>
      <w:r>
        <w:rPr>
          <w:rFonts w:ascii="Times New Roman" w:hAnsi="Times New Roman"/>
          <w:sz w:val="24"/>
          <w:szCs w:val="24"/>
          <w:lang w:val="en-US"/>
        </w:rPr>
        <w:t xml:space="preserve">. [online] www.cps.gov.uk. Available at:   </w:t>
      </w:r>
      <w:hyperlink r:id="rId22" w:history="1">
        <w:r w:rsidRPr="00C41839">
          <w:rPr>
            <w:rStyle w:val="Hyperlink"/>
            <w:rFonts w:ascii="Times New Roman" w:hAnsi="Times New Roman"/>
            <w:sz w:val="24"/>
            <w:szCs w:val="24"/>
            <w:lang w:val="en-US"/>
          </w:rPr>
          <w:t>https://www.cps.gov.uk/legal-guidance/trespass-and-nuisance-land</w:t>
        </w:r>
      </w:hyperlink>
      <w:r>
        <w:rPr>
          <w:rFonts w:ascii="Times New Roman" w:hAnsi="Times New Roman"/>
          <w:sz w:val="24"/>
          <w:szCs w:val="24"/>
          <w:lang w:val="en-US"/>
        </w:rPr>
        <w:t>.</w:t>
      </w:r>
    </w:p>
    <w:p w14:paraId="6F3CD48F"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Dabell, J. (2018). </w:t>
      </w:r>
      <w:proofErr w:type="spellStart"/>
      <w:r>
        <w:rPr>
          <w:rFonts w:ascii="Times New Roman" w:hAnsi="Times New Roman"/>
          <w:i/>
          <w:iCs/>
          <w:sz w:val="24"/>
          <w:szCs w:val="24"/>
          <w:lang w:val="en-US"/>
        </w:rPr>
        <w:t>Borton’s</w:t>
      </w:r>
      <w:proofErr w:type="spellEnd"/>
      <w:r>
        <w:rPr>
          <w:rFonts w:ascii="Times New Roman" w:hAnsi="Times New Roman"/>
          <w:i/>
          <w:iCs/>
          <w:sz w:val="24"/>
          <w:szCs w:val="24"/>
          <w:lang w:val="en-US"/>
        </w:rPr>
        <w:t xml:space="preserve"> Model of Reflection</w:t>
      </w:r>
      <w:r>
        <w:rPr>
          <w:rFonts w:ascii="Times New Roman" w:hAnsi="Times New Roman"/>
          <w:sz w:val="24"/>
          <w:szCs w:val="24"/>
          <w:lang w:val="en-US"/>
        </w:rPr>
        <w:t xml:space="preserve">. [online] John Dabell. Available at:   </w:t>
      </w:r>
      <w:hyperlink r:id="rId23" w:history="1">
        <w:r w:rsidRPr="00C41839">
          <w:rPr>
            <w:rStyle w:val="Hyperlink"/>
            <w:rFonts w:ascii="Times New Roman" w:hAnsi="Times New Roman"/>
            <w:sz w:val="24"/>
            <w:szCs w:val="24"/>
            <w:lang w:val="en-US"/>
          </w:rPr>
          <w:t>https://johndabell.com/2018/08/05/models-of-reflection/</w:t>
        </w:r>
      </w:hyperlink>
      <w:r>
        <w:rPr>
          <w:rFonts w:ascii="Times New Roman" w:hAnsi="Times New Roman"/>
          <w:sz w:val="24"/>
          <w:szCs w:val="24"/>
          <w:lang w:val="en-US"/>
        </w:rPr>
        <w:t xml:space="preserve"> [Accessed 19 Jan. 2022].</w:t>
      </w:r>
    </w:p>
    <w:p w14:paraId="0BB364D1"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Dodge, A. and Lockhart, E. (2021). “Young People Just Resolve It in Their Own Group”: Young People’s Perspectives on Responses to Non-Consensual Intimate Image Distribution. </w:t>
      </w:r>
      <w:r>
        <w:rPr>
          <w:rFonts w:ascii="Times New Roman" w:hAnsi="Times New Roman"/>
          <w:i/>
          <w:iCs/>
          <w:sz w:val="24"/>
          <w:szCs w:val="24"/>
          <w:lang w:val="en-US"/>
        </w:rPr>
        <w:t>Youth Justice</w:t>
      </w:r>
      <w:r>
        <w:rPr>
          <w:rFonts w:ascii="Times New Roman" w:hAnsi="Times New Roman"/>
          <w:sz w:val="24"/>
          <w:szCs w:val="24"/>
          <w:lang w:val="en-US"/>
        </w:rPr>
        <w:t>.</w:t>
      </w:r>
    </w:p>
    <w:p w14:paraId="7C2F6AEE"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lastRenderedPageBreak/>
        <w:t xml:space="preserve">explore health careers (2022). </w:t>
      </w:r>
      <w:r>
        <w:rPr>
          <w:rFonts w:ascii="Times New Roman" w:hAnsi="Times New Roman"/>
          <w:i/>
          <w:iCs/>
          <w:sz w:val="24"/>
          <w:szCs w:val="24"/>
          <w:lang w:val="en-US"/>
        </w:rPr>
        <w:t>Crime Scene Investigator</w:t>
      </w:r>
      <w:r>
        <w:rPr>
          <w:rFonts w:ascii="Times New Roman" w:hAnsi="Times New Roman"/>
          <w:sz w:val="24"/>
          <w:szCs w:val="24"/>
          <w:lang w:val="en-US"/>
        </w:rPr>
        <w:t xml:space="preserve">. [online] ExploreHealthCareers.org. Available at: </w:t>
      </w:r>
      <w:hyperlink r:id="rId24" w:history="1">
        <w:r w:rsidRPr="00C41839">
          <w:rPr>
            <w:rStyle w:val="Hyperlink"/>
            <w:rFonts w:ascii="Times New Roman" w:hAnsi="Times New Roman"/>
            <w:sz w:val="24"/>
            <w:szCs w:val="24"/>
            <w:lang w:val="en-US"/>
          </w:rPr>
          <w:t>https://explorehealthcareers.org/career/forensic-science/crime-scene-investigator/</w:t>
        </w:r>
      </w:hyperlink>
      <w:r>
        <w:rPr>
          <w:rFonts w:ascii="Times New Roman" w:hAnsi="Times New Roman"/>
          <w:sz w:val="24"/>
          <w:szCs w:val="24"/>
          <w:lang w:val="en-US"/>
        </w:rPr>
        <w:t xml:space="preserve"> [Accessed 19 Jan. 2022].</w:t>
      </w:r>
    </w:p>
    <w:p w14:paraId="422637D4"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Fenn, K. and Byrne, M. (2013). The key principles of cognitive </w:t>
      </w:r>
      <w:proofErr w:type="spellStart"/>
      <w:r>
        <w:rPr>
          <w:rFonts w:ascii="Times New Roman" w:hAnsi="Times New Roman"/>
          <w:sz w:val="24"/>
          <w:szCs w:val="24"/>
          <w:lang w:val="en-US"/>
        </w:rPr>
        <w:t>behavioural</w:t>
      </w:r>
      <w:proofErr w:type="spellEnd"/>
      <w:r>
        <w:rPr>
          <w:rFonts w:ascii="Times New Roman" w:hAnsi="Times New Roman"/>
          <w:sz w:val="24"/>
          <w:szCs w:val="24"/>
          <w:lang w:val="en-US"/>
        </w:rPr>
        <w:t xml:space="preserve"> therapy. </w:t>
      </w:r>
      <w:r>
        <w:rPr>
          <w:rFonts w:ascii="Times New Roman" w:hAnsi="Times New Roman"/>
          <w:i/>
          <w:iCs/>
          <w:sz w:val="24"/>
          <w:szCs w:val="24"/>
          <w:lang w:val="en-US"/>
        </w:rPr>
        <w:t>InnovAiT: Education and inspiration for general practice</w:t>
      </w:r>
      <w:r>
        <w:rPr>
          <w:rFonts w:ascii="Times New Roman" w:hAnsi="Times New Roman"/>
          <w:sz w:val="24"/>
          <w:szCs w:val="24"/>
          <w:lang w:val="en-US"/>
        </w:rPr>
        <w:t>, 6(9), pp.579–585.</w:t>
      </w:r>
    </w:p>
    <w:p w14:paraId="4F389429"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Hancock, J. (2021). </w:t>
      </w:r>
      <w:r>
        <w:rPr>
          <w:rFonts w:ascii="Times New Roman" w:hAnsi="Times New Roman"/>
          <w:i/>
          <w:iCs/>
          <w:sz w:val="24"/>
          <w:szCs w:val="24"/>
          <w:lang w:val="en-US"/>
        </w:rPr>
        <w:t>Why do we use reflective writing in the MAAP?</w:t>
      </w:r>
      <w:r>
        <w:rPr>
          <w:rFonts w:ascii="Times New Roman" w:hAnsi="Times New Roman"/>
          <w:sz w:val="24"/>
          <w:szCs w:val="24"/>
          <w:lang w:val="en-US"/>
        </w:rPr>
        <w:t xml:space="preserve"> [online] University of London. Available at:  </w:t>
      </w:r>
      <w:hyperlink r:id="rId25" w:history="1">
        <w:r w:rsidRPr="00C41839">
          <w:rPr>
            <w:rStyle w:val="Hyperlink"/>
            <w:rFonts w:ascii="Times New Roman" w:hAnsi="Times New Roman"/>
            <w:sz w:val="24"/>
            <w:szCs w:val="24"/>
            <w:lang w:val="en-US"/>
          </w:rPr>
          <w:t>https://cpb-eu-w2.wpmucdn.com/blogs.city.ac.uk/dist/0/1994/files/2021/02/Reflective-writing-guide-for-MAAP-v3.pdf</w:t>
        </w:r>
      </w:hyperlink>
      <w:r>
        <w:rPr>
          <w:rFonts w:ascii="Times New Roman" w:hAnsi="Times New Roman"/>
          <w:sz w:val="24"/>
          <w:szCs w:val="24"/>
          <w:lang w:val="en-US"/>
        </w:rPr>
        <w:t xml:space="preserve"> [Accessed 21 Jan. 2022].</w:t>
      </w:r>
    </w:p>
    <w:p w14:paraId="4898C20F"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Henshall, A. (2017). On the school beat: police officers based in English schools. </w:t>
      </w:r>
      <w:r>
        <w:rPr>
          <w:rFonts w:ascii="Times New Roman" w:hAnsi="Times New Roman"/>
          <w:i/>
          <w:iCs/>
          <w:sz w:val="24"/>
          <w:szCs w:val="24"/>
          <w:lang w:val="en-US"/>
        </w:rPr>
        <w:t>British Journal of Sociology of Education</w:t>
      </w:r>
      <w:r>
        <w:rPr>
          <w:rFonts w:ascii="Times New Roman" w:hAnsi="Times New Roman"/>
          <w:sz w:val="24"/>
          <w:szCs w:val="24"/>
          <w:lang w:val="en-US"/>
        </w:rPr>
        <w:t xml:space="preserve">, [online] 39(5), pp.593–606. Available at:  </w:t>
      </w:r>
      <w:hyperlink r:id="rId26" w:history="1">
        <w:r w:rsidRPr="00C41839">
          <w:rPr>
            <w:rStyle w:val="Hyperlink"/>
            <w:rFonts w:ascii="Times New Roman" w:hAnsi="Times New Roman"/>
            <w:sz w:val="24"/>
            <w:szCs w:val="24"/>
            <w:lang w:val="en-US"/>
          </w:rPr>
          <w:t>https://www.tandfonline.com/doi/citedby/10.1080/01425692.2017.1375401?scroll=top&amp;needAccess=true</w:t>
        </w:r>
      </w:hyperlink>
      <w:r>
        <w:rPr>
          <w:rFonts w:ascii="Times New Roman" w:hAnsi="Times New Roman"/>
          <w:sz w:val="24"/>
          <w:szCs w:val="24"/>
          <w:lang w:val="en-US"/>
        </w:rPr>
        <w:t xml:space="preserve"> [Accessed 26 Jan. 2022].</w:t>
      </w:r>
    </w:p>
    <w:p w14:paraId="27599922"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Holt, S., Buckley, H. and Whelan, S. (2008). The Impact of Exposure to Domestic Violence on Children and Young people: </w:t>
      </w:r>
      <w:proofErr w:type="gramStart"/>
      <w:r>
        <w:rPr>
          <w:rFonts w:ascii="Times New Roman" w:hAnsi="Times New Roman"/>
          <w:sz w:val="24"/>
          <w:szCs w:val="24"/>
          <w:lang w:val="en-US"/>
        </w:rPr>
        <w:t>a</w:t>
      </w:r>
      <w:proofErr w:type="gramEnd"/>
      <w:r>
        <w:rPr>
          <w:rFonts w:ascii="Times New Roman" w:hAnsi="Times New Roman"/>
          <w:sz w:val="24"/>
          <w:szCs w:val="24"/>
          <w:lang w:val="en-US"/>
        </w:rPr>
        <w:t xml:space="preserve"> Review of the Literature. </w:t>
      </w:r>
      <w:r>
        <w:rPr>
          <w:rFonts w:ascii="Times New Roman" w:hAnsi="Times New Roman"/>
          <w:i/>
          <w:iCs/>
          <w:sz w:val="24"/>
          <w:szCs w:val="24"/>
          <w:lang w:val="en-US"/>
        </w:rPr>
        <w:t>Child Abuse &amp; Neglect</w:t>
      </w:r>
      <w:r>
        <w:rPr>
          <w:rFonts w:ascii="Times New Roman" w:hAnsi="Times New Roman"/>
          <w:sz w:val="24"/>
          <w:szCs w:val="24"/>
          <w:lang w:val="en-US"/>
        </w:rPr>
        <w:t xml:space="preserve">, [online] 32(8), pp.797–810. Available at:  </w:t>
      </w:r>
      <w:hyperlink r:id="rId27" w:history="1">
        <w:r w:rsidRPr="00C41839">
          <w:rPr>
            <w:rStyle w:val="Hyperlink"/>
            <w:rFonts w:ascii="Times New Roman" w:hAnsi="Times New Roman"/>
            <w:sz w:val="24"/>
            <w:szCs w:val="24"/>
            <w:lang w:val="en-US"/>
          </w:rPr>
          <w:t>https://www.sciencedirect.com/science/article/abs/pii/S0145213408001348</w:t>
        </w:r>
      </w:hyperlink>
      <w:r>
        <w:rPr>
          <w:rFonts w:ascii="Times New Roman" w:hAnsi="Times New Roman"/>
          <w:sz w:val="24"/>
          <w:szCs w:val="24"/>
          <w:lang w:val="en-US"/>
        </w:rPr>
        <w:t xml:space="preserve"> [Accessed 24 Jan. 2022].</w:t>
      </w:r>
    </w:p>
    <w:p w14:paraId="33548578"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Home Office (2014). </w:t>
      </w:r>
      <w:r>
        <w:rPr>
          <w:rFonts w:ascii="Times New Roman" w:hAnsi="Times New Roman"/>
          <w:i/>
          <w:iCs/>
          <w:sz w:val="24"/>
          <w:szCs w:val="24"/>
          <w:lang w:val="en-US"/>
        </w:rPr>
        <w:t>Code of Ethics Launched</w:t>
      </w:r>
      <w:r>
        <w:rPr>
          <w:rFonts w:ascii="Times New Roman" w:hAnsi="Times New Roman"/>
          <w:sz w:val="24"/>
          <w:szCs w:val="24"/>
          <w:lang w:val="en-US"/>
        </w:rPr>
        <w:t xml:space="preserve">. [online] GOV.UK. Available at:   </w:t>
      </w:r>
      <w:hyperlink r:id="rId28" w:history="1">
        <w:r w:rsidRPr="00C41839">
          <w:rPr>
            <w:rStyle w:val="Hyperlink"/>
            <w:rFonts w:ascii="Times New Roman" w:hAnsi="Times New Roman"/>
            <w:sz w:val="24"/>
            <w:szCs w:val="24"/>
            <w:lang w:val="en-US"/>
          </w:rPr>
          <w:t>https://www.gov.uk/government/news/code-of-ethics-launched</w:t>
        </w:r>
      </w:hyperlink>
      <w:r>
        <w:rPr>
          <w:rFonts w:ascii="Times New Roman" w:hAnsi="Times New Roman"/>
          <w:sz w:val="24"/>
          <w:szCs w:val="24"/>
          <w:lang w:val="en-US"/>
        </w:rPr>
        <w:t xml:space="preserve"> [Accessed 26 Jan. 2022].</w:t>
      </w:r>
    </w:p>
    <w:p w14:paraId="4C911772"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Home Office (2020). </w:t>
      </w:r>
      <w:r>
        <w:rPr>
          <w:rFonts w:ascii="Times New Roman" w:hAnsi="Times New Roman"/>
          <w:i/>
          <w:iCs/>
          <w:sz w:val="24"/>
          <w:szCs w:val="24"/>
          <w:lang w:val="en-US"/>
        </w:rPr>
        <w:t>Regulation of Investigatory Powers Act 2000 (RIPA)</w:t>
      </w:r>
      <w:r>
        <w:rPr>
          <w:rFonts w:ascii="Times New Roman" w:hAnsi="Times New Roman"/>
          <w:sz w:val="24"/>
          <w:szCs w:val="24"/>
          <w:lang w:val="en-US"/>
        </w:rPr>
        <w:t xml:space="preserve">. [online] GOV.UK. Available at:  </w:t>
      </w:r>
      <w:hyperlink r:id="rId29" w:history="1">
        <w:r w:rsidRPr="00C41839">
          <w:rPr>
            <w:rStyle w:val="Hyperlink"/>
            <w:rFonts w:ascii="Times New Roman" w:hAnsi="Times New Roman"/>
            <w:sz w:val="24"/>
            <w:szCs w:val="24"/>
            <w:lang w:val="en-US"/>
          </w:rPr>
          <w:t>https://www.gov.uk/government/publications/regulation-of-investigatory-powers-act-2000-ripa/regulation-of-investigatory-powers-act-2000-ripa</w:t>
        </w:r>
      </w:hyperlink>
      <w:r>
        <w:rPr>
          <w:rFonts w:ascii="Times New Roman" w:hAnsi="Times New Roman"/>
          <w:sz w:val="24"/>
          <w:szCs w:val="24"/>
          <w:lang w:val="en-US"/>
        </w:rPr>
        <w:t xml:space="preserve"> [Accessed 26 Jan. 2022].</w:t>
      </w:r>
    </w:p>
    <w:p w14:paraId="753D5BDC"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i/>
          <w:iCs/>
          <w:sz w:val="24"/>
          <w:szCs w:val="24"/>
          <w:lang w:val="en-US"/>
        </w:rPr>
        <w:t>Criminal Justice and Courts Act 2015</w:t>
      </w:r>
      <w:r>
        <w:rPr>
          <w:rFonts w:ascii="Times New Roman" w:hAnsi="Times New Roman"/>
          <w:sz w:val="24"/>
          <w:szCs w:val="24"/>
          <w:lang w:val="en-US"/>
        </w:rPr>
        <w:t xml:space="preserve">.33 [online] Available at:  </w:t>
      </w:r>
      <w:hyperlink r:id="rId30" w:history="1">
        <w:r w:rsidRPr="00C41839">
          <w:rPr>
            <w:rStyle w:val="Hyperlink"/>
            <w:rFonts w:ascii="Times New Roman" w:hAnsi="Times New Roman"/>
            <w:sz w:val="24"/>
            <w:szCs w:val="24"/>
            <w:lang w:val="en-US"/>
          </w:rPr>
          <w:t>https://www.legislation.gov.uk/ukpga/2015/2/section/33/enacted</w:t>
        </w:r>
      </w:hyperlink>
      <w:r>
        <w:rPr>
          <w:rFonts w:ascii="Times New Roman" w:hAnsi="Times New Roman"/>
          <w:sz w:val="24"/>
          <w:szCs w:val="24"/>
          <w:lang w:val="en-US"/>
        </w:rPr>
        <w:t xml:space="preserve"> [Accessed 24 Jan. 2022].</w:t>
      </w:r>
    </w:p>
    <w:p w14:paraId="4DF9F2E5"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lastRenderedPageBreak/>
        <w:t xml:space="preserve">Kenney, C. (2022). </w:t>
      </w:r>
      <w:r>
        <w:rPr>
          <w:rFonts w:ascii="Times New Roman" w:hAnsi="Times New Roman"/>
          <w:i/>
          <w:iCs/>
          <w:sz w:val="24"/>
          <w:szCs w:val="24"/>
          <w:lang w:val="en-US"/>
        </w:rPr>
        <w:t>What is a Registered Social Landlord? (with picture)</w:t>
      </w:r>
      <w:r>
        <w:rPr>
          <w:rFonts w:ascii="Times New Roman" w:hAnsi="Times New Roman"/>
          <w:sz w:val="24"/>
          <w:szCs w:val="24"/>
          <w:lang w:val="en-US"/>
        </w:rPr>
        <w:t xml:space="preserve">. [online] www.wise-geek.com. Available at:  </w:t>
      </w:r>
      <w:hyperlink r:id="rId31" w:history="1">
        <w:r w:rsidRPr="00C41839">
          <w:rPr>
            <w:rStyle w:val="Hyperlink"/>
            <w:rFonts w:ascii="Times New Roman" w:hAnsi="Times New Roman"/>
            <w:sz w:val="24"/>
            <w:szCs w:val="24"/>
            <w:lang w:val="en-US"/>
          </w:rPr>
          <w:t>https://www.wise-geek.com/what-is-a-registered-social-landlord.htm</w:t>
        </w:r>
      </w:hyperlink>
      <w:r>
        <w:rPr>
          <w:rFonts w:ascii="Times New Roman" w:hAnsi="Times New Roman"/>
          <w:sz w:val="24"/>
          <w:szCs w:val="24"/>
          <w:lang w:val="en-US"/>
        </w:rPr>
        <w:t xml:space="preserve"> [Accessed 26 Jan. 2022].</w:t>
      </w:r>
    </w:p>
    <w:p w14:paraId="08E80B4B"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Lambeth Living (2012). </w:t>
      </w:r>
      <w:r>
        <w:rPr>
          <w:rFonts w:ascii="Times New Roman" w:hAnsi="Times New Roman"/>
          <w:i/>
          <w:iCs/>
          <w:sz w:val="24"/>
          <w:szCs w:val="24"/>
          <w:lang w:val="en-US"/>
        </w:rPr>
        <w:t>Training of Tenancy Enforcement Officers - a Freedom of Information request to Lambeth Living</w:t>
      </w:r>
      <w:r>
        <w:rPr>
          <w:rFonts w:ascii="Times New Roman" w:hAnsi="Times New Roman"/>
          <w:sz w:val="24"/>
          <w:szCs w:val="24"/>
          <w:lang w:val="en-US"/>
        </w:rPr>
        <w:t xml:space="preserve">. [online] </w:t>
      </w:r>
      <w:proofErr w:type="spellStart"/>
      <w:r>
        <w:rPr>
          <w:rFonts w:ascii="Times New Roman" w:hAnsi="Times New Roman"/>
          <w:sz w:val="24"/>
          <w:szCs w:val="24"/>
          <w:lang w:val="en-US"/>
        </w:rPr>
        <w:t>WhatDoTheyKnow</w:t>
      </w:r>
      <w:proofErr w:type="spellEnd"/>
      <w:r>
        <w:rPr>
          <w:rFonts w:ascii="Times New Roman" w:hAnsi="Times New Roman"/>
          <w:sz w:val="24"/>
          <w:szCs w:val="24"/>
          <w:lang w:val="en-US"/>
        </w:rPr>
        <w:t xml:space="preserve">. Available at:  </w:t>
      </w:r>
      <w:hyperlink r:id="rId32" w:history="1">
        <w:r w:rsidRPr="00C41839">
          <w:rPr>
            <w:rStyle w:val="Hyperlink"/>
            <w:rFonts w:ascii="Times New Roman" w:hAnsi="Times New Roman"/>
            <w:sz w:val="24"/>
            <w:szCs w:val="24"/>
            <w:lang w:val="en-US"/>
          </w:rPr>
          <w:t>https://www.whatdotheyknow.com/request/104644/response/262430/attach/html/4/Tenancy%20Enforcement%20Officer%20JD.PDF.pdf.html</w:t>
        </w:r>
      </w:hyperlink>
      <w:r>
        <w:rPr>
          <w:rFonts w:ascii="Times New Roman" w:hAnsi="Times New Roman"/>
          <w:sz w:val="24"/>
          <w:szCs w:val="24"/>
          <w:lang w:val="en-US"/>
        </w:rPr>
        <w:t xml:space="preserve"> [Accessed 26 Jan. 2022].</w:t>
      </w:r>
    </w:p>
    <w:p w14:paraId="4905F664"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Macdonald, M. (2021). </w:t>
      </w:r>
      <w:r>
        <w:rPr>
          <w:rFonts w:ascii="Times New Roman" w:hAnsi="Times New Roman"/>
          <w:i/>
          <w:iCs/>
          <w:sz w:val="24"/>
          <w:szCs w:val="24"/>
          <w:lang w:val="en-US"/>
        </w:rPr>
        <w:t>The role of healthcare services in addressing domestic abuse</w:t>
      </w:r>
      <w:r>
        <w:rPr>
          <w:rFonts w:ascii="Times New Roman" w:hAnsi="Times New Roman"/>
          <w:sz w:val="24"/>
          <w:szCs w:val="24"/>
          <w:lang w:val="en-US"/>
        </w:rPr>
        <w:t xml:space="preserve">. [online] Available at:  </w:t>
      </w:r>
      <w:hyperlink r:id="rId33" w:history="1">
        <w:r w:rsidRPr="00C41839">
          <w:rPr>
            <w:rStyle w:val="Hyperlink"/>
            <w:rFonts w:ascii="Times New Roman" w:hAnsi="Times New Roman"/>
            <w:sz w:val="24"/>
            <w:szCs w:val="24"/>
            <w:lang w:val="en-US"/>
          </w:rPr>
          <w:t>https://researchbriefings.files.parliament.uk/documents/CBP-9233/CBP-9233.pdf</w:t>
        </w:r>
      </w:hyperlink>
      <w:r>
        <w:rPr>
          <w:rFonts w:ascii="Times New Roman" w:hAnsi="Times New Roman"/>
          <w:sz w:val="24"/>
          <w:szCs w:val="24"/>
          <w:lang w:val="en-US"/>
        </w:rPr>
        <w:t xml:space="preserve"> [Accessed 14 Nov. 2021].</w:t>
      </w:r>
    </w:p>
    <w:p w14:paraId="04CA325F"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Marsh, J.C., </w:t>
      </w:r>
      <w:proofErr w:type="spellStart"/>
      <w:r>
        <w:rPr>
          <w:rFonts w:ascii="Times New Roman" w:hAnsi="Times New Roman"/>
          <w:sz w:val="24"/>
          <w:szCs w:val="24"/>
          <w:lang w:val="en-US"/>
        </w:rPr>
        <w:t>D’Aunno</w:t>
      </w:r>
      <w:proofErr w:type="spellEnd"/>
      <w:r>
        <w:rPr>
          <w:rFonts w:ascii="Times New Roman" w:hAnsi="Times New Roman"/>
          <w:sz w:val="24"/>
          <w:szCs w:val="24"/>
          <w:lang w:val="en-US"/>
        </w:rPr>
        <w:t xml:space="preserve">, T.A. and Smith, B.D. (2000). Increasing access and providing social services to improve drug abuse treatment for women with children. </w:t>
      </w:r>
      <w:r>
        <w:rPr>
          <w:rFonts w:ascii="Times New Roman" w:hAnsi="Times New Roman"/>
          <w:i/>
          <w:iCs/>
          <w:sz w:val="24"/>
          <w:szCs w:val="24"/>
          <w:lang w:val="en-US"/>
        </w:rPr>
        <w:t>Addiction</w:t>
      </w:r>
      <w:r>
        <w:rPr>
          <w:rFonts w:ascii="Times New Roman" w:hAnsi="Times New Roman"/>
          <w:sz w:val="24"/>
          <w:szCs w:val="24"/>
          <w:lang w:val="en-US"/>
        </w:rPr>
        <w:t xml:space="preserve">, [online] 95(8), pp.1237–1247. Available at:   </w:t>
      </w:r>
      <w:hyperlink r:id="rId34" w:history="1">
        <w:r w:rsidRPr="00C41839">
          <w:rPr>
            <w:rStyle w:val="Hyperlink"/>
            <w:rFonts w:ascii="Times New Roman" w:hAnsi="Times New Roman"/>
            <w:sz w:val="24"/>
            <w:szCs w:val="24"/>
            <w:lang w:val="en-US"/>
          </w:rPr>
          <w:t>https://onlinelibrary.wiley.com/doi/abs/10.1046/j.1360-0443.2000.958123710.x</w:t>
        </w:r>
      </w:hyperlink>
      <w:r>
        <w:rPr>
          <w:rFonts w:ascii="Times New Roman" w:hAnsi="Times New Roman"/>
          <w:sz w:val="24"/>
          <w:szCs w:val="24"/>
          <w:lang w:val="en-US"/>
        </w:rPr>
        <w:t xml:space="preserve"> [Accessed 26 Jan. 2022].</w:t>
      </w:r>
    </w:p>
    <w:p w14:paraId="5BFB2A65"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Ma R Y R E P O, M., Eaton, A., Jacobs, H. and </w:t>
      </w:r>
      <w:proofErr w:type="spellStart"/>
      <w:r>
        <w:rPr>
          <w:rFonts w:ascii="Times New Roman" w:hAnsi="Times New Roman"/>
          <w:sz w:val="24"/>
          <w:szCs w:val="24"/>
          <w:lang w:val="en-US"/>
        </w:rPr>
        <w:t>Ruvalcaba</w:t>
      </w:r>
      <w:proofErr w:type="spellEnd"/>
      <w:r>
        <w:rPr>
          <w:rFonts w:ascii="Times New Roman" w:hAnsi="Times New Roman"/>
          <w:sz w:val="24"/>
          <w:szCs w:val="24"/>
          <w:lang w:val="en-US"/>
        </w:rPr>
        <w:t xml:space="preserve">, Y. (2017). </w:t>
      </w:r>
      <w:r>
        <w:rPr>
          <w:rFonts w:ascii="Times New Roman" w:hAnsi="Times New Roman"/>
          <w:i/>
          <w:iCs/>
          <w:sz w:val="24"/>
          <w:szCs w:val="24"/>
          <w:lang w:val="en-US"/>
        </w:rPr>
        <w:t>2017 NATIONWIDE ONLINE STUDY OF NONCONSENSUAL PORN VICTIMIZATION AND PERPETRATION</w:t>
      </w:r>
      <w:r>
        <w:rPr>
          <w:rFonts w:ascii="Times New Roman" w:hAnsi="Times New Roman"/>
          <w:sz w:val="24"/>
          <w:szCs w:val="24"/>
          <w:lang w:val="en-US"/>
        </w:rPr>
        <w:t xml:space="preserve">. [online] </w:t>
      </w:r>
      <w:r>
        <w:rPr>
          <w:rFonts w:ascii="Times New Roman" w:hAnsi="Times New Roman"/>
          <w:i/>
          <w:iCs/>
          <w:sz w:val="24"/>
          <w:szCs w:val="24"/>
          <w:lang w:val="en-US"/>
        </w:rPr>
        <w:t>cybercivilrights.org</w:t>
      </w:r>
      <w:r>
        <w:rPr>
          <w:rFonts w:ascii="Times New Roman" w:hAnsi="Times New Roman"/>
          <w:sz w:val="24"/>
          <w:szCs w:val="24"/>
          <w:lang w:val="en-US"/>
        </w:rPr>
        <w:t xml:space="preserve">, pp.11–24. Available at:  </w:t>
      </w:r>
      <w:hyperlink r:id="rId35" w:history="1">
        <w:r w:rsidRPr="00C41839">
          <w:rPr>
            <w:rStyle w:val="Hyperlink"/>
            <w:rFonts w:ascii="Times New Roman" w:hAnsi="Times New Roman"/>
            <w:sz w:val="24"/>
            <w:szCs w:val="24"/>
            <w:lang w:val="en-US"/>
          </w:rPr>
          <w:t>https://www.cybercivilrights.org/wp-content/uploads/2017/06/CCRI-2017-Research-Report.pdf</w:t>
        </w:r>
      </w:hyperlink>
      <w:r>
        <w:rPr>
          <w:rFonts w:ascii="Times New Roman" w:hAnsi="Times New Roman"/>
          <w:sz w:val="24"/>
          <w:szCs w:val="24"/>
          <w:lang w:val="en-US"/>
        </w:rPr>
        <w:t xml:space="preserve"> [Accessed 25 Jan. 2022].</w:t>
      </w:r>
    </w:p>
    <w:p w14:paraId="4D965442"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Medline Plus (2021). </w:t>
      </w:r>
      <w:r>
        <w:rPr>
          <w:rFonts w:ascii="Times New Roman" w:hAnsi="Times New Roman"/>
          <w:i/>
          <w:iCs/>
          <w:sz w:val="24"/>
          <w:szCs w:val="24"/>
          <w:lang w:val="en-US"/>
        </w:rPr>
        <w:t xml:space="preserve">What is </w:t>
      </w:r>
      <w:proofErr w:type="gramStart"/>
      <w:r>
        <w:rPr>
          <w:rFonts w:ascii="Times New Roman" w:hAnsi="Times New Roman"/>
          <w:i/>
          <w:iCs/>
          <w:sz w:val="24"/>
          <w:szCs w:val="24"/>
          <w:lang w:val="en-US"/>
        </w:rPr>
        <w:t>DNA?:</w:t>
      </w:r>
      <w:proofErr w:type="gramEnd"/>
      <w:r>
        <w:rPr>
          <w:rFonts w:ascii="Times New Roman" w:hAnsi="Times New Roman"/>
          <w:i/>
          <w:iCs/>
          <w:sz w:val="24"/>
          <w:szCs w:val="24"/>
          <w:lang w:val="en-US"/>
        </w:rPr>
        <w:t xml:space="preserve"> MedlinePlus Genetics</w:t>
      </w:r>
      <w:r>
        <w:rPr>
          <w:rFonts w:ascii="Times New Roman" w:hAnsi="Times New Roman"/>
          <w:sz w:val="24"/>
          <w:szCs w:val="24"/>
          <w:lang w:val="en-US"/>
        </w:rPr>
        <w:t xml:space="preserve">. [online] medlineplus.gov. Available at:  </w:t>
      </w:r>
      <w:hyperlink r:id="rId36" w:history="1">
        <w:r w:rsidRPr="00C41839">
          <w:rPr>
            <w:rStyle w:val="Hyperlink"/>
            <w:rFonts w:ascii="Times New Roman" w:hAnsi="Times New Roman"/>
            <w:sz w:val="24"/>
            <w:szCs w:val="24"/>
            <w:lang w:val="en-US"/>
          </w:rPr>
          <w:t>https://medlineplus.gov/genetics/understanding/basics/dna/</w:t>
        </w:r>
      </w:hyperlink>
      <w:r>
        <w:rPr>
          <w:rFonts w:ascii="Times New Roman" w:hAnsi="Times New Roman"/>
          <w:sz w:val="24"/>
          <w:szCs w:val="24"/>
          <w:lang w:val="en-US"/>
        </w:rPr>
        <w:t xml:space="preserve"> [Accessed 19 Jan. 2022].</w:t>
      </w:r>
    </w:p>
    <w:p w14:paraId="1B2B5393"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Merriam-Webster (2022). </w:t>
      </w:r>
      <w:r>
        <w:rPr>
          <w:rFonts w:ascii="Times New Roman" w:hAnsi="Times New Roman"/>
          <w:i/>
          <w:iCs/>
          <w:sz w:val="24"/>
          <w:szCs w:val="24"/>
          <w:lang w:val="en-US"/>
        </w:rPr>
        <w:t>Merriam-Webster Dictionary</w:t>
      </w:r>
      <w:r>
        <w:rPr>
          <w:rFonts w:ascii="Times New Roman" w:hAnsi="Times New Roman"/>
          <w:sz w:val="24"/>
          <w:szCs w:val="24"/>
          <w:lang w:val="en-US"/>
        </w:rPr>
        <w:t xml:space="preserve">. [online] Merriam-webster.com. Available at:  </w:t>
      </w:r>
      <w:hyperlink r:id="rId37" w:history="1">
        <w:r w:rsidRPr="00C41839">
          <w:rPr>
            <w:rStyle w:val="Hyperlink"/>
            <w:rFonts w:ascii="Times New Roman" w:hAnsi="Times New Roman"/>
            <w:sz w:val="24"/>
            <w:szCs w:val="24"/>
            <w:lang w:val="en-US"/>
          </w:rPr>
          <w:t>https://www.merriam-webster.com/</w:t>
        </w:r>
      </w:hyperlink>
      <w:r>
        <w:rPr>
          <w:rFonts w:ascii="Times New Roman" w:hAnsi="Times New Roman"/>
          <w:sz w:val="24"/>
          <w:szCs w:val="24"/>
          <w:lang w:val="en-US"/>
        </w:rPr>
        <w:t>.</w:t>
      </w:r>
    </w:p>
    <w:p w14:paraId="683201F2"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MindTools (2009). </w:t>
      </w:r>
      <w:r>
        <w:rPr>
          <w:rFonts w:ascii="Times New Roman" w:hAnsi="Times New Roman"/>
          <w:i/>
          <w:iCs/>
          <w:sz w:val="24"/>
          <w:szCs w:val="24"/>
          <w:lang w:val="en-US"/>
        </w:rPr>
        <w:t xml:space="preserve">Gibbs’ Reflective Cycle Helping People Learn </w:t>
      </w:r>
      <w:proofErr w:type="gramStart"/>
      <w:r>
        <w:rPr>
          <w:rFonts w:ascii="Times New Roman" w:hAnsi="Times New Roman"/>
          <w:i/>
          <w:iCs/>
          <w:sz w:val="24"/>
          <w:szCs w:val="24"/>
          <w:lang w:val="en-US"/>
        </w:rPr>
        <w:t>From</w:t>
      </w:r>
      <w:proofErr w:type="gramEnd"/>
      <w:r>
        <w:rPr>
          <w:rFonts w:ascii="Times New Roman" w:hAnsi="Times New Roman"/>
          <w:i/>
          <w:iCs/>
          <w:sz w:val="24"/>
          <w:szCs w:val="24"/>
          <w:lang w:val="en-US"/>
        </w:rPr>
        <w:t xml:space="preserve"> Experience</w:t>
      </w:r>
      <w:r>
        <w:rPr>
          <w:rFonts w:ascii="Times New Roman" w:hAnsi="Times New Roman"/>
          <w:sz w:val="24"/>
          <w:szCs w:val="24"/>
          <w:lang w:val="en-US"/>
        </w:rPr>
        <w:t xml:space="preserve">. [online] Mindtools.com. Available at:  </w:t>
      </w:r>
      <w:hyperlink r:id="rId38" w:history="1">
        <w:r w:rsidRPr="00C41839">
          <w:rPr>
            <w:rStyle w:val="Hyperlink"/>
            <w:rFonts w:ascii="Times New Roman" w:hAnsi="Times New Roman"/>
            <w:sz w:val="24"/>
            <w:szCs w:val="24"/>
            <w:lang w:val="en-US"/>
          </w:rPr>
          <w:t>https://www.mindtools.com/pages/article/reflective-cycle.htm</w:t>
        </w:r>
      </w:hyperlink>
      <w:r>
        <w:rPr>
          <w:rFonts w:ascii="Times New Roman" w:hAnsi="Times New Roman"/>
          <w:sz w:val="24"/>
          <w:szCs w:val="24"/>
          <w:lang w:val="en-US"/>
        </w:rPr>
        <w:t xml:space="preserve"> [Accessed 27 Jan. 2022].</w:t>
      </w:r>
    </w:p>
    <w:p w14:paraId="61818F0F"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Ministry of Justice (2018). </w:t>
      </w:r>
      <w:r>
        <w:rPr>
          <w:rFonts w:ascii="Times New Roman" w:hAnsi="Times New Roman"/>
          <w:i/>
          <w:iCs/>
          <w:sz w:val="24"/>
          <w:szCs w:val="24"/>
          <w:lang w:val="en-US"/>
        </w:rPr>
        <w:t xml:space="preserve">Offending </w:t>
      </w:r>
      <w:proofErr w:type="spellStart"/>
      <w:r>
        <w:rPr>
          <w:rFonts w:ascii="Times New Roman" w:hAnsi="Times New Roman"/>
          <w:i/>
          <w:iCs/>
          <w:sz w:val="24"/>
          <w:szCs w:val="24"/>
          <w:lang w:val="en-US"/>
        </w:rPr>
        <w:t>behaviour</w:t>
      </w:r>
      <w:proofErr w:type="spellEnd"/>
      <w:r>
        <w:rPr>
          <w:rFonts w:ascii="Times New Roman" w:hAnsi="Times New Roman"/>
          <w:i/>
          <w:iCs/>
          <w:sz w:val="24"/>
          <w:szCs w:val="24"/>
          <w:lang w:val="en-US"/>
        </w:rPr>
        <w:t xml:space="preserve"> </w:t>
      </w:r>
      <w:proofErr w:type="spellStart"/>
      <w:r>
        <w:rPr>
          <w:rFonts w:ascii="Times New Roman" w:hAnsi="Times New Roman"/>
          <w:i/>
          <w:iCs/>
          <w:sz w:val="24"/>
          <w:szCs w:val="24"/>
          <w:lang w:val="en-US"/>
        </w:rPr>
        <w:t>programmes</w:t>
      </w:r>
      <w:proofErr w:type="spellEnd"/>
      <w:r>
        <w:rPr>
          <w:rFonts w:ascii="Times New Roman" w:hAnsi="Times New Roman"/>
          <w:i/>
          <w:iCs/>
          <w:sz w:val="24"/>
          <w:szCs w:val="24"/>
          <w:lang w:val="en-US"/>
        </w:rPr>
        <w:t xml:space="preserve"> and interventions</w:t>
      </w:r>
      <w:r>
        <w:rPr>
          <w:rFonts w:ascii="Times New Roman" w:hAnsi="Times New Roman"/>
          <w:sz w:val="24"/>
          <w:szCs w:val="24"/>
          <w:lang w:val="en-US"/>
        </w:rPr>
        <w:t xml:space="preserve">. [online] GOV.UK. Available at:  </w:t>
      </w:r>
      <w:hyperlink r:id="rId39" w:history="1">
        <w:r w:rsidRPr="00C41839">
          <w:rPr>
            <w:rStyle w:val="Hyperlink"/>
            <w:rFonts w:ascii="Times New Roman" w:hAnsi="Times New Roman"/>
            <w:sz w:val="24"/>
            <w:szCs w:val="24"/>
            <w:lang w:val="en-US"/>
          </w:rPr>
          <w:t>https://www.gov.uk/guidance/offending-behaviour-programmes-and-interventions</w:t>
        </w:r>
      </w:hyperlink>
      <w:r>
        <w:rPr>
          <w:rFonts w:ascii="Times New Roman" w:hAnsi="Times New Roman"/>
          <w:sz w:val="24"/>
          <w:szCs w:val="24"/>
          <w:lang w:val="en-US"/>
        </w:rPr>
        <w:t xml:space="preserve"> [Accessed 24 Jan. 2022].</w:t>
      </w:r>
    </w:p>
    <w:p w14:paraId="425A0CBD"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NPCC (2020). </w:t>
      </w:r>
      <w:r>
        <w:rPr>
          <w:rFonts w:ascii="Times New Roman" w:hAnsi="Times New Roman"/>
          <w:i/>
          <w:iCs/>
          <w:sz w:val="24"/>
          <w:szCs w:val="24"/>
          <w:lang w:val="en-US"/>
        </w:rPr>
        <w:t>ANPR</w:t>
      </w:r>
      <w:r>
        <w:rPr>
          <w:rFonts w:ascii="Times New Roman" w:hAnsi="Times New Roman"/>
          <w:sz w:val="24"/>
          <w:szCs w:val="24"/>
          <w:lang w:val="en-US"/>
        </w:rPr>
        <w:t xml:space="preserve">. [online] www.npcc.police.uk. Available at:  </w:t>
      </w:r>
      <w:hyperlink r:id="rId40" w:history="1">
        <w:r w:rsidRPr="00C41839">
          <w:rPr>
            <w:rStyle w:val="Hyperlink"/>
            <w:rFonts w:ascii="Times New Roman" w:hAnsi="Times New Roman"/>
            <w:sz w:val="24"/>
            <w:szCs w:val="24"/>
            <w:lang w:val="en-US"/>
          </w:rPr>
          <w:t>https://www.npcc.police.uk/FreedomofInformation/ANPR.aspx</w:t>
        </w:r>
      </w:hyperlink>
      <w:r>
        <w:rPr>
          <w:rFonts w:ascii="Times New Roman" w:hAnsi="Times New Roman"/>
          <w:sz w:val="24"/>
          <w:szCs w:val="24"/>
          <w:lang w:val="en-US"/>
        </w:rPr>
        <w:t xml:space="preserve"> [Accessed 26 Jan. 2022].</w:t>
      </w:r>
    </w:p>
    <w:p w14:paraId="13A783C8"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Office for National Statistics (2011). </w:t>
      </w:r>
      <w:r>
        <w:rPr>
          <w:rFonts w:ascii="Times New Roman" w:hAnsi="Times New Roman"/>
          <w:i/>
          <w:iCs/>
          <w:sz w:val="24"/>
          <w:szCs w:val="24"/>
          <w:lang w:val="en-US"/>
        </w:rPr>
        <w:t>2011 Census analysis - Office for National Statistics</w:t>
      </w:r>
      <w:r>
        <w:rPr>
          <w:rFonts w:ascii="Times New Roman" w:hAnsi="Times New Roman"/>
          <w:sz w:val="24"/>
          <w:szCs w:val="24"/>
          <w:lang w:val="en-US"/>
        </w:rPr>
        <w:t xml:space="preserve">. [online] Ons.gov.uk. Available at:  </w:t>
      </w:r>
      <w:hyperlink r:id="rId41" w:history="1">
        <w:r w:rsidRPr="00C41839">
          <w:rPr>
            <w:rStyle w:val="Hyperlink"/>
            <w:rFonts w:ascii="Times New Roman" w:hAnsi="Times New Roman"/>
            <w:sz w:val="24"/>
            <w:szCs w:val="24"/>
            <w:lang w:val="en-US"/>
          </w:rPr>
          <w:t>https://www.ons.gov.uk/peoplepopulationandcommunity/culturalidentity/ethnicity/articles/whatdoesthe2011censustellusaboutthecharacteristicsofgypsyoririshtravellersinenglandandwales/2014-01-21</w:t>
        </w:r>
      </w:hyperlink>
      <w:r>
        <w:rPr>
          <w:rFonts w:ascii="Times New Roman" w:hAnsi="Times New Roman"/>
          <w:sz w:val="24"/>
          <w:szCs w:val="24"/>
          <w:lang w:val="en-US"/>
        </w:rPr>
        <w:t xml:space="preserve"> [Accessed 24 Jan. 2022].</w:t>
      </w:r>
    </w:p>
    <w:p w14:paraId="1C775052"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Officer, J.C., Communications (2019). </w:t>
      </w:r>
      <w:r>
        <w:rPr>
          <w:rFonts w:ascii="Times New Roman" w:hAnsi="Times New Roman"/>
          <w:i/>
          <w:iCs/>
          <w:sz w:val="24"/>
          <w:szCs w:val="24"/>
          <w:lang w:val="en-US"/>
        </w:rPr>
        <w:t>Research reveals gendered trends in revenge porn crimes</w:t>
      </w:r>
      <w:r>
        <w:rPr>
          <w:rFonts w:ascii="Times New Roman" w:hAnsi="Times New Roman"/>
          <w:sz w:val="24"/>
          <w:szCs w:val="24"/>
          <w:lang w:val="en-US"/>
        </w:rPr>
        <w:t xml:space="preserve">. [online] swgfl.org.uk. Available at:  </w:t>
      </w:r>
      <w:hyperlink r:id="rId42" w:history="1">
        <w:r w:rsidRPr="00C41839">
          <w:rPr>
            <w:rStyle w:val="Hyperlink"/>
            <w:rFonts w:ascii="Times New Roman" w:hAnsi="Times New Roman"/>
            <w:sz w:val="24"/>
            <w:szCs w:val="24"/>
            <w:lang w:val="en-US"/>
          </w:rPr>
          <w:t>https://swgfl.org.uk/magazine/revenge-porn-research-2019/</w:t>
        </w:r>
      </w:hyperlink>
      <w:r>
        <w:rPr>
          <w:rFonts w:ascii="Times New Roman" w:hAnsi="Times New Roman"/>
          <w:sz w:val="24"/>
          <w:szCs w:val="24"/>
          <w:lang w:val="en-US"/>
        </w:rPr>
        <w:t xml:space="preserve"> [Accessed 25 Jan. 2022].</w:t>
      </w:r>
    </w:p>
    <w:p w14:paraId="28512A44"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Public health England (2019). </w:t>
      </w:r>
      <w:r>
        <w:rPr>
          <w:rFonts w:ascii="Times New Roman" w:hAnsi="Times New Roman"/>
          <w:i/>
          <w:iCs/>
          <w:sz w:val="24"/>
          <w:szCs w:val="24"/>
          <w:lang w:val="en-US"/>
        </w:rPr>
        <w:t>A whole-system multi-agency approach to serious violence prevention A resource for local system leaders in England</w:t>
      </w:r>
      <w:r>
        <w:rPr>
          <w:rFonts w:ascii="Times New Roman" w:hAnsi="Times New Roman"/>
          <w:sz w:val="24"/>
          <w:szCs w:val="24"/>
          <w:lang w:val="en-US"/>
        </w:rPr>
        <w:t xml:space="preserve">. [online] </w:t>
      </w:r>
      <w:r>
        <w:rPr>
          <w:rFonts w:ascii="Times New Roman" w:hAnsi="Times New Roman"/>
          <w:i/>
          <w:iCs/>
          <w:sz w:val="24"/>
          <w:szCs w:val="24"/>
          <w:lang w:val="en-US"/>
        </w:rPr>
        <w:t>HM Government</w:t>
      </w:r>
      <w:r>
        <w:rPr>
          <w:rFonts w:ascii="Times New Roman" w:hAnsi="Times New Roman"/>
          <w:sz w:val="24"/>
          <w:szCs w:val="24"/>
          <w:lang w:val="en-US"/>
        </w:rPr>
        <w:t xml:space="preserve">. Public health England. Available at:  </w:t>
      </w:r>
      <w:hyperlink r:id="rId43" w:history="1">
        <w:r w:rsidRPr="00C41839">
          <w:rPr>
            <w:rStyle w:val="Hyperlink"/>
            <w:rFonts w:ascii="Times New Roman" w:hAnsi="Times New Roman"/>
            <w:sz w:val="24"/>
            <w:szCs w:val="24"/>
            <w:lang w:val="en-US"/>
          </w:rPr>
          <w:t>https://assets.publishing.service.gov.uk/government/uploads/system/uploads/attachment_data/file/862794/multi-agency_approach_to_serious_violence_prevention.pdf</w:t>
        </w:r>
      </w:hyperlink>
      <w:r>
        <w:rPr>
          <w:rFonts w:ascii="Times New Roman" w:hAnsi="Times New Roman"/>
          <w:sz w:val="24"/>
          <w:szCs w:val="24"/>
          <w:lang w:val="en-US"/>
        </w:rPr>
        <w:t xml:space="preserve"> [Accessed 19 Jan. 2022].</w:t>
      </w:r>
    </w:p>
    <w:p w14:paraId="4CCF2953"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Public Policy Institute of California (2018). Tailoring Domestic Violence Programs to Reduce Recidivism. Available at:  </w:t>
      </w:r>
      <w:hyperlink r:id="rId44" w:history="1">
        <w:r w:rsidRPr="00C41839">
          <w:rPr>
            <w:rStyle w:val="Hyperlink"/>
            <w:rFonts w:ascii="Times New Roman" w:hAnsi="Times New Roman"/>
            <w:sz w:val="24"/>
            <w:szCs w:val="24"/>
            <w:lang w:val="en-US"/>
          </w:rPr>
          <w:t>https://www.ppic.org/blog/tailoring-domestic-violence-programs-to-reduce-recidivism/</w:t>
        </w:r>
      </w:hyperlink>
      <w:r>
        <w:rPr>
          <w:rFonts w:ascii="Times New Roman" w:hAnsi="Times New Roman"/>
          <w:sz w:val="24"/>
          <w:szCs w:val="24"/>
          <w:lang w:val="en-US"/>
        </w:rPr>
        <w:t xml:space="preserve"> [Accessed 24 Jan. 2022].</w:t>
      </w:r>
    </w:p>
    <w:p w14:paraId="42713EF4"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Refuge (2016). </w:t>
      </w:r>
      <w:r>
        <w:rPr>
          <w:rFonts w:ascii="Times New Roman" w:hAnsi="Times New Roman"/>
          <w:i/>
          <w:iCs/>
          <w:sz w:val="24"/>
          <w:szCs w:val="24"/>
          <w:lang w:val="en-US"/>
        </w:rPr>
        <w:t>Effects of domestic violence on women - Refuge Charity - Domestic Violence Help</w:t>
      </w:r>
      <w:r>
        <w:rPr>
          <w:rFonts w:ascii="Times New Roman" w:hAnsi="Times New Roman"/>
          <w:sz w:val="24"/>
          <w:szCs w:val="24"/>
          <w:lang w:val="en-US"/>
        </w:rPr>
        <w:t xml:space="preserve">. [online] Refuge Charity - Domestic Violence Help. Available at:  </w:t>
      </w:r>
      <w:hyperlink r:id="rId45" w:history="1">
        <w:r w:rsidRPr="00C41839">
          <w:rPr>
            <w:rStyle w:val="Hyperlink"/>
            <w:rFonts w:ascii="Times New Roman" w:hAnsi="Times New Roman"/>
            <w:sz w:val="24"/>
            <w:szCs w:val="24"/>
            <w:lang w:val="en-US"/>
          </w:rPr>
          <w:t>https://www.refuge.org.uk/our-work/forms-of-violence-and-abuse/domestic-</w:t>
        </w:r>
        <w:r w:rsidRPr="00C41839">
          <w:rPr>
            <w:rStyle w:val="Hyperlink"/>
            <w:rFonts w:ascii="Times New Roman" w:hAnsi="Times New Roman"/>
            <w:sz w:val="24"/>
            <w:szCs w:val="24"/>
            <w:lang w:val="en-US"/>
          </w:rPr>
          <w:lastRenderedPageBreak/>
          <w:t>violence/effects-of-domestic-violence-on-women/</w:t>
        </w:r>
      </w:hyperlink>
      <w:r>
        <w:rPr>
          <w:rFonts w:ascii="Times New Roman" w:hAnsi="Times New Roman"/>
          <w:sz w:val="24"/>
          <w:szCs w:val="24"/>
          <w:lang w:val="en-US"/>
        </w:rPr>
        <w:t>.</w:t>
      </w:r>
    </w:p>
    <w:p w14:paraId="0D88DC67"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Restorative Justice Council (2016). </w:t>
      </w:r>
      <w:r>
        <w:rPr>
          <w:rFonts w:ascii="Times New Roman" w:hAnsi="Times New Roman"/>
          <w:i/>
          <w:iCs/>
          <w:sz w:val="24"/>
          <w:szCs w:val="24"/>
          <w:lang w:val="en-US"/>
        </w:rPr>
        <w:t>What is restorative justice? | Restorative Justice Council</w:t>
      </w:r>
      <w:r>
        <w:rPr>
          <w:rFonts w:ascii="Times New Roman" w:hAnsi="Times New Roman"/>
          <w:sz w:val="24"/>
          <w:szCs w:val="24"/>
          <w:lang w:val="en-US"/>
        </w:rPr>
        <w:t xml:space="preserve">. [online] Restorativejustice.org.uk. Available at:  </w:t>
      </w:r>
      <w:hyperlink r:id="rId46" w:history="1">
        <w:r w:rsidRPr="00C41839">
          <w:rPr>
            <w:rStyle w:val="Hyperlink"/>
            <w:rFonts w:ascii="Times New Roman" w:hAnsi="Times New Roman"/>
            <w:sz w:val="24"/>
            <w:szCs w:val="24"/>
            <w:lang w:val="en-US"/>
          </w:rPr>
          <w:t>https://restorativejustice.org.uk/what-restorative-justice</w:t>
        </w:r>
      </w:hyperlink>
      <w:r>
        <w:rPr>
          <w:rFonts w:ascii="Times New Roman" w:hAnsi="Times New Roman"/>
          <w:sz w:val="24"/>
          <w:szCs w:val="24"/>
          <w:lang w:val="en-US"/>
        </w:rPr>
        <w:t xml:space="preserve"> [Accessed 19 Jan. 2022].</w:t>
      </w:r>
    </w:p>
    <w:p w14:paraId="567C1304"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Robinson, A.L. and Clancy, A. (2020). Systematically identifying and </w:t>
      </w:r>
      <w:proofErr w:type="spellStart"/>
      <w:r>
        <w:rPr>
          <w:rFonts w:ascii="Times New Roman" w:hAnsi="Times New Roman"/>
          <w:sz w:val="24"/>
          <w:szCs w:val="24"/>
          <w:lang w:val="en-US"/>
        </w:rPr>
        <w:t>prioritising</w:t>
      </w:r>
      <w:proofErr w:type="spellEnd"/>
      <w:r>
        <w:rPr>
          <w:rFonts w:ascii="Times New Roman" w:hAnsi="Times New Roman"/>
          <w:sz w:val="24"/>
          <w:szCs w:val="24"/>
          <w:lang w:val="en-US"/>
        </w:rPr>
        <w:t xml:space="preserve"> domestic abuse perpetrators for targeted intervention. </w:t>
      </w:r>
      <w:r>
        <w:rPr>
          <w:rFonts w:ascii="Times New Roman" w:hAnsi="Times New Roman"/>
          <w:i/>
          <w:iCs/>
          <w:sz w:val="24"/>
          <w:szCs w:val="24"/>
          <w:lang w:val="en-US"/>
        </w:rPr>
        <w:t>Criminology &amp; Criminal Justice</w:t>
      </w:r>
      <w:r>
        <w:rPr>
          <w:rFonts w:ascii="Times New Roman" w:hAnsi="Times New Roman"/>
          <w:sz w:val="24"/>
          <w:szCs w:val="24"/>
          <w:lang w:val="en-US"/>
        </w:rPr>
        <w:t>, 21(5), p.174889582091438.</w:t>
      </w:r>
    </w:p>
    <w:p w14:paraId="70F251BF"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Robinson, A.L. and </w:t>
      </w:r>
      <w:proofErr w:type="spellStart"/>
      <w:r>
        <w:rPr>
          <w:rFonts w:ascii="Times New Roman" w:hAnsi="Times New Roman"/>
          <w:sz w:val="24"/>
          <w:szCs w:val="24"/>
          <w:lang w:val="en-US"/>
        </w:rPr>
        <w:t>Tregidga</w:t>
      </w:r>
      <w:proofErr w:type="spellEnd"/>
      <w:r>
        <w:rPr>
          <w:rFonts w:ascii="Times New Roman" w:hAnsi="Times New Roman"/>
          <w:sz w:val="24"/>
          <w:szCs w:val="24"/>
          <w:lang w:val="en-US"/>
        </w:rPr>
        <w:t xml:space="preserve">, J. (2007). The Perceptions of High-Risk Victims of Domestic Violence to a Coordinated Community Response in Cardiff, Wales. </w:t>
      </w:r>
      <w:r>
        <w:rPr>
          <w:rFonts w:ascii="Times New Roman" w:hAnsi="Times New Roman"/>
          <w:i/>
          <w:iCs/>
          <w:sz w:val="24"/>
          <w:szCs w:val="24"/>
          <w:lang w:val="en-US"/>
        </w:rPr>
        <w:t>Violence Against Women</w:t>
      </w:r>
      <w:r>
        <w:rPr>
          <w:rFonts w:ascii="Times New Roman" w:hAnsi="Times New Roman"/>
          <w:sz w:val="24"/>
          <w:szCs w:val="24"/>
          <w:lang w:val="en-US"/>
        </w:rPr>
        <w:t>, 13(11), pp.1130–1148.</w:t>
      </w:r>
    </w:p>
    <w:p w14:paraId="1B370FAA"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Safe lives (n.d.). </w:t>
      </w:r>
      <w:r>
        <w:rPr>
          <w:rFonts w:ascii="Times New Roman" w:hAnsi="Times New Roman"/>
          <w:i/>
          <w:iCs/>
          <w:sz w:val="24"/>
          <w:szCs w:val="24"/>
          <w:lang w:val="en-US"/>
        </w:rPr>
        <w:t xml:space="preserve">Resources for identifying the risk victims face | </w:t>
      </w:r>
      <w:proofErr w:type="spellStart"/>
      <w:r>
        <w:rPr>
          <w:rFonts w:ascii="Times New Roman" w:hAnsi="Times New Roman"/>
          <w:i/>
          <w:iCs/>
          <w:sz w:val="24"/>
          <w:szCs w:val="24"/>
          <w:lang w:val="en-US"/>
        </w:rPr>
        <w:t>Safelives</w:t>
      </w:r>
      <w:proofErr w:type="spellEnd"/>
      <w:r>
        <w:rPr>
          <w:rFonts w:ascii="Times New Roman" w:hAnsi="Times New Roman"/>
          <w:sz w:val="24"/>
          <w:szCs w:val="24"/>
          <w:lang w:val="en-US"/>
        </w:rPr>
        <w:t xml:space="preserve">. [online] safelives.org.uk. Available at: </w:t>
      </w:r>
      <w:hyperlink r:id="rId47" w:history="1">
        <w:r w:rsidRPr="00C41839">
          <w:rPr>
            <w:rStyle w:val="Hyperlink"/>
            <w:rFonts w:ascii="Times New Roman" w:hAnsi="Times New Roman"/>
            <w:sz w:val="24"/>
            <w:szCs w:val="24"/>
            <w:lang w:val="en-US"/>
          </w:rPr>
          <w:t>https://safelives.org.uk/practice-support/resources-identifying-risk-victims-face</w:t>
        </w:r>
      </w:hyperlink>
      <w:r>
        <w:rPr>
          <w:rFonts w:ascii="Times New Roman" w:hAnsi="Times New Roman"/>
          <w:sz w:val="24"/>
          <w:szCs w:val="24"/>
          <w:lang w:val="en-US"/>
        </w:rPr>
        <w:t xml:space="preserve"> [Accessed 24 Jan. 2022].</w:t>
      </w:r>
    </w:p>
    <w:p w14:paraId="2A60A93A"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proofErr w:type="spellStart"/>
      <w:r>
        <w:rPr>
          <w:rFonts w:ascii="Times New Roman" w:hAnsi="Times New Roman"/>
          <w:sz w:val="24"/>
          <w:szCs w:val="24"/>
          <w:lang w:val="en-US"/>
        </w:rPr>
        <w:t>Seglin</w:t>
      </w:r>
      <w:proofErr w:type="spellEnd"/>
      <w:r>
        <w:rPr>
          <w:rFonts w:ascii="Times New Roman" w:hAnsi="Times New Roman"/>
          <w:sz w:val="24"/>
          <w:szCs w:val="24"/>
          <w:lang w:val="en-US"/>
        </w:rPr>
        <w:t xml:space="preserve">, J. (2002). </w:t>
      </w:r>
      <w:r>
        <w:rPr>
          <w:rFonts w:ascii="Times New Roman" w:hAnsi="Times New Roman"/>
          <w:i/>
          <w:iCs/>
          <w:sz w:val="24"/>
          <w:szCs w:val="24"/>
          <w:lang w:val="en-US"/>
        </w:rPr>
        <w:t>Codes of Ethics: Why Writing One Is Not Enough</w:t>
      </w:r>
      <w:r>
        <w:rPr>
          <w:rFonts w:ascii="Times New Roman" w:hAnsi="Times New Roman"/>
          <w:sz w:val="24"/>
          <w:szCs w:val="24"/>
          <w:lang w:val="en-US"/>
        </w:rPr>
        <w:t xml:space="preserve">. [online] Poynter. Available at:  </w:t>
      </w:r>
      <w:hyperlink r:id="rId48" w:history="1">
        <w:r w:rsidRPr="00C41839">
          <w:rPr>
            <w:rStyle w:val="Hyperlink"/>
            <w:rFonts w:ascii="Times New Roman" w:hAnsi="Times New Roman"/>
            <w:sz w:val="24"/>
            <w:szCs w:val="24"/>
            <w:lang w:val="en-US"/>
          </w:rPr>
          <w:t>https://www.poynter.org/archive/2002/codes-of-ethics-why-writing-one-is-not-enough/</w:t>
        </w:r>
      </w:hyperlink>
      <w:r>
        <w:rPr>
          <w:rFonts w:ascii="Times New Roman" w:hAnsi="Times New Roman"/>
          <w:sz w:val="24"/>
          <w:szCs w:val="24"/>
          <w:lang w:val="en-US"/>
        </w:rPr>
        <w:t xml:space="preserve"> [Accessed 11 Jan. 2022].</w:t>
      </w:r>
    </w:p>
    <w:p w14:paraId="5948DFF3"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proofErr w:type="spellStart"/>
      <w:r>
        <w:rPr>
          <w:rFonts w:ascii="Times New Roman" w:hAnsi="Times New Roman"/>
          <w:sz w:val="24"/>
          <w:szCs w:val="24"/>
          <w:lang w:val="en-US"/>
        </w:rPr>
        <w:t>Sharratt</w:t>
      </w:r>
      <w:proofErr w:type="spellEnd"/>
      <w:r>
        <w:rPr>
          <w:rFonts w:ascii="Times New Roman" w:hAnsi="Times New Roman"/>
          <w:sz w:val="24"/>
          <w:szCs w:val="24"/>
          <w:lang w:val="en-US"/>
        </w:rPr>
        <w:t xml:space="preserve">, E. (2019). </w:t>
      </w:r>
      <w:r>
        <w:rPr>
          <w:rFonts w:ascii="Times New Roman" w:hAnsi="Times New Roman"/>
          <w:i/>
          <w:iCs/>
          <w:sz w:val="24"/>
          <w:szCs w:val="24"/>
          <w:lang w:val="en-US"/>
        </w:rPr>
        <w:t>Intimate image abuse in adults and under 18s A comparative analysis of cases dealt with by the Revenge Porn Helpline and Professionals Online Safety Helpline</w:t>
      </w:r>
      <w:r>
        <w:rPr>
          <w:rFonts w:ascii="Times New Roman" w:hAnsi="Times New Roman"/>
          <w:sz w:val="24"/>
          <w:szCs w:val="24"/>
          <w:lang w:val="en-US"/>
        </w:rPr>
        <w:t xml:space="preserve">. [online] </w:t>
      </w:r>
      <w:r>
        <w:rPr>
          <w:rFonts w:ascii="Times New Roman" w:hAnsi="Times New Roman"/>
          <w:i/>
          <w:iCs/>
          <w:sz w:val="24"/>
          <w:szCs w:val="24"/>
          <w:lang w:val="en-US"/>
        </w:rPr>
        <w:t>SWGfL.org.uk</w:t>
      </w:r>
      <w:r>
        <w:rPr>
          <w:rFonts w:ascii="Times New Roman" w:hAnsi="Times New Roman"/>
          <w:sz w:val="24"/>
          <w:szCs w:val="24"/>
          <w:lang w:val="en-US"/>
        </w:rPr>
        <w:t xml:space="preserve">, University of Exeter, pp.7–34. Available at:  </w:t>
      </w:r>
      <w:hyperlink r:id="rId49" w:history="1">
        <w:r w:rsidRPr="00C41839">
          <w:rPr>
            <w:rStyle w:val="Hyperlink"/>
            <w:rFonts w:ascii="Times New Roman" w:hAnsi="Times New Roman"/>
            <w:sz w:val="24"/>
            <w:szCs w:val="24"/>
            <w:lang w:val="en-US"/>
          </w:rPr>
          <w:t>https://swgfl.org.uk/assets/documents/intimate-image-abuse-in-adults-and-under-18s.pdf</w:t>
        </w:r>
      </w:hyperlink>
      <w:r>
        <w:rPr>
          <w:rFonts w:ascii="Times New Roman" w:hAnsi="Times New Roman"/>
          <w:sz w:val="24"/>
          <w:szCs w:val="24"/>
          <w:lang w:val="en-US"/>
        </w:rPr>
        <w:t xml:space="preserve"> [Accessed 25 Jan. 2022].</w:t>
      </w:r>
    </w:p>
    <w:p w14:paraId="5BC44ADD"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Spicer, J., Moyle, L. and </w:t>
      </w:r>
      <w:proofErr w:type="spellStart"/>
      <w:r>
        <w:rPr>
          <w:rFonts w:ascii="Times New Roman" w:hAnsi="Times New Roman"/>
          <w:sz w:val="24"/>
          <w:szCs w:val="24"/>
          <w:lang w:val="en-US"/>
        </w:rPr>
        <w:t>Coomber</w:t>
      </w:r>
      <w:proofErr w:type="spellEnd"/>
      <w:r>
        <w:rPr>
          <w:rFonts w:ascii="Times New Roman" w:hAnsi="Times New Roman"/>
          <w:sz w:val="24"/>
          <w:szCs w:val="24"/>
          <w:lang w:val="en-US"/>
        </w:rPr>
        <w:t xml:space="preserve">, R. (2019). The variable and evolving nature of “cuckooing” as a form of criminal exploitation in street level drug markets. </w:t>
      </w:r>
      <w:r>
        <w:rPr>
          <w:rFonts w:ascii="Times New Roman" w:hAnsi="Times New Roman"/>
          <w:i/>
          <w:iCs/>
          <w:sz w:val="24"/>
          <w:szCs w:val="24"/>
          <w:lang w:val="en-US"/>
        </w:rPr>
        <w:t>Trends in Organized Crime</w:t>
      </w:r>
      <w:r>
        <w:rPr>
          <w:rFonts w:ascii="Times New Roman" w:hAnsi="Times New Roman"/>
          <w:sz w:val="24"/>
          <w:szCs w:val="24"/>
          <w:lang w:val="en-US"/>
        </w:rPr>
        <w:t xml:space="preserve">, [online] pp.301–323. Available at:  </w:t>
      </w:r>
      <w:hyperlink r:id="rId50" w:history="1">
        <w:r w:rsidRPr="00C41839">
          <w:rPr>
            <w:rStyle w:val="Hyperlink"/>
            <w:rFonts w:ascii="Times New Roman" w:hAnsi="Times New Roman"/>
            <w:sz w:val="24"/>
            <w:szCs w:val="24"/>
            <w:lang w:val="en-US"/>
          </w:rPr>
          <w:t>https://link.springer.com/content/pdf/10.1007%2Fs12117-019-09368-5.pdf</w:t>
        </w:r>
      </w:hyperlink>
      <w:r>
        <w:rPr>
          <w:rFonts w:ascii="Times New Roman" w:hAnsi="Times New Roman"/>
          <w:sz w:val="24"/>
          <w:szCs w:val="24"/>
          <w:lang w:val="en-US"/>
        </w:rPr>
        <w:t xml:space="preserve"> [Accessed 26 Jan. 2022].</w:t>
      </w:r>
    </w:p>
    <w:p w14:paraId="1478D51B"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The Recovery Village (2019). </w:t>
      </w:r>
      <w:r>
        <w:rPr>
          <w:rFonts w:ascii="Times New Roman" w:hAnsi="Times New Roman"/>
          <w:i/>
          <w:iCs/>
          <w:sz w:val="24"/>
          <w:szCs w:val="24"/>
          <w:lang w:val="en-US"/>
        </w:rPr>
        <w:t>Drug Use in High School</w:t>
      </w:r>
      <w:r>
        <w:rPr>
          <w:rFonts w:ascii="Times New Roman" w:hAnsi="Times New Roman"/>
          <w:sz w:val="24"/>
          <w:szCs w:val="24"/>
          <w:lang w:val="en-US"/>
        </w:rPr>
        <w:t xml:space="preserve">. [online] The Recovery </w:t>
      </w:r>
      <w:r>
        <w:rPr>
          <w:rFonts w:ascii="Times New Roman" w:hAnsi="Times New Roman"/>
          <w:sz w:val="24"/>
          <w:szCs w:val="24"/>
          <w:lang w:val="en-US"/>
        </w:rPr>
        <w:lastRenderedPageBreak/>
        <w:t xml:space="preserve">Village. Available at:  </w:t>
      </w:r>
      <w:hyperlink r:id="rId51" w:history="1">
        <w:r w:rsidRPr="00C41839">
          <w:rPr>
            <w:rStyle w:val="Hyperlink"/>
            <w:rFonts w:ascii="Times New Roman" w:hAnsi="Times New Roman"/>
            <w:sz w:val="24"/>
            <w:szCs w:val="24"/>
            <w:lang w:val="en-US"/>
          </w:rPr>
          <w:t>https://www.therecoveryvillage.com/teen-addiction/drug/high-school-drug-use/</w:t>
        </w:r>
      </w:hyperlink>
      <w:r>
        <w:rPr>
          <w:rFonts w:ascii="Times New Roman" w:hAnsi="Times New Roman"/>
          <w:sz w:val="24"/>
          <w:szCs w:val="24"/>
          <w:lang w:val="en-US"/>
        </w:rPr>
        <w:t xml:space="preserve"> [Accessed 26 Jan. 2022].</w:t>
      </w:r>
    </w:p>
    <w:p w14:paraId="7A9437F5"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The </w:t>
      </w:r>
      <w:proofErr w:type="spellStart"/>
      <w:r>
        <w:rPr>
          <w:rFonts w:ascii="Times New Roman" w:hAnsi="Times New Roman"/>
          <w:sz w:val="24"/>
          <w:szCs w:val="24"/>
          <w:lang w:val="en-US"/>
        </w:rPr>
        <w:t>Traveller</w:t>
      </w:r>
      <w:proofErr w:type="spellEnd"/>
      <w:r>
        <w:rPr>
          <w:rFonts w:ascii="Times New Roman" w:hAnsi="Times New Roman"/>
          <w:sz w:val="24"/>
          <w:szCs w:val="24"/>
          <w:lang w:val="en-US"/>
        </w:rPr>
        <w:t xml:space="preserve"> Movement (2021). </w:t>
      </w:r>
      <w:r>
        <w:rPr>
          <w:rFonts w:ascii="Times New Roman" w:hAnsi="Times New Roman"/>
          <w:i/>
          <w:iCs/>
          <w:sz w:val="24"/>
          <w:szCs w:val="24"/>
          <w:lang w:val="en-US"/>
        </w:rPr>
        <w:t xml:space="preserve">Gypsy Roma and </w:t>
      </w:r>
      <w:proofErr w:type="spellStart"/>
      <w:r>
        <w:rPr>
          <w:rFonts w:ascii="Times New Roman" w:hAnsi="Times New Roman"/>
          <w:i/>
          <w:iCs/>
          <w:sz w:val="24"/>
          <w:szCs w:val="24"/>
          <w:lang w:val="en-US"/>
        </w:rPr>
        <w:t>Traveller</w:t>
      </w:r>
      <w:proofErr w:type="spellEnd"/>
      <w:r>
        <w:rPr>
          <w:rFonts w:ascii="Times New Roman" w:hAnsi="Times New Roman"/>
          <w:i/>
          <w:iCs/>
          <w:sz w:val="24"/>
          <w:szCs w:val="24"/>
          <w:lang w:val="en-US"/>
        </w:rPr>
        <w:t xml:space="preserve"> History and Culture | TM</w:t>
      </w:r>
      <w:r>
        <w:rPr>
          <w:rFonts w:ascii="Times New Roman" w:hAnsi="Times New Roman"/>
          <w:sz w:val="24"/>
          <w:szCs w:val="24"/>
          <w:lang w:val="en-US"/>
        </w:rPr>
        <w:t xml:space="preserve">. [online] travellermovement.org.uk. Available at:  </w:t>
      </w:r>
      <w:hyperlink r:id="rId52" w:history="1">
        <w:r w:rsidRPr="00C41839">
          <w:rPr>
            <w:rStyle w:val="Hyperlink"/>
            <w:rFonts w:ascii="Times New Roman" w:hAnsi="Times New Roman"/>
            <w:sz w:val="24"/>
            <w:szCs w:val="24"/>
            <w:lang w:val="en-US"/>
          </w:rPr>
          <w:t>https://travellermovement.org.uk/gypsy-roma-and-traveller-history-and-culture/</w:t>
        </w:r>
      </w:hyperlink>
      <w:r>
        <w:rPr>
          <w:rFonts w:ascii="Times New Roman" w:hAnsi="Times New Roman"/>
          <w:sz w:val="24"/>
          <w:szCs w:val="24"/>
          <w:lang w:val="en-US"/>
        </w:rPr>
        <w:t xml:space="preserve"> [Accessed 24 Jan. 2022].</w:t>
      </w:r>
    </w:p>
    <w:p w14:paraId="2333B954"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University of Texas at Dallas (2012). </w:t>
      </w:r>
      <w:r>
        <w:rPr>
          <w:rFonts w:ascii="Times New Roman" w:hAnsi="Times New Roman"/>
          <w:i/>
          <w:iCs/>
          <w:sz w:val="24"/>
          <w:szCs w:val="24"/>
          <w:lang w:val="en-US"/>
        </w:rPr>
        <w:t>Genes influence criminal behavior, research suggests</w:t>
      </w:r>
      <w:r>
        <w:rPr>
          <w:rFonts w:ascii="Times New Roman" w:hAnsi="Times New Roman"/>
          <w:sz w:val="24"/>
          <w:szCs w:val="24"/>
          <w:lang w:val="en-US"/>
        </w:rPr>
        <w:t xml:space="preserve">. [online] ScienceDaily. Available at:   </w:t>
      </w:r>
      <w:hyperlink r:id="rId53" w:history="1">
        <w:r w:rsidRPr="00C41839">
          <w:rPr>
            <w:rStyle w:val="Hyperlink"/>
            <w:rFonts w:ascii="Times New Roman" w:hAnsi="Times New Roman"/>
            <w:sz w:val="24"/>
            <w:szCs w:val="24"/>
            <w:lang w:val="en-US"/>
          </w:rPr>
          <w:t>https://www.sciencedaily.com/releases/2012/01/120125151841.htm</w:t>
        </w:r>
      </w:hyperlink>
      <w:r>
        <w:rPr>
          <w:rFonts w:ascii="Times New Roman" w:hAnsi="Times New Roman"/>
          <w:sz w:val="24"/>
          <w:szCs w:val="24"/>
          <w:lang w:val="en-US"/>
        </w:rPr>
        <w:t xml:space="preserve"> [Accessed 19 Jan. 2022].</w:t>
      </w:r>
    </w:p>
    <w:p w14:paraId="125980CB" w14:textId="77777777" w:rsidR="00E50D6A" w:rsidRDefault="00E50D6A" w:rsidP="00E50D6A">
      <w:pPr>
        <w:widowControl w:val="0"/>
        <w:autoSpaceDE w:val="0"/>
        <w:autoSpaceDN w:val="0"/>
        <w:adjustRightInd w:val="0"/>
        <w:spacing w:after="240" w:line="360" w:lineRule="auto"/>
        <w:rPr>
          <w:rFonts w:ascii="Times New Roman" w:hAnsi="Times New Roman"/>
          <w:sz w:val="24"/>
          <w:szCs w:val="24"/>
          <w:lang w:val="en-US"/>
        </w:rPr>
      </w:pPr>
      <w:r>
        <w:rPr>
          <w:rFonts w:ascii="Times New Roman" w:hAnsi="Times New Roman"/>
          <w:sz w:val="24"/>
          <w:szCs w:val="24"/>
          <w:lang w:val="en-US"/>
        </w:rPr>
        <w:t xml:space="preserve">Welsh Government (2019). </w:t>
      </w:r>
      <w:r>
        <w:rPr>
          <w:rFonts w:ascii="Times New Roman" w:hAnsi="Times New Roman"/>
          <w:i/>
          <w:iCs/>
          <w:sz w:val="24"/>
          <w:szCs w:val="24"/>
          <w:lang w:val="en-US"/>
        </w:rPr>
        <w:t>Registered social landlords</w:t>
      </w:r>
      <w:r>
        <w:rPr>
          <w:rFonts w:ascii="Times New Roman" w:hAnsi="Times New Roman"/>
          <w:sz w:val="24"/>
          <w:szCs w:val="24"/>
          <w:lang w:val="en-US"/>
        </w:rPr>
        <w:t xml:space="preserve">. [online] GOV.WALES. Available at:  </w:t>
      </w:r>
      <w:hyperlink r:id="rId54" w:history="1">
        <w:r w:rsidRPr="00C41839">
          <w:rPr>
            <w:rStyle w:val="Hyperlink"/>
            <w:rFonts w:ascii="Times New Roman" w:hAnsi="Times New Roman"/>
            <w:sz w:val="24"/>
            <w:szCs w:val="24"/>
            <w:lang w:val="en-US"/>
          </w:rPr>
          <w:t>https://gov.wales/registered-social-landlords</w:t>
        </w:r>
      </w:hyperlink>
      <w:r>
        <w:rPr>
          <w:rFonts w:ascii="Times New Roman" w:hAnsi="Times New Roman"/>
          <w:sz w:val="24"/>
          <w:szCs w:val="24"/>
          <w:lang w:val="en-US"/>
        </w:rPr>
        <w:t xml:space="preserve"> [Accessed 26 Jan. 2022].</w:t>
      </w:r>
    </w:p>
    <w:p w14:paraId="54A20136" w14:textId="77777777" w:rsidR="00E50D6A" w:rsidRDefault="00E50D6A" w:rsidP="595E708A">
      <w:pPr>
        <w:rPr>
          <w:rFonts w:eastAsiaTheme="minorEastAsia"/>
        </w:rPr>
      </w:pPr>
    </w:p>
    <w:p w14:paraId="1B93AABD" w14:textId="0B09C837" w:rsidR="00E50D6A" w:rsidRDefault="00E50D6A" w:rsidP="595E708A">
      <w:pPr>
        <w:rPr>
          <w:rFonts w:eastAsiaTheme="minorEastAsia"/>
        </w:rPr>
      </w:pPr>
    </w:p>
    <w:p w14:paraId="11529843" w14:textId="28A7F13F" w:rsidR="00E50D6A" w:rsidRDefault="00E50D6A" w:rsidP="595E708A">
      <w:pPr>
        <w:rPr>
          <w:rFonts w:eastAsiaTheme="minorEastAsia"/>
        </w:rPr>
      </w:pPr>
    </w:p>
    <w:p w14:paraId="4DDECC7C" w14:textId="77579FA3" w:rsidR="00E50D6A" w:rsidRDefault="00E50D6A" w:rsidP="595E708A">
      <w:pPr>
        <w:rPr>
          <w:rFonts w:eastAsiaTheme="minorEastAsia"/>
        </w:rPr>
      </w:pPr>
    </w:p>
    <w:p w14:paraId="7794344F" w14:textId="0BA7C3E5" w:rsidR="00E50D6A" w:rsidRDefault="00E50D6A" w:rsidP="595E708A">
      <w:pPr>
        <w:rPr>
          <w:rFonts w:eastAsiaTheme="minorEastAsia"/>
        </w:rPr>
      </w:pPr>
    </w:p>
    <w:p w14:paraId="3E12F225" w14:textId="77777777" w:rsidR="00E50D6A" w:rsidRPr="00556E70" w:rsidRDefault="00E50D6A" w:rsidP="595E708A">
      <w:pPr>
        <w:rPr>
          <w:rFonts w:eastAsiaTheme="minorEastAsia"/>
        </w:rPr>
      </w:pPr>
    </w:p>
    <w:p w14:paraId="6988FFBC" w14:textId="77777777" w:rsidR="0085788F" w:rsidRPr="00556E70" w:rsidRDefault="0085788F" w:rsidP="0085788F">
      <w:pPr>
        <w:spacing w:beforeAutospacing="1" w:afterAutospacing="1"/>
        <w:ind w:right="225"/>
        <w:jc w:val="center"/>
        <w:rPr>
          <w:rFonts w:eastAsia="Arial"/>
          <w:sz w:val="24"/>
          <w:szCs w:val="24"/>
        </w:rPr>
      </w:pPr>
      <w:r w:rsidRPr="00556E70">
        <w:rPr>
          <w:rStyle w:val="normaltextrun"/>
          <w:rFonts w:ascii="Arial" w:eastAsia="Arial" w:hAnsi="Arial" w:cs="Arial"/>
          <w:b/>
          <w:bCs/>
          <w:sz w:val="24"/>
          <w:szCs w:val="24"/>
        </w:rPr>
        <w:t>Task 6</w:t>
      </w:r>
      <w:r w:rsidRPr="00556E70">
        <w:rPr>
          <w:rStyle w:val="eop"/>
          <w:rFonts w:ascii="Arial" w:eastAsia="Arial" w:hAnsi="Arial" w:cs="Arial"/>
          <w:sz w:val="24"/>
          <w:szCs w:val="24"/>
        </w:rPr>
        <w:t> </w:t>
      </w:r>
    </w:p>
    <w:p w14:paraId="47C7CBD4" w14:textId="77777777" w:rsidR="0085788F" w:rsidRPr="00556E70" w:rsidRDefault="0085788F" w:rsidP="0085788F">
      <w:pPr>
        <w:spacing w:beforeAutospacing="1" w:afterAutospacing="1"/>
        <w:rPr>
          <w:rFonts w:eastAsia="Arial"/>
          <w:sz w:val="24"/>
          <w:szCs w:val="24"/>
        </w:rPr>
      </w:pPr>
      <w:r w:rsidRPr="00556E70">
        <w:rPr>
          <w:rStyle w:val="normaltextrun"/>
          <w:rFonts w:ascii="Arial" w:eastAsia="Arial" w:hAnsi="Arial" w:cs="Arial"/>
          <w:b/>
          <w:bCs/>
          <w:sz w:val="24"/>
          <w:szCs w:val="24"/>
        </w:rPr>
        <w:t>Recognition and confirmation of progress on the Occupational Competency Portfolio (OCP).</w:t>
      </w:r>
      <w:r w:rsidRPr="00556E70">
        <w:rPr>
          <w:rStyle w:val="eop"/>
          <w:rFonts w:ascii="Arial" w:eastAsia="Arial" w:hAnsi="Arial" w:cs="Arial"/>
          <w:sz w:val="24"/>
          <w:szCs w:val="24"/>
        </w:rPr>
        <w:t> </w:t>
      </w:r>
    </w:p>
    <w:p w14:paraId="56E35982" w14:textId="77777777" w:rsidR="0085788F" w:rsidRPr="00556E70" w:rsidRDefault="0085788F" w:rsidP="0085788F">
      <w:pPr>
        <w:spacing w:beforeAutospacing="1" w:afterAutospacing="1"/>
        <w:ind w:right="225"/>
        <w:jc w:val="both"/>
        <w:rPr>
          <w:rFonts w:eastAsia="Arial"/>
          <w:sz w:val="24"/>
          <w:szCs w:val="24"/>
        </w:rPr>
      </w:pPr>
      <w:r w:rsidRPr="00556E70">
        <w:rPr>
          <w:rStyle w:val="normaltextrun"/>
          <w:rFonts w:ascii="Arial" w:eastAsia="Arial" w:hAnsi="Arial" w:cs="Arial"/>
          <w:b/>
          <w:bCs/>
          <w:sz w:val="24"/>
          <w:szCs w:val="24"/>
        </w:rPr>
        <w:t> </w:t>
      </w:r>
      <w:r w:rsidRPr="00556E70">
        <w:rPr>
          <w:rStyle w:val="eop"/>
          <w:rFonts w:ascii="Arial" w:eastAsia="Arial" w:hAnsi="Arial" w:cs="Arial"/>
          <w:sz w:val="24"/>
          <w:szCs w:val="24"/>
        </w:rPr>
        <w:t> </w:t>
      </w:r>
    </w:p>
    <w:p w14:paraId="6AEDB3BB" w14:textId="77777777" w:rsidR="0085788F" w:rsidRPr="00556E70" w:rsidRDefault="0085788F" w:rsidP="0085788F">
      <w:pPr>
        <w:spacing w:beforeAutospacing="1" w:afterAutospacing="1"/>
        <w:ind w:right="225"/>
        <w:jc w:val="both"/>
        <w:rPr>
          <w:rFonts w:eastAsia="Arial"/>
          <w:sz w:val="24"/>
          <w:szCs w:val="24"/>
        </w:rPr>
      </w:pPr>
      <w:r w:rsidRPr="00556E70">
        <w:rPr>
          <w:rStyle w:val="eop"/>
          <w:rFonts w:ascii="Arial" w:eastAsia="Arial" w:hAnsi="Arial" w:cs="Arial"/>
          <w:sz w:val="24"/>
          <w:szCs w:val="24"/>
        </w:rPr>
        <w:t> </w:t>
      </w:r>
    </w:p>
    <w:p w14:paraId="3C14EF2A" w14:textId="77777777" w:rsidR="0085788F" w:rsidRPr="00556E70" w:rsidRDefault="0085788F" w:rsidP="0085788F">
      <w:pPr>
        <w:spacing w:beforeAutospacing="1" w:afterAutospacing="1"/>
        <w:ind w:right="225"/>
        <w:jc w:val="both"/>
        <w:rPr>
          <w:rFonts w:eastAsia="Arial"/>
          <w:sz w:val="24"/>
          <w:szCs w:val="24"/>
        </w:rPr>
      </w:pPr>
      <w:r w:rsidRPr="00556E70">
        <w:rPr>
          <w:rStyle w:val="eop"/>
          <w:rFonts w:ascii="Arial" w:eastAsia="Arial" w:hAnsi="Arial" w:cs="Arial"/>
          <w:sz w:val="24"/>
          <w:szCs w:val="24"/>
        </w:rPr>
        <w:t> </w:t>
      </w:r>
    </w:p>
    <w:p w14:paraId="0A27FD32" w14:textId="0FB0C7DF" w:rsidR="0085788F" w:rsidRPr="00556E70" w:rsidRDefault="1B1827CC" w:rsidP="595E708A">
      <w:pPr>
        <w:spacing w:beforeAutospacing="1" w:afterAutospacing="1"/>
        <w:ind w:right="225"/>
        <w:jc w:val="both"/>
        <w:rPr>
          <w:rFonts w:eastAsia="Arial"/>
          <w:sz w:val="24"/>
          <w:szCs w:val="24"/>
        </w:rPr>
      </w:pPr>
      <w:r w:rsidRPr="00556E70">
        <w:rPr>
          <w:rStyle w:val="normaltextrun"/>
          <w:rFonts w:ascii="Arial" w:eastAsia="Arial" w:hAnsi="Arial" w:cs="Arial"/>
          <w:i/>
          <w:iCs/>
          <w:sz w:val="24"/>
          <w:szCs w:val="24"/>
        </w:rPr>
        <w:t>By signing the section below, you are acknowledging your continuing progress on O.C.P. </w:t>
      </w:r>
      <w:r w:rsidRPr="00556E70">
        <w:rPr>
          <w:rStyle w:val="eop"/>
          <w:rFonts w:ascii="Arial" w:eastAsia="Arial" w:hAnsi="Arial" w:cs="Arial"/>
          <w:sz w:val="24"/>
          <w:szCs w:val="24"/>
        </w:rPr>
        <w:t> </w:t>
      </w:r>
    </w:p>
    <w:p w14:paraId="3B291FF6" w14:textId="77777777" w:rsidR="0085788F" w:rsidRPr="00556E70" w:rsidRDefault="0085788F" w:rsidP="0085788F">
      <w:pPr>
        <w:spacing w:beforeAutospacing="1" w:afterAutospacing="1"/>
        <w:ind w:right="225"/>
        <w:jc w:val="both"/>
        <w:rPr>
          <w:rFonts w:ascii="Segoe UI" w:eastAsia="Segoe UI" w:hAnsi="Segoe UI" w:cs="Segoe UI"/>
          <w:sz w:val="18"/>
          <w:szCs w:val="18"/>
        </w:rPr>
      </w:pPr>
    </w:p>
    <w:p w14:paraId="33BBEE12" w14:textId="77777777" w:rsidR="0085788F" w:rsidRPr="00556E70" w:rsidRDefault="0085788F" w:rsidP="0085788F">
      <w:pPr>
        <w:spacing w:beforeAutospacing="1" w:afterAutospacing="1"/>
        <w:ind w:right="225"/>
        <w:jc w:val="both"/>
        <w:rPr>
          <w:rFonts w:eastAsia="Arial"/>
          <w:sz w:val="24"/>
          <w:szCs w:val="24"/>
        </w:rPr>
      </w:pPr>
      <w:r w:rsidRPr="00556E70">
        <w:rPr>
          <w:rStyle w:val="normaltextrun"/>
          <w:rFonts w:ascii="Arial" w:eastAsia="Arial" w:hAnsi="Arial" w:cs="Arial"/>
          <w:i/>
          <w:iCs/>
          <w:sz w:val="24"/>
          <w:szCs w:val="24"/>
        </w:rPr>
        <w:lastRenderedPageBreak/>
        <w:t>This is recognised by the university as work that is fully supporting this module BMPP 5003D; Policing in the workplace 2and in signing it will be equivalent to 1000 words towards the 8000 words equivalent total.</w:t>
      </w:r>
      <w:r w:rsidRPr="00556E70">
        <w:rPr>
          <w:rStyle w:val="eop"/>
          <w:rFonts w:ascii="Arial" w:eastAsia="Arial" w:hAnsi="Arial" w:cs="Arial"/>
          <w:sz w:val="24"/>
          <w:szCs w:val="24"/>
        </w:rPr>
        <w:t> </w:t>
      </w:r>
    </w:p>
    <w:p w14:paraId="4BA8E9E0" w14:textId="77777777" w:rsidR="0085788F" w:rsidRPr="00556E70" w:rsidRDefault="0085788F" w:rsidP="0085788F">
      <w:pPr>
        <w:spacing w:beforeAutospacing="1" w:afterAutospacing="1"/>
        <w:ind w:right="225"/>
        <w:jc w:val="both"/>
        <w:rPr>
          <w:rFonts w:eastAsia="Arial"/>
          <w:sz w:val="24"/>
          <w:szCs w:val="24"/>
        </w:rPr>
      </w:pPr>
      <w:r w:rsidRPr="00556E70">
        <w:rPr>
          <w:rStyle w:val="eop"/>
          <w:rFonts w:ascii="Arial" w:eastAsia="Arial" w:hAnsi="Arial" w:cs="Arial"/>
          <w:sz w:val="24"/>
          <w:szCs w:val="24"/>
        </w:rPr>
        <w:t> </w:t>
      </w:r>
    </w:p>
    <w:p w14:paraId="2A211F34" w14:textId="77777777" w:rsidR="0085788F" w:rsidRPr="00556E70" w:rsidRDefault="0085788F" w:rsidP="0085788F">
      <w:pPr>
        <w:spacing w:beforeAutospacing="1" w:afterAutospacing="1"/>
        <w:rPr>
          <w:rFonts w:eastAsia="Arial"/>
          <w:sz w:val="24"/>
          <w:szCs w:val="24"/>
        </w:rPr>
      </w:pPr>
      <w:r w:rsidRPr="00556E70">
        <w:rPr>
          <w:rStyle w:val="eop"/>
          <w:rFonts w:ascii="Arial" w:eastAsia="Arial" w:hAnsi="Arial" w:cs="Arial"/>
          <w:sz w:val="24"/>
          <w:szCs w:val="24"/>
        </w:rPr>
        <w:t> </w:t>
      </w:r>
    </w:p>
    <w:p w14:paraId="53B6C5C9" w14:textId="77777777" w:rsidR="0085788F" w:rsidRPr="00556E70" w:rsidRDefault="0085788F" w:rsidP="0085788F">
      <w:pPr>
        <w:spacing w:beforeAutospacing="1" w:afterAutospacing="1"/>
        <w:rPr>
          <w:rFonts w:eastAsia="Arial"/>
          <w:sz w:val="24"/>
          <w:szCs w:val="24"/>
        </w:rPr>
      </w:pPr>
      <w:r w:rsidRPr="00556E70">
        <w:rPr>
          <w:rStyle w:val="eop"/>
          <w:rFonts w:ascii="Arial" w:eastAsia="Arial" w:hAnsi="Arial" w:cs="Arial"/>
          <w:sz w:val="24"/>
          <w:szCs w:val="24"/>
        </w:rPr>
        <w:t> </w:t>
      </w:r>
    </w:p>
    <w:p w14:paraId="25CE9D31" w14:textId="77777777" w:rsidR="0085788F" w:rsidRPr="00556E70" w:rsidRDefault="0085788F" w:rsidP="0085788F">
      <w:pPr>
        <w:spacing w:beforeAutospacing="1" w:afterAutospacing="1"/>
        <w:rPr>
          <w:rFonts w:eastAsia="Arial"/>
          <w:sz w:val="24"/>
          <w:szCs w:val="24"/>
        </w:rPr>
      </w:pPr>
      <w:r w:rsidRPr="00556E70">
        <w:rPr>
          <w:rStyle w:val="eop"/>
          <w:rFonts w:ascii="Arial" w:eastAsia="Arial" w:hAnsi="Arial" w:cs="Arial"/>
          <w:sz w:val="24"/>
          <w:szCs w:val="24"/>
        </w:rPr>
        <w:t> </w:t>
      </w:r>
    </w:p>
    <w:p w14:paraId="02712D3B" w14:textId="77777777" w:rsidR="0085788F" w:rsidRPr="00556E70" w:rsidRDefault="0085788F" w:rsidP="0085788F">
      <w:pPr>
        <w:spacing w:beforeAutospacing="1" w:afterAutospacing="1"/>
        <w:rPr>
          <w:rFonts w:eastAsia="Arial"/>
          <w:sz w:val="24"/>
          <w:szCs w:val="24"/>
        </w:rPr>
      </w:pPr>
      <w:r w:rsidRPr="00556E70">
        <w:rPr>
          <w:rStyle w:val="normaltextrun"/>
          <w:rFonts w:ascii="Arial" w:eastAsia="Arial" w:hAnsi="Arial" w:cs="Arial"/>
          <w:b/>
          <w:bCs/>
          <w:sz w:val="24"/>
          <w:szCs w:val="24"/>
        </w:rPr>
        <w:t>Confirmation of the progress on the Occupational Competency Portfolio (OCP).</w:t>
      </w:r>
      <w:r w:rsidRPr="00556E70">
        <w:rPr>
          <w:rStyle w:val="eop"/>
          <w:rFonts w:ascii="Arial" w:eastAsia="Arial" w:hAnsi="Arial" w:cs="Arial"/>
          <w:sz w:val="24"/>
          <w:szCs w:val="24"/>
        </w:rPr>
        <w:t> </w:t>
      </w:r>
    </w:p>
    <w:p w14:paraId="4AE0EE66" w14:textId="77777777" w:rsidR="0085788F" w:rsidRPr="00556E70" w:rsidRDefault="0085788F" w:rsidP="0085788F">
      <w:pPr>
        <w:spacing w:beforeAutospacing="1" w:afterAutospacing="1"/>
        <w:rPr>
          <w:rFonts w:eastAsia="Arial"/>
          <w:sz w:val="24"/>
          <w:szCs w:val="24"/>
        </w:rPr>
      </w:pPr>
      <w:r w:rsidRPr="00556E70">
        <w:rPr>
          <w:rStyle w:val="eop"/>
          <w:rFonts w:ascii="Arial" w:eastAsia="Arial" w:hAnsi="Arial" w:cs="Arial"/>
          <w:sz w:val="24"/>
          <w:szCs w:val="24"/>
        </w:rPr>
        <w:t> </w:t>
      </w:r>
    </w:p>
    <w:p w14:paraId="3226A137" w14:textId="77777777" w:rsidR="0085788F" w:rsidRPr="00556E70" w:rsidRDefault="0085788F" w:rsidP="0085788F">
      <w:pPr>
        <w:spacing w:beforeAutospacing="1" w:afterAutospacing="1"/>
        <w:rPr>
          <w:rFonts w:eastAsia="Arial"/>
          <w:sz w:val="24"/>
          <w:szCs w:val="24"/>
        </w:rPr>
      </w:pPr>
      <w:r w:rsidRPr="00556E70">
        <w:rPr>
          <w:rStyle w:val="normaltextrun"/>
          <w:rFonts w:ascii="Arial" w:eastAsia="Arial" w:hAnsi="Arial" w:cs="Arial"/>
          <w:sz w:val="24"/>
          <w:szCs w:val="24"/>
        </w:rPr>
        <w:t>I confirm that I am progressing with the Occupational Competency Portfolio (OCP) in accordance to the regulations.  </w:t>
      </w:r>
    </w:p>
    <w:p w14:paraId="0F038384" w14:textId="77777777" w:rsidR="0085788F" w:rsidRPr="00556E70" w:rsidRDefault="0085788F" w:rsidP="0085788F">
      <w:pPr>
        <w:spacing w:beforeAutospacing="1" w:afterAutospacing="1"/>
        <w:rPr>
          <w:rFonts w:eastAsia="Arial"/>
          <w:sz w:val="24"/>
          <w:szCs w:val="24"/>
        </w:rPr>
      </w:pPr>
      <w:r w:rsidRPr="00556E70">
        <w:rPr>
          <w:rStyle w:val="eop"/>
          <w:rFonts w:ascii="Arial" w:eastAsia="Arial" w:hAnsi="Arial" w:cs="Arial"/>
          <w:sz w:val="24"/>
          <w:szCs w:val="24"/>
        </w:rPr>
        <w:t> </w:t>
      </w:r>
    </w:p>
    <w:p w14:paraId="14D90BD7" w14:textId="25211467" w:rsidR="0085788F" w:rsidRPr="00556E70" w:rsidRDefault="00FF2444" w:rsidP="0085788F">
      <w:pPr>
        <w:spacing w:before="100" w:beforeAutospacing="1" w:after="100" w:afterAutospacing="1"/>
        <w:jc w:val="both"/>
        <w:rPr>
          <w:rFonts w:eastAsia="Arial"/>
          <w:sz w:val="24"/>
          <w:szCs w:val="24"/>
        </w:rPr>
      </w:pPr>
      <w:r>
        <w:rPr>
          <w:rFonts w:ascii="Arial" w:eastAsia="Arial" w:hAnsi="Arial" w:cs="Arial"/>
          <w:noProof/>
          <w:sz w:val="24"/>
          <w:szCs w:val="24"/>
        </w:rPr>
        <mc:AlternateContent>
          <mc:Choice Requires="wpi">
            <w:drawing>
              <wp:anchor distT="0" distB="0" distL="114300" distR="114300" simplePos="0" relativeHeight="251660288" behindDoc="0" locked="0" layoutInCell="1" allowOverlap="1" wp14:anchorId="01188B50" wp14:editId="34D88C19">
                <wp:simplePos x="0" y="0"/>
                <wp:positionH relativeFrom="column">
                  <wp:posOffset>866460</wp:posOffset>
                </wp:positionH>
                <wp:positionV relativeFrom="paragraph">
                  <wp:posOffset>-167625</wp:posOffset>
                </wp:positionV>
                <wp:extent cx="1049760" cy="593640"/>
                <wp:effectExtent l="38100" t="38100" r="55245" b="54610"/>
                <wp:wrapNone/>
                <wp:docPr id="2" name="Ink 2"/>
                <wp:cNvGraphicFramePr/>
                <a:graphic xmlns:a="http://schemas.openxmlformats.org/drawingml/2006/main">
                  <a:graphicData uri="http://schemas.microsoft.com/office/word/2010/wordprocessingInk">
                    <w14:contentPart bwMode="auto" r:id="rId55">
                      <w14:nvContentPartPr>
                        <w14:cNvContentPartPr/>
                      </w14:nvContentPartPr>
                      <w14:xfrm>
                        <a:off x="0" y="0"/>
                        <a:ext cx="1049760" cy="593640"/>
                      </w14:xfrm>
                    </w14:contentPart>
                  </a:graphicData>
                </a:graphic>
              </wp:anchor>
            </w:drawing>
          </mc:Choice>
          <mc:Fallback>
            <w:pict>
              <v:shapetype w14:anchorId="748CF1B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67.55pt;margin-top:-13.9pt;width:84.05pt;height:48.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">
                <v:imagedata r:id="rId56"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59264" behindDoc="0" locked="0" layoutInCell="1" allowOverlap="1" wp14:anchorId="5AE828B9" wp14:editId="06FCCB64">
                <wp:simplePos x="0" y="0"/>
                <wp:positionH relativeFrom="column">
                  <wp:posOffset>900660</wp:posOffset>
                </wp:positionH>
                <wp:positionV relativeFrom="paragraph">
                  <wp:posOffset>47295</wp:posOffset>
                </wp:positionV>
                <wp:extent cx="3960" cy="360"/>
                <wp:effectExtent l="57150" t="38100" r="53340" b="57150"/>
                <wp:wrapNone/>
                <wp:docPr id="1" name="Ink 1"/>
                <wp:cNvGraphicFramePr/>
                <a:graphic xmlns:a="http://schemas.openxmlformats.org/drawingml/2006/main">
                  <a:graphicData uri="http://schemas.microsoft.com/office/word/2010/wordprocessingInk">
                    <w14:contentPart bwMode="auto" r:id="rId57">
                      <w14:nvContentPartPr>
                        <w14:cNvContentPartPr/>
                      </w14:nvContentPartPr>
                      <w14:xfrm>
                        <a:off x="0" y="0"/>
                        <a:ext cx="3960" cy="360"/>
                      </w14:xfrm>
                    </w14:contentPart>
                  </a:graphicData>
                </a:graphic>
              </wp:anchor>
            </w:drawing>
          </mc:Choice>
          <mc:Fallback>
            <w:pict>
              <v:shape w14:anchorId="255C951D" id="Ink 1" o:spid="_x0000_s1026" type="#_x0000_t75" style="position:absolute;margin-left:70.2pt;margin-top:3pt;width:1.7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">
                <v:imagedata r:id="rId58" o:title=""/>
              </v:shape>
            </w:pict>
          </mc:Fallback>
        </mc:AlternateContent>
      </w:r>
      <w:r w:rsidR="0085788F" w:rsidRPr="00556E70">
        <w:rPr>
          <w:rStyle w:val="normaltextrun"/>
          <w:rFonts w:ascii="Arial" w:eastAsia="Arial" w:hAnsi="Arial" w:cs="Arial"/>
          <w:sz w:val="24"/>
          <w:szCs w:val="24"/>
        </w:rPr>
        <w:t>Signed:  _ _ _ _ _ _ _ _ _ _ _ _ _ _ _ (Learner – electronic signature accepted.) </w:t>
      </w:r>
    </w:p>
    <w:p w14:paraId="65A7E303" w14:textId="77777777" w:rsidR="0085788F" w:rsidRPr="00556E70" w:rsidRDefault="0085788F" w:rsidP="0085788F">
      <w:pPr>
        <w:spacing w:beforeAutospacing="1" w:afterAutospacing="1"/>
        <w:jc w:val="both"/>
        <w:rPr>
          <w:rFonts w:eastAsia="Arial"/>
          <w:sz w:val="24"/>
          <w:szCs w:val="24"/>
        </w:rPr>
      </w:pPr>
      <w:r w:rsidRPr="00556E70">
        <w:rPr>
          <w:rStyle w:val="eop"/>
          <w:rFonts w:ascii="Arial" w:eastAsia="Arial" w:hAnsi="Arial" w:cs="Arial"/>
          <w:sz w:val="24"/>
          <w:szCs w:val="24"/>
        </w:rPr>
        <w:t> </w:t>
      </w:r>
    </w:p>
    <w:p w14:paraId="74BCD4DC" w14:textId="445229A6" w:rsidR="0085788F" w:rsidRPr="00556E70" w:rsidRDefault="0085788F" w:rsidP="0085788F">
      <w:pPr>
        <w:spacing w:beforeAutospacing="1" w:afterAutospacing="1"/>
        <w:jc w:val="both"/>
        <w:rPr>
          <w:rFonts w:eastAsia="Arial"/>
          <w:sz w:val="24"/>
          <w:szCs w:val="24"/>
        </w:rPr>
      </w:pPr>
      <w:r w:rsidRPr="00556E70">
        <w:rPr>
          <w:rStyle w:val="normaltextrun"/>
          <w:rFonts w:ascii="Arial" w:eastAsia="Arial" w:hAnsi="Arial" w:cs="Arial"/>
          <w:sz w:val="24"/>
          <w:szCs w:val="24"/>
        </w:rPr>
        <w:t xml:space="preserve">Date: _ _ </w:t>
      </w:r>
      <w:r w:rsidR="00FF2444">
        <w:rPr>
          <w:rStyle w:val="normaltextrun"/>
          <w:rFonts w:ascii="Arial" w:eastAsia="Arial" w:hAnsi="Arial" w:cs="Arial"/>
          <w:sz w:val="24"/>
          <w:szCs w:val="24"/>
        </w:rPr>
        <w:t>21/02/22</w:t>
      </w:r>
      <w:bookmarkStart w:id="0" w:name="_GoBack"/>
      <w:bookmarkEnd w:id="0"/>
      <w:r w:rsidRPr="00556E70">
        <w:rPr>
          <w:rStyle w:val="normaltextrun"/>
          <w:rFonts w:ascii="Arial" w:eastAsia="Arial" w:hAnsi="Arial" w:cs="Arial"/>
          <w:sz w:val="24"/>
          <w:szCs w:val="24"/>
        </w:rPr>
        <w:t>_ _ _ _ _ _ _ _ </w:t>
      </w:r>
    </w:p>
    <w:p w14:paraId="0F357E4F" w14:textId="77777777" w:rsidR="00775E5F" w:rsidRPr="00556E70" w:rsidRDefault="00775E5F" w:rsidP="003110EC"/>
    <w:p w14:paraId="1FFD1A1D" w14:textId="77777777" w:rsidR="003110EC" w:rsidRPr="00556E70" w:rsidRDefault="003110EC" w:rsidP="003110EC"/>
    <w:p w14:paraId="4BDF9A42" w14:textId="77777777" w:rsidR="003110EC" w:rsidRPr="00556E70" w:rsidRDefault="003110EC" w:rsidP="003110EC"/>
    <w:p w14:paraId="5C2DBA01" w14:textId="77777777" w:rsidR="003110EC" w:rsidRPr="00556E70" w:rsidRDefault="003110EC" w:rsidP="003110EC"/>
    <w:p w14:paraId="6145A502" w14:textId="77777777" w:rsidR="003110EC" w:rsidRPr="00556E70" w:rsidRDefault="003110EC" w:rsidP="003110EC"/>
    <w:p w14:paraId="47D8261A" w14:textId="77777777" w:rsidR="003110EC" w:rsidRPr="00556E70" w:rsidRDefault="003110EC" w:rsidP="003110EC"/>
    <w:p w14:paraId="4A3A8E42" w14:textId="77777777" w:rsidR="003110EC" w:rsidRPr="00556E70" w:rsidRDefault="003110EC" w:rsidP="003110EC"/>
    <w:p w14:paraId="1850F389" w14:textId="77777777" w:rsidR="003110EC" w:rsidRPr="00556E70" w:rsidRDefault="003110EC" w:rsidP="00D67926"/>
    <w:p w14:paraId="5F6619AB" w14:textId="77777777" w:rsidR="00D67926" w:rsidRPr="00556E70" w:rsidRDefault="00D67926"/>
    <w:p w14:paraId="12EC8FE7" w14:textId="04B3E701" w:rsidR="00B85730" w:rsidRPr="00556E70" w:rsidRDefault="00B85730">
      <w:pPr>
        <w:rPr>
          <w:i/>
          <w:iCs/>
        </w:rPr>
      </w:pPr>
    </w:p>
    <w:p w14:paraId="70944B7E" w14:textId="77777777" w:rsidR="0066383D" w:rsidRPr="00556E70" w:rsidRDefault="0066383D"/>
    <w:p w14:paraId="306CB5AD" w14:textId="77777777" w:rsidR="006A5F89" w:rsidRPr="00556E70" w:rsidRDefault="006A5F89"/>
    <w:p w14:paraId="393649DA" w14:textId="77777777" w:rsidR="00912C60" w:rsidRPr="00556E70" w:rsidRDefault="00912C60"/>
    <w:p w14:paraId="21795942" w14:textId="77777777" w:rsidR="00664265" w:rsidRDefault="00664265"/>
    <w:sectPr w:rsidR="006642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0EC0F2" w14:textId="77777777" w:rsidR="00F55539" w:rsidRDefault="00F55539" w:rsidP="00F02279">
      <w:pPr>
        <w:spacing w:after="0" w:line="240" w:lineRule="auto"/>
      </w:pPr>
      <w:r>
        <w:separator/>
      </w:r>
    </w:p>
  </w:endnote>
  <w:endnote w:type="continuationSeparator" w:id="0">
    <w:p w14:paraId="23591EA4" w14:textId="77777777" w:rsidR="00F55539" w:rsidRDefault="00F55539" w:rsidP="00F022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106863" w14:textId="77777777" w:rsidR="00F55539" w:rsidRDefault="00F55539" w:rsidP="00F02279">
      <w:pPr>
        <w:spacing w:after="0" w:line="240" w:lineRule="auto"/>
      </w:pPr>
      <w:r>
        <w:separator/>
      </w:r>
    </w:p>
  </w:footnote>
  <w:footnote w:type="continuationSeparator" w:id="0">
    <w:p w14:paraId="471DAB31" w14:textId="77777777" w:rsidR="00F55539" w:rsidRDefault="00F55539" w:rsidP="00F02279">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RnEb28u/SDQE/C" id="B5zOtxiy"/>
    <int:WordHash hashCode="itfSHHGwSbcAO6" id="FfjRZSYR"/>
    <int:WordHash hashCode="SradH0SdDJdch8" id="8sRv9Nsn"/>
    <int:WordHash hashCode="s+qqYjIg+yeofb" id="zaWE6Rkg"/>
    <int:WordHash hashCode="yuuQmuT/TuJaD/" id="2RC8bcRT"/>
    <int:WordHash hashCode="9kIXkgYRKD6AfN" id="0TZQP7av"/>
    <int:WordHash hashCode="yJV07ijneSP6Sw" id="PtqAgLO6"/>
    <int:WordHash hashCode="VRyAVr/dM977IK" id="P0Uq39mD"/>
    <int:WordHash hashCode="BP722YIMEjO0Sh" id="iKn48rna"/>
    <int:WordHash hashCode="NV8o8sDDh63WIx" id="N0gchh96"/>
    <int:WordHash hashCode="DdKYGFB+0nSYZd" id="7opPulkd"/>
    <int:WordHash hashCode="m/D4/19di8v/ud" id="KjI9GD6Y"/>
    <int:WordHash hashCode="gRg+Ewpr1g5/o3" id="9S98sj14"/>
    <int:WordHash hashCode="Misg/15vGxeaYP" id="9q74l6ix"/>
    <int:WordHash hashCode="a7X/VNNYq0VXgz" id="TB7DZJRD"/>
    <int:WordHash hashCode="SobbH7/BcBfWkj" id="bKt1tsrx"/>
    <int:WordHash hashCode="GnfUFiJMu+d6Q5" id="n7kRhr4e"/>
    <int:WordHash hashCode="tNMsyySVbuW8nd" id="QWYgMAJ6"/>
    <int:WordHash hashCode="PnzlC+gY9xrDTS" id="xlTPmVIA"/>
    <int:WordHash hashCode="LQ+VAuKQnllMYe" id="atWrzmKs"/>
    <int:WordHash hashCode="FOsU7OUt+ZwoS4" id="1N1sXZwk"/>
    <int:WordHash hashCode="oAHK+1eRuDNTAF" id="l5WmF8dB"/>
    <int:WordHash hashCode="3bPvKjIwSOetA5" id="SODW8NTX"/>
    <int:WordHash hashCode="6xX40Nbu8SUY24" id="5BYyl13v"/>
    <int:WordHash hashCode="clhCYNp6HEut6V" id="ooJvIdQr"/>
    <int:WordHash hashCode="ytxZgqQPGZY1Tw" id="rJvnT10r"/>
    <int:WordHash hashCode="TAdLpUiEZkVD65" id="Adj4qUpV"/>
    <int:WordHash hashCode="XfnPlw4VbdG38c" id="qgwPrJQT"/>
    <int:WordHash hashCode="BZyi4W2pF9ZK21" id="ACcLcLEj"/>
    <int:WordHash hashCode="feJDIIdb2hrH4c" id="4jJFk8uY"/>
    <int:WordHash hashCode="gX71lcN6DODmHx" id="xS2mb4kB"/>
    <int:WordHash hashCode="OGX+ntZt2pVUQX" id="PVilCV0e"/>
  </int:Manifest>
  <int:Observations>
    <int:Content id="B5zOtxiy">
      <int:Rejection type="AugLoop_Text_Critique"/>
    </int:Content>
    <int:Content id="FfjRZSYR">
      <int:Rejection type="AugLoop_Text_Critique"/>
    </int:Content>
    <int:Content id="8sRv9Nsn">
      <int:Rejection type="AugLoop_Text_Critique"/>
    </int:Content>
    <int:Content id="zaWE6Rkg">
      <int:Rejection type="AugLoop_Text_Critique"/>
    </int:Content>
    <int:Content id="2RC8bcRT">
      <int:Rejection type="AugLoop_Text_Critique"/>
    </int:Content>
    <int:Content id="0TZQP7av">
      <int:Rejection type="AugLoop_Text_Critique"/>
    </int:Content>
    <int:Content id="PtqAgLO6">
      <int:Rejection type="AugLoop_Text_Critique"/>
    </int:Content>
    <int:Content id="P0Uq39mD">
      <int:Rejection type="AugLoop_Text_Critique"/>
    </int:Content>
    <int:Content id="iKn48rna">
      <int:Rejection type="AugLoop_Text_Critique"/>
    </int:Content>
    <int:Content id="N0gchh96">
      <int:Rejection type="AugLoop_Text_Critique"/>
    </int:Content>
    <int:Content id="7opPulkd">
      <int:Rejection type="AugLoop_Text_Critique"/>
    </int:Content>
    <int:Content id="KjI9GD6Y">
      <int:Rejection type="AugLoop_Text_Critique"/>
    </int:Content>
    <int:Content id="9S98sj14">
      <int:Rejection type="AugLoop_Text_Critique"/>
    </int:Content>
    <int:Content id="9q74l6ix">
      <int:Rejection type="AugLoop_Text_Critique"/>
    </int:Content>
    <int:Content id="TB7DZJRD">
      <int:Rejection type="AugLoop_Text_Critique"/>
    </int:Content>
    <int:Content id="bKt1tsrx">
      <int:Rejection type="AugLoop_Text_Critique"/>
    </int:Content>
    <int:Content id="n7kRhr4e">
      <int:Rejection type="AugLoop_Text_Critique"/>
    </int:Content>
    <int:Content id="QWYgMAJ6">
      <int:Rejection type="AugLoop_Text_Critique"/>
    </int:Content>
    <int:Content id="xlTPmVIA">
      <int:Rejection type="AugLoop_Text_Critique"/>
    </int:Content>
    <int:Content id="atWrzmKs">
      <int:Rejection type="AugLoop_Text_Critique"/>
    </int:Content>
    <int:Content id="1N1sXZwk">
      <int:Rejection type="AugLoop_Text_Critique"/>
    </int:Content>
    <int:Content id="l5WmF8dB">
      <int:Rejection type="AugLoop_Text_Critique"/>
    </int:Content>
    <int:Content id="SODW8NTX">
      <int:Rejection type="AugLoop_Text_Critique"/>
    </int:Content>
    <int:Content id="5BYyl13v">
      <int:Rejection type="AugLoop_Text_Critique"/>
    </int:Content>
    <int:Content id="ooJvIdQr">
      <int:Rejection type="AugLoop_Text_Critique"/>
    </int:Content>
    <int:Content id="rJvnT10r">
      <int:Rejection type="AugLoop_Text_Critique"/>
    </int:Content>
    <int:Content id="Adj4qUpV">
      <int:Rejection type="AugLoop_Text_Critique"/>
    </int:Content>
    <int:Content id="qgwPrJQT">
      <int:Rejection type="AugLoop_Text_Critique"/>
    </int:Content>
    <int:Content id="ACcLcLEj">
      <int:Rejection type="AugLoop_Text_Critique"/>
    </int:Content>
    <int:Content id="4jJFk8uY">
      <int:Rejection type="LegacyProofing"/>
    </int:Content>
    <int:Content id="xS2mb4kB">
      <int:Rejection type="LegacyProofing"/>
    </int:Content>
    <int:Content id="PVilCV0e">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265"/>
    <w:rsid w:val="000B4503"/>
    <w:rsid w:val="000D6D1F"/>
    <w:rsid w:val="001526B1"/>
    <w:rsid w:val="00161F75"/>
    <w:rsid w:val="001F3279"/>
    <w:rsid w:val="00214CB3"/>
    <w:rsid w:val="003110EC"/>
    <w:rsid w:val="00316047"/>
    <w:rsid w:val="003D7326"/>
    <w:rsid w:val="004334BF"/>
    <w:rsid w:val="005110A5"/>
    <w:rsid w:val="00556E70"/>
    <w:rsid w:val="005A4F5E"/>
    <w:rsid w:val="005E163E"/>
    <w:rsid w:val="00606445"/>
    <w:rsid w:val="00625E9C"/>
    <w:rsid w:val="00652E0A"/>
    <w:rsid w:val="0066383D"/>
    <w:rsid w:val="00664265"/>
    <w:rsid w:val="006A5F89"/>
    <w:rsid w:val="007346B9"/>
    <w:rsid w:val="00775E5F"/>
    <w:rsid w:val="00777CB0"/>
    <w:rsid w:val="008072F0"/>
    <w:rsid w:val="0085788F"/>
    <w:rsid w:val="008A2C60"/>
    <w:rsid w:val="00912C60"/>
    <w:rsid w:val="00982745"/>
    <w:rsid w:val="0099C077"/>
    <w:rsid w:val="00A30C4D"/>
    <w:rsid w:val="00A5185B"/>
    <w:rsid w:val="00B33BDB"/>
    <w:rsid w:val="00B5440A"/>
    <w:rsid w:val="00B85730"/>
    <w:rsid w:val="00CE7202"/>
    <w:rsid w:val="00D67926"/>
    <w:rsid w:val="00D703D6"/>
    <w:rsid w:val="00E50D6A"/>
    <w:rsid w:val="00F02279"/>
    <w:rsid w:val="00F55539"/>
    <w:rsid w:val="00F870E5"/>
    <w:rsid w:val="00FC21EE"/>
    <w:rsid w:val="00FF2444"/>
    <w:rsid w:val="040B1C36"/>
    <w:rsid w:val="0BC81BB1"/>
    <w:rsid w:val="0F42C5B6"/>
    <w:rsid w:val="0F587357"/>
    <w:rsid w:val="0F753CB9"/>
    <w:rsid w:val="102F4F47"/>
    <w:rsid w:val="124BF20B"/>
    <w:rsid w:val="167E78FD"/>
    <w:rsid w:val="171F632E"/>
    <w:rsid w:val="172DD0E6"/>
    <w:rsid w:val="18C9A147"/>
    <w:rsid w:val="1B1827CC"/>
    <w:rsid w:val="1E584489"/>
    <w:rsid w:val="1E7F3CE7"/>
    <w:rsid w:val="1F38E2CB"/>
    <w:rsid w:val="1F41999F"/>
    <w:rsid w:val="1F4F48A1"/>
    <w:rsid w:val="20EB1902"/>
    <w:rsid w:val="21C19972"/>
    <w:rsid w:val="2245E8A0"/>
    <w:rsid w:val="226B4C31"/>
    <w:rsid w:val="23849BB7"/>
    <w:rsid w:val="245DA861"/>
    <w:rsid w:val="24ACE79A"/>
    <w:rsid w:val="24C6AE7D"/>
    <w:rsid w:val="257FBA54"/>
    <w:rsid w:val="25844CE0"/>
    <w:rsid w:val="2673F71E"/>
    <w:rsid w:val="26B41D1D"/>
    <w:rsid w:val="285C4652"/>
    <w:rsid w:val="2897A6F4"/>
    <w:rsid w:val="2924892F"/>
    <w:rsid w:val="2B588A0D"/>
    <w:rsid w:val="2CE392B1"/>
    <w:rsid w:val="2D71A3DC"/>
    <w:rsid w:val="312F9B14"/>
    <w:rsid w:val="34EEA496"/>
    <w:rsid w:val="34FD124E"/>
    <w:rsid w:val="35A7BB05"/>
    <w:rsid w:val="373E2E91"/>
    <w:rsid w:val="38D9FEF2"/>
    <w:rsid w:val="38DF5BC7"/>
    <w:rsid w:val="3989C715"/>
    <w:rsid w:val="3A298256"/>
    <w:rsid w:val="3A7B2C28"/>
    <w:rsid w:val="3A88D2AF"/>
    <w:rsid w:val="3AD67D5A"/>
    <w:rsid w:val="3B3819DD"/>
    <w:rsid w:val="3B513ECA"/>
    <w:rsid w:val="3B5DE61A"/>
    <w:rsid w:val="3E9D7462"/>
    <w:rsid w:val="3F5E4F23"/>
    <w:rsid w:val="42A4F5AB"/>
    <w:rsid w:val="44854D26"/>
    <w:rsid w:val="45792549"/>
    <w:rsid w:val="45FB8B43"/>
    <w:rsid w:val="46A88647"/>
    <w:rsid w:val="46F3CA97"/>
    <w:rsid w:val="47BCEDE8"/>
    <w:rsid w:val="4817B04B"/>
    <w:rsid w:val="4852C460"/>
    <w:rsid w:val="4B8A6522"/>
    <w:rsid w:val="4D8897E4"/>
    <w:rsid w:val="5212F163"/>
    <w:rsid w:val="5411C4DE"/>
    <w:rsid w:val="54E9294B"/>
    <w:rsid w:val="55F244C7"/>
    <w:rsid w:val="56A48595"/>
    <w:rsid w:val="56AE9D2F"/>
    <w:rsid w:val="584A6D90"/>
    <w:rsid w:val="58ADAC48"/>
    <w:rsid w:val="595E708A"/>
    <w:rsid w:val="59E63DF1"/>
    <w:rsid w:val="59F42920"/>
    <w:rsid w:val="5A497CA9"/>
    <w:rsid w:val="5B7BA0DA"/>
    <w:rsid w:val="5CFAC6F5"/>
    <w:rsid w:val="5E1080B6"/>
    <w:rsid w:val="5FD752F3"/>
    <w:rsid w:val="603267B7"/>
    <w:rsid w:val="63C248A8"/>
    <w:rsid w:val="63F05EEF"/>
    <w:rsid w:val="651DD14C"/>
    <w:rsid w:val="658C2F50"/>
    <w:rsid w:val="66B9A1AD"/>
    <w:rsid w:val="6727FFB1"/>
    <w:rsid w:val="67964014"/>
    <w:rsid w:val="6939C092"/>
    <w:rsid w:val="69F1426F"/>
    <w:rsid w:val="6A044F41"/>
    <w:rsid w:val="6A140119"/>
    <w:rsid w:val="6A5FA073"/>
    <w:rsid w:val="6C69B137"/>
    <w:rsid w:val="6E71DBCB"/>
    <w:rsid w:val="6EB0F498"/>
    <w:rsid w:val="6EFF4AD6"/>
    <w:rsid w:val="6FA151F9"/>
    <w:rsid w:val="713D225A"/>
    <w:rsid w:val="72D8F2BB"/>
    <w:rsid w:val="72E76073"/>
    <w:rsid w:val="7445DBB2"/>
    <w:rsid w:val="745A2817"/>
    <w:rsid w:val="748330D4"/>
    <w:rsid w:val="75975519"/>
    <w:rsid w:val="7610937D"/>
    <w:rsid w:val="77AC63DE"/>
    <w:rsid w:val="781311C5"/>
    <w:rsid w:val="7948343F"/>
    <w:rsid w:val="7AE174EA"/>
    <w:rsid w:val="7B505ED3"/>
    <w:rsid w:val="7C03D014"/>
    <w:rsid w:val="7CDC9EAA"/>
    <w:rsid w:val="7D46F481"/>
    <w:rsid w:val="7E2CAE63"/>
    <w:rsid w:val="7EFDF015"/>
    <w:rsid w:val="7FC6084F"/>
    <w:rsid w:val="7FF12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1CF13C4"/>
  <w15:chartTrackingRefBased/>
  <w15:docId w15:val="{045624F2-F011-476A-8C84-EB082D915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5788F"/>
  </w:style>
  <w:style w:type="character" w:customStyle="1" w:styleId="eop">
    <w:name w:val="eop"/>
    <w:basedOn w:val="DefaultParagraphFont"/>
    <w:rsid w:val="0085788F"/>
  </w:style>
  <w:style w:type="character" w:styleId="Hyperlink">
    <w:name w:val="Hyperlink"/>
    <w:basedOn w:val="DefaultParagraphFont"/>
    <w:uiPriority w:val="99"/>
    <w:unhideWhenUsed/>
    <w:rsid w:val="00E50D6A"/>
    <w:rPr>
      <w:rFonts w:cs="Times New Roma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37278264" TargetMode="External"/><Relationship Id="rId18" Type="http://schemas.openxmlformats.org/officeDocument/2006/relationships/hyperlink" Target="https://www.college.police.uk/career-learning/learning/courses/core-skills-mobile-phone-forensics" TargetMode="External"/><Relationship Id="rId26" Type="http://schemas.openxmlformats.org/officeDocument/2006/relationships/hyperlink" Target="https://www.tandfonline.com/doi/citedby/10.1080/01425692.2017.1375401?scroll=top&amp;needAccess=true" TargetMode="External"/><Relationship Id="rId39" Type="http://schemas.openxmlformats.org/officeDocument/2006/relationships/hyperlink" Target="https://www.gov.uk/guidance/offending-behaviour-programmes-and-interventions" TargetMode="External"/><Relationship Id="rId21" Type="http://schemas.openxmlformats.org/officeDocument/2006/relationships/hyperlink" Target="https://search.informit.org/doi/10.3316/informit.294703203835422" TargetMode="External"/><Relationship Id="rId34" Type="http://schemas.openxmlformats.org/officeDocument/2006/relationships/hyperlink" Target="https://onlinelibrary.wiley.com/doi/abs/10.1046/j.1360-0443.2000.958123710.x" TargetMode="External"/><Relationship Id="rId42" Type="http://schemas.openxmlformats.org/officeDocument/2006/relationships/hyperlink" Target="https://swgfl.org.uk/magazine/revenge-porn-research-2019/" TargetMode="External"/><Relationship Id="rId47" Type="http://schemas.openxmlformats.org/officeDocument/2006/relationships/hyperlink" Target="https://safelives.org.uk/practice-support/resources-identifying-risk-victims-face" TargetMode="External"/><Relationship Id="rId50" Type="http://schemas.openxmlformats.org/officeDocument/2006/relationships/hyperlink" Target="https://link.springer.com/content/pdf/10.1007%2Fs12117-019-09368-5.pdf" TargetMode="External"/><Relationship Id="rId55" Type="http://schemas.openxmlformats.org/officeDocument/2006/relationships/customXml" Target="ink/ink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ollege.police.uk/ethics/code-of-ethics" TargetMode="External"/><Relationship Id="rId20" Type="http://schemas.openxmlformats.org/officeDocument/2006/relationships/hyperlink" Target="https://www.cps.gov.uk/legal-guidance/disclosure-manual-chapter-26-dealing-surveillance-authorisations" TargetMode="External"/><Relationship Id="rId29" Type="http://schemas.openxmlformats.org/officeDocument/2006/relationships/hyperlink" Target="https://www.gov.uk/government/publications/regulation-of-investigatory-powers-act-2000-ripa/regulation-of-investigatory-powers-act-2000-ripa" TargetMode="External"/><Relationship Id="rId41" Type="http://schemas.openxmlformats.org/officeDocument/2006/relationships/hyperlink" Target="https://www.ons.gov.uk/peoplepopulationandcommunity/culturalidentity/ethnicity/articles/whatdoesthe2011censustellusaboutthecharacteristicsofgypsyoririshtravellersinenglandandwales/2014-01-21" TargetMode="External"/><Relationship Id="rId54" Type="http://schemas.openxmlformats.org/officeDocument/2006/relationships/hyperlink" Target="https://gov.wales/registered-social-landlord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telligencewithsteve.com/post/the-5-minute-guide-to-the-intelligence-grading-process-and-its-application-in-osint" TargetMode="External"/><Relationship Id="rId24" Type="http://schemas.openxmlformats.org/officeDocument/2006/relationships/hyperlink" Target="https://explorehealthcareers.org/career/forensic-science/crime-scene-investigator/" TargetMode="External"/><Relationship Id="rId32" Type="http://schemas.openxmlformats.org/officeDocument/2006/relationships/hyperlink" Target="https://www.whatdotheyknow.com/request/104644/response/262430/attach/html/4/Tenancy%20Enforcement%20Officer%20JD.PDF.pdf.html" TargetMode="External"/><Relationship Id="rId37" Type="http://schemas.openxmlformats.org/officeDocument/2006/relationships/hyperlink" Target="https://www.merriam-webster.com/" TargetMode="External"/><Relationship Id="rId40" Type="http://schemas.openxmlformats.org/officeDocument/2006/relationships/hyperlink" Target="https://www.npcc.police.uk/FreedomofInformation/ANPR.aspx" TargetMode="External"/><Relationship Id="rId45" Type="http://schemas.openxmlformats.org/officeDocument/2006/relationships/hyperlink" Target="https://www.refuge.org.uk/our-work/forms-of-violence-and-abuse/domestic-violence/effects-of-domestic-violence-on-women/" TargetMode="External"/><Relationship Id="rId53" Type="http://schemas.openxmlformats.org/officeDocument/2006/relationships/hyperlink" Target="https://www.sciencedaily.com/releases/2012/01/120125151841.htm" TargetMode="External"/><Relationship Id="rId58"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citizensadvice.org.uk/law-and-courts/civil-rights/human-rights/when-can-a-public-authority-interfere-with-your-human-rights/" TargetMode="External"/><Relationship Id="rId23" Type="http://schemas.openxmlformats.org/officeDocument/2006/relationships/hyperlink" Target="https://johndabell.com/2018/08/05/models-of-reflection/" TargetMode="External"/><Relationship Id="rId28" Type="http://schemas.openxmlformats.org/officeDocument/2006/relationships/hyperlink" Target="https://www.gov.uk/government/news/code-of-ethics-launched" TargetMode="External"/><Relationship Id="rId36" Type="http://schemas.openxmlformats.org/officeDocument/2006/relationships/hyperlink" Target="https://medlineplus.gov/genetics/understanding/basics/dna/" TargetMode="External"/><Relationship Id="rId49" Type="http://schemas.openxmlformats.org/officeDocument/2006/relationships/hyperlink" Target="https://swgfl.org.uk/assets/documents/intimate-image-abuse-in-adults-and-under-18s.pdf" TargetMode="External"/><Relationship Id="rId57" Type="http://schemas.openxmlformats.org/officeDocument/2006/relationships/customXml" Target="ink/ink2.xml"/><Relationship Id="rId10" Type="http://schemas.openxmlformats.org/officeDocument/2006/relationships/hyperlink" Target="https://scholarworks.waldenu.edu/cgi/viewcontent.cgi?article=6234&amp;context=dissertations" TargetMode="External"/><Relationship Id="rId19" Type="http://schemas.openxmlformats.org/officeDocument/2006/relationships/hyperlink" Target="http://www.greymalkinconsulting.com/our-thinking/oorganisational-justice-in-policing" TargetMode="External"/><Relationship Id="rId31" Type="http://schemas.openxmlformats.org/officeDocument/2006/relationships/hyperlink" Target="https://www.wise-geek.com/what-is-a-registered-social-landlord.htm" TargetMode="External"/><Relationship Id="rId44" Type="http://schemas.openxmlformats.org/officeDocument/2006/relationships/hyperlink" Target="https://www.ppic.org/blog/tailoring-domestic-violence-programs-to-reduce-recidivism/" TargetMode="External"/><Relationship Id="rId52" Type="http://schemas.openxmlformats.org/officeDocument/2006/relationships/hyperlink" Target="https://travellermovement.org.uk/gypsy-roma-and-traveller-history-and-culture/"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leathesprior.co.uk/news/social-media-new-and-emerging-crimes-that-are-being-committed-online" TargetMode="External"/><Relationship Id="rId22" Type="http://schemas.openxmlformats.org/officeDocument/2006/relationships/hyperlink" Target="https://www.cps.gov.uk/legal-guidance/trespass-and-nuisance-land" TargetMode="External"/><Relationship Id="rId27" Type="http://schemas.openxmlformats.org/officeDocument/2006/relationships/hyperlink" Target="https://www.sciencedirect.com/science/article/abs/pii/S0145213408001348" TargetMode="External"/><Relationship Id="rId30" Type="http://schemas.openxmlformats.org/officeDocument/2006/relationships/hyperlink" Target="https://www.legislation.gov.uk/ukpga/2015/2/section/33/enacted" TargetMode="External"/><Relationship Id="rId35" Type="http://schemas.openxmlformats.org/officeDocument/2006/relationships/hyperlink" Target="https://www.cybercivilrights.org/wp-content/uploads/2017/06/CCRI-2017-Research-Report.pdf" TargetMode="External"/><Relationship Id="rId43" Type="http://schemas.openxmlformats.org/officeDocument/2006/relationships/hyperlink" Target="https://assets.publishing.service.gov.uk/government/uploads/system/uploads/attachment_data/file/862794/multi-agency_approach_to_serious_violence_prevention.pdf" TargetMode="External"/><Relationship Id="rId48" Type="http://schemas.openxmlformats.org/officeDocument/2006/relationships/hyperlink" Target="https://www.poynter.org/archive/2002/codes-of-ethics-why-writing-one-is-not-enough/" TargetMode="External"/><Relationship Id="rId56" Type="http://schemas.openxmlformats.org/officeDocument/2006/relationships/image" Target="media/image1.png"/><Relationship Id="Rda61a700ccac432d" Type="http://schemas.microsoft.com/office/2019/09/relationships/intelligence" Target="intelligence.xml"/><Relationship Id="rId8" Type="http://schemas.openxmlformats.org/officeDocument/2006/relationships/footnotes" Target="footnotes.xml"/><Relationship Id="rId51" Type="http://schemas.openxmlformats.org/officeDocument/2006/relationships/hyperlink" Target="https://www.therecoveryvillage.com/teen-addiction/drug/high-school-drug-use/" TargetMode="External"/><Relationship Id="rId3" Type="http://schemas.openxmlformats.org/officeDocument/2006/relationships/customXml" Target="../customXml/item3.xml"/><Relationship Id="rId12" Type="http://schemas.openxmlformats.org/officeDocument/2006/relationships/hyperlink" Target="https://books.google.co.uk/books?hl=en&amp;lr=&amp;id=ngvJpBZ60DwC&amp;oi=fnd&amp;pg=PP1&amp;dq=anti+social+behaviour+definition&amp;ots=0xfVVTyC8V&amp;sig=fdq7lHf4AXF2Ra91e53-o_SotTA" TargetMode="External"/><Relationship Id="rId17" Type="http://schemas.openxmlformats.org/officeDocument/2006/relationships/hyperlink" Target="https://whatworks.college.police.uk/toolkit/Pages/Intervention.aspx?InterventionID=52" TargetMode="External"/><Relationship Id="rId25" Type="http://schemas.openxmlformats.org/officeDocument/2006/relationships/hyperlink" Target="https://cpb-eu-w2.wpmucdn.com/blogs.city.ac.uk/dist/0/1994/files/2021/02/Reflective-writing-guide-for-MAAP-v3.pdf" TargetMode="External"/><Relationship Id="rId33" Type="http://schemas.openxmlformats.org/officeDocument/2006/relationships/hyperlink" Target="https://researchbriefings.files.parliament.uk/documents/CBP-9233/CBP-9233.pdf" TargetMode="External"/><Relationship Id="rId38" Type="http://schemas.openxmlformats.org/officeDocument/2006/relationships/hyperlink" Target="https://www.mindtools.com/pages/article/reflective-cycle.htm" TargetMode="External"/><Relationship Id="rId46" Type="http://schemas.openxmlformats.org/officeDocument/2006/relationships/hyperlink" Target="https://restorativejustice.org.uk/what-restorative-justice" TargetMode="External"/><Relationship Id="rId5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2-21T16:10:28.848"/>
    </inkml:context>
    <inkml:brush xml:id="br0">
      <inkml:brushProperty name="width" value="0.05" units="cm"/>
      <inkml:brushProperty name="height" value="0.05" units="cm"/>
      <inkml:brushProperty name="ignorePressure" value="1"/>
    </inkml:brush>
  </inkml:definitions>
  <inkml:trace contextRef="#ctx0" brushRef="#br0">0 782,'2'0,"0"-1,1 1,-1-1,0 1,0-1,0 0,0 0,0 0,0 0,0-1,0 1,0 0,0-1,-1 0,1 1,0-2,26-32,-20 25,22-34,-2-2,-2 0,-1-2,-3-1,-2-1,3-18,-17 48,0 1,1 0,2 1,-1 0,2 0,0 1,2 0,-1 1,2 0,13-12,9-6,27-22,-61 55,0 0,-1 1,1-1,0 1,-1-1,1 1,0-1,0 1,0-1,0 1,-1 0,1-1,0 1,0 0,0 0,0 0,0 0,0 0,0 0,0 0,-1 0,1 0,0 0,0 0,0 1,0-1,0 0,0 0,-1 1,1-1,0 1,0-1,0 1,-1-1,1 1,0 0,-1-1,1 1,0 0,-1-1,1 1,-1 0,1 0,-1-1,0 1,1 0,-1 0,0 0,1 0,-1 0,0 0,0 0,0-1,8 60,-7-54,1 36,-2 0,-2-1,-1 1,-3-1,-1 0,-2 0,-2-1,-1 0,-12 23,9-23,13-30,-1 0,0 0,-1-1,0 0,0 0,-1 0,0 0,-1-1,0 0,0 0,-1 0,-4 4,10-12,-1 0,1 1,0-1,0 0,0 1,-1-1,1 0,0 0,0 0,-1 0,1 0,0-1,0 1,0 0,-1 0,1-1,0 1,0-1,0 1,0-1,0 0,-1 1,1-1,1 0,-1 0,0 1,0-1,0 0,0 0,0 0,1 0,-1 0,1 0,-1-1,0 1,1-1,-29-51,24 41,4 10,0 0,1 1,-1-1,0 0,1 0,-1 1,1-1,0 0,-1 0,1 0,0 0,0 0,0 0,0 0,1 1,-1-1,0 0,1 0,0 0,-1 0,1 1,1-3,0 1,0 0,1 0,0 0,0 0,-1 0,2 0,-1 1,0 0,0-1,1 1,0 0,14-6,1 0,0 1,0 0,8 0,-12 3,56-15,-34 10,-1-1,0-2,0-1,-2-2,7-5,-27 9,-1 0,0-1,-1 0,0-1,-1 0,-1 0,0-2,-1 1,3-6,14-20,-17 25,1 1,1-1,0 2,1-1,1 2,0-1,0 2,1 0,1 0,0 2,13-7,3 0,-22 10,1 0,1 1,-1 0,1 1,0 0,0 0,0 1,0 1,10-1,-20 3,0 0,0 0,-1 0,1 1,0-1,0 0,0 0,-1 1,1-1,0 0,0 1,0-1,-1 1,1-1,0 1,-1-1,1 1,-1 0,1-1,-1 1,1 0,-1 0,1-1,-1 1,1 0,-1 0,0-1,0 1,1 0,-1 0,0 0,0 0,0 0,0-1,0 1,0 0,0 0,0 0,0 0,0-1,-1 1,1 0,0 0,-1 0,1 0,0 0,-20 49,13-36,-30 90,4 1,4 1,5 2,24-107,-13 60,2 0,3 1,0 41,8-70,-2 0,-2 0,-1 0,-1-1,-2 0,-1 0,-1 0,-5 6,10-27,-1-1,-1 1,0-1,0 0,-1-1,0 1,0-2,-1 1,-1-1,-6 5,8-8,0 1,-1-1,1 0,-1-1,0 0,0 0,0-1,-1 0,1-1,-1 0,0 0,1-1,-6 0,12-1,1-1,0 1,0 0,0 0,0-1,0 0,-1 1,1-1,0 0,0 0,0 0,1 0,-1 0,0 0,0-1,1 1,-1-1,0 1,1-1,-2-1,1-1,0 0,0 0,0 0,0 0,0 0,1-1,0 1,0 0,0-1,0-1,0-7,0-1,1 0,1 0,0 0,1 1,1-9,6-7,0 1,2-1,1 2,1-1,1 2,1 0,2 1,1-1,47-58,46-44,-104 121,52-58,37-30,-68 71,1 1,1 1,1 1,31-15,36-19,77-59,-19 11,-140 94,-1-1,0-1,-1 0,0-1,0-1,-1 0,-1 0,4-7,-16 19,0 1,0-1,1 1,-1-1,0 1,0 0,1-1,-1 1,0-1,1 1,-1-1,0 1,1 0,-1-1,0 1,1 0,-1-1,1 1,-1 0,1 0,-1-1,1 1,-1 0,0 0,1 0,0 0,-1 0,1 0,-1 0,1 0,-1 0,1 0,3 15,-7 33,-38 132,1-10,-20 158,-12 296,72-621,0 1,-1-1,0 0,1 0,-1 1,0-1,-1 0,1 0,-1 0,1 0,-1 0,0-1,0 1,0 0,0-1,0 0,-1 1,1-1,-1 0,1 0,-1 0,-2 0,4-1,-1 0,1-1,-1 1,1-1,0 0,-1 1,1-1,-1 0,1 0,-1 0,1 0,-1 0,1 0,-1-1,1 1,-1 0,1-1,0 1,-1-1,0 0,0 0,0-1,0 0,0 1,0-1,1 0,-1 0,0 0,1 0,0 0,-1 0,1 0,0-1,0 1,0 0,0-1,1 0,-17-57,3-1,2 0,3-1,3 0,3-1,2 1,7-56,-3 90,2 1,0-1,2 1,2-3,-5 18,0 1,0 1,1-1,1 1,0 0,0 0,1 0,0 1,0 0,1 0,2 0,-6 5,1 1,-1 0,1 0,0 0,0 1,0 0,0 0,0 0,1 0,-1 1,1 0,-1 0,1 1,-1-1,1 1,-1 0,1 1,-1-1,1 1,-1 0,1 1,-1-1,0 1,3 1,14 7,0 1,0 1,-1 1,0 1,0 2,38 23,-48-34,0 0,0-1,1 0,-1-1,1 0,0-1,0 0,0-1,0 0,0-1,0 0,0-1,0 0,0-1,0 0,-1-1,1-1,-1 0,0 0,0-1,0 0,0-1,-1-1,0 1,2-3,-2 1,0 2,0-1,0 1,1 1,0 0,0 0,0 1,1 1,-1 0,1 0,0 1,6 0,24-1,0 2,41 5,1 0,-46-5,-23 0,0 1,0 0,0 1,0 0,6 3,-17-3,0 0,0 0,0 1,-1-1,1 1,-1 0,1 0,-1 0,0 0,0 1,1-1,-2 1,1 0,0 0,-1 0,1 0,-1 1,0-1,0 0,0 1,-1 0,1 1,5 18,-1 0,-1 0,-1 1,-2 0,1 16,6 50,-6-71,33 246,-33-219,-1-1,-3 0,-2 1,-7 40,8-73,0 0,-1-1,-1 1,0-1,0 0,-1 0,-1 0,0 0,-1-1,0 0,0-1,-1 0,-1 0,-5 5,13-14,0 0,-1 0,1 0,0 0,-1 0,1 0,0 0,-1-1,1 1,-1-1,1 1,-1-1,1 1,-1-1,0 0,1 0,-1 0,1 0,-1 0,0 0,1 0,-1-1,1 1,-1 0,1-1,-1 1,1-1,-1 0,1 1,0-1,-1 0,1 0,-1 0,-1-2,0 0,1-1,-1 1,0-1,1 1,0-1,0 0,0 0,0 0,1 0,-1-2,-7-26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2-21T16:10:15.510"/>
    </inkml:context>
    <inkml:brush xml:id="br0">
      <inkml:brushProperty name="width" value="0.05" units="cm"/>
      <inkml:brushProperty name="height" value="0.05" units="cm"/>
      <inkml:brushProperty name="ignorePressure" value="1"/>
    </inkml:brush>
  </inkml:definitions>
  <inkml:trace contextRef="#ctx0" brushRef="#br0">11 0,'-4'0,"-2"0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4B216291E3C554C92ACB0A1B4C09425" ma:contentTypeVersion="10" ma:contentTypeDescription="Create a new document." ma:contentTypeScope="" ma:versionID="1938fc86925b85e68e20615f13c69184">
  <xsd:schema xmlns:xsd="http://www.w3.org/2001/XMLSchema" xmlns:xs="http://www.w3.org/2001/XMLSchema" xmlns:p="http://schemas.microsoft.com/office/2006/metadata/properties" xmlns:ns3="f530b0c7-8a59-403c-bdc6-fece6fadc3bb" targetNamespace="http://schemas.microsoft.com/office/2006/metadata/properties" ma:root="true" ma:fieldsID="0af3bc8106f66ff29ca575470dcd6a31" ns3:_="">
    <xsd:import namespace="f530b0c7-8a59-403c-bdc6-fece6fadc3b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30b0c7-8a59-403c-bdc6-fece6fadc3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F46D20-628E-494D-A36E-98D1C11418AE}">
  <ds:schemaRefs>
    <ds:schemaRef ds:uri="http://schemas.microsoft.com/sharepoint/v3/contenttype/forms"/>
  </ds:schemaRefs>
</ds:datastoreItem>
</file>

<file path=customXml/itemProps2.xml><?xml version="1.0" encoding="utf-8"?>
<ds:datastoreItem xmlns:ds="http://schemas.openxmlformats.org/officeDocument/2006/customXml" ds:itemID="{426E9257-00B2-4473-AD45-B44A60AD4C0D}">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530b0c7-8a59-403c-bdc6-fece6fadc3bb"/>
    <ds:schemaRef ds:uri="http://www.w3.org/XML/1998/namespace"/>
    <ds:schemaRef ds:uri="http://purl.org/dc/dcmitype/"/>
  </ds:schemaRefs>
</ds:datastoreItem>
</file>

<file path=customXml/itemProps3.xml><?xml version="1.0" encoding="utf-8"?>
<ds:datastoreItem xmlns:ds="http://schemas.openxmlformats.org/officeDocument/2006/customXml" ds:itemID="{0A6E7133-665E-46B7-B324-D1922287A1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30b0c7-8a59-403c-bdc6-fece6fadc3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22463DC-4D5E-4558-9EFB-477508E56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8953</Words>
  <Characters>51035</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 Andrew</dc:creator>
  <cp:keywords/>
  <dc:description/>
  <cp:lastModifiedBy>Gay, Andrew</cp:lastModifiedBy>
  <cp:revision>2</cp:revision>
  <dcterms:created xsi:type="dcterms:W3CDTF">2022-02-21T16:11:00Z</dcterms:created>
  <dcterms:modified xsi:type="dcterms:W3CDTF">2022-02-21T16:11:00Z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2022-01-10T14:49:48Z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4964440d-01ce-4ea4-8f2f-1df495754f42</vt:lpwstr>
  </property>
  <property fmtid="{D5CDD505-2E9C-101B-9397-08002B2CF9AE}" pid="8" name="MSIP_Label_f2acd28b-79a3-4a0f-b0ff-4b75658b1549_ContentBits">
    <vt:lpwstr>0</vt:lpwstr>
  </property>
  <property fmtid="{D5CDD505-2E9C-101B-9397-08002B2CF9AE}" pid="9" name="ContentTypeId">
    <vt:lpwstr>0x010100C4B216291E3C554C92ACB0A1B4C09425</vt:lpwstr>
  </property>
</Properties>
</file>