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B56166E" wp14:paraId="71FB5E88" wp14:textId="6AC1DE7B">
      <w:pPr>
        <w:spacing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6B56166E" w:rsidR="00B35F7F">
        <w:rPr>
          <w:rFonts w:ascii="Aptos" w:hAnsi="Aptos" w:eastAsia="Aptos" w:cs="Aptos"/>
          <w:b w:val="0"/>
          <w:bCs w:val="0"/>
          <w:i w:val="0"/>
          <w:iCs w:val="0"/>
          <w:caps w:val="0"/>
          <w:smallCaps w:val="0"/>
          <w:noProof w:val="0"/>
          <w:color w:val="000000" w:themeColor="text1" w:themeTint="FF" w:themeShade="FF"/>
          <w:sz w:val="24"/>
          <w:szCs w:val="24"/>
          <w:lang w:val="en-GB"/>
        </w:rPr>
        <w:t>I acknowledge the use of Grammarly (</w:t>
      </w:r>
      <w:hyperlink r:id="R7e569ccb0b18476a">
        <w:r w:rsidRPr="6B56166E" w:rsidR="00B35F7F">
          <w:rPr>
            <w:rStyle w:val="Hyperlink"/>
            <w:b w:val="0"/>
            <w:bCs w:val="0"/>
            <w:i w:val="0"/>
            <w:iCs w:val="0"/>
            <w:caps w:val="0"/>
            <w:smallCaps w:val="0"/>
            <w:strike w:val="0"/>
            <w:dstrike w:val="0"/>
            <w:noProof w:val="0"/>
            <w:lang w:val="en-GB"/>
          </w:rPr>
          <w:t>https://www.grammarly.com/</w:t>
        </w:r>
      </w:hyperlink>
      <w:r w:rsidRPr="6B56166E" w:rsidR="00B35F7F">
        <w:rPr>
          <w:rFonts w:ascii="Aptos" w:hAnsi="Aptos" w:eastAsia="Aptos" w:cs="Aptos"/>
          <w:b w:val="0"/>
          <w:bCs w:val="0"/>
          <w:i w:val="0"/>
          <w:iCs w:val="0"/>
          <w:caps w:val="0"/>
          <w:smallCaps w:val="0"/>
          <w:noProof w:val="0"/>
          <w:color w:val="000000" w:themeColor="text1" w:themeTint="FF" w:themeShade="FF"/>
          <w:sz w:val="24"/>
          <w:szCs w:val="24"/>
          <w:lang w:val="en-GB"/>
        </w:rPr>
        <w:t>) on 19</w:t>
      </w:r>
      <w:r w:rsidRPr="6B56166E" w:rsidR="00B35F7F">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6B56166E" w:rsidR="00B35F7F">
        <w:rPr>
          <w:rFonts w:ascii="Aptos" w:hAnsi="Aptos" w:eastAsia="Aptos" w:cs="Aptos"/>
          <w:b w:val="0"/>
          <w:bCs w:val="0"/>
          <w:i w:val="0"/>
          <w:iCs w:val="0"/>
          <w:caps w:val="0"/>
          <w:smallCaps w:val="0"/>
          <w:noProof w:val="0"/>
          <w:color w:val="000000" w:themeColor="text1" w:themeTint="FF" w:themeShade="FF"/>
          <w:sz w:val="24"/>
          <w:szCs w:val="24"/>
          <w:lang w:val="en-GB"/>
        </w:rPr>
        <w:t xml:space="preserve"> and 25</w:t>
      </w:r>
      <w:r w:rsidRPr="6B56166E" w:rsidR="00B35F7F">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6B56166E" w:rsidR="00B35F7F">
        <w:rPr>
          <w:rFonts w:ascii="Aptos" w:hAnsi="Aptos" w:eastAsia="Aptos" w:cs="Aptos"/>
          <w:b w:val="0"/>
          <w:bCs w:val="0"/>
          <w:i w:val="0"/>
          <w:iCs w:val="0"/>
          <w:caps w:val="0"/>
          <w:smallCaps w:val="0"/>
          <w:noProof w:val="0"/>
          <w:color w:val="000000" w:themeColor="text1" w:themeTint="FF" w:themeShade="FF"/>
          <w:sz w:val="24"/>
          <w:szCs w:val="24"/>
          <w:lang w:val="en-GB"/>
        </w:rPr>
        <w:t xml:space="preserve"> 2026 to check my work using the prompt(s):</w:t>
      </w:r>
      <w:r>
        <w:br/>
      </w:r>
      <w:r w:rsidRPr="6B56166E" w:rsidR="00B35F7F">
        <w:rPr>
          <w:rFonts w:ascii="Aptos" w:hAnsi="Aptos" w:eastAsia="Aptos" w:cs="Aptos"/>
          <w:b w:val="0"/>
          <w:bCs w:val="0"/>
          <w:i w:val="0"/>
          <w:iCs w:val="0"/>
          <w:caps w:val="0"/>
          <w:smallCaps w:val="0"/>
          <w:noProof w:val="0"/>
          <w:color w:val="000000" w:themeColor="text1" w:themeTint="FF" w:themeShade="FF"/>
          <w:sz w:val="24"/>
          <w:szCs w:val="24"/>
          <w:lang w:val="en-GB"/>
        </w:rPr>
        <w:t>1. Please check this for spelling and grammatical mistakes.</w:t>
      </w:r>
      <w:r>
        <w:br/>
      </w:r>
      <w:r w:rsidRPr="6B56166E" w:rsidR="00B35F7F">
        <w:rPr>
          <w:rFonts w:ascii="Aptos" w:hAnsi="Aptos" w:eastAsia="Aptos" w:cs="Aptos"/>
          <w:b w:val="0"/>
          <w:bCs w:val="0"/>
          <w:i w:val="0"/>
          <w:iCs w:val="0"/>
          <w:caps w:val="0"/>
          <w:smallCaps w:val="0"/>
          <w:noProof w:val="0"/>
          <w:color w:val="000000" w:themeColor="text1" w:themeTint="FF" w:themeShade="FF"/>
          <w:sz w:val="24"/>
          <w:szCs w:val="24"/>
          <w:lang w:val="en-GB"/>
        </w:rPr>
        <w:t>I confirm that I have not presented any AI generated text as my own work. I confirm I have copies of my drafts, notes, and other resources I used before, and after the use of AI tools which I may be asked to provide in evidence.</w:t>
      </w:r>
    </w:p>
    <w:p xmlns:wp14="http://schemas.microsoft.com/office/word/2010/wordml" w:rsidP="6B56166E" wp14:paraId="0F8C5048" wp14:textId="5FAAAAAD">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br/>
      </w:r>
      <w:r>
        <w:br/>
      </w:r>
      <w:r w:rsidRPr="6B56166E" w:rsidR="00B35F7F">
        <w:rPr>
          <w:rFonts w:ascii="Aptos Display" w:hAnsi="Aptos Display" w:eastAsia="Aptos Display" w:cs="Aptos Display"/>
          <w:b w:val="1"/>
          <w:bCs w:val="1"/>
          <w:i w:val="0"/>
          <w:iCs w:val="0"/>
          <w:caps w:val="0"/>
          <w:smallCaps w:val="0"/>
          <w:noProof w:val="0"/>
          <w:color w:val="000000" w:themeColor="text1" w:themeTint="FF" w:themeShade="FF"/>
          <w:sz w:val="24"/>
          <w:szCs w:val="24"/>
          <w:lang w:val="en-GB"/>
        </w:rPr>
        <w:t xml:space="preserve"> Children's Dental Health, Wellbeing and Early Years Practice</w:t>
      </w:r>
    </w:p>
    <w:p xmlns:wp14="http://schemas.microsoft.com/office/word/2010/wordml" w:rsidP="6B56166E" wp14:paraId="248FAC90" wp14:textId="66382E5C">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24"/>
          <w:szCs w:val="24"/>
          <w:lang w:val="en-GB"/>
        </w:rPr>
      </w:pPr>
      <w:r w:rsidRPr="6B56166E" w:rsidR="00B35F7F">
        <w:rPr>
          <w:rFonts w:ascii="Aptos Display" w:hAnsi="Aptos Display" w:eastAsia="Aptos Display" w:cs="Aptos Display"/>
          <w:b w:val="1"/>
          <w:bCs w:val="1"/>
          <w:i w:val="0"/>
          <w:iCs w:val="0"/>
          <w:caps w:val="0"/>
          <w:smallCaps w:val="0"/>
          <w:noProof w:val="0"/>
          <w:color w:val="0F4761" w:themeColor="accent1" w:themeTint="FF" w:themeShade="BF"/>
          <w:sz w:val="24"/>
          <w:szCs w:val="24"/>
          <w:lang w:val="en-GB"/>
        </w:rPr>
        <w:t>Slide 1 – Introduction</w:t>
      </w:r>
    </w:p>
    <w:p xmlns:wp14="http://schemas.microsoft.com/office/word/2010/wordml" w:rsidP="6B56166E" wp14:paraId="6E845777" wp14:textId="0E9871CB">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Morning.</w:t>
      </w:r>
    </w:p>
    <w:p xmlns:wp14="http://schemas.microsoft.com/office/word/2010/wordml" w:rsidP="6B56166E" wp14:paraId="5041ECC7" wp14:textId="733463FE">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Will be critically exploring children's dental health plus its significance to health, wellbeing and development within the early years.</w:t>
      </w:r>
    </w:p>
    <w:p xmlns:wp14="http://schemas.microsoft.com/office/word/2010/wordml" w:rsidP="6B56166E" wp14:paraId="18FA618F" wp14:textId="54C1BB8D">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Oral health: The ability to eat, speak and socialise without pain, discomfort or disease. However, oral health extends far beyond simply having healthy teeth. Very important component of children's physical, emotional and social wellbeing and has direct relevance to early years practitioners. </w:t>
      </w:r>
      <w:r>
        <w:br/>
      </w: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(World Health Organisation, 2026). </w:t>
      </w:r>
      <w:hyperlink r:id="R0d36601ef9384d60">
        <w:r w:rsidRPr="6B56166E" w:rsidR="00B35F7F">
          <w:rPr>
            <w:rStyle w:val="Hyperlink"/>
            <w:b w:val="0"/>
            <w:bCs w:val="0"/>
            <w:i w:val="0"/>
            <w:iCs w:val="0"/>
            <w:caps w:val="0"/>
            <w:smallCaps w:val="0"/>
            <w:strike w:val="0"/>
            <w:dstrike w:val="0"/>
            <w:noProof w:val="0"/>
            <w:lang w:val="en-GB"/>
          </w:rPr>
          <w:t>https://www.who.int/health-topics/oral-health#tab=tab_1</w:t>
        </w:r>
      </w:hyperlink>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6B56166E" wp14:paraId="7A61B6D3" wp14:textId="70D1E176">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Childhood is a critical period where lifelong health behaviours are established. Habits developed during the early years will often continue on into adulthood. Therefore, practitioners have an obligation to promote positive oral health behaviours that will contribute to long-term health outcomes.</w:t>
      </w:r>
    </w:p>
    <w:p xmlns:wp14="http://schemas.microsoft.com/office/word/2010/wordml" w:rsidP="6B56166E" wp14:paraId="0F58CE04" wp14:textId="4ACFA95D">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24"/>
          <w:szCs w:val="24"/>
          <w:lang w:val="en-GB"/>
        </w:rPr>
      </w:pPr>
      <w:r w:rsidRPr="6B56166E" w:rsidR="00B35F7F">
        <w:rPr>
          <w:rFonts w:ascii="Aptos Display" w:hAnsi="Aptos Display" w:eastAsia="Aptos Display" w:cs="Aptos Display"/>
          <w:b w:val="1"/>
          <w:bCs w:val="1"/>
          <w:i w:val="0"/>
          <w:iCs w:val="0"/>
          <w:caps w:val="0"/>
          <w:smallCaps w:val="0"/>
          <w:noProof w:val="0"/>
          <w:color w:val="0F4761" w:themeColor="accent1" w:themeTint="FF" w:themeShade="BF"/>
          <w:sz w:val="24"/>
          <w:szCs w:val="24"/>
          <w:lang w:val="en-GB"/>
        </w:rPr>
        <w:t>Slide 2 – Why Does Dental Health Matter?</w:t>
      </w:r>
    </w:p>
    <w:p xmlns:wp14="http://schemas.microsoft.com/office/word/2010/wordml" w:rsidP="6B56166E" wp14:paraId="4DCDB3D6" wp14:textId="2F175048">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According to NHS England, there were 56,143 episodes of tooth extraction among children and young people aged 0 to 19 years in 2025, representing a 14 percent increase from the previous year. Tooth decay remains the most common reason children aged 5 to 9 years are admitted to hospital. </w:t>
      </w:r>
    </w:p>
    <w:p xmlns:wp14="http://schemas.microsoft.com/office/word/2010/wordml" w:rsidP="6B56166E" wp14:paraId="02AEAA6E" wp14:textId="522B1CBB">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Additionly, NHS England reported costs of approximately £87.7 million for child tooth extractions during 2025, including £51.2 million directly related to tooth decay (Office for Health Improvement and Disparities, 2026).</w:t>
      </w:r>
      <w:r>
        <w:br/>
      </w:r>
      <w:hyperlink r:id="R2b9d0240043a4aec">
        <w:r w:rsidRPr="6B56166E" w:rsidR="00B35F7F">
          <w:rPr>
            <w:rStyle w:val="Hyperlink"/>
            <w:b w:val="0"/>
            <w:bCs w:val="0"/>
            <w:i w:val="0"/>
            <w:iCs w:val="0"/>
            <w:caps w:val="0"/>
            <w:smallCaps w:val="0"/>
            <w:strike w:val="0"/>
            <w:dstrike w:val="0"/>
            <w:noProof w:val="0"/>
            <w:lang w:val="en-GB"/>
          </w:rPr>
          <w:t>https://www.gov.uk/government/statistics/hospital-tooth-extractions-in-0-to-19-year-olds-2025/short-statistical-commentary-for-hospital-tooth-extractions-in-0-to-19-year-olds-2025</w:t>
        </w:r>
      </w:hyperlink>
    </w:p>
    <w:p xmlns:wp14="http://schemas.microsoft.com/office/word/2010/wordml" w:rsidP="6B56166E" wp14:paraId="194B829F" wp14:textId="434F05EA">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In Wales, Public Health Wales reported that 27.2 percent of five-year-old children experienced dental decay during 2024–25. Although this represents improvement compared to previous years, more than one in four children continue to experience a largely preventable condition (Public Health Wales, 2026).  </w:t>
      </w:r>
      <w:hyperlink r:id="R39b97812381c47c5">
        <w:r w:rsidRPr="6B56166E" w:rsidR="00B35F7F">
          <w:rPr>
            <w:rStyle w:val="Hyperlink"/>
            <w:b w:val="0"/>
            <w:bCs w:val="0"/>
            <w:i w:val="0"/>
            <w:iCs w:val="0"/>
            <w:caps w:val="0"/>
            <w:smallCaps w:val="0"/>
            <w:strike w:val="0"/>
            <w:dstrike w:val="0"/>
            <w:noProof w:val="0"/>
            <w:lang w:val="en-GB"/>
          </w:rPr>
          <w:t>https://phw.nhs.wales/app/uploads/sites/2/2026/03/Oral-health-of-5-year-old-children-in-Wales-in-2024-to-25.pdf</w:t>
        </w:r>
      </w:hyperlink>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6B56166E" wp14:paraId="5494E6DB" wp14:textId="19E47B29">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These statistics are significant because they demonstrate that despite oral health campaigns, professional guidance and preventative programmes, childhood dental decay remains widespread.</w:t>
      </w:r>
    </w:p>
    <w:p xmlns:wp14="http://schemas.microsoft.com/office/word/2010/wordml" w:rsidP="6B56166E" wp14:paraId="3A1D4534" wp14:textId="67AA5581">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For practitioners, these figures highlight that oral health promotion is not simply an additional responsibility. It is an important aspect of safeguarding children's health and wellbeing. </w:t>
      </w:r>
    </w:p>
    <w:p xmlns:wp14="http://schemas.microsoft.com/office/word/2010/wordml" w:rsidP="6B56166E" wp14:paraId="4471D99E" wp14:textId="1B61D76B">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xmlns:wp14="http://schemas.microsoft.com/office/word/2010/wordml" w:rsidP="6B56166E" wp14:paraId="22393CCF" wp14:textId="7B33516F">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24"/>
          <w:szCs w:val="24"/>
          <w:lang w:val="en-GB"/>
        </w:rPr>
      </w:pPr>
      <w:r w:rsidRPr="6B56166E" w:rsidR="00B35F7F">
        <w:rPr>
          <w:rFonts w:ascii="Aptos Display" w:hAnsi="Aptos Display" w:eastAsia="Aptos Display" w:cs="Aptos Display"/>
          <w:b w:val="1"/>
          <w:bCs w:val="1"/>
          <w:i w:val="0"/>
          <w:iCs w:val="0"/>
          <w:caps w:val="0"/>
          <w:smallCaps w:val="0"/>
          <w:noProof w:val="0"/>
          <w:color w:val="0F4761" w:themeColor="accent1" w:themeTint="FF" w:themeShade="BF"/>
          <w:sz w:val="24"/>
          <w:szCs w:val="24"/>
          <w:lang w:val="en-GB"/>
        </w:rPr>
        <w:t>Slide 3 – Impact on Children's Health and Wellbeing</w:t>
      </w:r>
    </w:p>
    <w:p xmlns:wp14="http://schemas.microsoft.com/office/word/2010/wordml" w:rsidP="6B56166E" wp14:paraId="0D2E7A52" wp14:textId="1D0F6CE9">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Physically, children may experience pain, infection, difficulty eating and disrupted sleep. Research suggests these effects can negatively influence children's physical, emotional, social and educational development, demonstrating the interconnected nature of health and wellbeing. (Public Health Wales, 2026), (Maslow, A.H., 1943).  </w:t>
      </w:r>
      <w:hyperlink r:id="R016e50dce71043b7">
        <w:r w:rsidRPr="6B56166E" w:rsidR="00B35F7F">
          <w:rPr>
            <w:rStyle w:val="Hyperlink"/>
            <w:b w:val="0"/>
            <w:bCs w:val="0"/>
            <w:i w:val="0"/>
            <w:iCs w:val="0"/>
            <w:caps w:val="0"/>
            <w:smallCaps w:val="0"/>
            <w:strike w:val="0"/>
            <w:dstrike w:val="0"/>
            <w:noProof w:val="0"/>
            <w:lang w:val="en-GB"/>
          </w:rPr>
          <w:t>https://phw.nhs.wales/app/uploads/sites/2/2026/03/Oral-health-of-5-year-old-children-in-Wales-in-2024-to-25.pdf</w:t>
        </w:r>
      </w:hyperlink>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  </w:t>
      </w:r>
      <w:r>
        <w:br/>
      </w:r>
      <w:hyperlink r:id="Rc3415b263a644da5">
        <w:r w:rsidRPr="6B56166E" w:rsidR="00B35F7F">
          <w:rPr>
            <w:rStyle w:val="Hyperlink"/>
            <w:b w:val="0"/>
            <w:bCs w:val="0"/>
            <w:i w:val="0"/>
            <w:iCs w:val="0"/>
            <w:caps w:val="0"/>
            <w:smallCaps w:val="0"/>
            <w:strike w:val="0"/>
            <w:dstrike w:val="0"/>
            <w:noProof w:val="0"/>
            <w:lang w:val="en-GB"/>
          </w:rPr>
          <w:t>https://psychclassics.yorku.ca/Maslow/motivation.htm</w:t>
        </w:r>
      </w:hyperlink>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6B56166E" wp14:paraId="73FEE4DE" wp14:textId="662C81AA">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Research has shown a link between premature loss of primary teeth at ages 0-5 years and changes in speech sounds and articulation; this can increase a child's self-consciousness. However, this study has limitations as it was done mostly through cross-section studies and observation, therefore a more high-quality, longitudinal research is required to understand and evaluate the data better </w:t>
      </w:r>
      <w:r w:rsidRPr="6B56166E" w:rsidR="00B35F7F">
        <w:rPr>
          <w:rFonts w:ascii="Aptos Display" w:hAnsi="Aptos Display" w:eastAsia="Aptos Display" w:cs="Aptos Display"/>
          <w:b w:val="0"/>
          <w:bCs w:val="0"/>
          <w:i w:val="0"/>
          <w:iCs w:val="0"/>
          <w:caps w:val="0"/>
          <w:smallCaps w:val="0"/>
          <w:strike w:val="0"/>
          <w:dstrike w:val="0"/>
          <w:noProof w:val="0"/>
          <w:color w:val="000000" w:themeColor="text1" w:themeTint="FF" w:themeShade="FF"/>
          <w:sz w:val="24"/>
          <w:szCs w:val="24"/>
          <w:u w:val="none"/>
          <w:lang w:val="en-GB"/>
        </w:rPr>
        <w:t xml:space="preserve">(Watt, S., Dyer, T.A., Marshman, z., 2024). </w:t>
      </w: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 </w:t>
      </w:r>
      <w:hyperlink r:id="R947e1de8e49049e1">
        <w:r w:rsidRPr="6B56166E" w:rsidR="00B35F7F">
          <w:rPr>
            <w:rStyle w:val="Hyperlink"/>
            <w:b w:val="0"/>
            <w:bCs w:val="0"/>
            <w:i w:val="0"/>
            <w:iCs w:val="0"/>
            <w:caps w:val="0"/>
            <w:smallCaps w:val="0"/>
            <w:strike w:val="0"/>
            <w:dstrike w:val="0"/>
            <w:noProof w:val="0"/>
            <w:lang w:val="en-GB"/>
          </w:rPr>
          <w:t>https://www.proquest.com/docview/3096450509?accountid=130472&amp;sourcetype=Scholarly%20Journals</w:t>
        </w:r>
      </w:hyperlink>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6B56166E" wp14:paraId="49B47F32" wp14:textId="04F92CB9">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Maslow argued that physiological needs such as food, sleep and comfort form the foundation of wellbeing. Compromised if not obtained.</w:t>
      </w:r>
    </w:p>
    <w:p xmlns:wp14="http://schemas.microsoft.com/office/word/2010/wordml" w:rsidP="6B56166E" wp14:paraId="6ED2FF55" wp14:textId="61F30903">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Maslow also highlighted the importance of safety and esteem needs. Children requiring dental treatment, particularly hospital-based procedures, may experience anxiety and fear.  This is backed up by research from the British Society of Paediatric Dentistry (British Dental Association, 2021).   </w:t>
      </w:r>
      <w:hyperlink r:id="Rcfca59438f8749fa">
        <w:r w:rsidRPr="6B56166E" w:rsidR="00B35F7F">
          <w:rPr>
            <w:rStyle w:val="Hyperlink"/>
            <w:b w:val="0"/>
            <w:bCs w:val="0"/>
            <w:i w:val="0"/>
            <w:iCs w:val="0"/>
            <w:caps w:val="0"/>
            <w:smallCaps w:val="0"/>
            <w:strike w:val="0"/>
            <w:dstrike w:val="0"/>
            <w:noProof w:val="0"/>
            <w:lang w:val="en-GB"/>
          </w:rPr>
          <w:t>https://www.proquest.com/docview/2510491641?accountid=130472&amp;parentSessionId=oHtxkhGifhNe2kYNJn0s92j0hqIyjiHNSct5EoYv38k%3D&amp;pq-origsite=primo&amp;sourcetype=Scholarly%20Journals</w:t>
        </w:r>
      </w:hyperlink>
      <w:r w:rsidRPr="6B56166E" w:rsidR="00B35F7F">
        <w:rPr>
          <w:rFonts w:ascii="Aptos Display" w:hAnsi="Aptos Display" w:eastAsia="Aptos Display" w:cs="Aptos Display"/>
          <w:b w:val="0"/>
          <w:bCs w:val="0"/>
          <w:i w:val="0"/>
          <w:iCs w:val="0"/>
          <w:caps w:val="0"/>
          <w:smallCaps w:val="0"/>
          <w:strike w:val="0"/>
          <w:dstrike w:val="0"/>
          <w:noProof w:val="0"/>
          <w:color w:val="000000" w:themeColor="text1" w:themeTint="FF" w:themeShade="FF"/>
          <w:sz w:val="24"/>
          <w:szCs w:val="24"/>
          <w:u w:val="none"/>
          <w:lang w:val="en-GB"/>
        </w:rPr>
        <w:t xml:space="preserve"> </w:t>
      </w:r>
    </w:p>
    <w:p xmlns:wp14="http://schemas.microsoft.com/office/word/2010/wordml" w:rsidP="6B56166E" wp14:paraId="467650DE" wp14:textId="02C5AD0F">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Maslow's theory is useful because it highlights the holistic nature of health and wellbeing. It helps practitioners understand that dental health is not simply about preventing disease but also about supporting children's physical comfort, emotional wellbeing and social development.</w:t>
      </w:r>
    </w:p>
    <w:p xmlns:wp14="http://schemas.microsoft.com/office/word/2010/wordml" w:rsidP="6B56166E" wp14:paraId="04B436F2" wp14:textId="41DE0B6F">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However, Maslow's theory has been criticised for lacking strong empirical evidence and for assuming that needs are met in a fixed hierarchy. Actually tho, children may continue to experience positive relationships and emotional wellbeing despite physical health difficulties. Furthermore, while Maslow helps explain the consequences of poor oral health, it offers little explanation for why oral health inequalities exist.</w:t>
      </w:r>
    </w:p>
    <w:p xmlns:wp14="http://schemas.microsoft.com/office/word/2010/wordml" w:rsidP="6B56166E" wp14:paraId="3DB0897E" wp14:textId="3DB0559C">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Therefore, although Maslow provides a useful framework for understanding the impact of dental health on wellbeing, it is less effective in explaining the wider causes of oral health inequalities (Maslow, 1943).</w:t>
      </w:r>
      <w:r>
        <w:br/>
      </w:r>
      <w:hyperlink r:id="Rf4b372a6356e410a">
        <w:r w:rsidRPr="6B56166E" w:rsidR="00B35F7F">
          <w:rPr>
            <w:rStyle w:val="Hyperlink"/>
            <w:b w:val="0"/>
            <w:bCs w:val="0"/>
            <w:i w:val="0"/>
            <w:iCs w:val="0"/>
            <w:caps w:val="0"/>
            <w:smallCaps w:val="0"/>
            <w:strike w:val="0"/>
            <w:dstrike w:val="0"/>
            <w:noProof w:val="0"/>
            <w:lang w:val="en-GB"/>
          </w:rPr>
          <w:t>https://psychclassics.yorku.ca/Maslow/motivation.htm</w:t>
        </w:r>
      </w:hyperlink>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6B56166E" wp14:paraId="56D18948" wp14:textId="3EB6C663">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For practitioners, this reinforces the need to recognise oral health as part of wider health promotion rather than treating it as an isolated issue (Maslow, A.H., 1943).  </w:t>
      </w:r>
      <w:hyperlink r:id="R346eb9e44e9b4a73">
        <w:r w:rsidRPr="6B56166E" w:rsidR="00B35F7F">
          <w:rPr>
            <w:rStyle w:val="Hyperlink"/>
            <w:b w:val="1"/>
            <w:bCs w:val="1"/>
            <w:i w:val="0"/>
            <w:iCs w:val="0"/>
            <w:caps w:val="0"/>
            <w:smallCaps w:val="0"/>
            <w:strike w:val="0"/>
            <w:dstrike w:val="0"/>
            <w:noProof w:val="0"/>
            <w:lang w:val="en-GB"/>
          </w:rPr>
          <w:t>https://psychclassics.yorku.ca/Maslow/motivation.htm</w:t>
        </w:r>
      </w:hyperlink>
      <w:r w:rsidRPr="6B56166E" w:rsidR="00B35F7F">
        <w:rPr>
          <w:rFonts w:ascii="Aptos Display" w:hAnsi="Aptos Display" w:eastAsia="Aptos Display" w:cs="Aptos Display"/>
          <w:b w:val="1"/>
          <w:bCs w:val="1"/>
          <w:i w:val="0"/>
          <w:iCs w:val="0"/>
          <w:caps w:val="0"/>
          <w:smallCaps w:val="0"/>
          <w:noProof w:val="0"/>
          <w:color w:val="000000" w:themeColor="text1" w:themeTint="FF" w:themeShade="FF"/>
          <w:sz w:val="24"/>
          <w:szCs w:val="24"/>
          <w:lang w:val="en-GB"/>
        </w:rPr>
        <w:t xml:space="preserve"> </w:t>
      </w: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6B56166E" wp14:paraId="3CCD2371" wp14:textId="252FF015">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xmlns:wp14="http://schemas.microsoft.com/office/word/2010/wordml" w:rsidP="6B56166E" wp14:paraId="00615F9D" wp14:textId="12940BEB">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24"/>
          <w:szCs w:val="24"/>
          <w:lang w:val="en-GB"/>
        </w:rPr>
      </w:pPr>
      <w:r w:rsidRPr="6B56166E" w:rsidR="00B35F7F">
        <w:rPr>
          <w:rFonts w:ascii="Aptos Display" w:hAnsi="Aptos Display" w:eastAsia="Aptos Display" w:cs="Aptos Display"/>
          <w:b w:val="1"/>
          <w:bCs w:val="1"/>
          <w:i w:val="0"/>
          <w:iCs w:val="0"/>
          <w:caps w:val="0"/>
          <w:smallCaps w:val="0"/>
          <w:noProof w:val="0"/>
          <w:color w:val="0F4761" w:themeColor="accent1" w:themeTint="FF" w:themeShade="BF"/>
          <w:sz w:val="24"/>
          <w:szCs w:val="24"/>
          <w:lang w:val="en-GB"/>
        </w:rPr>
        <w:t>Slide 4 – Why Do Some Children Experience Poor Oral Health?</w:t>
      </w:r>
    </w:p>
    <w:p xmlns:wp14="http://schemas.microsoft.com/office/word/2010/wordml" w:rsidP="6B56166E" wp14:paraId="0E115540" wp14:textId="778DBF7A">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A common assumption is that poor dental health results simply from poor parenting or poor toothbrushing habits.</w:t>
      </w:r>
    </w:p>
    <w:p xmlns:wp14="http://schemas.microsoft.com/office/word/2010/wordml" w:rsidP="6B56166E" wp14:paraId="72D1033D" wp14:textId="63B13627">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1"/>
          <w:bCs w:val="1"/>
          <w:i w:val="0"/>
          <w:iCs w:val="0"/>
          <w:caps w:val="0"/>
          <w:smallCaps w:val="0"/>
          <w:noProof w:val="0"/>
          <w:color w:val="000000" w:themeColor="text1" w:themeTint="FF" w:themeShade="FF"/>
          <w:sz w:val="24"/>
          <w:szCs w:val="24"/>
          <w:lang w:val="en-GB"/>
        </w:rPr>
        <w:t>socioeconomic deprivation.</w:t>
      </w:r>
    </w:p>
    <w:p xmlns:wp14="http://schemas.microsoft.com/office/word/2010/wordml" w:rsidP="6B56166E" wp14:paraId="44EB7FDD" wp14:textId="2C027275">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Research consistently demonstrates that children living in disadvantaged communities experience higher rates of dental decay, hospital admissions and tooth extraction (Public Health Wales, 2026). </w:t>
      </w:r>
      <w:hyperlink r:id="Rf527ec6a674d4674">
        <w:r w:rsidRPr="6B56166E" w:rsidR="00B35F7F">
          <w:rPr>
            <w:rStyle w:val="Hyperlink"/>
            <w:b w:val="0"/>
            <w:bCs w:val="0"/>
            <w:i w:val="0"/>
            <w:iCs w:val="0"/>
            <w:caps w:val="0"/>
            <w:smallCaps w:val="0"/>
            <w:strike w:val="0"/>
            <w:dstrike w:val="0"/>
            <w:noProof w:val="0"/>
            <w:lang w:val="en-GB"/>
          </w:rPr>
          <w:t>https://phw.nhs.wales/app/uploads/sites/2/2026/03/Oral-health-of-5-year-old-children-in-Wales-in-2024-to-25.pdf</w:t>
        </w:r>
      </w:hyperlink>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6B56166E" wp14:paraId="70E51E3E" wp14:textId="303E49BF">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Studies examining oral health inequalities found that children whose parents had lower educational attainment and lower household incomes were significantly more likely to experience severe dental decay.</w:t>
      </w:r>
    </w:p>
    <w:p xmlns:wp14="http://schemas.microsoft.com/office/word/2010/wordml" w:rsidP="6B56166E" wp14:paraId="63A1FF29" wp14:textId="5F33A654">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Similarly, research involving over 600,000 children in London found that children living in more deprived areas were more likely to require tooth extraction under general anaesthetic. Suggesting that severe dental disease disproportionately affects disadvantaged population. However, deprivation itself does not directly cause decay. Rather, deprivation may increase exposure to multiple risk factors associated with poor oral health like difficulty accessing dental services, cost of healthy food, health literacy, competing family pressures and availability of sugary foods (Fireman, Dezateux and Muirhead, 2024). </w:t>
      </w:r>
      <w:r>
        <w:br/>
      </w:r>
      <w:hyperlink r:id="R3536ae4324b24abb">
        <w:r w:rsidRPr="6B56166E" w:rsidR="00B35F7F">
          <w:rPr>
            <w:rStyle w:val="Hyperlink"/>
            <w:b w:val="0"/>
            <w:bCs w:val="0"/>
            <w:i w:val="0"/>
            <w:iCs w:val="0"/>
            <w:caps w:val="0"/>
            <w:smallCaps w:val="0"/>
            <w:strike w:val="0"/>
            <w:dstrike w:val="0"/>
            <w:noProof w:val="0"/>
            <w:lang w:val="en-GB"/>
          </w:rPr>
          <w:t>https://bmjpublichealth.bmj.com/content/2/1/e000622</w:t>
        </w:r>
      </w:hyperlink>
      <w:r>
        <w:br/>
      </w:r>
    </w:p>
    <w:p xmlns:wp14="http://schemas.microsoft.com/office/word/2010/wordml" w:rsidP="6B56166E" wp14:paraId="50494321" wp14:textId="6A2E3DA8">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1"/>
          <w:bCs w:val="1"/>
          <w:i w:val="0"/>
          <w:iCs w:val="0"/>
          <w:caps w:val="0"/>
          <w:smallCaps w:val="0"/>
          <w:noProof w:val="0"/>
          <w:color w:val="000000" w:themeColor="text1" w:themeTint="FF" w:themeShade="FF"/>
          <w:sz w:val="24"/>
          <w:szCs w:val="24"/>
          <w:lang w:val="en-GB"/>
        </w:rPr>
        <w:t>diet</w:t>
      </w:r>
    </w:p>
    <w:p xmlns:wp14="http://schemas.microsoft.com/office/word/2010/wordml" w:rsidP="6B56166E" wp14:paraId="78537626" wp14:textId="74DACD2D">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sugary snacks and drinks are often heavily marketed, widely available and sometimes cheaper than healthier alternatives.</w:t>
      </w:r>
    </w:p>
    <w:p xmlns:wp14="http://schemas.microsoft.com/office/word/2010/wordml" w:rsidP="6B56166E" wp14:paraId="1611C5FB" wp14:textId="78A37BE4">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Early Years Statutory Framework states meals, snack and drinks provided “must be healthy, balanced and nutritious” with fresh drinking water provided at all times (Department of Education, 2024). </w:t>
      </w:r>
      <w:hyperlink r:id="Re553af3c57a0403d">
        <w:r w:rsidRPr="6B56166E" w:rsidR="00B35F7F">
          <w:rPr>
            <w:rStyle w:val="Hyperlink"/>
            <w:b w:val="0"/>
            <w:bCs w:val="0"/>
            <w:i w:val="0"/>
            <w:iCs w:val="0"/>
            <w:caps w:val="0"/>
            <w:smallCaps w:val="0"/>
            <w:strike w:val="0"/>
            <w:dstrike w:val="0"/>
            <w:noProof w:val="0"/>
            <w:lang w:val="en-GB"/>
          </w:rPr>
          <w:t>https://assets.publishing.service.gov.uk/media/68c024cb8c6d992f23edd79c/Early_years_foundation_stage_statutory_framework_-_for_group_and_school-based_providers.pdf.pdf</w:t>
        </w:r>
      </w:hyperlink>
    </w:p>
    <w:p xmlns:wp14="http://schemas.microsoft.com/office/word/2010/wordml" w:rsidP="6B56166E" wp14:paraId="006FB902" wp14:textId="1039E269">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Access to dental services</w:t>
      </w:r>
    </w:p>
    <w:p xmlns:wp14="http://schemas.microsoft.com/office/word/2010/wordml" w:rsidP="6B56166E" wp14:paraId="33541C22" wp14:textId="05726916">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Many families experience difficulties accessing NHS dental appointments. Delays in accessing preventative care may allow minor dental problems to develop into more serious conditions requiring extensive treatment.</w:t>
      </w:r>
    </w:p>
    <w:p xmlns:wp14="http://schemas.microsoft.com/office/word/2010/wordml" w:rsidP="6B56166E" wp14:paraId="6D14D659" wp14:textId="55B9297D">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Parental mental health and family stress</w:t>
      </w:r>
    </w:p>
    <w:p xmlns:wp14="http://schemas.microsoft.com/office/word/2010/wordml" w:rsidP="6B56166E" wp14:paraId="3DD93DA0" wp14:textId="7818788A">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financial difficulties, depression, anxiety or challenging life circumstances = difficult to maintain routines, monitor sugar intake or attend appointments. (National Institute for Health and Care Excellence, 2014)</w:t>
      </w:r>
      <w:r>
        <w:br/>
      </w:r>
      <w:hyperlink r:id="R6b6daacad283408f">
        <w:r w:rsidRPr="6B56166E" w:rsidR="00B35F7F">
          <w:rPr>
            <w:rStyle w:val="Hyperlink"/>
            <w:b w:val="0"/>
            <w:bCs w:val="0"/>
            <w:i w:val="0"/>
            <w:iCs w:val="0"/>
            <w:caps w:val="0"/>
            <w:smallCaps w:val="0"/>
            <w:strike w:val="0"/>
            <w:dstrike w:val="0"/>
            <w:noProof w:val="0"/>
            <w:lang w:val="en-GB"/>
          </w:rPr>
          <w:t>https://www.nice.org.uk/guidance/ph55/resources/oral-health-local-authorities-and-partners-pdf-1996420085701</w:t>
        </w:r>
      </w:hyperlink>
    </w:p>
    <w:p xmlns:wp14="http://schemas.microsoft.com/office/word/2010/wordml" w:rsidP="6B56166E" wp14:paraId="57FE804D" wp14:textId="03BDF7BE">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Reports suggest that single parental households experienced pressures like reduced time availability and financial constraints that meant many children in single-parent households had lower-level dental hygiene. Furthermore, the report suggests a link between young maternal age was strongly associated with dental decay due to reduced access to financial resources, less social support and health education, which may indirectly influence children’s oral health outcomes (Blomma et al, 2024)</w:t>
      </w:r>
      <w:r>
        <w:br/>
      </w:r>
      <w:hyperlink r:id="R7172e3788d8d4963">
        <w:r w:rsidRPr="6B56166E" w:rsidR="00B35F7F">
          <w:rPr>
            <w:rStyle w:val="Hyperlink"/>
            <w:b w:val="0"/>
            <w:bCs w:val="0"/>
            <w:i w:val="0"/>
            <w:iCs w:val="0"/>
            <w:caps w:val="0"/>
            <w:smallCaps w:val="0"/>
            <w:strike w:val="0"/>
            <w:dstrike w:val="0"/>
            <w:noProof w:val="0"/>
            <w:lang w:val="en-GB"/>
          </w:rPr>
          <w:t>https://www.proquest.com/docview/3152693660?accountid=130472&amp;parentSessionId=sz%2BCaVA%2Fvraj0BcEjtCcTd6Sn1BotethCC%2BDQx6nar0%3D&amp;pq-origsite=primo&amp;sourcetype=Scholarly%20Journals</w:t>
        </w:r>
      </w:hyperlink>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6B56166E" wp14:paraId="135506CB" wp14:textId="3FF14D4C">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For practitioners, these findings are important because they challenge deficit-based assumptions about families.</w:t>
      </w:r>
    </w:p>
    <w:p xmlns:wp14="http://schemas.microsoft.com/office/word/2010/wordml" w:rsidP="6B56166E" wp14:paraId="3E8D8D33" wp14:textId="2F8548DF">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Rather than blaming parents, practitioners should recognise the wider challenges that some families face and adopt supportive, non-judgemental approaches.</w:t>
      </w:r>
    </w:p>
    <w:p xmlns:wp14="http://schemas.microsoft.com/office/word/2010/wordml" w:rsidP="6B56166E" wp14:paraId="5F3D4250" wp14:textId="65259F8E">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xmlns:wp14="http://schemas.microsoft.com/office/word/2010/wordml" w:rsidP="6B56166E" wp14:paraId="0943B810" wp14:textId="59CDBEAD">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24"/>
          <w:szCs w:val="24"/>
          <w:lang w:val="en-GB"/>
        </w:rPr>
      </w:pPr>
      <w:r w:rsidRPr="6B56166E" w:rsidR="00B35F7F">
        <w:rPr>
          <w:rFonts w:ascii="Aptos Display" w:hAnsi="Aptos Display" w:eastAsia="Aptos Display" w:cs="Aptos Display"/>
          <w:b w:val="1"/>
          <w:bCs w:val="1"/>
          <w:i w:val="0"/>
          <w:iCs w:val="0"/>
          <w:caps w:val="0"/>
          <w:smallCaps w:val="0"/>
          <w:noProof w:val="0"/>
          <w:color w:val="0F4761" w:themeColor="accent1" w:themeTint="FF" w:themeShade="BF"/>
          <w:sz w:val="24"/>
          <w:szCs w:val="24"/>
          <w:lang w:val="en-GB"/>
        </w:rPr>
        <w:t>Slide 5 – Bronfenbrenner's Ecological Systems Theory</w:t>
      </w:r>
    </w:p>
    <w:p xmlns:wp14="http://schemas.microsoft.com/office/word/2010/wordml" w:rsidP="6B56166E" wp14:paraId="08FF2A08" wp14:textId="28CF39F6">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Bronfenbrenner's Ecological Systems Theory provides a valuable framework for understanding these influences. </w:t>
      </w:r>
      <w:hyperlink r:id="R8a337c618dff4a20">
        <w:r w:rsidRPr="6B56166E" w:rsidR="00B35F7F">
          <w:rPr>
            <w:rStyle w:val="Hyperlink"/>
            <w:b w:val="0"/>
            <w:bCs w:val="0"/>
            <w:i w:val="0"/>
            <w:iCs w:val="0"/>
            <w:caps w:val="0"/>
            <w:smallCaps w:val="0"/>
            <w:strike w:val="0"/>
            <w:dstrike w:val="0"/>
            <w:noProof w:val="0"/>
            <w:lang w:val="en-GB"/>
          </w:rPr>
          <w:t>https://khoerulanwarbk.wordpress.com/wp-content/uploads/2015/08/urie_bronfenbrenner_the_ecology_of_human_developbokos-z1.pdf</w:t>
        </w:r>
      </w:hyperlink>
    </w:p>
    <w:p xmlns:wp14="http://schemas.microsoft.com/office/word/2010/wordml" w:rsidP="6B56166E" wp14:paraId="42FED6AB" wp14:textId="597E8673">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Bronfenbrenner argued that children's development is shaped by multiple interacting environmental systems.</w:t>
      </w:r>
    </w:p>
    <w:p xmlns:wp14="http://schemas.microsoft.com/office/word/2010/wordml" w:rsidP="6B56166E" wp14:paraId="45A236D5" wp14:textId="3003D296">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Within the microsystem, oral health is influenced by immediate experiences such as family routines, toothbrushing habits and dietary choices.</w:t>
      </w:r>
    </w:p>
    <w:p xmlns:wp14="http://schemas.microsoft.com/office/word/2010/wordml" w:rsidP="6B56166E" wp14:paraId="0006C379" wp14:textId="654EDA99">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The mesosystem refers to interactions between environments.</w:t>
      </w:r>
    </w:p>
    <w:p xmlns:wp14="http://schemas.microsoft.com/office/word/2010/wordml" w:rsidP="6B56166E" wp14:paraId="28695EE2" wp14:textId="0F491884">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For example, communication between practitioners and families may strengthen oral health promotion by reinforcing consistent messages across home and educational settings.</w:t>
      </w:r>
    </w:p>
    <w:p xmlns:wp14="http://schemas.microsoft.com/office/word/2010/wordml" w:rsidP="6B56166E" wp14:paraId="30110165" wp14:textId="21108C75">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The exosystem includes wider influences that indirectly affect children, such as parental employment and access to healthcare services.</w:t>
      </w:r>
    </w:p>
    <w:p xmlns:wp14="http://schemas.microsoft.com/office/word/2010/wordml" w:rsidP="6B56166E" wp14:paraId="645DEC28" wp14:textId="40964FA8">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Finally, the macrosystem includes broader social influences such as poverty, health inequalities and government policy.</w:t>
      </w:r>
    </w:p>
    <w:p xmlns:wp14="http://schemas.microsoft.com/office/word/2010/wordml" w:rsidP="6B56166E" wp14:paraId="6E86BBF3" wp14:textId="3C73BF2D">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Government initiatives such as supervised toothbrushing programmes </w:t>
      </w:r>
      <w:hyperlink r:id="R59e14e1766534f49">
        <w:r w:rsidRPr="6B56166E" w:rsidR="00B35F7F">
          <w:rPr>
            <w:rStyle w:val="Hyperlink"/>
            <w:b w:val="0"/>
            <w:bCs w:val="0"/>
            <w:i w:val="0"/>
            <w:iCs w:val="0"/>
            <w:caps w:val="0"/>
            <w:smallCaps w:val="0"/>
            <w:strike w:val="0"/>
            <w:dstrike w:val="0"/>
            <w:noProof w:val="0"/>
            <w:lang w:val="en-GB"/>
          </w:rPr>
          <w:t>https://www.gov.uk/government/publications/improving-oral-health-supervised-tooth-brushing-programme-toolkit/commissioning-and-delivering-supervised-toothbrushing-schemes-in-early-years-and-school-settings</w:t>
        </w:r>
      </w:hyperlink>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   and NICE guidance operate at this level. (National Institute for Health and Care Excellence, 2014) </w:t>
      </w:r>
      <w:hyperlink r:id="R05e8f1654bb14e92">
        <w:r w:rsidRPr="6B56166E" w:rsidR="00B35F7F">
          <w:rPr>
            <w:rStyle w:val="Hyperlink"/>
            <w:b w:val="0"/>
            <w:bCs w:val="0"/>
            <w:i w:val="0"/>
            <w:iCs w:val="0"/>
            <w:caps w:val="0"/>
            <w:smallCaps w:val="0"/>
            <w:strike w:val="0"/>
            <w:dstrike w:val="0"/>
            <w:noProof w:val="0"/>
            <w:lang w:val="en-GB"/>
          </w:rPr>
          <w:t>https://www.nice.org.uk/guidance/ph55/resources/oral-health-local-authorities-and-partners-pdf-1996420085701</w:t>
        </w:r>
      </w:hyperlink>
    </w:p>
    <w:p xmlns:wp14="http://schemas.microsoft.com/office/word/2010/wordml" w:rsidP="6B56166E" wp14:paraId="6FFEB3E2" wp14:textId="26179ACC">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Bronfenbrenner's theory is particularly valuable because it challenges simplistic explanations that attribute poor oral health solely to parental responsibility.</w:t>
      </w:r>
    </w:p>
    <w:p xmlns:wp14="http://schemas.microsoft.com/office/word/2010/wordml" w:rsidP="6B56166E" wp14:paraId="3F5EC51B" wp14:textId="133EE366">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Instead, it highlights how children's oral health is shaped through interactions between families, educational settings, healthcare systems and wider social structures.</w:t>
      </w:r>
    </w:p>
    <w:p xmlns:wp14="http://schemas.microsoft.com/office/word/2010/wordml" w:rsidP="6B56166E" wp14:paraId="6AA3127B" wp14:textId="210A7707">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For practitioners, this theory encourages a holistic approach which considers children's circumstances rather than focusing exclusively on individual behaviour.</w:t>
      </w:r>
    </w:p>
    <w:p xmlns:wp14="http://schemas.microsoft.com/office/word/2010/wordml" w:rsidP="6B56166E" wp14:paraId="2E3EC4C5" wp14:textId="38B21A69">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While Maslow helps explain the impact of poor oral health on children's wellbeing, it offers limited explanation for why oral health inequalities occur. Bronfenbrenner's ecological systems theory may provide a more comprehensive framework because it considers wider influences such as family circumstances, access to healthcare and socioeconomic deprivation. Therefore, Maslow is most useful for understanding the consequences of poor oral health, whereas Bronfenbrenner is more effective in explaining its causes. </w:t>
      </w:r>
      <w:hyperlink r:id="Rb8754e5ba9e942be">
        <w:r w:rsidRPr="6B56166E" w:rsidR="00B35F7F">
          <w:rPr>
            <w:rStyle w:val="Hyperlink"/>
            <w:b w:val="0"/>
            <w:bCs w:val="0"/>
            <w:i w:val="0"/>
            <w:iCs w:val="0"/>
            <w:caps w:val="0"/>
            <w:smallCaps w:val="0"/>
            <w:strike w:val="0"/>
            <w:dstrike w:val="0"/>
            <w:noProof w:val="0"/>
            <w:lang w:val="en-GB"/>
          </w:rPr>
          <w:t>https://psychclassics.yorku.ca/Maslow/motivation.htm</w:t>
        </w:r>
      </w:hyperlink>
      <w:r>
        <w:br/>
      </w:r>
      <w:hyperlink r:id="R00692995a2d248d1">
        <w:r w:rsidRPr="6B56166E" w:rsidR="00B35F7F">
          <w:rPr>
            <w:rStyle w:val="Hyperlink"/>
            <w:b w:val="0"/>
            <w:bCs w:val="0"/>
            <w:i w:val="0"/>
            <w:iCs w:val="0"/>
            <w:caps w:val="0"/>
            <w:smallCaps w:val="0"/>
            <w:strike w:val="0"/>
            <w:dstrike w:val="0"/>
            <w:noProof w:val="0"/>
            <w:lang w:val="en-GB"/>
          </w:rPr>
          <w:t>https://khoerulanwarbk.wordpress.com/wp-content/uploads/2015/08/urie_bronfenbrenner_the_ecology_of_human_developbokos-z1.pdf</w:t>
        </w:r>
      </w:hyperlink>
    </w:p>
    <w:p xmlns:wp14="http://schemas.microsoft.com/office/word/2010/wordml" w:rsidP="6B56166E" wp14:paraId="538BD1C4" wp14:textId="5174BFA2">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24"/>
          <w:szCs w:val="24"/>
          <w:lang w:val="en-GB"/>
        </w:rPr>
      </w:pPr>
      <w:r w:rsidRPr="6B56166E" w:rsidR="00B35F7F">
        <w:rPr>
          <w:rFonts w:ascii="Aptos Display" w:hAnsi="Aptos Display" w:eastAsia="Aptos Display" w:cs="Aptos Display"/>
          <w:b w:val="1"/>
          <w:bCs w:val="1"/>
          <w:i w:val="0"/>
          <w:iCs w:val="0"/>
          <w:caps w:val="0"/>
          <w:smallCaps w:val="0"/>
          <w:noProof w:val="0"/>
          <w:color w:val="0F4761" w:themeColor="accent1" w:themeTint="FF" w:themeShade="BF"/>
          <w:sz w:val="24"/>
          <w:szCs w:val="24"/>
          <w:lang w:val="en-GB"/>
        </w:rPr>
        <w:t>Slide 6 – Is Poor Dental Health Simply Poor Parenting?</w:t>
      </w:r>
    </w:p>
    <w:p xmlns:wp14="http://schemas.microsoft.com/office/word/2010/wordml" w:rsidP="6B56166E" wp14:paraId="08E20E11" wp14:textId="7BCB0BE1">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Some may argue that parents are primarily responsible for children's oral health.</w:t>
      </w:r>
    </w:p>
    <w:p xmlns:wp14="http://schemas.microsoft.com/office/word/2010/wordml" w:rsidP="6B56166E" wp14:paraId="3B60F88C" wp14:textId="4D49E92E">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Research, however, consistently demonstrates associations between oral health and deprivation, education, access to services and wider social determinants.</w:t>
      </w:r>
    </w:p>
    <w:p xmlns:wp14="http://schemas.microsoft.com/office/word/2010/wordml" w:rsidP="6B56166E" wp14:paraId="3641C74D" wp14:textId="1BA42847">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A more balanced interpretation recognises that parental behaviour operates within wider social, economic and environmental contexts.</w:t>
      </w:r>
    </w:p>
    <w:p xmlns:wp14="http://schemas.microsoft.com/office/word/2010/wordml" w:rsidP="6B56166E" wp14:paraId="5AB64A22" wp14:textId="5264802A">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Practitioners should focus on partnership working, empowerment and support rathe thana judgemental approach.</w:t>
      </w:r>
    </w:p>
    <w:p xmlns:wp14="http://schemas.microsoft.com/office/word/2010/wordml" w:rsidP="6B56166E" wp14:paraId="51047EDC" wp14:textId="4852C1EB">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This aligns closely with e.</w:t>
      </w:r>
    </w:p>
    <w:p xmlns:wp14="http://schemas.microsoft.com/office/word/2010/wordml" w:rsidP="6B56166E" wp14:paraId="305E1C1E" wp14:textId="59263EB3">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xmlns:wp14="http://schemas.microsoft.com/office/word/2010/wordml" w:rsidP="6B56166E" wp14:paraId="4BF03223" wp14:textId="281A943A">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24"/>
          <w:szCs w:val="24"/>
          <w:lang w:val="en-GB"/>
        </w:rPr>
      </w:pPr>
      <w:r w:rsidRPr="6B56166E" w:rsidR="00B35F7F">
        <w:rPr>
          <w:rFonts w:ascii="Aptos Display" w:hAnsi="Aptos Display" w:eastAsia="Aptos Display" w:cs="Aptos Display"/>
          <w:b w:val="1"/>
          <w:bCs w:val="1"/>
          <w:i w:val="0"/>
          <w:iCs w:val="0"/>
          <w:caps w:val="0"/>
          <w:smallCaps w:val="0"/>
          <w:noProof w:val="0"/>
          <w:color w:val="0F4761" w:themeColor="accent1" w:themeTint="FF" w:themeShade="BF"/>
          <w:sz w:val="24"/>
          <w:szCs w:val="24"/>
          <w:lang w:val="en-GB"/>
        </w:rPr>
        <w:t>Slide 7 – What Can Practitioners Do?</w:t>
      </w:r>
    </w:p>
    <w:p xmlns:wp14="http://schemas.microsoft.com/office/word/2010/wordml" w:rsidP="6B56166E" wp14:paraId="448F1437" wp14:textId="07464A9C">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Early years practitioners play an important role in promoting positive oral health outcomes.</w:t>
      </w:r>
    </w:p>
    <w:p xmlns:wp14="http://schemas.microsoft.com/office/word/2010/wordml" w:rsidP="6B56166E" wp14:paraId="30BAEAB0" wp14:textId="1F6545B3">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NICE guidance recommends oral health promotion through education, partnership working and preventative approaches. (National Institute for Health and Care Excellence, 2014) </w:t>
      </w:r>
      <w:hyperlink r:id="Rba308819c34d465b">
        <w:r w:rsidRPr="6B56166E" w:rsidR="00B35F7F">
          <w:rPr>
            <w:rStyle w:val="Hyperlink"/>
            <w:b w:val="0"/>
            <w:bCs w:val="0"/>
            <w:i w:val="0"/>
            <w:iCs w:val="0"/>
            <w:caps w:val="0"/>
            <w:smallCaps w:val="0"/>
            <w:strike w:val="0"/>
            <w:dstrike w:val="0"/>
            <w:noProof w:val="0"/>
            <w:lang w:val="en-GB"/>
          </w:rPr>
          <w:t>https://www.nice.org.uk/guidance/ph55/resources/oral-health-local-authorities-and-partners-pdf-1996420085701</w:t>
        </w:r>
      </w:hyperlink>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6B56166E" wp14:paraId="4218F11B" wp14:textId="47F2F265">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One evidence-based intervention is supervised toothbrushing programmes.</w:t>
      </w:r>
    </w:p>
    <w:p xmlns:wp14="http://schemas.microsoft.com/office/word/2010/wordml" w:rsidP="6B56166E" wp14:paraId="794355F4" wp14:textId="3E32B421">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Although the toothbrushing scheme requires an initial investment from the government the economic evidence suggests it may generate substantial savings by reducing the need for dental treatment. A public health England rapid review found that supervised toothbrushing programmes in Scotland produced an estimated saving of £61.51 per child. This suggests an estimated population level saving of approximal £3.37 million. This suggests that preventative approaches may be more cost-effective than treating advanced dental disease once it occurs.  (National Institute for Health and Care Excellence, 2014)</w:t>
      </w:r>
    </w:p>
    <w:p xmlns:wp14="http://schemas.microsoft.com/office/word/2010/wordml" w:rsidP="6B56166E" wp14:paraId="5F66BDD7" wp14:textId="20BC5B8E">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hyperlink r:id="R113d89e811984b90">
        <w:r w:rsidRPr="6B56166E" w:rsidR="00B35F7F">
          <w:rPr>
            <w:rStyle w:val="Hyperlink"/>
            <w:b w:val="1"/>
            <w:bCs w:val="1"/>
            <w:i w:val="0"/>
            <w:iCs w:val="0"/>
            <w:caps w:val="0"/>
            <w:smallCaps w:val="0"/>
            <w:strike w:val="0"/>
            <w:dstrike w:val="0"/>
            <w:noProof w:val="0"/>
            <w:lang w:val="en-GB"/>
          </w:rPr>
          <w:t>https://www.nice.org.uk/guidance/ph55/resources/oral-health-local-authorities-and-partners-pdf-1996420085701</w:t>
        </w:r>
      </w:hyperlink>
      <w:r w:rsidRPr="6B56166E" w:rsidR="00B35F7F">
        <w:rPr>
          <w:rFonts w:ascii="Aptos Display" w:hAnsi="Aptos Display" w:eastAsia="Aptos Display" w:cs="Aptos Display"/>
          <w:b w:val="1"/>
          <w:bCs w:val="1"/>
          <w:i w:val="0"/>
          <w:iCs w:val="0"/>
          <w:caps w:val="0"/>
          <w:smallCaps w:val="0"/>
          <w:noProof w:val="0"/>
          <w:color w:val="000000" w:themeColor="text1" w:themeTint="FF" w:themeShade="FF"/>
          <w:sz w:val="24"/>
          <w:szCs w:val="24"/>
          <w:lang w:val="en-GB"/>
        </w:rPr>
        <w:t xml:space="preserve"> </w:t>
      </w: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6B56166E" wp14:paraId="01AB7D92" wp14:textId="1E5BBF14">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Practitioners can also support healthy eating by implementing nutrition policies, limiting sugary snacks and promoting water consumption.</w:t>
      </w:r>
    </w:p>
    <w:p xmlns:wp14="http://schemas.microsoft.com/office/word/2010/wordml" w:rsidP="6B56166E" wp14:paraId="563166BE" wp14:textId="6386EF63">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Partnership working is particularly important.</w:t>
      </w:r>
    </w:p>
    <w:p xmlns:wp14="http://schemas.microsoft.com/office/word/2010/wordml" w:rsidP="6B56166E" wp14:paraId="49CE9751" wp14:textId="7464CCEF">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Practitioners can share information, provide guidace and signpost families to appropriate services. Especially since with the supervised toothbrushing scheme practitioners are to have contact with a specialist dental professional for any information they may need making it easier for them to make informed decisions (National Institute for Health and Care Excellence, 2014).  </w:t>
      </w:r>
      <w:hyperlink r:id="Rae8f73bea1444537">
        <w:r w:rsidRPr="6B56166E" w:rsidR="00B35F7F">
          <w:rPr>
            <w:rStyle w:val="Hyperlink"/>
            <w:b w:val="1"/>
            <w:bCs w:val="1"/>
            <w:i w:val="0"/>
            <w:iCs w:val="0"/>
            <w:caps w:val="0"/>
            <w:smallCaps w:val="0"/>
            <w:strike w:val="0"/>
            <w:dstrike w:val="0"/>
            <w:noProof w:val="0"/>
            <w:lang w:val="en-GB"/>
          </w:rPr>
          <w:t>https://www.nice.org.uk/guidance/ph55/resources/oral-health-local-authorities-and-partners-pdf-1996420085701</w:t>
        </w:r>
      </w:hyperlink>
      <w:r w:rsidRPr="6B56166E" w:rsidR="00B35F7F">
        <w:rPr>
          <w:rFonts w:ascii="Aptos Display" w:hAnsi="Aptos Display" w:eastAsia="Aptos Display" w:cs="Aptos Display"/>
          <w:b w:val="1"/>
          <w:bCs w:val="1"/>
          <w:i w:val="0"/>
          <w:iCs w:val="0"/>
          <w:caps w:val="0"/>
          <w:smallCaps w:val="0"/>
          <w:noProof w:val="0"/>
          <w:color w:val="000000" w:themeColor="text1" w:themeTint="FF" w:themeShade="FF"/>
          <w:sz w:val="24"/>
          <w:szCs w:val="24"/>
          <w:lang w:val="en-GB"/>
        </w:rPr>
        <w:t xml:space="preserve"> </w:t>
      </w: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6B56166E" wp14:paraId="6F9CCA69" wp14:textId="36CA881E">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However, research suggests that education alone is unlikely to eliminate inequalities.</w:t>
      </w:r>
    </w:p>
    <w:p xmlns:wp14="http://schemas.microsoft.com/office/word/2010/wordml" w:rsidP="6B56166E" wp14:paraId="0B3D5D56" wp14:textId="69A8CAA3">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Therefore, practitioners should combine information sharing with practical support and targeted interventions.</w:t>
      </w:r>
    </w:p>
    <w:p xmlns:wp14="http://schemas.microsoft.com/office/word/2010/wordml" w:rsidP="6B56166E" wp14:paraId="5E635373" wp14:textId="31EB0557">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This may include adapting approaches for children with additional learning needs, supporting vulnerable families and working collaboratively with health professionals.</w:t>
      </w:r>
    </w:p>
    <w:p xmlns:wp14="http://schemas.microsoft.com/office/word/2010/wordml" w:rsidP="6B56166E" wp14:paraId="443A15ED" wp14:textId="499A4D9C">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Importantly, practitioners should recognise that promoting oral health is not simply about preventing tooth decay. It is about supporting children's overall health, wellbeing and life chances.</w:t>
      </w:r>
    </w:p>
    <w:p xmlns:wp14="http://schemas.microsoft.com/office/word/2010/wordml" w:rsidP="6B56166E" wp14:paraId="5F56AEB9" wp14:textId="2A3FF56E">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xmlns:wp14="http://schemas.microsoft.com/office/word/2010/wordml" w:rsidP="6B56166E" wp14:paraId="7B8DE0DC" wp14:textId="0689C56B">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24"/>
          <w:szCs w:val="24"/>
          <w:lang w:val="en-GB"/>
        </w:rPr>
      </w:pPr>
      <w:r w:rsidRPr="6B56166E" w:rsidR="00B35F7F">
        <w:rPr>
          <w:rFonts w:ascii="Aptos Display" w:hAnsi="Aptos Display" w:eastAsia="Aptos Display" w:cs="Aptos Display"/>
          <w:b w:val="1"/>
          <w:bCs w:val="1"/>
          <w:i w:val="0"/>
          <w:iCs w:val="0"/>
          <w:caps w:val="0"/>
          <w:smallCaps w:val="0"/>
          <w:noProof w:val="0"/>
          <w:color w:val="0F4761" w:themeColor="accent1" w:themeTint="FF" w:themeShade="BF"/>
          <w:sz w:val="24"/>
          <w:szCs w:val="24"/>
          <w:lang w:val="en-GB"/>
        </w:rPr>
        <w:t>Slide 8 – Conclusion</w:t>
      </w:r>
    </w:p>
    <w:p xmlns:wp14="http://schemas.microsoft.com/office/word/2010/wordml" w:rsidP="6B56166E" wp14:paraId="32EF823F" wp14:textId="55406458">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In conclusion, dental health is a significant aspect of children's health and wellbeing.</w:t>
      </w:r>
    </w:p>
    <w:p xmlns:wp14="http://schemas.microsoft.com/office/word/2010/wordml" w:rsidP="6B56166E" wp14:paraId="6724B9A9" wp14:textId="6812DF71">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Although rates of dental decay have improved, substantial inequalities remain.</w:t>
      </w:r>
    </w:p>
    <w:p xmlns:wp14="http://schemas.microsoft.com/office/word/2010/wordml" w:rsidP="6B56166E" wp14:paraId="05E5F924" wp14:textId="2B2D0519">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The evidence presented suggests that poor oral health cannot be understood solely as the result of poor toothbrushing or poor parenting.</w:t>
      </w:r>
    </w:p>
    <w:p xmlns:wp14="http://schemas.microsoft.com/office/word/2010/wordml" w:rsidP="6B56166E" wp14:paraId="62A1E6E4" wp14:textId="09460B7E">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Instead, children's oral health is influenced by a complex interaction of family circumstances, healthcare access, socioeconomic conditions and public policy (Haghi -Ashtiani et al, 2022).</w:t>
      </w:r>
    </w:p>
    <w:p xmlns:wp14="http://schemas.microsoft.com/office/word/2010/wordml" w:rsidP="6B56166E" wp14:paraId="5988C8B6" wp14:textId="139C84B9">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 </w:t>
      </w:r>
      <w:hyperlink r:id="Rad77281989db494b">
        <w:r w:rsidRPr="6B56166E" w:rsidR="00B35F7F">
          <w:rPr>
            <w:rStyle w:val="Hyperlink"/>
            <w:b w:val="0"/>
            <w:bCs w:val="0"/>
            <w:i w:val="0"/>
            <w:iCs w:val="0"/>
            <w:caps w:val="0"/>
            <w:smallCaps w:val="0"/>
            <w:strike w:val="0"/>
            <w:dstrike w:val="0"/>
            <w:noProof w:val="0"/>
            <w:lang w:val="en-GB"/>
          </w:rPr>
          <w:t>https://journals-sagepub-com.uwtsd.idm.oclc.org/doi/epdf/10.1922/CDH_00081Ashtiani07</w:t>
        </w:r>
      </w:hyperlink>
    </w:p>
    <w:p xmlns:wp14="http://schemas.microsoft.com/office/word/2010/wordml" w:rsidP="6B56166E" wp14:paraId="5DB95517" wp14:textId="395302AC">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Maslow's theory demonstrates how poor oral health may affect children's physical, emotional and social wellbeing, while Bronfenbrenner's ecological systems theory provides a powerful framework for understanding the wider influences on oral health outcomes (Maslow, A.H., 1943). </w:t>
      </w:r>
      <w:hyperlink r:id="R2c9dd75fc7c84a45">
        <w:r w:rsidRPr="6B56166E" w:rsidR="00B35F7F">
          <w:rPr>
            <w:rStyle w:val="Hyperlink"/>
            <w:b w:val="1"/>
            <w:bCs w:val="1"/>
            <w:i w:val="0"/>
            <w:iCs w:val="0"/>
            <w:caps w:val="0"/>
            <w:smallCaps w:val="0"/>
            <w:strike w:val="0"/>
            <w:dstrike w:val="0"/>
            <w:noProof w:val="0"/>
            <w:lang w:val="en-GB"/>
          </w:rPr>
          <w:t>https://psychclassics.yorku.ca/Maslow/motivation.htm</w:t>
        </w:r>
      </w:hyperlink>
    </w:p>
    <w:p xmlns:wp14="http://schemas.microsoft.com/office/word/2010/wordml" w:rsidP="6B56166E" wp14:paraId="6A74FB94" wp14:textId="7764CF33">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For early years practitioners, this highlights the importance of adopting holistic, inclusive and evidence-based approaches. Through partnership working, oral health promotion and targeted support, practitioners can contribute to reducing inequalities and improving outcomes for children and families.</w:t>
      </w:r>
    </w:p>
    <w:p xmlns:wp14="http://schemas.microsoft.com/office/word/2010/wordml" w:rsidP="6B56166E" wp14:paraId="4D76C4D2" wp14:textId="40C74AEB">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Thank you for listening.</w:t>
      </w:r>
    </w:p>
    <w:p xmlns:wp14="http://schemas.microsoft.com/office/word/2010/wordml" w:rsidP="6B56166E" wp14:paraId="307C2181" wp14:textId="7A608A62">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xmlns:wp14="http://schemas.microsoft.com/office/word/2010/wordml" w:rsidP="6B56166E" wp14:paraId="2B9540E4" wp14:textId="46CCC946">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Bibliography:</w:t>
      </w:r>
      <w:r>
        <w:br/>
      </w: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World Health Organisation (2026) </w:t>
      </w:r>
      <w:r w:rsidRPr="6B56166E" w:rsidR="00B35F7F">
        <w:rPr>
          <w:rFonts w:ascii="Aptos Display" w:hAnsi="Aptos Display" w:eastAsia="Aptos Display" w:cs="Aptos Display"/>
          <w:b w:val="0"/>
          <w:bCs w:val="0"/>
          <w:i w:val="1"/>
          <w:iCs w:val="1"/>
          <w:caps w:val="0"/>
          <w:smallCaps w:val="0"/>
          <w:noProof w:val="0"/>
          <w:color w:val="000000" w:themeColor="text1" w:themeTint="FF" w:themeShade="FF"/>
          <w:sz w:val="24"/>
          <w:szCs w:val="24"/>
          <w:lang w:val="en-GB"/>
        </w:rPr>
        <w:t>Oral health.</w:t>
      </w: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 Available at: </w:t>
      </w:r>
      <w:hyperlink r:id="R145706478b35420e">
        <w:r w:rsidRPr="6B56166E" w:rsidR="00B35F7F">
          <w:rPr>
            <w:rStyle w:val="Hyperlink"/>
            <w:b w:val="0"/>
            <w:bCs w:val="0"/>
            <w:i w:val="0"/>
            <w:iCs w:val="0"/>
            <w:caps w:val="0"/>
            <w:smallCaps w:val="0"/>
            <w:strike w:val="0"/>
            <w:dstrike w:val="0"/>
            <w:noProof w:val="0"/>
            <w:lang w:val="en-GB"/>
          </w:rPr>
          <w:t>https://www.who.int/health-topics/oral-health#tab=tab_1</w:t>
        </w:r>
      </w:hyperlink>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 (Accessed: 10 June 2026). </w:t>
      </w:r>
    </w:p>
    <w:p xmlns:wp14="http://schemas.microsoft.com/office/word/2010/wordml" w:rsidP="6B56166E" wp14:paraId="54C13779" wp14:textId="06E9C717">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Office for Health Improvement and Disparities (2026) </w:t>
      </w:r>
      <w:r w:rsidRPr="6B56166E" w:rsidR="00B35F7F">
        <w:rPr>
          <w:rFonts w:ascii="Aptos Display" w:hAnsi="Aptos Display" w:eastAsia="Aptos Display" w:cs="Aptos Display"/>
          <w:b w:val="0"/>
          <w:bCs w:val="0"/>
          <w:i w:val="1"/>
          <w:iCs w:val="1"/>
          <w:caps w:val="0"/>
          <w:smallCaps w:val="0"/>
          <w:noProof w:val="0"/>
          <w:color w:val="000000" w:themeColor="text1" w:themeTint="FF" w:themeShade="FF"/>
          <w:sz w:val="24"/>
          <w:szCs w:val="24"/>
          <w:lang w:val="en-GB"/>
        </w:rPr>
        <w:t xml:space="preserve">Short statistical commentary for hospital tooth extractions in 0 – 19 year olds 2025, GOV.UK. </w:t>
      </w: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Available at: </w:t>
      </w:r>
      <w:hyperlink r:id="R12281e02212f4d1c">
        <w:r w:rsidRPr="6B56166E" w:rsidR="00B35F7F">
          <w:rPr>
            <w:rStyle w:val="Hyperlink"/>
            <w:b w:val="0"/>
            <w:bCs w:val="0"/>
            <w:i w:val="0"/>
            <w:iCs w:val="0"/>
            <w:caps w:val="0"/>
            <w:smallCaps w:val="0"/>
            <w:strike w:val="0"/>
            <w:dstrike w:val="0"/>
            <w:noProof w:val="0"/>
            <w:lang w:val="en-GB"/>
          </w:rPr>
          <w:t>https://www.gov.uk/government/statistics/hospital-tooth-extractions-in-0-to-19-year-olds-2025/short-statistical-commentary-for-hospital-tooth-extractions-in-0-to-19-year-olds-2025</w:t>
        </w:r>
      </w:hyperlink>
    </w:p>
    <w:p xmlns:wp14="http://schemas.microsoft.com/office/word/2010/wordml" w:rsidP="6B56166E" wp14:paraId="01B5EA05" wp14:textId="6037DAD9">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strike w:val="0"/>
          <w:dstrike w:val="0"/>
          <w:noProof w:val="0"/>
          <w:color w:val="000000" w:themeColor="text1" w:themeTint="FF" w:themeShade="FF"/>
          <w:sz w:val="24"/>
          <w:szCs w:val="24"/>
          <w:u w:val="none"/>
          <w:lang w:val="en-GB"/>
        </w:rPr>
        <w:t xml:space="preserve">Public Health Wales (2026) </w:t>
      </w:r>
      <w:r w:rsidRPr="6B56166E" w:rsidR="00B35F7F">
        <w:rPr>
          <w:rFonts w:ascii="Aptos Display" w:hAnsi="Aptos Display" w:eastAsia="Aptos Display" w:cs="Aptos Display"/>
          <w:b w:val="0"/>
          <w:bCs w:val="0"/>
          <w:i w:val="1"/>
          <w:iCs w:val="1"/>
          <w:caps w:val="0"/>
          <w:smallCaps w:val="0"/>
          <w:strike w:val="0"/>
          <w:dstrike w:val="0"/>
          <w:noProof w:val="0"/>
          <w:color w:val="000000" w:themeColor="text1" w:themeTint="FF" w:themeShade="FF"/>
          <w:sz w:val="24"/>
          <w:szCs w:val="24"/>
          <w:u w:val="none"/>
          <w:lang w:val="en-GB"/>
        </w:rPr>
        <w:t xml:space="preserve">Oral health of 5-year-old children in Wales in 2024/25. Cardiff: Public Health Wales. Available at: </w:t>
      </w:r>
      <w:hyperlink r:id="Rf23f342d96474f3f">
        <w:r w:rsidRPr="6B56166E" w:rsidR="00B35F7F">
          <w:rPr>
            <w:rStyle w:val="Hyperlink"/>
            <w:b w:val="0"/>
            <w:bCs w:val="0"/>
            <w:i w:val="0"/>
            <w:iCs w:val="0"/>
            <w:caps w:val="0"/>
            <w:smallCaps w:val="0"/>
            <w:strike w:val="0"/>
            <w:dstrike w:val="0"/>
            <w:noProof w:val="0"/>
            <w:lang w:val="en-GB"/>
          </w:rPr>
          <w:t>https://phw.nhs.wales/app/uploads/sites/2/2026/03/Oral-health-of-5-year-old-children-in-Wales-in-2024-to-25.pdf</w:t>
        </w:r>
      </w:hyperlink>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  (Accessed: 10 June 2026). </w:t>
      </w:r>
    </w:p>
    <w:p xmlns:wp14="http://schemas.microsoft.com/office/word/2010/wordml" w:rsidP="6B56166E" wp14:paraId="24633698" wp14:textId="29BCAD9E">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Maslow, A.H. (1943) ‘A theory of human motivation’, </w:t>
      </w:r>
      <w:r w:rsidRPr="6B56166E" w:rsidR="00B35F7F">
        <w:rPr>
          <w:rFonts w:ascii="Aptos Display" w:hAnsi="Aptos Display" w:eastAsia="Aptos Display" w:cs="Aptos Display"/>
          <w:b w:val="0"/>
          <w:bCs w:val="0"/>
          <w:i w:val="1"/>
          <w:iCs w:val="1"/>
          <w:caps w:val="0"/>
          <w:smallCaps w:val="0"/>
          <w:noProof w:val="0"/>
          <w:color w:val="000000" w:themeColor="text1" w:themeTint="FF" w:themeShade="FF"/>
          <w:sz w:val="24"/>
          <w:szCs w:val="24"/>
          <w:lang w:val="en-GB"/>
        </w:rPr>
        <w:t>Psychological Review,</w:t>
      </w: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 50(4), pp. 370-396. Available at: </w:t>
      </w:r>
      <w:hyperlink r:id="Rc946f4b76b1d4a9c">
        <w:r w:rsidRPr="6B56166E" w:rsidR="00B35F7F">
          <w:rPr>
            <w:rStyle w:val="Hyperlink"/>
            <w:b w:val="0"/>
            <w:bCs w:val="0"/>
            <w:i w:val="0"/>
            <w:iCs w:val="0"/>
            <w:caps w:val="0"/>
            <w:smallCaps w:val="0"/>
            <w:strike w:val="0"/>
            <w:dstrike w:val="0"/>
            <w:noProof w:val="0"/>
            <w:lang w:val="en-GB"/>
          </w:rPr>
          <w:t>https://psychclassics.yorku.ca/Maslow/motivation.htm</w:t>
        </w:r>
      </w:hyperlink>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  (Accessed: 05 June 2026). </w:t>
      </w:r>
    </w:p>
    <w:p xmlns:wp14="http://schemas.microsoft.com/office/word/2010/wordml" w:rsidP="6B56166E" wp14:paraId="5BFA581A" wp14:textId="39D3269C">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Fireman, N., Dezateux, C. and Muirhead, V. (2024) </w:t>
      </w:r>
      <w:r w:rsidRPr="6B56166E" w:rsidR="00B35F7F">
        <w:rPr>
          <w:rFonts w:ascii="Aptos Display" w:hAnsi="Aptos Display" w:eastAsia="Aptos Display" w:cs="Aptos Display"/>
          <w:b w:val="0"/>
          <w:bCs w:val="0"/>
          <w:i w:val="1"/>
          <w:iCs w:val="1"/>
          <w:caps w:val="0"/>
          <w:smallCaps w:val="0"/>
          <w:noProof w:val="0"/>
          <w:color w:val="000000" w:themeColor="text1" w:themeTint="FF" w:themeShade="FF"/>
          <w:sz w:val="24"/>
          <w:szCs w:val="24"/>
          <w:lang w:val="en-GB"/>
        </w:rPr>
        <w:t>Inequalities in children's tooth decay requiring dental extraction under general anaesthetic: a longitudinal study using linked electronic health records</w:t>
      </w: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 Available at: </w:t>
      </w:r>
      <w:hyperlink r:id="R17ca362b31d64550">
        <w:r w:rsidRPr="6B56166E" w:rsidR="00B35F7F">
          <w:rPr>
            <w:rStyle w:val="Hyperlink"/>
            <w:b w:val="0"/>
            <w:bCs w:val="0"/>
            <w:i w:val="0"/>
            <w:iCs w:val="0"/>
            <w:caps w:val="0"/>
            <w:smallCaps w:val="0"/>
            <w:strike w:val="0"/>
            <w:dstrike w:val="0"/>
            <w:noProof w:val="0"/>
            <w:lang w:val="en-GB"/>
          </w:rPr>
          <w:t>https://bmjpublichealth.bmj.com/content/2/1/e000622</w:t>
        </w:r>
      </w:hyperlink>
      <w:r w:rsidRPr="6B56166E" w:rsidR="00B35F7F">
        <w:rPr>
          <w:rFonts w:ascii="Aptos Display" w:hAnsi="Aptos Display" w:eastAsia="Aptos Display" w:cs="Aptos Display"/>
          <w:b w:val="0"/>
          <w:bCs w:val="0"/>
          <w:i w:val="0"/>
          <w:iCs w:val="0"/>
          <w:caps w:val="0"/>
          <w:smallCaps w:val="0"/>
          <w:strike w:val="0"/>
          <w:dstrike w:val="0"/>
          <w:noProof w:val="0"/>
          <w:color w:val="000000" w:themeColor="text1" w:themeTint="FF" w:themeShade="FF"/>
          <w:sz w:val="24"/>
          <w:szCs w:val="24"/>
          <w:u w:val="none"/>
          <w:lang w:val="en-GB"/>
        </w:rPr>
        <w:t xml:space="preserve"> (accessed: 15 June 2026). </w:t>
      </w:r>
    </w:p>
    <w:p xmlns:wp14="http://schemas.microsoft.com/office/word/2010/wordml" w:rsidP="6B56166E" wp14:paraId="556A53D8" wp14:textId="23293F81">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strike w:val="0"/>
          <w:dstrike w:val="0"/>
          <w:noProof w:val="0"/>
          <w:color w:val="000000" w:themeColor="text1" w:themeTint="FF" w:themeShade="FF"/>
          <w:sz w:val="24"/>
          <w:szCs w:val="24"/>
          <w:u w:val="none"/>
          <w:lang w:val="en-GB"/>
        </w:rPr>
        <w:t xml:space="preserve">Department of Education (2024) </w:t>
      </w:r>
      <w:r w:rsidRPr="6B56166E" w:rsidR="00B35F7F">
        <w:rPr>
          <w:rFonts w:ascii="Aptos Display" w:hAnsi="Aptos Display" w:eastAsia="Aptos Display" w:cs="Aptos Display"/>
          <w:b w:val="0"/>
          <w:bCs w:val="0"/>
          <w:i w:val="1"/>
          <w:iCs w:val="1"/>
          <w:caps w:val="0"/>
          <w:smallCaps w:val="0"/>
          <w:strike w:val="0"/>
          <w:dstrike w:val="0"/>
          <w:noProof w:val="0"/>
          <w:color w:val="000000" w:themeColor="text1" w:themeTint="FF" w:themeShade="FF"/>
          <w:sz w:val="24"/>
          <w:szCs w:val="24"/>
          <w:u w:val="none"/>
          <w:lang w:val="en-GB"/>
        </w:rPr>
        <w:t xml:space="preserve">Early Years Foundation Stage (EYFS) statutory framework: for group and school-based providers. </w:t>
      </w:r>
      <w:r w:rsidRPr="6B56166E" w:rsidR="00B35F7F">
        <w:rPr>
          <w:rFonts w:ascii="Aptos Display" w:hAnsi="Aptos Display" w:eastAsia="Aptos Display" w:cs="Aptos Display"/>
          <w:b w:val="0"/>
          <w:bCs w:val="0"/>
          <w:i w:val="0"/>
          <w:iCs w:val="0"/>
          <w:caps w:val="0"/>
          <w:smallCaps w:val="0"/>
          <w:strike w:val="0"/>
          <w:dstrike w:val="0"/>
          <w:noProof w:val="0"/>
          <w:color w:val="000000" w:themeColor="text1" w:themeTint="FF" w:themeShade="FF"/>
          <w:sz w:val="24"/>
          <w:szCs w:val="24"/>
          <w:u w:val="none"/>
          <w:lang w:val="en-GB"/>
        </w:rPr>
        <w:t>Available</w:t>
      </w:r>
      <w:r w:rsidRPr="6B56166E" w:rsidR="00B35F7F">
        <w:rPr>
          <w:rFonts w:ascii="Aptos Display" w:hAnsi="Aptos Display" w:eastAsia="Aptos Display" w:cs="Aptos Display"/>
          <w:b w:val="0"/>
          <w:bCs w:val="0"/>
          <w:i w:val="1"/>
          <w:iCs w:val="1"/>
          <w:caps w:val="0"/>
          <w:smallCaps w:val="0"/>
          <w:strike w:val="0"/>
          <w:dstrike w:val="0"/>
          <w:noProof w:val="0"/>
          <w:color w:val="000000" w:themeColor="text1" w:themeTint="FF" w:themeShade="FF"/>
          <w:sz w:val="24"/>
          <w:szCs w:val="24"/>
          <w:u w:val="none"/>
          <w:lang w:val="en-GB"/>
        </w:rPr>
        <w:t xml:space="preserve"> at:</w:t>
      </w:r>
      <w:hyperlink r:id="Re3a9a71292cf4b70">
        <w:r w:rsidRPr="6B56166E" w:rsidR="00B35F7F">
          <w:rPr>
            <w:rStyle w:val="Hyperlink"/>
            <w:b w:val="0"/>
            <w:bCs w:val="0"/>
            <w:i w:val="0"/>
            <w:iCs w:val="0"/>
            <w:caps w:val="0"/>
            <w:smallCaps w:val="0"/>
            <w:strike w:val="0"/>
            <w:dstrike w:val="0"/>
            <w:noProof w:val="0"/>
            <w:lang w:val="en-GB"/>
          </w:rPr>
          <w:t>https://assets.publishing.service.gov.uk/media/68c024cb8c6d992f23edd79c/Early_years_foundation_stage_statutory_framework_-_for_group_and_school-based_providers.pdf.pdf</w:t>
        </w:r>
      </w:hyperlink>
      <w:r w:rsidRPr="6B56166E" w:rsidR="00B35F7F">
        <w:rPr>
          <w:rFonts w:ascii="Aptos Display" w:hAnsi="Aptos Display" w:eastAsia="Aptos Display" w:cs="Aptos Display"/>
          <w:b w:val="0"/>
          <w:bCs w:val="0"/>
          <w:i w:val="0"/>
          <w:iCs w:val="0"/>
          <w:caps w:val="0"/>
          <w:smallCaps w:val="0"/>
          <w:strike w:val="0"/>
          <w:dstrike w:val="0"/>
          <w:noProof w:val="0"/>
          <w:color w:val="000000" w:themeColor="text1" w:themeTint="FF" w:themeShade="FF"/>
          <w:sz w:val="24"/>
          <w:szCs w:val="24"/>
          <w:u w:val="none"/>
          <w:lang w:val="en-GB"/>
        </w:rPr>
        <w:t xml:space="preserve"> (Accessed: 15 June 2026). </w:t>
      </w:r>
    </w:p>
    <w:p xmlns:wp14="http://schemas.microsoft.com/office/word/2010/wordml" w:rsidP="6B56166E" wp14:paraId="4C5C33C3" wp14:textId="25F24D0F">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National Institute for Health and Care Excellence (2014) </w:t>
      </w:r>
      <w:r w:rsidRPr="6B56166E" w:rsidR="00B35F7F">
        <w:rPr>
          <w:rFonts w:ascii="Aptos Display" w:hAnsi="Aptos Display" w:eastAsia="Aptos Display" w:cs="Aptos Display"/>
          <w:b w:val="0"/>
          <w:bCs w:val="0"/>
          <w:i w:val="1"/>
          <w:iCs w:val="1"/>
          <w:caps w:val="0"/>
          <w:smallCaps w:val="0"/>
          <w:noProof w:val="0"/>
          <w:color w:val="000000" w:themeColor="text1" w:themeTint="FF" w:themeShade="FF"/>
          <w:sz w:val="24"/>
          <w:szCs w:val="24"/>
          <w:lang w:val="en-GB"/>
        </w:rPr>
        <w:t xml:space="preserve">Oral health: local authorities and partners (PH55). </w:t>
      </w: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London: NICE. Available at: </w:t>
      </w:r>
      <w:hyperlink r:id="Re3a99d2181fd461a">
        <w:r w:rsidRPr="6B56166E" w:rsidR="00B35F7F">
          <w:rPr>
            <w:rStyle w:val="Hyperlink"/>
            <w:b w:val="0"/>
            <w:bCs w:val="0"/>
            <w:i w:val="0"/>
            <w:iCs w:val="0"/>
            <w:caps w:val="0"/>
            <w:smallCaps w:val="0"/>
            <w:strike w:val="0"/>
            <w:dstrike w:val="0"/>
            <w:noProof w:val="0"/>
            <w:lang w:val="en-GB"/>
          </w:rPr>
          <w:t>https://www.nice.org.uk/guidance/ph55/resources/oral-health-local-authorities-and-partners-pdf-1996420085701</w:t>
        </w:r>
      </w:hyperlink>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  (Accessed: 15 June 2026). </w:t>
      </w:r>
    </w:p>
    <w:p xmlns:wp14="http://schemas.microsoft.com/office/word/2010/wordml" w:rsidP="6B56166E" wp14:paraId="32691B93" wp14:textId="44D88F63">
      <w:pPr>
        <w:spacing w:before="0" w:beforeAutospacing="off" w:after="160" w:afterAutospacing="off" w:line="360" w:lineRule="auto"/>
        <w:ind w:left="0" w:right="0"/>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Bronfenbrenner, U. (1979). The Ecology of Human Development. Cambridge, MA: Harvard University Press.</w:t>
      </w:r>
    </w:p>
    <w:p xmlns:wp14="http://schemas.microsoft.com/office/word/2010/wordml" w:rsidP="6B56166E" wp14:paraId="2AF5914F" wp14:textId="52814702">
      <w:pPr>
        <w:spacing w:before="0" w:beforeAutospacing="off" w:after="160" w:afterAutospacing="off" w:line="360" w:lineRule="auto"/>
        <w:ind w:left="0" w:right="0"/>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British Dental Asscoaition (2021) ‘Oral health omitted from Early Years Review’, </w:t>
      </w:r>
      <w:r w:rsidRPr="6B56166E" w:rsidR="00B35F7F">
        <w:rPr>
          <w:rFonts w:ascii="Aptos Display" w:hAnsi="Aptos Display" w:eastAsia="Aptos Display" w:cs="Aptos Display"/>
          <w:b w:val="0"/>
          <w:bCs w:val="0"/>
          <w:i w:val="1"/>
          <w:iCs w:val="1"/>
          <w:caps w:val="0"/>
          <w:smallCaps w:val="0"/>
          <w:noProof w:val="0"/>
          <w:color w:val="000000" w:themeColor="text1" w:themeTint="FF" w:themeShade="FF"/>
          <w:sz w:val="24"/>
          <w:szCs w:val="24"/>
          <w:lang w:val="en-GB"/>
        </w:rPr>
        <w:t>British Dental Journal, Vol. 230, no. 7, pp.389.</w:t>
      </w: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 Available at: </w:t>
      </w:r>
      <w:hyperlink r:id="Rf43282e7c3be4bdb">
        <w:r w:rsidRPr="6B56166E" w:rsidR="00B35F7F">
          <w:rPr>
            <w:rStyle w:val="Hyperlink"/>
            <w:b w:val="0"/>
            <w:bCs w:val="0"/>
            <w:i w:val="0"/>
            <w:iCs w:val="0"/>
            <w:caps w:val="0"/>
            <w:smallCaps w:val="0"/>
            <w:strike w:val="0"/>
            <w:dstrike w:val="0"/>
            <w:noProof w:val="0"/>
            <w:lang w:val="en-GB"/>
          </w:rPr>
          <w:t>https://www.proquest.com/docview/2510491641?accountid=130472&amp;parentSessionId=oHtxkhGifhNe2kYNJn0s92j0hqIyjiHNSct5EoYv38k%3D&amp;pq-origsite=primo&amp;sourcetype=Scholarly%20Journals</w:t>
        </w:r>
      </w:hyperlink>
      <w:r w:rsidRPr="6B56166E" w:rsidR="00B35F7F">
        <w:rPr>
          <w:rFonts w:ascii="Aptos Display" w:hAnsi="Aptos Display" w:eastAsia="Aptos Display" w:cs="Aptos Display"/>
          <w:b w:val="0"/>
          <w:bCs w:val="0"/>
          <w:i w:val="0"/>
          <w:iCs w:val="0"/>
          <w:caps w:val="0"/>
          <w:smallCaps w:val="0"/>
          <w:strike w:val="0"/>
          <w:dstrike w:val="0"/>
          <w:noProof w:val="0"/>
          <w:color w:val="000000" w:themeColor="text1" w:themeTint="FF" w:themeShade="FF"/>
          <w:sz w:val="24"/>
          <w:szCs w:val="24"/>
          <w:u w:val="none"/>
          <w:lang w:val="en-GB"/>
        </w:rPr>
        <w:t xml:space="preserve"> (Accessed: 15 June 2026).</w:t>
      </w:r>
    </w:p>
    <w:p xmlns:wp14="http://schemas.microsoft.com/office/word/2010/wordml" w:rsidP="6B56166E" wp14:paraId="725D4BEA" wp14:textId="1D9DCC83">
      <w:pPr>
        <w:spacing w:before="0" w:beforeAutospacing="off" w:after="160" w:afterAutospacing="off" w:line="360" w:lineRule="auto"/>
        <w:ind w:left="0" w:right="0"/>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strike w:val="0"/>
          <w:dstrike w:val="0"/>
          <w:noProof w:val="0"/>
          <w:color w:val="000000" w:themeColor="text1" w:themeTint="FF" w:themeShade="FF"/>
          <w:sz w:val="24"/>
          <w:szCs w:val="24"/>
          <w:u w:val="none"/>
          <w:lang w:val="en-GB"/>
        </w:rPr>
        <w:t xml:space="preserve">Blomma, C., Davidson, T., Elisabeth, W.G., Bagesund, M. and Lyth, J. (2024) ‘persistent oral health inequality in children – repeated cross-sectional studies in  2010 and 2019’, </w:t>
      </w:r>
      <w:r w:rsidRPr="6B56166E" w:rsidR="00B35F7F">
        <w:rPr>
          <w:rFonts w:ascii="Aptos Display" w:hAnsi="Aptos Display" w:eastAsia="Aptos Display" w:cs="Aptos Display"/>
          <w:b w:val="0"/>
          <w:bCs w:val="0"/>
          <w:i w:val="1"/>
          <w:iCs w:val="1"/>
          <w:caps w:val="0"/>
          <w:smallCaps w:val="0"/>
          <w:strike w:val="0"/>
          <w:dstrike w:val="0"/>
          <w:noProof w:val="0"/>
          <w:color w:val="000000" w:themeColor="text1" w:themeTint="FF" w:themeShade="FF"/>
          <w:sz w:val="24"/>
          <w:szCs w:val="24"/>
          <w:u w:val="none"/>
          <w:lang w:val="en-GB"/>
        </w:rPr>
        <w:t xml:space="preserve">BMC Public Health, vol, 24. PP, 1-24. </w:t>
      </w:r>
      <w:r w:rsidRPr="6B56166E" w:rsidR="00B35F7F">
        <w:rPr>
          <w:rFonts w:ascii="Aptos Display" w:hAnsi="Aptos Display" w:eastAsia="Aptos Display" w:cs="Aptos Display"/>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7c0176536c1a40d7">
        <w:r w:rsidRPr="6B56166E" w:rsidR="00B35F7F">
          <w:rPr>
            <w:rStyle w:val="Hyperlink"/>
            <w:b w:val="0"/>
            <w:bCs w:val="0"/>
            <w:i w:val="0"/>
            <w:iCs w:val="0"/>
            <w:caps w:val="0"/>
            <w:smallCaps w:val="0"/>
            <w:strike w:val="0"/>
            <w:dstrike w:val="0"/>
            <w:noProof w:val="0"/>
            <w:lang w:val="en-GB"/>
          </w:rPr>
          <w:t>https://www.proquest.com/docview/3152693660?accountid=130472&amp;parentSessionId=sz%2BCaVA%2Fvraj0BcEjtCcTd6Sn1BotethCC%2BDQx6nar0%3D&amp;pq-origsite=primo&amp;sourcetype=Scholarly%20Journals</w:t>
        </w:r>
      </w:hyperlink>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   (Accessed: 10 June 2026). </w:t>
      </w:r>
    </w:p>
    <w:p xmlns:wp14="http://schemas.microsoft.com/office/word/2010/wordml" w:rsidP="6B56166E" wp14:paraId="45505E0F" wp14:textId="6E56968B">
      <w:pP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Haghi-Ashtiani, B., Innes, N., Clarkson, J.E. and El Tantawi, M. (2022) ‘The impact of oral health training on early years workforce: Knowledge, skills and behaviours’, </w:t>
      </w:r>
      <w:r w:rsidRPr="6B56166E" w:rsidR="00B35F7F">
        <w:rPr>
          <w:rFonts w:ascii="Aptos Display" w:hAnsi="Aptos Display" w:eastAsia="Aptos Display" w:cs="Aptos Display"/>
          <w:b w:val="0"/>
          <w:bCs w:val="0"/>
          <w:i w:val="1"/>
          <w:iCs w:val="1"/>
          <w:caps w:val="0"/>
          <w:smallCaps w:val="0"/>
          <w:noProof w:val="0"/>
          <w:color w:val="000000" w:themeColor="text1" w:themeTint="FF" w:themeShade="FF"/>
          <w:sz w:val="24"/>
          <w:szCs w:val="24"/>
          <w:lang w:val="en-GB"/>
        </w:rPr>
        <w:t xml:space="preserve">Community Dental Health, 39(4), pp. 261-266. </w:t>
      </w:r>
      <w:r w:rsidRPr="6B56166E" w:rsidR="00B35F7F">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Available at: </w:t>
      </w:r>
      <w:hyperlink r:id="Rd5c395bd27794cfc">
        <w:r w:rsidRPr="6B56166E" w:rsidR="00B35F7F">
          <w:rPr>
            <w:rStyle w:val="Hyperlink"/>
            <w:b w:val="0"/>
            <w:bCs w:val="0"/>
            <w:i w:val="0"/>
            <w:iCs w:val="0"/>
            <w:caps w:val="0"/>
            <w:smallCaps w:val="0"/>
            <w:strike w:val="0"/>
            <w:dstrike w:val="0"/>
            <w:noProof w:val="0"/>
            <w:lang w:val="en-GB"/>
          </w:rPr>
          <w:t>https://journals-sagepub-com.uwtsd.idm.oclc.org/doi/epdf/10.1922/CDH_00081Ashtiani07</w:t>
        </w:r>
      </w:hyperlink>
      <w:r w:rsidRPr="6B56166E" w:rsidR="00B35F7F">
        <w:rPr>
          <w:rFonts w:ascii="Aptos Display" w:hAnsi="Aptos Display" w:eastAsia="Aptos Display" w:cs="Aptos Display"/>
          <w:b w:val="0"/>
          <w:bCs w:val="0"/>
          <w:i w:val="0"/>
          <w:iCs w:val="0"/>
          <w:caps w:val="0"/>
          <w:smallCaps w:val="0"/>
          <w:strike w:val="0"/>
          <w:dstrike w:val="0"/>
          <w:noProof w:val="0"/>
          <w:color w:val="000000" w:themeColor="text1" w:themeTint="FF" w:themeShade="FF"/>
          <w:sz w:val="24"/>
          <w:szCs w:val="24"/>
          <w:u w:val="none"/>
          <w:lang w:val="en-GB"/>
        </w:rPr>
        <w:t xml:space="preserve"> (Accessed: 10 June 2026).</w:t>
      </w:r>
    </w:p>
    <w:p xmlns:wp14="http://schemas.microsoft.com/office/word/2010/wordml" wp14:paraId="5E5787A5" wp14:textId="70226EB3"/>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47EF8F"/>
    <w:rsid w:val="00B35F7F"/>
    <w:rsid w:val="2147EF8F"/>
    <w:rsid w:val="6B5616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0DEA8"/>
  <w15:chartTrackingRefBased/>
  <w15:docId w15:val="{C260B763-BB1B-4033-BA0F-61E7D6A8043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6B56166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6B56166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rammarly.com/" TargetMode="External" Id="R7e569ccb0b18476a" /><Relationship Type="http://schemas.openxmlformats.org/officeDocument/2006/relationships/hyperlink" Target="https://www.who.int/health-topics/oral-health#tab=tab_1" TargetMode="External" Id="R0d36601ef9384d60" /><Relationship Type="http://schemas.openxmlformats.org/officeDocument/2006/relationships/hyperlink" Target="https://www.gov.uk/government/statistics/hospital-tooth-extractions-in-0-to-19-year-olds-2025/short-statistical-commentary-for-hospital-tooth-extractions-in-0-to-19-year-olds-2025" TargetMode="External" Id="R2b9d0240043a4aec" /><Relationship Type="http://schemas.openxmlformats.org/officeDocument/2006/relationships/hyperlink" Target="https://phw.nhs.wales/app/uploads/sites/2/2026/03/Oral-health-of-5-year-old-children-in-Wales-in-2024-to-25.pdf" TargetMode="External" Id="R39b97812381c47c5" /><Relationship Type="http://schemas.openxmlformats.org/officeDocument/2006/relationships/hyperlink" Target="https://phw.nhs.wales/app/uploads/sites/2/2026/03/Oral-health-of-5-year-old-children-in-Wales-in-2024-to-25.pdf" TargetMode="External" Id="R016e50dce71043b7" /><Relationship Type="http://schemas.openxmlformats.org/officeDocument/2006/relationships/hyperlink" Target="https://psychclassics.yorku.ca/Maslow/motivation.htm" TargetMode="External" Id="Rc3415b263a644da5" /><Relationship Type="http://schemas.openxmlformats.org/officeDocument/2006/relationships/hyperlink" Target="https://www.proquest.com/docview/3096450509?accountid=130472&amp;sourcetype=Scholarly%20Journals" TargetMode="External" Id="R947e1de8e49049e1" /><Relationship Type="http://schemas.openxmlformats.org/officeDocument/2006/relationships/hyperlink" Target="https://www.proquest.com/docview/2510491641?accountid=130472&amp;parentSessionId=oHtxkhGifhNe2kYNJn0s92j0hqIyjiHNSct5EoYv38k%3D&amp;pq-origsite=primo&amp;sourcetype=Scholarly%20Journals" TargetMode="External" Id="Rcfca59438f8749fa" /><Relationship Type="http://schemas.openxmlformats.org/officeDocument/2006/relationships/hyperlink" Target="https://psychclassics.yorku.ca/Maslow/motivation.htm" TargetMode="External" Id="Rf4b372a6356e410a" /><Relationship Type="http://schemas.openxmlformats.org/officeDocument/2006/relationships/hyperlink" Target="https://psychclassics.yorku.ca/Maslow/motivation.htm" TargetMode="External" Id="R346eb9e44e9b4a73" /><Relationship Type="http://schemas.openxmlformats.org/officeDocument/2006/relationships/hyperlink" Target="https://phw.nhs.wales/app/uploads/sites/2/2026/03/Oral-health-of-5-year-old-children-in-Wales-in-2024-to-25.pdf" TargetMode="External" Id="Rf527ec6a674d4674" /><Relationship Type="http://schemas.openxmlformats.org/officeDocument/2006/relationships/hyperlink" Target="https://bmjpublichealth.bmj.com/content/2/1/e000622" TargetMode="External" Id="R3536ae4324b24abb" /><Relationship Type="http://schemas.openxmlformats.org/officeDocument/2006/relationships/hyperlink" Target="https://assets.publishing.service.gov.uk/media/68c024cb8c6d992f23edd79c/Early_years_foundation_stage_statutory_framework_-_for_group_and_school-based_providers.pdf.pdf" TargetMode="External" Id="Re553af3c57a0403d" /><Relationship Type="http://schemas.openxmlformats.org/officeDocument/2006/relationships/hyperlink" Target="https://www.nice.org.uk/guidance/ph55/resources/oral-health-local-authorities-and-partners-pdf-1996420085701" TargetMode="External" Id="R6b6daacad283408f" /><Relationship Type="http://schemas.openxmlformats.org/officeDocument/2006/relationships/hyperlink" Target="https://www.proquest.com/docview/3152693660?accountid=130472&amp;parentSessionId=sz%2BCaVA%2Fvraj0BcEjtCcTd6Sn1BotethCC%2BDQx6nar0%3D&amp;pq-origsite=primo&amp;sourcetype=Scholarly%20Journals" TargetMode="External" Id="R7172e3788d8d4963" /><Relationship Type="http://schemas.openxmlformats.org/officeDocument/2006/relationships/hyperlink" Target="https://khoerulanwarbk.wordpress.com/wp-content/uploads/2015/08/urie_bronfenbrenner_the_ecology_of_human_developbokos-z1.pdf" TargetMode="External" Id="R8a337c618dff4a20" /><Relationship Type="http://schemas.openxmlformats.org/officeDocument/2006/relationships/hyperlink" Target="https://www.gov.uk/government/publications/improving-oral-health-supervised-tooth-brushing-programme-toolkit/commissioning-and-delivering-supervised-toothbrushing-schemes-in-early-years-and-school-settings" TargetMode="External" Id="R59e14e1766534f49" /><Relationship Type="http://schemas.openxmlformats.org/officeDocument/2006/relationships/hyperlink" Target="https://www.nice.org.uk/guidance/ph55/resources/oral-health-local-authorities-and-partners-pdf-1996420085701" TargetMode="External" Id="R05e8f1654bb14e92" /><Relationship Type="http://schemas.openxmlformats.org/officeDocument/2006/relationships/hyperlink" Target="https://psychclassics.yorku.ca/Maslow/motivation.htm" TargetMode="External" Id="Rb8754e5ba9e942be" /><Relationship Type="http://schemas.openxmlformats.org/officeDocument/2006/relationships/hyperlink" Target="https://khoerulanwarbk.wordpress.com/wp-content/uploads/2015/08/urie_bronfenbrenner_the_ecology_of_human_developbokos-z1.pdf" TargetMode="External" Id="R00692995a2d248d1" /><Relationship Type="http://schemas.openxmlformats.org/officeDocument/2006/relationships/hyperlink" Target="https://www.nice.org.uk/guidance/ph55/resources/oral-health-local-authorities-and-partners-pdf-1996420085701" TargetMode="External" Id="Rba308819c34d465b" /><Relationship Type="http://schemas.openxmlformats.org/officeDocument/2006/relationships/hyperlink" Target="https://www.nice.org.uk/guidance/ph55/resources/oral-health-local-authorities-and-partners-pdf-1996420085701" TargetMode="External" Id="R113d89e811984b90" /><Relationship Type="http://schemas.openxmlformats.org/officeDocument/2006/relationships/hyperlink" Target="https://www.nice.org.uk/guidance/ph55/resources/oral-health-local-authorities-and-partners-pdf-1996420085701" TargetMode="External" Id="Rae8f73bea1444537" /><Relationship Type="http://schemas.openxmlformats.org/officeDocument/2006/relationships/hyperlink" Target="https://journals-sagepub-com.uwtsd.idm.oclc.org/doi/epdf/10.1922/CDH_00081Ashtiani07" TargetMode="External" Id="Rad77281989db494b" /><Relationship Type="http://schemas.openxmlformats.org/officeDocument/2006/relationships/hyperlink" Target="https://psychclassics.yorku.ca/Maslow/motivation.htm" TargetMode="External" Id="R2c9dd75fc7c84a45" /><Relationship Type="http://schemas.openxmlformats.org/officeDocument/2006/relationships/hyperlink" Target="https://www.who.int/health-topics/oral-health#tab=tab_1" TargetMode="External" Id="R145706478b35420e" /><Relationship Type="http://schemas.openxmlformats.org/officeDocument/2006/relationships/hyperlink" Target="https://www.gov.uk/government/statistics/hospital-tooth-extractions-in-0-to-19-year-olds-2025/short-statistical-commentary-for-hospital-tooth-extractions-in-0-to-19-year-olds-2025" TargetMode="External" Id="R12281e02212f4d1c" /><Relationship Type="http://schemas.openxmlformats.org/officeDocument/2006/relationships/hyperlink" Target="https://phw.nhs.wales/app/uploads/sites/2/2026/03/Oral-health-of-5-year-old-children-in-Wales-in-2024-to-25.pdf" TargetMode="External" Id="Rf23f342d96474f3f" /><Relationship Type="http://schemas.openxmlformats.org/officeDocument/2006/relationships/hyperlink" Target="https://psychclassics.yorku.ca/Maslow/motivation.htm" TargetMode="External" Id="Rc946f4b76b1d4a9c" /><Relationship Type="http://schemas.openxmlformats.org/officeDocument/2006/relationships/hyperlink" Target="https://bmjpublichealth.bmj.com/content/2/1/e000622" TargetMode="External" Id="R17ca362b31d64550" /><Relationship Type="http://schemas.openxmlformats.org/officeDocument/2006/relationships/hyperlink" Target="https://assets.publishing.service.gov.uk/media/68c024cb8c6d992f23edd79c/Early_years_foundation_stage_statutory_framework_-_for_group_and_school-based_providers.pdf.pdf" TargetMode="External" Id="Re3a9a71292cf4b70" /><Relationship Type="http://schemas.openxmlformats.org/officeDocument/2006/relationships/hyperlink" Target="https://www.nice.org.uk/guidance/ph55/resources/oral-health-local-authorities-and-partners-pdf-1996420085701" TargetMode="External" Id="Re3a99d2181fd461a" /><Relationship Type="http://schemas.openxmlformats.org/officeDocument/2006/relationships/hyperlink" Target="https://www.proquest.com/docview/2510491641?accountid=130472&amp;parentSessionId=oHtxkhGifhNe2kYNJn0s92j0hqIyjiHNSct5EoYv38k%3D&amp;pq-origsite=primo&amp;sourcetype=Scholarly%20Journals" TargetMode="External" Id="Rf43282e7c3be4bdb" /><Relationship Type="http://schemas.openxmlformats.org/officeDocument/2006/relationships/hyperlink" Target="https://www.proquest.com/docview/3152693660?accountid=130472&amp;parentSessionId=sz%2BCaVA%2Fvraj0BcEjtCcTd6Sn1BotethCC%2BDQx6nar0%3D&amp;pq-origsite=primo&amp;sourcetype=Scholarly%20Journals" TargetMode="External" Id="R7c0176536c1a40d7" /><Relationship Type="http://schemas.openxmlformats.org/officeDocument/2006/relationships/hyperlink" Target="https://journals-sagepub-com.uwtsd.idm.oclc.org/doi/epdf/10.1922/CDH_00081Ashtiani07" TargetMode="External" Id="Rd5c395bd27794cf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Display"/>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Lydia Waters (2416674)</dc:creator>
  <keywords/>
  <dc:description/>
  <lastModifiedBy>Lydia Waters (2416674)</lastModifiedBy>
  <revision>2</revision>
  <dcterms:created xsi:type="dcterms:W3CDTF">2026-06-25T19:45:22.1096582Z</dcterms:created>
  <dcterms:modified xsi:type="dcterms:W3CDTF">2026-06-25T19:45:44.3829571Z</dcterms:modified>
</coreProperties>
</file>