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ind w:left="0" w:right="0" w:firstLine="360"/>
        <w:jc w:val="left"/>
        <w:rPr>
          <w:rFonts w:ascii="Arial" w:hAnsi="Arial"/>
          <w:b w:val="1"/>
          <w:bCs w:val="1"/>
          <w:sz w:val="24"/>
          <w:szCs w:val="24"/>
          <w:u w:color="000000"/>
          <w:rtl w:val="0"/>
        </w:rPr>
      </w:pPr>
    </w:p>
    <w:p>
      <w:pPr>
        <w:pStyle w:val="Subtitle"/>
        <w:rPr>
          <w:rFonts w:ascii="Arial" w:cs="Arial" w:hAnsi="Arial" w:eastAsia="Arial"/>
          <w:b w:val="1"/>
          <w:bCs w:val="1"/>
          <w:sz w:val="28"/>
          <w:szCs w:val="28"/>
        </w:rPr>
      </w:pPr>
      <w:r>
        <w:rPr>
          <w:rFonts w:ascii="Arial" w:hAnsi="Arial"/>
          <w:b w:val="1"/>
          <w:bCs w:val="1"/>
          <w:sz w:val="28"/>
          <w:szCs w:val="28"/>
          <w:rtl w:val="0"/>
          <w:lang w:val="en-US"/>
        </w:rPr>
        <w:t xml:space="preserve">                                             </w:t>
      </w:r>
      <w:r>
        <w:rPr>
          <w:rFonts w:ascii="Arial" w:hAnsi="Arial"/>
          <w:b w:val="1"/>
          <w:bCs w:val="1"/>
          <w:sz w:val="28"/>
          <w:szCs w:val="28"/>
          <w:rtl w:val="0"/>
          <w:lang w:val="en-US"/>
        </w:rPr>
        <w:t xml:space="preserve">Question 1: </w:t>
      </w:r>
    </w:p>
    <w:p>
      <w:pPr>
        <w:pStyle w:val="Body"/>
        <w:bidi w:val="0"/>
        <w:ind w:left="0" w:right="0" w:firstLine="360"/>
        <w:jc w:val="left"/>
        <w:rPr>
          <w:rFonts w:ascii="Arial" w:cs="Arial" w:hAnsi="Arial" w:eastAsia="Arial"/>
          <w:b w:val="1"/>
          <w:bCs w:val="1"/>
          <w:outline w:val="0"/>
          <w:color w:val="ff2f92"/>
          <w:sz w:val="24"/>
          <w:szCs w:val="24"/>
          <w:u w:color="000000"/>
          <w:rtl w:val="0"/>
          <w14:textFill>
            <w14:solidFill>
              <w14:srgbClr w14:val="FF2F92"/>
            </w14:solidFill>
          </w14:textFill>
        </w:rPr>
      </w:pPr>
    </w:p>
    <w:p>
      <w:pPr>
        <w:pStyle w:val="Body"/>
        <w:tabs>
          <w:tab w:val="left" w:pos="740"/>
          <w:tab w:val="left" w:pos="1480"/>
          <w:tab w:val="left" w:pos="2220"/>
          <w:tab w:val="left" w:pos="2960"/>
          <w:tab w:val="left" w:pos="3700"/>
          <w:tab w:val="left" w:pos="4440"/>
          <w:tab w:val="left" w:pos="5180"/>
          <w:tab w:val="left" w:pos="5920"/>
          <w:tab w:val="left" w:pos="6660"/>
          <w:tab w:val="left" w:pos="7400"/>
          <w:tab w:val="left" w:pos="8140"/>
          <w:tab w:val="left" w:pos="8880"/>
          <w:tab w:val="left" w:pos="9620"/>
        </w:tabs>
        <w:bidi w:val="0"/>
        <w:ind w:left="0" w:right="0" w:firstLine="360"/>
        <w:jc w:val="left"/>
        <w:rPr>
          <w:rFonts w:ascii="Arial" w:cs="Arial" w:hAnsi="Arial" w:eastAsia="Arial"/>
          <w:sz w:val="24"/>
          <w:szCs w:val="24"/>
          <w:u w:color="000000"/>
          <w:rtl w:val="0"/>
        </w:rPr>
      </w:pPr>
      <w:r>
        <w:rPr>
          <w:rFonts w:ascii="Arial" w:hAnsi="Arial"/>
          <w:sz w:val="24"/>
          <w:szCs w:val="24"/>
          <w:u w:color="000000"/>
          <w:rtl w:val="0"/>
          <w:lang w:val="en-US"/>
        </w:rPr>
        <w:t xml:space="preserve">Insanity is the appropriate defence whereby the defendants have been effected by an internal factor such as </w:t>
      </w:r>
      <w:r>
        <w:rPr>
          <w:rFonts w:ascii="Arial" w:hAnsi="Arial"/>
          <w:sz w:val="24"/>
          <w:szCs w:val="24"/>
          <w:u w:color="000000"/>
          <w:rtl w:val="0"/>
          <w:lang w:val="en-US"/>
        </w:rPr>
        <w:t xml:space="preserve">mental disorders, degeneration or changed physical state ,sleep walking or diabetes. </w:t>
      </w:r>
      <w:r>
        <w:rPr>
          <w:rFonts w:ascii="Arial" w:hAnsi="Arial"/>
          <w:sz w:val="24"/>
          <w:szCs w:val="24"/>
          <w:u w:color="000000"/>
          <w:rtl w:val="0"/>
          <w:lang w:val="en-US"/>
        </w:rPr>
        <w:t xml:space="preserve">The test for insanity requires the defendant has a disease of the mind which leads to a defect of reason, therefore the defendant does not know the nature and quality of his act, or he does not know it is wrong. The Judge </w:t>
      </w:r>
      <w:r>
        <w:rPr>
          <w:rFonts w:ascii="Arial" w:hAnsi="Arial"/>
          <w:sz w:val="24"/>
          <w:szCs w:val="24"/>
          <w:u w:color="000000"/>
          <w:rtl w:val="0"/>
          <w:lang w:val="en-US"/>
        </w:rPr>
        <w:t xml:space="preserve">utilising medical evidence </w:t>
      </w:r>
      <w:r>
        <w:rPr>
          <w:rFonts w:ascii="Arial" w:hAnsi="Arial"/>
          <w:sz w:val="24"/>
          <w:szCs w:val="24"/>
          <w:u w:color="000000"/>
          <w:rtl w:val="0"/>
          <w:lang w:val="en-US"/>
        </w:rPr>
        <w:t>can make an order whereby the defendant may either have: a hospital order, a supervision order or an order for absolute dismissal under section 5 of the Criminal Procedure Act [1964].</w:t>
      </w:r>
    </w:p>
    <w:p>
      <w:pPr>
        <w:pStyle w:val="Body"/>
        <w:bidi w:val="0"/>
        <w:ind w:left="0" w:right="0" w:firstLine="360"/>
        <w:jc w:val="left"/>
        <w:rPr>
          <w:rFonts w:ascii="Arial" w:cs="Arial" w:hAnsi="Arial" w:eastAsia="Arial"/>
          <w:outline w:val="0"/>
          <w:color w:val="0432ff"/>
          <w:sz w:val="24"/>
          <w:szCs w:val="24"/>
          <w:u w:color="000000"/>
          <w:rtl w:val="0"/>
          <w14:textFill>
            <w14:solidFill>
              <w14:srgbClr w14:val="0433FF"/>
            </w14:solidFill>
          </w14:textFill>
        </w:rPr>
      </w:pPr>
    </w:p>
    <w:p>
      <w:pPr>
        <w:pStyle w:val="Body"/>
        <w:bidi w:val="0"/>
        <w:ind w:left="0" w:right="0" w:firstLine="360"/>
        <w:jc w:val="left"/>
        <w:rPr>
          <w:rFonts w:ascii="Arial" w:cs="Arial" w:hAnsi="Arial" w:eastAsia="Arial"/>
          <w:sz w:val="24"/>
          <w:szCs w:val="24"/>
          <w:u w:color="000000"/>
          <w:rtl w:val="0"/>
        </w:rPr>
      </w:pPr>
      <w:r>
        <w:rPr>
          <w:rFonts w:ascii="Arial" w:hAnsi="Arial"/>
          <w:sz w:val="24"/>
          <w:szCs w:val="24"/>
          <w:u w:color="000000"/>
          <w:rtl w:val="0"/>
          <w:lang w:val="en-US"/>
        </w:rPr>
        <w:t xml:space="preserve">The defence of insanity is not in need of reform as the requirement for a successful plea of insanity is that the defendant does not know the nature and quality of his actions and must be supported by medical evidence. The court has considered if the factors requires expansion in </w:t>
      </w:r>
      <w:r>
        <w:rPr>
          <w:rFonts w:ascii="Arial" w:hAnsi="Arial"/>
          <w:sz w:val="24"/>
          <w:szCs w:val="24"/>
          <w:u w:color="000000"/>
          <w:rtl w:val="0"/>
        </w:rPr>
        <w:t>R v Johnson [2007]</w:t>
      </w:r>
      <w:r>
        <w:rPr>
          <w:rFonts w:ascii="Arial" w:cs="Arial" w:hAnsi="Arial" w:eastAsia="Arial"/>
          <w:sz w:val="24"/>
          <w:szCs w:val="24"/>
          <w:u w:color="000000"/>
          <w:vertAlign w:val="superscript"/>
          <w:rtl w:val="0"/>
        </w:rPr>
        <w:footnoteReference w:id="1"/>
      </w:r>
      <w:r>
        <w:rPr>
          <w:rFonts w:ascii="Arial" w:hAnsi="Arial"/>
          <w:sz w:val="24"/>
          <w:szCs w:val="24"/>
          <w:u w:color="000000"/>
          <w:rtl w:val="0"/>
          <w:lang w:val="en-US"/>
        </w:rPr>
        <w:t xml:space="preserve"> the defendant who had been </w:t>
      </w:r>
      <w:r>
        <w:rPr>
          <w:rFonts w:ascii="Arial" w:hAnsi="Arial"/>
          <w:sz w:val="24"/>
          <w:szCs w:val="24"/>
          <w:u w:color="000000"/>
          <w:rtl w:val="0"/>
          <w:lang w:val="en-US"/>
        </w:rPr>
        <w:t>diagnosed with paranoid schizophrenia</w:t>
      </w:r>
      <w:r>
        <w:rPr>
          <w:rFonts w:ascii="Arial" w:hAnsi="Arial"/>
          <w:sz w:val="24"/>
          <w:szCs w:val="24"/>
          <w:u w:color="000000"/>
          <w:rtl w:val="0"/>
          <w:lang w:val="en-US"/>
        </w:rPr>
        <w:t xml:space="preserve"> was convicted of </w:t>
      </w:r>
      <w:r>
        <w:rPr>
          <w:rFonts w:ascii="Arial" w:hAnsi="Arial"/>
          <w:sz w:val="24"/>
          <w:szCs w:val="24"/>
          <w:u w:color="000000"/>
          <w:rtl w:val="0"/>
          <w:lang w:val="en-US"/>
        </w:rPr>
        <w:t>wounding with intent to cause grievous bodily harm.</w:t>
      </w:r>
      <w:r>
        <w:rPr>
          <w:rFonts w:ascii="Arial" w:hAnsi="Arial"/>
          <w:sz w:val="24"/>
          <w:szCs w:val="24"/>
          <w:u w:color="000000"/>
          <w:rtl w:val="0"/>
          <w:lang w:val="en-US"/>
        </w:rPr>
        <w:t xml:space="preserve"> The insanity defence was inapplicable as there was evidence he understood he was acting illegally thus upon appeal he stated that due to his mental condition at the time there was a moral justification for his actions. The utilisation of  </w:t>
      </w:r>
      <w:r>
        <w:rPr>
          <w:rFonts w:ascii="Arial" w:hAnsi="Arial"/>
          <w:i w:val="1"/>
          <w:iCs w:val="1"/>
          <w:sz w:val="24"/>
          <w:szCs w:val="24"/>
          <w:u w:color="000000"/>
          <w:rtl w:val="0"/>
        </w:rPr>
        <w:t>R v Windle</w:t>
      </w:r>
      <w:r>
        <w:rPr>
          <w:rFonts w:ascii="Arial" w:hAnsi="Arial"/>
          <w:sz w:val="24"/>
          <w:szCs w:val="24"/>
          <w:u w:color="000000"/>
          <w:rtl w:val="0"/>
          <w:lang w:val="pt-PT"/>
        </w:rPr>
        <w:t xml:space="preserve"> [1952]</w:t>
      </w:r>
      <w:r>
        <w:rPr>
          <w:rFonts w:ascii="Arial" w:cs="Arial" w:hAnsi="Arial" w:eastAsia="Arial"/>
          <w:sz w:val="24"/>
          <w:szCs w:val="24"/>
          <w:u w:color="000000"/>
          <w:vertAlign w:val="superscript"/>
          <w:rtl w:val="0"/>
        </w:rPr>
        <w:footnoteReference w:id="2"/>
      </w:r>
      <w:r>
        <w:rPr>
          <w:rFonts w:ascii="Arial" w:hAnsi="Arial"/>
          <w:sz w:val="24"/>
          <w:szCs w:val="24"/>
          <w:u w:color="000000"/>
          <w:rtl w:val="0"/>
          <w:lang w:val="en-US"/>
        </w:rPr>
        <w:t xml:space="preserve"> suggested that the defence of insanity was unavailable if the defendant knew his actions were against the law regardless of if he believed his actions were morally justified. The judge examined the possibility of a less restrictive test when considering the responsibility of those who had a </w:t>
      </w:r>
      <w:r>
        <w:rPr>
          <w:rFonts w:ascii="Arial" w:hAnsi="Arial" w:hint="default"/>
          <w:sz w:val="24"/>
          <w:szCs w:val="24"/>
          <w:u w:color="000000"/>
          <w:rtl w:val="0"/>
          <w:lang w:val="en-US"/>
        </w:rPr>
        <w:t>‘</w:t>
      </w:r>
      <w:r>
        <w:rPr>
          <w:rFonts w:ascii="Arial" w:hAnsi="Arial"/>
          <w:sz w:val="24"/>
          <w:szCs w:val="24"/>
          <w:u w:color="000000"/>
          <w:rtl w:val="0"/>
          <w:lang w:val="en-US"/>
        </w:rPr>
        <w:t>disease of the mind</w:t>
      </w:r>
      <w:r>
        <w:rPr>
          <w:rFonts w:ascii="Arial" w:hAnsi="Arial" w:hint="default"/>
          <w:sz w:val="24"/>
          <w:szCs w:val="24"/>
          <w:u w:color="000000"/>
          <w:rtl w:val="0"/>
          <w:lang w:val="en-US"/>
        </w:rPr>
        <w:t>’</w:t>
      </w:r>
      <w:r>
        <w:rPr>
          <w:rFonts w:ascii="Arial" w:hAnsi="Arial"/>
          <w:sz w:val="24"/>
          <w:szCs w:val="24"/>
          <w:u w:color="000000"/>
          <w:rtl w:val="0"/>
          <w:lang w:val="en-US"/>
        </w:rPr>
        <w:t>, however it was held that this case established that the M</w:t>
      </w:r>
      <w:r>
        <w:rPr>
          <w:rFonts w:ascii="Arial" w:hAnsi="Arial" w:hint="default"/>
          <w:sz w:val="24"/>
          <w:szCs w:val="24"/>
          <w:u w:color="000000"/>
          <w:rtl w:val="0"/>
          <w:lang w:val="en-US"/>
        </w:rPr>
        <w:t>’</w:t>
      </w:r>
      <w:r>
        <w:rPr>
          <w:rFonts w:ascii="Arial" w:hAnsi="Arial"/>
          <w:sz w:val="24"/>
          <w:szCs w:val="24"/>
          <w:u w:color="000000"/>
          <w:rtl w:val="0"/>
          <w:lang w:val="en-US"/>
        </w:rPr>
        <w:t xml:space="preserve">Naghten rules applied where a defendant did not know his actions were legally wrong. </w:t>
      </w:r>
    </w:p>
    <w:p>
      <w:pPr>
        <w:pStyle w:val="Body"/>
        <w:bidi w:val="0"/>
        <w:ind w:left="0" w:right="0" w:firstLine="360"/>
        <w:jc w:val="left"/>
        <w:rPr>
          <w:rFonts w:ascii="Arial" w:cs="Arial" w:hAnsi="Arial" w:eastAsia="Arial"/>
          <w:sz w:val="24"/>
          <w:szCs w:val="24"/>
          <w:u w:color="000000"/>
          <w:rtl w:val="0"/>
        </w:rPr>
      </w:pPr>
    </w:p>
    <w:p>
      <w:pPr>
        <w:pStyle w:val="Body"/>
        <w:bidi w:val="0"/>
        <w:ind w:left="0" w:right="0" w:firstLine="360"/>
        <w:jc w:val="left"/>
        <w:rPr>
          <w:rFonts w:ascii="Arial" w:cs="Arial" w:hAnsi="Arial" w:eastAsia="Arial"/>
          <w:sz w:val="24"/>
          <w:szCs w:val="24"/>
          <w:u w:color="000000"/>
          <w:rtl w:val="0"/>
        </w:rPr>
      </w:pPr>
      <w:r>
        <w:rPr>
          <w:rFonts w:ascii="Arial" w:hAnsi="Arial"/>
          <w:sz w:val="24"/>
          <w:szCs w:val="24"/>
          <w:u w:color="000000"/>
          <w:rtl w:val="0"/>
          <w:lang w:val="en-US"/>
        </w:rPr>
        <w:t xml:space="preserve">Medical evidence vital as it can substantiate whether the defendant was of conscious or considered to have a </w:t>
      </w:r>
      <w:r>
        <w:rPr>
          <w:rFonts w:ascii="Arial" w:hAnsi="Arial" w:hint="default"/>
          <w:sz w:val="24"/>
          <w:szCs w:val="24"/>
          <w:u w:color="000000"/>
          <w:rtl w:val="0"/>
          <w:lang w:val="en-US"/>
        </w:rPr>
        <w:t>‘</w:t>
      </w:r>
      <w:r>
        <w:rPr>
          <w:rFonts w:ascii="Arial" w:hAnsi="Arial"/>
          <w:sz w:val="24"/>
          <w:szCs w:val="24"/>
          <w:u w:color="000000"/>
          <w:rtl w:val="0"/>
          <w:lang w:val="en-US"/>
        </w:rPr>
        <w:t>disease of the mind</w:t>
      </w:r>
      <w:r>
        <w:rPr>
          <w:rFonts w:ascii="Arial" w:hAnsi="Arial" w:hint="default"/>
          <w:sz w:val="24"/>
          <w:szCs w:val="24"/>
          <w:u w:color="000000"/>
          <w:rtl w:val="0"/>
          <w:lang w:val="en-US"/>
        </w:rPr>
        <w:t xml:space="preserve">’ </w:t>
      </w:r>
      <w:r>
        <w:rPr>
          <w:rFonts w:ascii="Arial" w:hAnsi="Arial"/>
          <w:sz w:val="24"/>
          <w:szCs w:val="24"/>
          <w:u w:color="000000"/>
          <w:rtl w:val="0"/>
          <w:lang w:val="en-US"/>
        </w:rPr>
        <w:t xml:space="preserve">as well as whether insanity is the applicable defence as seen in  </w:t>
      </w:r>
      <w:r>
        <w:rPr>
          <w:rFonts w:ascii="Arial" w:hAnsi="Arial"/>
          <w:sz w:val="24"/>
          <w:szCs w:val="24"/>
          <w:u w:color="000000"/>
          <w:rtl w:val="0"/>
        </w:rPr>
        <w:t>R v Kemp [1957</w:t>
      </w:r>
      <w:r>
        <w:rPr>
          <w:rFonts w:ascii="Arial" w:hAnsi="Arial"/>
          <w:sz w:val="24"/>
          <w:szCs w:val="24"/>
          <w:u w:color="000000"/>
          <w:rtl w:val="0"/>
          <w:lang w:val="en-US"/>
        </w:rPr>
        <w:t>]</w:t>
      </w:r>
      <w:r>
        <w:rPr>
          <w:rFonts w:ascii="Arial" w:cs="Arial" w:hAnsi="Arial" w:eastAsia="Arial"/>
          <w:sz w:val="24"/>
          <w:szCs w:val="24"/>
          <w:u w:color="000000"/>
          <w:vertAlign w:val="superscript"/>
          <w:rtl w:val="0"/>
        </w:rPr>
        <w:footnoteReference w:id="3"/>
      </w:r>
      <w:r>
        <w:rPr>
          <w:rFonts w:ascii="Arial" w:hAnsi="Arial"/>
          <w:sz w:val="24"/>
          <w:szCs w:val="24"/>
          <w:u w:color="000000"/>
          <w:rtl w:val="0"/>
          <w:lang w:val="en-US"/>
        </w:rPr>
        <w:t>. T</w:t>
      </w:r>
      <w:r>
        <w:rPr>
          <w:rFonts w:ascii="Arial" w:hAnsi="Arial"/>
          <w:sz w:val="24"/>
          <w:szCs w:val="24"/>
          <w:u w:color="000000"/>
          <w:rtl w:val="0"/>
          <w:lang w:val="en-US"/>
        </w:rPr>
        <w:t>he defendant assaulted his wife with a hammer</w:t>
      </w:r>
      <w:r>
        <w:rPr>
          <w:rFonts w:ascii="Arial" w:hAnsi="Arial"/>
          <w:sz w:val="24"/>
          <w:szCs w:val="24"/>
          <w:u w:color="000000"/>
          <w:rtl w:val="0"/>
          <w:lang w:val="en-US"/>
        </w:rPr>
        <w:t xml:space="preserve"> and</w:t>
      </w:r>
      <w:r>
        <w:rPr>
          <w:rFonts w:ascii="Arial" w:hAnsi="Arial"/>
          <w:sz w:val="24"/>
          <w:szCs w:val="24"/>
          <w:u w:color="000000"/>
          <w:rtl w:val="0"/>
          <w:lang w:val="en-US"/>
        </w:rPr>
        <w:t xml:space="preserve"> was charged with causing</w:t>
      </w:r>
      <w:r>
        <w:rPr>
          <w:rFonts w:ascii="Arial" w:hAnsi="Arial"/>
          <w:sz w:val="24"/>
          <w:szCs w:val="24"/>
          <w:u w:color="000000"/>
          <w:rtl w:val="0"/>
          <w:lang w:val="en-US"/>
        </w:rPr>
        <w:t xml:space="preserve"> GBH</w:t>
      </w:r>
      <w:r>
        <w:rPr>
          <w:rFonts w:ascii="Arial" w:hAnsi="Arial"/>
          <w:sz w:val="24"/>
          <w:szCs w:val="24"/>
          <w:u w:color="000000"/>
          <w:rtl w:val="0"/>
          <w:lang w:val="en-US"/>
        </w:rPr>
        <w:t xml:space="preserve"> contrary to the Offences Against the Person Act 1861. The defendant argued </w:t>
      </w:r>
      <w:r>
        <w:rPr>
          <w:rFonts w:ascii="Arial" w:hAnsi="Arial"/>
          <w:sz w:val="24"/>
          <w:szCs w:val="24"/>
          <w:u w:color="000000"/>
          <w:rtl w:val="0"/>
          <w:lang w:val="en-US"/>
        </w:rPr>
        <w:t xml:space="preserve">his loss of consciousness due to </w:t>
      </w:r>
      <w:r>
        <w:rPr>
          <w:rFonts w:ascii="Arial" w:hAnsi="Arial"/>
          <w:sz w:val="24"/>
          <w:szCs w:val="24"/>
          <w:u w:color="000000"/>
          <w:rtl w:val="0"/>
          <w:lang w:val="it-IT"/>
        </w:rPr>
        <w:t>arteriosclerosis</w:t>
      </w:r>
      <w:r>
        <w:rPr>
          <w:rFonts w:ascii="Arial" w:hAnsi="Arial"/>
          <w:sz w:val="24"/>
          <w:szCs w:val="24"/>
          <w:u w:color="000000"/>
          <w:rtl w:val="0"/>
          <w:lang w:val="en-US"/>
        </w:rPr>
        <w:t xml:space="preserve"> as the causation of his attack and as </w:t>
      </w:r>
      <w:r>
        <w:rPr>
          <w:rFonts w:ascii="Arial" w:hAnsi="Arial"/>
          <w:sz w:val="24"/>
          <w:szCs w:val="24"/>
          <w:u w:color="000000"/>
          <w:rtl w:val="0"/>
          <w:lang w:val="en-US"/>
        </w:rPr>
        <w:t>grounds for a defence of automatism</w:t>
      </w:r>
      <w:r>
        <w:rPr>
          <w:rFonts w:ascii="Arial" w:hAnsi="Arial"/>
          <w:sz w:val="24"/>
          <w:szCs w:val="24"/>
          <w:u w:color="000000"/>
          <w:rtl w:val="0"/>
          <w:lang w:val="en-US"/>
        </w:rPr>
        <w:t>.</w:t>
      </w:r>
      <w:r>
        <w:rPr>
          <w:rFonts w:ascii="Arial" w:hAnsi="Arial"/>
          <w:sz w:val="24"/>
          <w:szCs w:val="24"/>
          <w:u w:color="000000"/>
          <w:rtl w:val="0"/>
        </w:rPr>
        <w:t xml:space="preserve"> </w:t>
      </w:r>
      <w:r>
        <w:rPr>
          <w:rFonts w:ascii="Arial" w:hAnsi="Arial"/>
          <w:sz w:val="24"/>
          <w:szCs w:val="24"/>
          <w:u w:color="000000"/>
          <w:rtl w:val="0"/>
          <w:lang w:val="en-US"/>
        </w:rPr>
        <w:t xml:space="preserve">Nonetheless, </w:t>
      </w:r>
      <w:r>
        <w:rPr>
          <w:rFonts w:ascii="Arial" w:hAnsi="Arial"/>
          <w:sz w:val="24"/>
          <w:szCs w:val="24"/>
          <w:u w:color="000000"/>
          <w:rtl w:val="0"/>
          <w:lang w:val="en-US"/>
        </w:rPr>
        <w:t>the jury</w:t>
      </w:r>
      <w:r>
        <w:rPr>
          <w:rFonts w:ascii="Arial" w:hAnsi="Arial"/>
          <w:sz w:val="24"/>
          <w:szCs w:val="24"/>
          <w:u w:color="000000"/>
          <w:rtl w:val="0"/>
          <w:lang w:val="en-US"/>
        </w:rPr>
        <w:t xml:space="preserve"> were directed</w:t>
      </w:r>
      <w:r>
        <w:rPr>
          <w:rFonts w:ascii="Arial" w:hAnsi="Arial"/>
          <w:sz w:val="24"/>
          <w:szCs w:val="24"/>
          <w:u w:color="000000"/>
          <w:rtl w:val="0"/>
        </w:rPr>
        <w:t xml:space="preserve"> t</w:t>
      </w:r>
      <w:r>
        <w:rPr>
          <w:rFonts w:ascii="Arial" w:hAnsi="Arial"/>
          <w:sz w:val="24"/>
          <w:szCs w:val="24"/>
          <w:u w:color="000000"/>
          <w:rtl w:val="0"/>
          <w:lang w:val="en-US"/>
        </w:rPr>
        <w:t>o the</w:t>
      </w:r>
      <w:r>
        <w:rPr>
          <w:rFonts w:ascii="Arial" w:hAnsi="Arial"/>
          <w:sz w:val="24"/>
          <w:szCs w:val="24"/>
          <w:u w:color="000000"/>
          <w:rtl w:val="0"/>
          <w:lang w:val="en-US"/>
        </w:rPr>
        <w:t xml:space="preserve"> appropriate defence of insanity</w:t>
      </w:r>
      <w:r>
        <w:rPr>
          <w:rFonts w:ascii="Arial" w:hAnsi="Arial"/>
          <w:sz w:val="24"/>
          <w:szCs w:val="24"/>
          <w:u w:color="000000"/>
          <w:rtl w:val="0"/>
          <w:lang w:val="en-US"/>
        </w:rPr>
        <w:t xml:space="preserve"> due to vital medical evidence</w:t>
      </w:r>
      <w:r>
        <w:rPr>
          <w:rFonts w:ascii="Arial" w:hAnsi="Arial"/>
          <w:sz w:val="24"/>
          <w:szCs w:val="24"/>
          <w:u w:color="000000"/>
          <w:rtl w:val="0"/>
        </w:rPr>
        <w:t xml:space="preserve"> </w:t>
      </w:r>
      <w:r>
        <w:rPr>
          <w:rFonts w:ascii="Arial" w:hAnsi="Arial"/>
          <w:sz w:val="24"/>
          <w:szCs w:val="24"/>
          <w:u w:color="000000"/>
          <w:rtl w:val="0"/>
          <w:lang w:val="en-US"/>
        </w:rPr>
        <w:t xml:space="preserve">equating </w:t>
      </w:r>
      <w:r>
        <w:rPr>
          <w:rFonts w:ascii="Arial" w:hAnsi="Arial"/>
          <w:sz w:val="24"/>
          <w:szCs w:val="24"/>
          <w:u w:color="000000"/>
          <w:rtl w:val="0"/>
          <w:lang w:val="it-IT"/>
        </w:rPr>
        <w:t xml:space="preserve">to a </w:t>
      </w:r>
      <w:r>
        <w:rPr>
          <w:rFonts w:ascii="Arial" w:hAnsi="Arial" w:hint="default"/>
          <w:sz w:val="24"/>
          <w:szCs w:val="24"/>
          <w:u w:color="000000"/>
          <w:rtl w:val="0"/>
          <w:lang w:val="en-US"/>
        </w:rPr>
        <w:t>‘</w:t>
      </w:r>
      <w:r>
        <w:rPr>
          <w:rFonts w:ascii="Arial" w:hAnsi="Arial"/>
          <w:sz w:val="24"/>
          <w:szCs w:val="24"/>
          <w:u w:color="000000"/>
          <w:rtl w:val="0"/>
          <w:lang w:val="en-US"/>
        </w:rPr>
        <w:t>disease of the mind</w:t>
      </w:r>
      <w:r>
        <w:rPr>
          <w:rFonts w:ascii="Arial" w:hAnsi="Arial" w:hint="default"/>
          <w:sz w:val="24"/>
          <w:szCs w:val="24"/>
          <w:u w:color="000000"/>
          <w:rtl w:val="0"/>
          <w:lang w:val="en-US"/>
        </w:rPr>
        <w:t>’</w:t>
      </w:r>
      <w:r>
        <w:rPr>
          <w:rFonts w:ascii="Arial" w:hAnsi="Arial"/>
          <w:sz w:val="24"/>
          <w:szCs w:val="24"/>
          <w:u w:color="000000"/>
          <w:rtl w:val="0"/>
        </w:rPr>
        <w:t xml:space="preserve"> </w:t>
      </w:r>
      <w:r>
        <w:rPr>
          <w:rFonts w:ascii="Arial" w:hAnsi="Arial"/>
          <w:sz w:val="24"/>
          <w:szCs w:val="24"/>
          <w:u w:color="000000"/>
          <w:rtl w:val="0"/>
          <w:lang w:val="en-US"/>
        </w:rPr>
        <w:t xml:space="preserve">as of </w:t>
      </w:r>
      <w:r>
        <w:rPr>
          <w:rFonts w:ascii="Arial" w:hAnsi="Arial"/>
          <w:sz w:val="24"/>
          <w:szCs w:val="24"/>
          <w:u w:color="000000"/>
          <w:rtl w:val="0"/>
          <w:lang w:val="en-US"/>
        </w:rPr>
        <w:t>its effect on a person</w:t>
      </w:r>
      <w:r>
        <w:rPr>
          <w:rFonts w:ascii="Arial" w:hAnsi="Arial" w:hint="default"/>
          <w:sz w:val="24"/>
          <w:szCs w:val="24"/>
          <w:u w:color="000000"/>
          <w:rtl w:val="1"/>
        </w:rPr>
        <w:t>’</w:t>
      </w:r>
      <w:r>
        <w:rPr>
          <w:rFonts w:ascii="Arial" w:hAnsi="Arial"/>
          <w:sz w:val="24"/>
          <w:szCs w:val="24"/>
          <w:u w:color="000000"/>
          <w:rtl w:val="0"/>
          <w:lang w:val="en-US"/>
        </w:rPr>
        <w:t>s reasoning ability.</w:t>
      </w:r>
      <w:r>
        <w:rPr>
          <w:rFonts w:ascii="Arial" w:hAnsi="Arial"/>
          <w:sz w:val="24"/>
          <w:szCs w:val="24"/>
          <w:u w:color="000000"/>
          <w:rtl w:val="0"/>
          <w:lang w:val="en-US"/>
        </w:rPr>
        <w:t xml:space="preserve"> Contrary to this, medical evidence can cause complications (</w:t>
      </w:r>
      <w:r>
        <w:rPr>
          <w:rFonts w:ascii="Arial" w:hAnsi="Arial"/>
          <w:sz w:val="24"/>
          <w:szCs w:val="24"/>
          <w:u w:color="000000"/>
          <w:rtl w:val="0"/>
          <w:lang w:val="pt-PT"/>
        </w:rPr>
        <w:t>R v Codere [1916]</w:t>
      </w:r>
      <w:r>
        <w:rPr>
          <w:rFonts w:ascii="Arial" w:cs="Arial" w:hAnsi="Arial" w:eastAsia="Arial"/>
          <w:sz w:val="24"/>
          <w:szCs w:val="24"/>
          <w:u w:color="000000"/>
          <w:vertAlign w:val="superscript"/>
          <w:rtl w:val="0"/>
        </w:rPr>
        <w:footnoteReference w:id="4"/>
      </w:r>
      <w:r>
        <w:rPr>
          <w:rFonts w:ascii="Arial" w:hAnsi="Arial"/>
          <w:sz w:val="24"/>
          <w:szCs w:val="24"/>
          <w:u w:color="000000"/>
          <w:rtl w:val="0"/>
          <w:lang w:val="en-US"/>
        </w:rPr>
        <w:t xml:space="preserve">) when the </w:t>
      </w:r>
      <w:r>
        <w:rPr>
          <w:rFonts w:ascii="Arial" w:hAnsi="Arial"/>
          <w:sz w:val="24"/>
          <w:szCs w:val="24"/>
          <w:u w:color="000000"/>
          <w:rtl w:val="0"/>
          <w:lang w:val="en-US"/>
        </w:rPr>
        <w:t>expert witnesses</w:t>
      </w:r>
      <w:r>
        <w:rPr>
          <w:rFonts w:ascii="Arial" w:hAnsi="Arial"/>
          <w:sz w:val="24"/>
          <w:szCs w:val="24"/>
          <w:u w:color="000000"/>
          <w:rtl w:val="0"/>
          <w:lang w:val="en-US"/>
        </w:rPr>
        <w:t xml:space="preserve"> </w:t>
      </w:r>
      <w:r>
        <w:rPr>
          <w:rFonts w:ascii="Arial" w:hAnsi="Arial"/>
          <w:sz w:val="24"/>
          <w:szCs w:val="24"/>
          <w:u w:color="000000"/>
          <w:rtl w:val="0"/>
          <w:lang w:val="en-US"/>
        </w:rPr>
        <w:t xml:space="preserve">disagree on whether </w:t>
      </w:r>
      <w:r>
        <w:rPr>
          <w:rFonts w:ascii="Arial" w:hAnsi="Arial"/>
          <w:sz w:val="24"/>
          <w:szCs w:val="24"/>
          <w:u w:color="000000"/>
          <w:rtl w:val="0"/>
          <w:lang w:val="en-US"/>
        </w:rPr>
        <w:t>the defendant</w:t>
      </w:r>
      <w:r>
        <w:rPr>
          <w:rFonts w:ascii="Arial" w:hAnsi="Arial"/>
          <w:sz w:val="24"/>
          <w:szCs w:val="24"/>
          <w:u w:color="000000"/>
          <w:rtl w:val="0"/>
          <w:lang w:val="en-US"/>
        </w:rPr>
        <w:t xml:space="preserve"> could be certified as insane.</w:t>
      </w:r>
      <w:r>
        <w:rPr>
          <w:rFonts w:ascii="Arial" w:hAnsi="Arial"/>
          <w:sz w:val="24"/>
          <w:szCs w:val="24"/>
          <w:u w:color="000000"/>
          <w:rtl w:val="0"/>
          <w:lang w:val="en-US"/>
        </w:rPr>
        <w:t xml:space="preserve"> The court considered </w:t>
      </w:r>
      <w:r>
        <w:rPr>
          <w:rFonts w:ascii="Arial" w:hAnsi="Arial" w:hint="default"/>
          <w:sz w:val="24"/>
          <w:szCs w:val="24"/>
          <w:u w:color="000000"/>
          <w:rtl w:val="1"/>
          <w:lang w:val="ar-SA" w:bidi="ar-SA"/>
        </w:rPr>
        <w:t>“</w:t>
      </w:r>
      <w:r>
        <w:rPr>
          <w:rFonts w:ascii="Arial" w:hAnsi="Arial"/>
          <w:sz w:val="24"/>
          <w:szCs w:val="24"/>
          <w:u w:color="000000"/>
          <w:rtl w:val="0"/>
          <w:lang w:val="en-US"/>
        </w:rPr>
        <w:t>nature and quality</w:t>
      </w:r>
      <w:r>
        <w:rPr>
          <w:rFonts w:ascii="Arial" w:hAnsi="Arial" w:hint="default"/>
          <w:sz w:val="24"/>
          <w:szCs w:val="24"/>
          <w:u w:color="000000"/>
          <w:rtl w:val="0"/>
          <w:lang w:val="en-US"/>
        </w:rPr>
        <w:t xml:space="preserve">” </w:t>
      </w:r>
      <w:r>
        <w:rPr>
          <w:rFonts w:ascii="Arial" w:hAnsi="Arial"/>
          <w:sz w:val="24"/>
          <w:szCs w:val="24"/>
          <w:u w:color="000000"/>
          <w:rtl w:val="0"/>
          <w:lang w:val="en-US"/>
        </w:rPr>
        <w:t xml:space="preserve">to mean within the </w:t>
      </w:r>
      <w:r>
        <w:rPr>
          <w:rFonts w:ascii="Arial" w:hAnsi="Arial"/>
          <w:sz w:val="24"/>
          <w:szCs w:val="24"/>
          <w:u w:color="000000"/>
          <w:rtl w:val="0"/>
        </w:rPr>
        <w:t>M</w:t>
      </w:r>
      <w:r>
        <w:rPr>
          <w:rFonts w:ascii="Arial" w:hAnsi="Arial" w:hint="default"/>
          <w:sz w:val="24"/>
          <w:szCs w:val="24"/>
          <w:u w:color="000000"/>
          <w:rtl w:val="1"/>
        </w:rPr>
        <w:t>’</w:t>
      </w:r>
      <w:r>
        <w:rPr>
          <w:rFonts w:ascii="Arial" w:hAnsi="Arial"/>
          <w:sz w:val="24"/>
          <w:szCs w:val="24"/>
          <w:u w:color="000000"/>
          <w:rtl w:val="0"/>
          <w:lang w:val="de-DE"/>
        </w:rPr>
        <w:t>Naghten Rules</w:t>
      </w:r>
      <w:r>
        <w:rPr>
          <w:rFonts w:ascii="Arial" w:hAnsi="Arial"/>
          <w:sz w:val="24"/>
          <w:szCs w:val="24"/>
          <w:u w:color="000000"/>
          <w:rtl w:val="0"/>
          <w:lang w:val="en-US"/>
        </w:rPr>
        <w:t xml:space="preserve">  it was</w:t>
      </w:r>
      <w:r>
        <w:rPr>
          <w:rFonts w:ascii="Arial" w:hAnsi="Arial"/>
          <w:sz w:val="24"/>
          <w:szCs w:val="24"/>
          <w:u w:color="000000"/>
          <w:rtl w:val="0"/>
        </w:rPr>
        <w:t xml:space="preserve"> </w:t>
      </w:r>
      <w:r>
        <w:rPr>
          <w:rFonts w:ascii="Arial" w:hAnsi="Arial"/>
          <w:sz w:val="24"/>
          <w:szCs w:val="24"/>
          <w:u w:color="000000"/>
          <w:rtl w:val="0"/>
          <w:lang w:val="en-US"/>
        </w:rPr>
        <w:t>uni</w:t>
      </w:r>
      <w:r>
        <w:rPr>
          <w:rFonts w:ascii="Arial" w:hAnsi="Arial"/>
          <w:sz w:val="24"/>
          <w:szCs w:val="24"/>
          <w:u w:color="000000"/>
          <w:rtl w:val="0"/>
          <w:lang w:val="fr-FR"/>
        </w:rPr>
        <w:t>ntend</w:t>
      </w:r>
      <w:r>
        <w:rPr>
          <w:rFonts w:ascii="Arial" w:hAnsi="Arial"/>
          <w:sz w:val="24"/>
          <w:szCs w:val="24"/>
          <w:u w:color="000000"/>
          <w:rtl w:val="0"/>
          <w:lang w:val="en-US"/>
        </w:rPr>
        <w:t>ed</w:t>
      </w:r>
      <w:r>
        <w:rPr>
          <w:rFonts w:ascii="Arial" w:hAnsi="Arial"/>
          <w:sz w:val="24"/>
          <w:szCs w:val="24"/>
          <w:u w:color="000000"/>
          <w:rtl w:val="0"/>
          <w:lang w:val="en-US"/>
        </w:rPr>
        <w:t xml:space="preserve"> to distinguish between the physical and moral aspects of the act</w:t>
      </w:r>
      <w:r>
        <w:rPr>
          <w:rFonts w:ascii="Arial" w:hAnsi="Arial"/>
          <w:sz w:val="24"/>
          <w:szCs w:val="24"/>
          <w:u w:color="000000"/>
          <w:rtl w:val="0"/>
          <w:lang w:val="en-US"/>
        </w:rPr>
        <w:t>. I</w:t>
      </w:r>
      <w:r>
        <w:rPr>
          <w:rFonts w:ascii="Arial" w:hAnsi="Arial"/>
          <w:sz w:val="24"/>
          <w:szCs w:val="24"/>
          <w:u w:color="000000"/>
          <w:rtl w:val="0"/>
          <w:lang w:val="en-US"/>
        </w:rPr>
        <w:t>f C</w:t>
      </w:r>
      <w:r>
        <w:rPr>
          <w:rFonts w:ascii="Arial" w:hAnsi="Arial"/>
          <w:sz w:val="24"/>
          <w:szCs w:val="24"/>
          <w:u w:color="000000"/>
          <w:rtl w:val="0"/>
          <w:lang w:val="en-US"/>
        </w:rPr>
        <w:t>odere</w:t>
      </w:r>
      <w:r>
        <w:rPr>
          <w:rFonts w:ascii="Arial" w:hAnsi="Arial"/>
          <w:sz w:val="24"/>
          <w:szCs w:val="24"/>
          <w:u w:color="000000"/>
          <w:rtl w:val="0"/>
          <w:lang w:val="en-US"/>
        </w:rPr>
        <w:t xml:space="preserve"> understood the physical nature of the act </w:t>
      </w:r>
      <w:r>
        <w:rPr>
          <w:rFonts w:ascii="Arial" w:hAnsi="Arial"/>
          <w:sz w:val="24"/>
          <w:szCs w:val="24"/>
          <w:u w:color="000000"/>
          <w:rtl w:val="0"/>
          <w:lang w:val="en-US"/>
        </w:rPr>
        <w:t>then it should be</w:t>
      </w:r>
      <w:r>
        <w:rPr>
          <w:rFonts w:ascii="Arial" w:hAnsi="Arial"/>
          <w:sz w:val="24"/>
          <w:szCs w:val="24"/>
          <w:u w:color="000000"/>
          <w:rtl w:val="0"/>
          <w:lang w:val="en-US"/>
        </w:rPr>
        <w:t xml:space="preserve"> considered whether he knew it was wron</w:t>
      </w:r>
      <w:r>
        <w:rPr>
          <w:rFonts w:ascii="Arial" w:hAnsi="Arial"/>
          <w:sz w:val="24"/>
          <w:szCs w:val="24"/>
          <w:u w:color="000000"/>
          <w:rtl w:val="0"/>
          <w:lang w:val="en-US"/>
        </w:rPr>
        <w:t xml:space="preserve">g, and </w:t>
      </w:r>
      <w:r>
        <w:rPr>
          <w:rFonts w:ascii="Arial" w:hAnsi="Arial"/>
          <w:sz w:val="24"/>
          <w:szCs w:val="24"/>
          <w:u w:color="000000"/>
          <w:rtl w:val="0"/>
          <w:lang w:val="en-US"/>
        </w:rPr>
        <w:t xml:space="preserve">that he ought not to do it. </w:t>
      </w:r>
      <w:r>
        <w:rPr>
          <w:rFonts w:ascii="Arial" w:hAnsi="Arial"/>
          <w:sz w:val="24"/>
          <w:szCs w:val="24"/>
          <w:u w:color="000000"/>
          <w:rtl w:val="0"/>
          <w:lang w:val="en-US"/>
        </w:rPr>
        <w:t xml:space="preserve">It was </w:t>
      </w:r>
      <w:r>
        <w:rPr>
          <w:rFonts w:ascii="Arial" w:hAnsi="Arial"/>
          <w:sz w:val="24"/>
          <w:szCs w:val="24"/>
          <w:u w:color="000000"/>
          <w:rtl w:val="0"/>
          <w:lang w:val="en-US"/>
        </w:rPr>
        <w:t xml:space="preserve">held that </w:t>
      </w:r>
      <w:r>
        <w:rPr>
          <w:rFonts w:ascii="Arial" w:hAnsi="Arial"/>
          <w:sz w:val="24"/>
          <w:szCs w:val="24"/>
          <w:u w:color="000000"/>
          <w:rtl w:val="0"/>
          <w:lang w:val="en-US"/>
        </w:rPr>
        <w:t>Codere</w:t>
      </w:r>
      <w:r>
        <w:rPr>
          <w:rFonts w:ascii="Arial" w:hAnsi="Arial"/>
          <w:sz w:val="24"/>
          <w:szCs w:val="24"/>
          <w:u w:color="000000"/>
          <w:rtl w:val="0"/>
          <w:lang w:val="en-US"/>
        </w:rPr>
        <w:t xml:space="preserve"> was </w:t>
      </w:r>
      <w:r>
        <w:rPr>
          <w:rFonts w:ascii="Arial" w:hAnsi="Arial" w:hint="default"/>
          <w:sz w:val="24"/>
          <w:szCs w:val="24"/>
          <w:u w:color="000000"/>
          <w:rtl w:val="1"/>
          <w:lang w:val="ar-SA" w:bidi="ar-SA"/>
        </w:rPr>
        <w:t>“</w:t>
      </w:r>
      <w:r>
        <w:rPr>
          <w:rFonts w:ascii="Arial" w:hAnsi="Arial"/>
          <w:sz w:val="24"/>
          <w:szCs w:val="24"/>
          <w:u w:color="000000"/>
          <w:rtl w:val="0"/>
          <w:lang w:val="en-US"/>
        </w:rPr>
        <w:t>abnormal mentally</w:t>
      </w:r>
      <w:r>
        <w:rPr>
          <w:rFonts w:ascii="Arial" w:hAnsi="Arial" w:hint="default"/>
          <w:sz w:val="24"/>
          <w:szCs w:val="24"/>
          <w:u w:color="000000"/>
          <w:rtl w:val="0"/>
        </w:rPr>
        <w:t xml:space="preserve">” </w:t>
      </w:r>
      <w:r>
        <w:rPr>
          <w:rFonts w:ascii="Arial" w:hAnsi="Arial"/>
          <w:sz w:val="24"/>
          <w:szCs w:val="24"/>
          <w:u w:color="000000"/>
          <w:rtl w:val="0"/>
          <w:lang w:val="en-US"/>
        </w:rPr>
        <w:t xml:space="preserve">additionally </w:t>
      </w:r>
      <w:r>
        <w:rPr>
          <w:rFonts w:ascii="Arial" w:hAnsi="Arial"/>
          <w:sz w:val="24"/>
          <w:szCs w:val="24"/>
          <w:u w:color="000000"/>
          <w:rtl w:val="0"/>
          <w:lang w:val="en-US"/>
        </w:rPr>
        <w:t>sufficient evidence</w:t>
      </w:r>
      <w:r>
        <w:rPr>
          <w:rFonts w:ascii="Arial" w:hAnsi="Arial"/>
          <w:sz w:val="24"/>
          <w:szCs w:val="24"/>
          <w:u w:color="000000"/>
          <w:rtl w:val="0"/>
          <w:lang w:val="en-US"/>
        </w:rPr>
        <w:t xml:space="preserve"> demonstrated</w:t>
      </w:r>
      <w:r>
        <w:rPr>
          <w:rFonts w:ascii="Arial" w:hAnsi="Arial"/>
          <w:sz w:val="24"/>
          <w:szCs w:val="24"/>
          <w:u w:color="000000"/>
          <w:rtl w:val="0"/>
          <w:lang w:val="en-US"/>
        </w:rPr>
        <w:t xml:space="preserve"> he was</w:t>
      </w:r>
      <w:r>
        <w:rPr>
          <w:rFonts w:ascii="Arial" w:hAnsi="Arial"/>
          <w:sz w:val="24"/>
          <w:szCs w:val="24"/>
          <w:u w:color="000000"/>
          <w:rtl w:val="0"/>
          <w:lang w:val="en-US"/>
        </w:rPr>
        <w:t xml:space="preserve"> aware of the illegality of</w:t>
      </w:r>
      <w:r>
        <w:rPr>
          <w:rFonts w:ascii="Arial" w:hAnsi="Arial"/>
          <w:sz w:val="24"/>
          <w:szCs w:val="24"/>
          <w:u w:color="000000"/>
          <w:rtl w:val="0"/>
          <w:lang w:val="en-US"/>
        </w:rPr>
        <w:t xml:space="preserve"> the act. The appeal was accordingly dismissed.</w:t>
      </w:r>
      <w:r>
        <w:rPr>
          <w:rFonts w:ascii="Arial" w:hAnsi="Arial"/>
          <w:sz w:val="24"/>
          <w:szCs w:val="24"/>
          <w:u w:color="000000"/>
          <w:rtl w:val="0"/>
          <w:lang w:val="en-US"/>
        </w:rPr>
        <w:t xml:space="preserve"> </w:t>
      </w:r>
    </w:p>
    <w:p>
      <w:pPr>
        <w:pStyle w:val="Body"/>
        <w:bidi w:val="0"/>
        <w:ind w:left="0" w:right="0" w:firstLine="360"/>
        <w:jc w:val="left"/>
        <w:rPr>
          <w:rFonts w:ascii="Arial" w:cs="Arial" w:hAnsi="Arial" w:eastAsia="Arial"/>
          <w:sz w:val="24"/>
          <w:szCs w:val="24"/>
          <w:u w:color="000000"/>
          <w:rtl w:val="0"/>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Insanity overlaps automatism and therefore requires clarification, within automatism the defendant must lack complete control over his actions complementary to insanity. </w:t>
      </w: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Automatism distinguishably requires an involuntary conduct occurring due to an external factor such as alcohol consumption, a concussion, an administration of anaesthetic or an insulin injection rather than an internal factor as in insanity. Automatism is affectively demonstrated in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Hill V Baxter [1985]</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a driver was attacked by a swarm of bees causing an involuntary movement of his arms and legs resulting in his car crashing.  The court held that automatism was a complete defence to the crime of driving without due care and caution. The burden of proof lies upon the prosecution; they must verify the defendant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 conduct were voluntary and they were in sufficient control of their bodily movements.Nonetheless, in the defence of insanity the defendant must prove they are legally insane and provide medical evidence to support this. Insanity is effectively distinguished from automatism but requires clarification over hyperglycaemia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 v Hennessy [1989]</w:t>
      </w:r>
      <w: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lang w:val="en-US"/>
          <w14:textOutline>
            <w14:noFill/>
          </w14:textOutline>
          <w14:textFill>
            <w14:solidFill>
              <w14:srgbClr w14:val="000000"/>
            </w14:solidFill>
          </w14:textFill>
        </w:rPr>
        <w:footnoteReference w:id="5"/>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the defendant relied upon automatism, the trial judge concluded with the aid of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 v Quick [1973]</w:t>
      </w:r>
      <w: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lang w:val="en-US"/>
          <w14:textOutline>
            <w14:noFill/>
          </w14:textOutline>
          <w14:textFill>
            <w14:solidFill>
              <w14:srgbClr w14:val="000000"/>
            </w14:solidFill>
          </w14:textFill>
        </w:rPr>
        <w:footnoteReference w:id="6"/>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 insanity was the correct defence in relation to a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hyperglycaemic episode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caused by diabetes .</w:t>
      </w: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The law on insanity can be argued as problematic over the lack of clarification over the term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defect of reason</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 should be reformed. The court questioned whether insanity was appropriate due to temporary absent mindedness and depression not being one of the facilitating factors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 v Clarke [1972]</w:t>
      </w:r>
      <w: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lang w:val="en-US"/>
          <w14:textOutline>
            <w14:noFill/>
          </w14:textOutline>
          <w14:textFill>
            <w14:solidFill>
              <w14:srgbClr w14:val="000000"/>
            </w14:solidFill>
          </w14:textFill>
        </w:rPr>
        <w:footnoteReference w:id="7"/>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In order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for a defence of insanity to succeed, the defect of reason</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must be substantial</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The acknowledgment of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problematic definitions for phrases such as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disease of the mind</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must be considered to comprehend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whether the defence of insanity is fit for purpose</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Having a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disease of the mind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is established by an internal factor causing the mind to malfunction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 v Kemp [1957]</w:t>
      </w:r>
      <w: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lang w:val="en-US"/>
          <w14:textOutline>
            <w14:noFill/>
          </w14:textOutline>
          <w14:textFill>
            <w14:solidFill>
              <w14:srgbClr w14:val="000000"/>
            </w14:solidFill>
          </w14:textFill>
        </w:rPr>
        <w:footnoteReference w:id="8"/>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however the defendant argued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grounds of automatism as his actions were due to the loss of consciousness linked to arteriosclerosis, with the hardening of the arteries causing congestion of blood in his brain</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however the trial judge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believed this amounted to a disease of the mind as it effected the defendant</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 reasoning ability therefore he directed the jury that the appropriate defence was one of insanity</w:t>
      </w: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Furthermore, clarification upon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disease of the mind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provides a fair trial and accurate convictions as this phrase has been proven as problematic within the case of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R v Hennessy [1989]</w:t>
      </w:r>
      <w:r>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superscript"/>
          <w:lang w:val="en-US"/>
          <w14:textOutline>
            <w14:noFill/>
          </w14:textOutline>
          <w14:textFill>
            <w14:solidFill>
              <w14:srgbClr w14:val="000000"/>
            </w14:solidFill>
          </w14:textFill>
        </w:rPr>
        <w:footnoteReference w:id="9"/>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The appellant did not recall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stealing a</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car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after not taking insulin for several days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and</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so</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relied on the defence of automatism</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claiming he was unable to control himself due to a state of impaired consciousness</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However, due to the elements of insanity 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he trial judge ruled that insanity is the correct defence to apply to a hyperglycaemic episode, since this is caused by the underlying condition of diabetes and can properly be described as a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disease of the mind</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36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p>
    <w:p>
      <w:pPr>
        <w:pStyle w:val="Subtitle"/>
        <w:keepNext w:val="0"/>
        <w:jc w:val="center"/>
        <w:rPr>
          <w:rFonts w:ascii="Baskerville" w:cs="Baskerville" w:hAnsi="Baskerville" w:eastAsia="Baskerville"/>
          <w:b w:val="1"/>
          <w:bCs w:val="1"/>
          <w:spacing w:val="2"/>
          <w:sz w:val="26"/>
          <w:szCs w:val="26"/>
        </w:rPr>
      </w:pPr>
    </w:p>
    <w:p>
      <w:pPr>
        <w:pStyle w:val="Subtitle"/>
        <w:keepNext w:val="0"/>
        <w:jc w:val="center"/>
        <w:rPr>
          <w:rFonts w:ascii="Baskerville" w:cs="Baskerville" w:hAnsi="Baskerville" w:eastAsia="Baskerville"/>
          <w:b w:val="1"/>
          <w:bCs w:val="1"/>
          <w:spacing w:val="2"/>
          <w:sz w:val="26"/>
          <w:szCs w:val="26"/>
        </w:rPr>
      </w:pPr>
    </w:p>
    <w:p>
      <w:pPr>
        <w:pStyle w:val="Subtitle"/>
        <w:keepNext w:val="0"/>
        <w:jc w:val="center"/>
        <w:rPr>
          <w:rFonts w:ascii="Arial" w:cs="Arial" w:hAnsi="Arial" w:eastAsia="Arial"/>
          <w:b w:val="1"/>
          <w:bCs w:val="1"/>
          <w:spacing w:val="2"/>
          <w:sz w:val="28"/>
          <w:szCs w:val="28"/>
        </w:rPr>
      </w:pPr>
      <w:r>
        <w:rPr>
          <w:rFonts w:ascii="Arial" w:hAnsi="Arial"/>
          <w:b w:val="1"/>
          <w:bCs w:val="1"/>
          <w:spacing w:val="2"/>
          <w:sz w:val="28"/>
          <w:szCs w:val="28"/>
          <w:rtl w:val="0"/>
          <w:lang w:val="en-US"/>
        </w:rPr>
        <w:t xml:space="preserve">Question 2 </w:t>
      </w:r>
    </w:p>
    <w:p>
      <w:pPr>
        <w:pStyle w:val="Body"/>
        <w:bidi w:val="0"/>
        <w:ind w:left="720" w:right="0" w:firstLine="0"/>
        <w:jc w:val="left"/>
        <w:rPr>
          <w:rFonts w:ascii="Times New Roman" w:cs="Times New Roman" w:hAnsi="Times New Roman" w:eastAsia="Times New Roman"/>
          <w:b w:val="1"/>
          <w:bCs w:val="1"/>
          <w:sz w:val="28"/>
          <w:szCs w:val="28"/>
          <w:u w:color="000000"/>
          <w:rtl w:val="0"/>
        </w:rPr>
      </w:pPr>
    </w:p>
    <w:p>
      <w:pPr>
        <w:pStyle w:val="Body"/>
        <w:bidi w:val="0"/>
        <w:ind w:left="720" w:right="0" w:firstLine="0"/>
        <w:jc w:val="left"/>
        <w:rPr>
          <w:rFonts w:ascii="Arial" w:cs="Arial" w:hAnsi="Arial" w:eastAsia="Arial"/>
          <w:sz w:val="24"/>
          <w:szCs w:val="24"/>
          <w:u w:color="000000"/>
          <w:rtl w:val="0"/>
        </w:rPr>
      </w:pPr>
    </w:p>
    <w:p>
      <w:pPr>
        <w:pStyle w:val="Body"/>
        <w:bidi w:val="0"/>
        <w:ind w:left="0" w:right="0" w:firstLine="360"/>
        <w:jc w:val="left"/>
        <w:rPr>
          <w:rFonts w:ascii="Arial" w:cs="Arial" w:hAnsi="Arial" w:eastAsia="Arial"/>
          <w:sz w:val="24"/>
          <w:szCs w:val="24"/>
          <w:u w:color="000000"/>
          <w:rtl w:val="0"/>
        </w:rPr>
      </w:pPr>
      <w:r>
        <w:rPr>
          <w:rFonts w:ascii="Arial" w:hAnsi="Arial"/>
          <w:sz w:val="24"/>
          <w:szCs w:val="24"/>
          <w:u w:color="000000"/>
          <w:rtl w:val="0"/>
          <w:lang w:val="en-US"/>
        </w:rPr>
        <w:t xml:space="preserve"> It could be determined that Ali</w:t>
      </w:r>
      <w:r>
        <w:rPr>
          <w:rFonts w:ascii="Arial" w:hAnsi="Arial" w:hint="default"/>
          <w:sz w:val="24"/>
          <w:szCs w:val="24"/>
          <w:u w:color="000000"/>
          <w:rtl w:val="0"/>
          <w:lang w:val="en-US"/>
        </w:rPr>
        <w:t>’</w:t>
      </w:r>
      <w:r>
        <w:rPr>
          <w:rFonts w:ascii="Arial" w:hAnsi="Arial"/>
          <w:sz w:val="24"/>
          <w:szCs w:val="24"/>
          <w:u w:color="000000"/>
          <w:rtl w:val="0"/>
          <w:lang w:val="en-US"/>
        </w:rPr>
        <w:t>s actions of punching Lee with such force that he was knocked unconscious  satisfy the elements for inflicting grievous bodily harm. Under the Offences Against the Person Act 1861 section 20 it is determined that whoever shall unlawfully and maliciously wound or inflict any grievous bodily harm upon any other person with or without a weapon shall be guilty of a misdemeanor.  Section 18 of the Offences Against the Person Act determines</w:t>
      </w:r>
      <w:r>
        <w:rPr>
          <w:rFonts w:ascii="Arial" w:hAnsi="Arial"/>
          <w:sz w:val="24"/>
          <w:szCs w:val="24"/>
          <w:u w:color="000000"/>
          <w:rtl w:val="0"/>
          <w:lang w:val="en-US"/>
        </w:rPr>
        <w:t xml:space="preserve"> that the defendant intended to wound and</w:t>
      </w:r>
      <w:r>
        <w:rPr>
          <w:rFonts w:ascii="Arial" w:hAnsi="Arial"/>
          <w:sz w:val="24"/>
          <w:szCs w:val="24"/>
          <w:u w:color="000000"/>
          <w:rtl w:val="0"/>
          <w:lang w:val="en-US"/>
        </w:rPr>
        <w:t xml:space="preserve">, </w:t>
      </w:r>
      <w:r>
        <w:rPr>
          <w:rFonts w:ascii="Arial" w:hAnsi="Arial"/>
          <w:sz w:val="24"/>
          <w:szCs w:val="24"/>
          <w:u w:color="000000"/>
          <w:rtl w:val="0"/>
          <w:lang w:val="en-US"/>
        </w:rPr>
        <w:t xml:space="preserve">or cause grievous bodily harm, and nothing less than an intention to produce that result, which in fact materialised, will suffice. </w:t>
      </w:r>
      <w:r>
        <w:rPr>
          <w:rFonts w:ascii="Arial" w:hAnsi="Arial"/>
          <w:sz w:val="24"/>
          <w:szCs w:val="24"/>
          <w:u w:color="000000"/>
          <w:rtl w:val="0"/>
          <w:lang w:val="en-US"/>
        </w:rPr>
        <w:t xml:space="preserve">The </w:t>
      </w:r>
      <w:r>
        <w:rPr>
          <w:rFonts w:ascii="Arial" w:hAnsi="Arial" w:hint="default"/>
          <w:sz w:val="24"/>
          <w:szCs w:val="24"/>
          <w:u w:color="000000"/>
          <w:rtl w:val="0"/>
          <w:lang w:val="en-US"/>
        </w:rPr>
        <w:t>“</w:t>
      </w:r>
      <w:r>
        <w:rPr>
          <w:rFonts w:ascii="Arial" w:hAnsi="Arial"/>
          <w:sz w:val="24"/>
          <w:szCs w:val="24"/>
          <w:u w:color="000000"/>
          <w:rtl w:val="0"/>
          <w:lang w:val="en-US"/>
        </w:rPr>
        <w:t>malicious</w:t>
      </w:r>
      <w:r>
        <w:rPr>
          <w:rFonts w:ascii="Arial" w:hAnsi="Arial" w:hint="default"/>
          <w:sz w:val="24"/>
          <w:szCs w:val="24"/>
          <w:u w:color="000000"/>
          <w:rtl w:val="0"/>
          <w:lang w:val="en-US"/>
        </w:rPr>
        <w:t xml:space="preserve">” </w:t>
      </w:r>
      <w:r>
        <w:rPr>
          <w:rFonts w:ascii="Arial" w:hAnsi="Arial"/>
          <w:sz w:val="24"/>
          <w:szCs w:val="24"/>
          <w:u w:color="000000"/>
          <w:rtl w:val="0"/>
          <w:lang w:val="en-US"/>
        </w:rPr>
        <w:t xml:space="preserve">element of Mens Rea does not require demonstration that the defendant intended a certain level of harm. The case of </w:t>
      </w:r>
      <w:r>
        <w:rPr>
          <w:rFonts w:ascii="Arial" w:hAnsi="Arial"/>
          <w:sz w:val="24"/>
          <w:szCs w:val="24"/>
          <w:u w:color="000000"/>
          <w:rtl w:val="0"/>
        </w:rPr>
        <w:t>R v Savage, DPP v Parmenter (1989)</w:t>
      </w:r>
      <w:r>
        <w:rPr>
          <w:rFonts w:ascii="Arial" w:hAnsi="Arial"/>
          <w:sz w:val="24"/>
          <w:szCs w:val="24"/>
          <w:u w:color="000000"/>
          <w:rtl w:val="0"/>
          <w:lang w:val="en-US"/>
        </w:rPr>
        <w:t xml:space="preserve"> consitutes that it is sufficient that Ali foresaw some level of harm would have come from punching Lee and not that he would later die within hospital. Furthermore, Ali could be liable for manslaughter due to the case law of </w:t>
      </w:r>
      <w:r>
        <w:rPr>
          <w:rFonts w:ascii="Arial" w:hAnsi="Arial"/>
          <w:sz w:val="24"/>
          <w:szCs w:val="24"/>
          <w:u w:color="000000"/>
          <w:rtl w:val="0"/>
        </w:rPr>
        <w:t>R v Watson (1989)</w:t>
      </w:r>
      <w:r>
        <w:rPr>
          <w:rFonts w:ascii="Arial" w:hAnsi="Arial"/>
          <w:sz w:val="24"/>
          <w:szCs w:val="24"/>
          <w:u w:color="000000"/>
          <w:rtl w:val="0"/>
          <w:lang w:val="en-US"/>
        </w:rPr>
        <w:t xml:space="preserve"> previously establishing that if the victim</w:t>
      </w:r>
      <w:r>
        <w:rPr>
          <w:rFonts w:ascii="Arial" w:hAnsi="Arial" w:hint="default"/>
          <w:sz w:val="24"/>
          <w:szCs w:val="24"/>
          <w:u w:color="000000"/>
          <w:rtl w:val="0"/>
          <w:lang w:val="en-US"/>
        </w:rPr>
        <w:t>’</w:t>
      </w:r>
      <w:r>
        <w:rPr>
          <w:rFonts w:ascii="Arial" w:hAnsi="Arial"/>
          <w:sz w:val="24"/>
          <w:szCs w:val="24"/>
          <w:u w:color="000000"/>
          <w:rtl w:val="0"/>
          <w:lang w:val="en-US"/>
        </w:rPr>
        <w:t xml:space="preserve">s death was caused by an unlawful act in which a reasonable person would believe as capable of causing the victim harm regardless of whether the defendant recognised that risk.  Ali could be considered liable to involuntary manslaughter as his actions resulted in an unlawful filling without the intention to kill within OAPA 1861 it is stated that whosoever shall be invited of manslaughter shall be liable. </w:t>
      </w:r>
      <w:r>
        <w:rPr>
          <w:rFonts w:ascii="Arial" w:hAnsi="Arial"/>
          <w:sz w:val="24"/>
          <w:szCs w:val="24"/>
          <w:u w:color="000000"/>
          <w:rtl w:val="0"/>
        </w:rPr>
        <w:t>R v Woollin (1999)</w:t>
      </w:r>
      <w:r>
        <w:rPr>
          <w:rFonts w:ascii="Arial" w:hAnsi="Arial"/>
          <w:sz w:val="24"/>
          <w:szCs w:val="24"/>
          <w:u w:color="000000"/>
          <w:rtl w:val="0"/>
          <w:lang w:val="en-US"/>
        </w:rPr>
        <w:t xml:space="preserve"> it is classified that </w:t>
      </w:r>
      <w:r>
        <w:rPr>
          <w:rFonts w:ascii="Arial" w:hAnsi="Arial"/>
          <w:sz w:val="24"/>
          <w:szCs w:val="24"/>
          <w:u w:color="000000"/>
          <w:rtl w:val="0"/>
          <w:lang w:val="en-US"/>
        </w:rPr>
        <w:t>recklessness is not a state of mind sufficient to convict a defendant of murder</w:t>
      </w:r>
      <w:r>
        <w:rPr>
          <w:rFonts w:ascii="Arial" w:hAnsi="Arial"/>
          <w:sz w:val="24"/>
          <w:szCs w:val="24"/>
          <w:u w:color="000000"/>
          <w:rtl w:val="0"/>
          <w:lang w:val="en-US"/>
        </w:rPr>
        <w:t xml:space="preserve">. The </w:t>
      </w:r>
      <w:r>
        <w:rPr>
          <w:rFonts w:ascii="Arial" w:hAnsi="Arial" w:hint="default"/>
          <w:sz w:val="24"/>
          <w:szCs w:val="24"/>
          <w:u w:color="000000"/>
          <w:rtl w:val="0"/>
          <w:lang w:val="en-US"/>
        </w:rPr>
        <w:t>‘</w:t>
      </w:r>
      <w:r>
        <w:rPr>
          <w:rFonts w:ascii="Arial" w:hAnsi="Arial"/>
          <w:sz w:val="24"/>
          <w:szCs w:val="24"/>
          <w:u w:color="000000"/>
          <w:rtl w:val="0"/>
          <w:lang w:val="en-US"/>
        </w:rPr>
        <w:t>but for</w:t>
      </w:r>
      <w:r>
        <w:rPr>
          <w:rFonts w:ascii="Arial" w:hAnsi="Arial" w:hint="default"/>
          <w:sz w:val="24"/>
          <w:szCs w:val="24"/>
          <w:u w:color="000000"/>
          <w:rtl w:val="0"/>
          <w:lang w:val="en-US"/>
        </w:rPr>
        <w:t xml:space="preserve">’ </w:t>
      </w:r>
      <w:r>
        <w:rPr>
          <w:rFonts w:ascii="Arial" w:hAnsi="Arial"/>
          <w:sz w:val="24"/>
          <w:szCs w:val="24"/>
          <w:u w:color="000000"/>
          <w:rtl w:val="0"/>
          <w:lang w:val="en-US"/>
        </w:rPr>
        <w:t>test of causation could be utilised when determining the potential criminal liability as if Ali did not punch Lee, Lee would not have died. Ali cannot be convicted unless it can be proven that without his actions resulted in Lee</w:t>
      </w:r>
      <w:r>
        <w:rPr>
          <w:rFonts w:ascii="Arial" w:hAnsi="Arial" w:hint="default"/>
          <w:sz w:val="24"/>
          <w:szCs w:val="24"/>
          <w:u w:color="000000"/>
          <w:rtl w:val="0"/>
          <w:lang w:val="en-US"/>
        </w:rPr>
        <w:t>’</w:t>
      </w:r>
      <w:r>
        <w:rPr>
          <w:rFonts w:ascii="Arial" w:hAnsi="Arial"/>
          <w:sz w:val="24"/>
          <w:szCs w:val="24"/>
          <w:u w:color="000000"/>
          <w:rtl w:val="0"/>
          <w:lang w:val="en-US"/>
        </w:rPr>
        <w:t>s death. The facts of this case indicate that Ali can be found liable for murder.</w:t>
      </w:r>
    </w:p>
    <w:p>
      <w:pPr>
        <w:pStyle w:val="Default"/>
        <w:bidi w:val="0"/>
        <w:spacing w:before="0" w:line="240" w:lineRule="auto"/>
        <w:ind w:left="0" w:right="0" w:firstLine="360"/>
        <w:jc w:val="left"/>
        <w:rPr>
          <w:rFonts w:ascii="Arial" w:cs="Arial" w:hAnsi="Arial" w:eastAsia="Arial"/>
          <w:rtl w:val="0"/>
        </w:rPr>
      </w:pPr>
    </w:p>
    <w:p>
      <w:pPr>
        <w:pStyle w:val="Default"/>
        <w:bidi w:val="0"/>
        <w:spacing w:before="0" w:line="240" w:lineRule="auto"/>
        <w:ind w:left="0" w:right="0" w:firstLine="360"/>
        <w:jc w:val="left"/>
        <w:rPr>
          <w:rFonts w:ascii="Arial" w:cs="Arial" w:hAnsi="Arial" w:eastAsia="Arial"/>
          <w:rtl w:val="0"/>
        </w:rPr>
      </w:pPr>
      <w:r>
        <w:rPr>
          <w:rFonts w:ascii="Arial" w:hAnsi="Arial"/>
          <w:rtl w:val="0"/>
          <w:lang w:val="en-US"/>
        </w:rPr>
        <w:t>Murder can be classified where the defendant kills a victim and the defendant intends to kill or intends to cause grievous bodily harm. To determine whether Ali</w:t>
      </w:r>
      <w:r>
        <w:rPr>
          <w:rFonts w:ascii="Arial" w:hAnsi="Arial" w:hint="default"/>
          <w:rtl w:val="0"/>
          <w:lang w:val="en-US"/>
        </w:rPr>
        <w:t>’</w:t>
      </w:r>
      <w:r>
        <w:rPr>
          <w:rFonts w:ascii="Arial" w:hAnsi="Arial"/>
          <w:rtl w:val="0"/>
          <w:lang w:val="en-US"/>
        </w:rPr>
        <w:t xml:space="preserve">s actions make him criminally liable by meeting the necessary elements of murder the </w:t>
      </w:r>
      <w:r>
        <w:rPr>
          <w:rFonts w:ascii="Arial" w:hAnsi="Arial" w:hint="default"/>
          <w:rtl w:val="0"/>
          <w:lang w:val="en-US"/>
        </w:rPr>
        <w:t>‘</w:t>
      </w:r>
      <w:r>
        <w:rPr>
          <w:rFonts w:ascii="Arial" w:hAnsi="Arial"/>
          <w:rtl w:val="0"/>
          <w:lang w:val="en-US"/>
        </w:rPr>
        <w:t>but for</w:t>
      </w:r>
      <w:r>
        <w:rPr>
          <w:rFonts w:ascii="Arial" w:hAnsi="Arial" w:hint="default"/>
          <w:rtl w:val="0"/>
          <w:lang w:val="en-US"/>
        </w:rPr>
        <w:t xml:space="preserve">’ </w:t>
      </w:r>
      <w:r>
        <w:rPr>
          <w:rFonts w:ascii="Arial" w:hAnsi="Arial"/>
          <w:rtl w:val="0"/>
          <w:lang w:val="en-US"/>
        </w:rPr>
        <w:t xml:space="preserve">test of causation could be utilised. This test could substantiate whether Ali can be found liable of Colins death or rather grievous body harm, it is clear that if Ali did not stab Colin then he would not have died and therefore the actions can be sufficient to meet all of the elements of murder under the Offence Against the Persons Act. Case law regulated in R v White (1910) even if the defendant did not intend the level of harm that was caused the </w:t>
      </w:r>
      <w:r>
        <w:rPr>
          <w:rFonts w:ascii="Arial" w:hAnsi="Arial" w:hint="default"/>
          <w:rtl w:val="0"/>
          <w:lang w:val="en-US"/>
        </w:rPr>
        <w:t>‘</w:t>
      </w:r>
      <w:r>
        <w:rPr>
          <w:rFonts w:ascii="Arial" w:hAnsi="Arial"/>
          <w:rtl w:val="0"/>
          <w:lang w:val="en-US"/>
        </w:rPr>
        <w:t>but for</w:t>
      </w:r>
      <w:r>
        <w:rPr>
          <w:rFonts w:ascii="Arial" w:hAnsi="Arial" w:hint="default"/>
          <w:rtl w:val="0"/>
          <w:lang w:val="en-US"/>
        </w:rPr>
        <w:t xml:space="preserve">’ </w:t>
      </w:r>
      <w:r>
        <w:rPr>
          <w:rFonts w:ascii="Arial" w:hAnsi="Arial"/>
          <w:rtl w:val="0"/>
          <w:lang w:val="en-US"/>
        </w:rPr>
        <w:t xml:space="preserve">test of causation certifies that Ali could be liable for murder as his actions had caused Colins death.The Actus Reus elements of unlawful killing such as </w:t>
      </w:r>
      <w:r>
        <w:rPr>
          <w:rFonts w:ascii="Arial" w:hAnsi="Arial" w:hint="default"/>
          <w:rtl w:val="0"/>
          <w:lang w:val="en-US"/>
        </w:rPr>
        <w:t xml:space="preserve">‘ </w:t>
      </w:r>
      <w:r>
        <w:rPr>
          <w:rFonts w:ascii="Arial" w:hAnsi="Arial"/>
          <w:rtl w:val="0"/>
          <w:lang w:val="en-US"/>
        </w:rPr>
        <w:t>the defendant</w:t>
      </w:r>
      <w:r>
        <w:rPr>
          <w:rFonts w:ascii="Arial" w:hAnsi="Arial" w:hint="default"/>
          <w:rtl w:val="0"/>
          <w:lang w:val="en-US"/>
        </w:rPr>
        <w:t>’</w:t>
      </w:r>
      <w:r>
        <w:rPr>
          <w:rFonts w:ascii="Arial" w:hAnsi="Arial"/>
          <w:rtl w:val="0"/>
          <w:lang w:val="en-US"/>
        </w:rPr>
        <w:t>s acts or omissions must cause the victim death</w:t>
      </w:r>
      <w:r>
        <w:rPr>
          <w:rFonts w:ascii="Arial" w:hAnsi="Arial" w:hint="default"/>
          <w:rtl w:val="0"/>
          <w:lang w:val="en-US"/>
        </w:rPr>
        <w:t xml:space="preserve">’ </w:t>
      </w:r>
      <w:r>
        <w:rPr>
          <w:rFonts w:ascii="Arial" w:hAnsi="Arial"/>
          <w:rtl w:val="0"/>
          <w:lang w:val="en-US"/>
        </w:rPr>
        <w:t>and the act was committed under the Queen</w:t>
      </w:r>
      <w:r>
        <w:rPr>
          <w:rFonts w:ascii="Arial" w:hAnsi="Arial" w:hint="default"/>
          <w:rtl w:val="0"/>
          <w:lang w:val="en-US"/>
        </w:rPr>
        <w:t>’</w:t>
      </w:r>
      <w:r>
        <w:rPr>
          <w:rFonts w:ascii="Arial" w:hAnsi="Arial"/>
          <w:rtl w:val="0"/>
          <w:lang w:val="en-US"/>
        </w:rPr>
        <w:t>s peace are fulfilled as Ali</w:t>
      </w:r>
      <w:r>
        <w:rPr>
          <w:rFonts w:ascii="Arial" w:hAnsi="Arial" w:hint="default"/>
          <w:rtl w:val="0"/>
          <w:lang w:val="en-US"/>
        </w:rPr>
        <w:t>’</w:t>
      </w:r>
      <w:r>
        <w:rPr>
          <w:rFonts w:ascii="Arial" w:hAnsi="Arial"/>
          <w:rtl w:val="0"/>
          <w:lang w:val="en-US"/>
        </w:rPr>
        <w:t xml:space="preserve">s actions caused death. Moreover, the Mens Rea elements such as the omission of committing murder does not need to be considered </w:t>
      </w:r>
      <w:r>
        <w:rPr>
          <w:rFonts w:ascii="Arial" w:hAnsi="Arial" w:hint="default"/>
          <w:rtl w:val="0"/>
          <w:lang w:val="en-US"/>
        </w:rPr>
        <w:t>‘</w:t>
      </w:r>
      <w:r>
        <w:rPr>
          <w:rFonts w:ascii="Arial" w:hAnsi="Arial"/>
          <w:rtl w:val="0"/>
          <w:lang w:val="en-US"/>
        </w:rPr>
        <w:t>malicious</w:t>
      </w:r>
      <w:r>
        <w:rPr>
          <w:rFonts w:ascii="Arial" w:hAnsi="Arial" w:hint="default"/>
          <w:rtl w:val="0"/>
          <w:lang w:val="en-US"/>
        </w:rPr>
        <w:t xml:space="preserve">’ </w:t>
      </w:r>
      <w:r>
        <w:rPr>
          <w:rFonts w:ascii="Arial" w:hAnsi="Arial"/>
          <w:rtl w:val="0"/>
          <w:lang w:val="en-US"/>
        </w:rPr>
        <w:t xml:space="preserve">by the court are also satisfied as the intention to cause grievous bodily harm to Colin was proven in reference to Cunningham (1982).  Section 3 Homicide Act 1957 deciphers  </w:t>
      </w:r>
      <w:r>
        <w:rPr>
          <w:rFonts w:ascii="Arial" w:hAnsi="Arial" w:hint="default"/>
          <w:rtl w:val="1"/>
          <w:lang w:val="ar-SA" w:bidi="ar-SA"/>
        </w:rPr>
        <w:t>“</w:t>
      </w:r>
      <w:r>
        <w:rPr>
          <w:rFonts w:ascii="Arial" w:hAnsi="Arial"/>
          <w:rtl w:val="0"/>
          <w:lang w:val="en-US"/>
        </w:rPr>
        <w:t>w</w:t>
      </w:r>
      <w:r>
        <w:rPr>
          <w:rFonts w:ascii="Arial" w:hAnsi="Arial"/>
          <w:rtl w:val="0"/>
          <w:lang w:val="en-US"/>
        </w:rPr>
        <w:t>here on a charge of murder there is evidence on which the jury can find that the person charged was provoked (whether by things done or by things said or both) to lose his self-control, the question whether the provocation was enough to make a reasonable man do as he did shall be left to be determined by the jury</w:t>
      </w:r>
      <w:r>
        <w:rPr>
          <w:rFonts w:ascii="Arial" w:hAnsi="Arial" w:hint="default"/>
          <w:rtl w:val="0"/>
          <w:lang w:val="en-US"/>
        </w:rPr>
        <w:t>”</w:t>
      </w:r>
      <w:r>
        <w:rPr>
          <w:rFonts w:ascii="Arial" w:hAnsi="Arial"/>
          <w:rtl w:val="0"/>
          <w:lang w:val="en-US"/>
        </w:rPr>
        <w:t>. It can be seen that there was no provocation from Colin as the defendant approached him from the street and proceeded to stab the victim with a knife after having asked whether Colin spoke to the police involving the incident the previous night. Within a court of law it can be deemed that a reasonable person would not believe stabbing Colin was due to provocation as a cause of Section 3 Homicide Act 1957. The modernisation of this act was Section</w:t>
      </w:r>
      <w:r>
        <w:rPr>
          <w:rFonts w:ascii="Arial" w:hAnsi="Arial"/>
          <w:rtl w:val="0"/>
          <w:lang w:val="en-US"/>
        </w:rPr>
        <w:t>.54 and 55 Coroners and Justice Act 2009</w:t>
      </w:r>
      <w:r>
        <w:rPr>
          <w:rFonts w:ascii="Arial" w:hAnsi="Arial"/>
          <w:rtl w:val="0"/>
          <w:lang w:val="en-US"/>
        </w:rPr>
        <w:t xml:space="preserve"> in which </w:t>
      </w:r>
      <w:r>
        <w:rPr>
          <w:rFonts w:ascii="Arial" w:hAnsi="Arial" w:hint="default"/>
          <w:rtl w:val="0"/>
          <w:lang w:val="en-US"/>
        </w:rPr>
        <w:t>‘</w:t>
      </w:r>
      <w:r>
        <w:rPr>
          <w:rFonts w:ascii="Arial" w:hAnsi="Arial"/>
          <w:rtl w:val="0"/>
          <w:lang w:val="en-US"/>
        </w:rPr>
        <w:t>provocation</w:t>
      </w:r>
      <w:r>
        <w:rPr>
          <w:rFonts w:ascii="Arial" w:hAnsi="Arial" w:hint="default"/>
          <w:rtl w:val="0"/>
          <w:lang w:val="en-US"/>
        </w:rPr>
        <w:t xml:space="preserve">’ </w:t>
      </w:r>
      <w:r>
        <w:rPr>
          <w:rFonts w:ascii="Arial" w:hAnsi="Arial"/>
          <w:rtl w:val="0"/>
          <w:lang w:val="en-US"/>
        </w:rPr>
        <w:t xml:space="preserve">was replaced by the term </w:t>
      </w:r>
      <w:r>
        <w:rPr>
          <w:rFonts w:ascii="Arial" w:hAnsi="Arial" w:hint="default"/>
          <w:rtl w:val="0"/>
          <w:lang w:val="en-US"/>
        </w:rPr>
        <w:t>‘</w:t>
      </w:r>
      <w:r>
        <w:rPr>
          <w:rFonts w:ascii="Arial" w:hAnsi="Arial"/>
          <w:rtl w:val="0"/>
          <w:lang w:val="en-US"/>
        </w:rPr>
        <w:t>loss of control</w:t>
      </w:r>
      <w:r>
        <w:rPr>
          <w:rFonts w:ascii="Arial" w:hAnsi="Arial" w:hint="default"/>
          <w:rtl w:val="0"/>
          <w:lang w:val="en-US"/>
        </w:rPr>
        <w:t>’</w:t>
      </w:r>
      <w:r>
        <w:rPr>
          <w:rFonts w:ascii="Arial" w:hAnsi="Arial"/>
          <w:rtl w:val="0"/>
          <w:lang w:val="en-US"/>
        </w:rPr>
        <w:t xml:space="preserve">, the elements that must be met include a loss of self control causing the defendant to ommitt to the act of killing. Therefore, it can be seen that Ali did commit a murder.In addition to these charges Ali will be found liable of possession of a bladed weapon under </w:t>
      </w:r>
      <w:r>
        <w:rPr>
          <w:rFonts w:ascii="Arial" w:hAnsi="Arial"/>
          <w:rtl w:val="0"/>
          <w:lang w:val="en-US"/>
        </w:rPr>
        <w:t xml:space="preserve">Prevention of Crime Act </w:t>
      </w:r>
      <w:r>
        <w:rPr>
          <w:rFonts w:ascii="Arial" w:hAnsi="Arial"/>
          <w:rtl w:val="0"/>
          <w:lang w:val="en-US"/>
        </w:rPr>
        <w:t>(</w:t>
      </w:r>
      <w:r>
        <w:rPr>
          <w:rFonts w:ascii="Arial" w:hAnsi="Arial"/>
          <w:rtl w:val="0"/>
        </w:rPr>
        <w:t>1953</w:t>
      </w:r>
      <w:r>
        <w:rPr>
          <w:rFonts w:ascii="Arial" w:hAnsi="Arial"/>
          <w:rtl w:val="0"/>
          <w:lang w:val="en-US"/>
        </w:rPr>
        <w:t>)</w:t>
      </w:r>
      <w:r>
        <w:rPr>
          <w:rFonts w:ascii="Arial" w:hAnsi="Arial"/>
          <w:rtl w:val="0"/>
        </w:rPr>
        <w:t xml:space="preserve"> </w:t>
      </w:r>
      <w:r>
        <w:rPr>
          <w:rFonts w:ascii="Arial" w:hAnsi="Arial"/>
          <w:rtl w:val="0"/>
          <w:lang w:val="en-US"/>
        </w:rPr>
        <w:t xml:space="preserve">whereby it is </w:t>
      </w:r>
      <w:r>
        <w:rPr>
          <w:rFonts w:ascii="Arial" w:hAnsi="Arial"/>
          <w:rtl w:val="0"/>
          <w:lang w:val="es-ES_tradnl"/>
        </w:rPr>
        <w:t>prohibit</w:t>
      </w:r>
      <w:r>
        <w:rPr>
          <w:rFonts w:ascii="Arial" w:hAnsi="Arial"/>
          <w:rtl w:val="0"/>
          <w:lang w:val="en-US"/>
        </w:rPr>
        <w:t>ed to have</w:t>
      </w:r>
      <w:r>
        <w:rPr>
          <w:rFonts w:ascii="Arial" w:hAnsi="Arial"/>
          <w:rtl w:val="0"/>
          <w:lang w:val="en-US"/>
        </w:rPr>
        <w:t xml:space="preserve"> possession in any public place of an offensive weapon without lawful authority or excuse</w:t>
      </w:r>
      <w:r>
        <w:rPr>
          <w:rFonts w:ascii="Arial" w:hAnsi="Arial"/>
          <w:rtl w:val="0"/>
          <w:lang w:val="en-US"/>
        </w:rPr>
        <w:t xml:space="preserve">. As well as being liable to </w:t>
      </w:r>
      <w:r>
        <w:rPr>
          <w:rFonts w:ascii="Arial" w:hAnsi="Arial"/>
          <w:rtl w:val="0"/>
          <w:lang w:val="en-US"/>
        </w:rPr>
        <w:t>Section 139 of the Criminal Justice Act</w:t>
      </w:r>
      <w:r>
        <w:rPr>
          <w:rFonts w:ascii="Arial" w:hAnsi="Arial"/>
          <w:rtl w:val="0"/>
          <w:lang w:val="en-US"/>
        </w:rPr>
        <w:t xml:space="preserve"> (</w:t>
      </w:r>
      <w:r>
        <w:rPr>
          <w:rFonts w:ascii="Arial" w:hAnsi="Arial"/>
          <w:rtl w:val="0"/>
        </w:rPr>
        <w:t>1988</w:t>
      </w:r>
      <w:r>
        <w:rPr>
          <w:rFonts w:ascii="Arial" w:hAnsi="Arial"/>
          <w:rtl w:val="0"/>
          <w:lang w:val="en-US"/>
        </w:rPr>
        <w:t>)</w:t>
      </w:r>
      <w:r>
        <w:rPr>
          <w:rFonts w:ascii="Arial" w:hAnsi="Arial"/>
          <w:rtl w:val="0"/>
        </w:rPr>
        <w:t xml:space="preserve"> </w:t>
      </w:r>
      <w:r>
        <w:rPr>
          <w:rFonts w:ascii="Arial" w:hAnsi="Arial"/>
          <w:rtl w:val="0"/>
          <w:lang w:val="en-US"/>
        </w:rPr>
        <w:t xml:space="preserve">in which it is </w:t>
      </w:r>
      <w:r>
        <w:rPr>
          <w:rFonts w:ascii="Arial" w:hAnsi="Arial"/>
          <w:rtl w:val="0"/>
          <w:lang w:val="es-ES_tradnl"/>
        </w:rPr>
        <w:t>prohibit</w:t>
      </w:r>
      <w:r>
        <w:rPr>
          <w:rFonts w:ascii="Arial" w:hAnsi="Arial"/>
          <w:rtl w:val="0"/>
          <w:lang w:val="en-US"/>
        </w:rPr>
        <w:t>ed to</w:t>
      </w:r>
      <w:r>
        <w:rPr>
          <w:rFonts w:ascii="Arial" w:hAnsi="Arial"/>
          <w:rtl w:val="0"/>
          <w:lang w:val="en-US"/>
        </w:rPr>
        <w:t xml:space="preserve"> hav</w:t>
      </w:r>
      <w:r>
        <w:rPr>
          <w:rFonts w:ascii="Arial" w:hAnsi="Arial"/>
          <w:rtl w:val="0"/>
          <w:lang w:val="en-US"/>
        </w:rPr>
        <w:t xml:space="preserve">e </w:t>
      </w:r>
      <w:r>
        <w:rPr>
          <w:rFonts w:ascii="Arial" w:hAnsi="Arial"/>
          <w:rtl w:val="0"/>
          <w:lang w:val="en-US"/>
        </w:rPr>
        <w:t>an article with blade or point, in a public place</w:t>
      </w:r>
      <w:r>
        <w:rPr>
          <w:rFonts w:ascii="Arial" w:hAnsi="Arial"/>
          <w:rtl w:val="0"/>
          <w:lang w:val="en-US"/>
        </w:rPr>
        <w:t xml:space="preserve">. </w:t>
      </w:r>
    </w:p>
    <w:p>
      <w:pPr>
        <w:pStyle w:val="Body"/>
        <w:bidi w:val="0"/>
        <w:ind w:left="720" w:right="0" w:hanging="360"/>
        <w:jc w:val="left"/>
        <w:rPr>
          <w:rFonts w:ascii="Arial" w:cs="Arial" w:hAnsi="Arial" w:eastAsia="Arial"/>
          <w:sz w:val="24"/>
          <w:szCs w:val="24"/>
          <w:u w:color="000000"/>
          <w:rtl w:val="0"/>
        </w:rPr>
      </w:pPr>
    </w:p>
    <w:p>
      <w:pPr>
        <w:pStyle w:val="Default"/>
        <w:bidi w:val="0"/>
        <w:spacing w:before="0" w:line="240" w:lineRule="auto"/>
        <w:ind w:left="0" w:right="0" w:firstLine="360"/>
        <w:jc w:val="left"/>
        <w:rPr>
          <w:rtl w:val="0"/>
        </w:rPr>
      </w:pPr>
      <w:r>
        <w:rPr>
          <w:rFonts w:ascii="Arial" w:hAnsi="Arial"/>
          <w:rtl w:val="0"/>
          <w:lang w:val="en-US"/>
        </w:rPr>
        <w:t>In a court of law it could be held that Ali</w:t>
      </w:r>
      <w:r>
        <w:rPr>
          <w:rFonts w:ascii="Arial" w:hAnsi="Arial" w:hint="default"/>
          <w:rtl w:val="0"/>
          <w:lang w:val="en-US"/>
        </w:rPr>
        <w:t>’</w:t>
      </w:r>
      <w:r>
        <w:rPr>
          <w:rFonts w:ascii="Arial" w:hAnsi="Arial"/>
          <w:rtl w:val="0"/>
          <w:lang w:val="en-US"/>
        </w:rPr>
        <w:t xml:space="preserve">s offences would determine that he is criminally liable to manslaughter on account of his actions against Lee. The offences committed against Colin could certify Ali is liable to murder and additionally liable for a possession of a bladed article in a public place. </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askervill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pPr>
      <w:r>
        <w:rPr>
          <w:rFonts w:ascii="Arial" w:cs="Arial" w:hAnsi="Arial" w:eastAsia="Arial"/>
        </w:rPr>
        <w:footnoteRef/>
      </w:r>
      <w:r>
        <w:rPr>
          <w:rFonts w:ascii="Arial" w:hAnsi="Arial"/>
          <w:rtl w:val="0"/>
        </w:rPr>
        <w:t xml:space="preserve"> R v Johnson [2007]</w:t>
      </w:r>
      <w:r>
        <w:rPr>
          <w:rFonts w:ascii="Arial" w:hAnsi="Arial"/>
          <w:rtl w:val="0"/>
          <w:lang w:val="en-US"/>
        </w:rPr>
        <w:t xml:space="preserve"> </w:t>
      </w:r>
      <w:r>
        <w:rPr>
          <w:rFonts w:ascii="Arial" w:hAnsi="Arial"/>
          <w:rtl w:val="0"/>
          <w:lang w:val="pt-PT"/>
        </w:rPr>
        <w:t>EWCA Crim 1978</w:t>
      </w:r>
    </w:p>
  </w:footnote>
  <w:footnote w:id="2">
    <w:p>
      <w:pPr>
        <w:pStyle w:val="Footnote"/>
      </w:pPr>
      <w:r>
        <w:rPr>
          <w:rFonts w:ascii="Arial" w:cs="Arial" w:hAnsi="Arial" w:eastAsia="Arial"/>
        </w:rPr>
        <w:footnoteRef/>
      </w:r>
      <w:r>
        <w:rPr>
          <w:rFonts w:ascii="Arial" w:hAnsi="Arial"/>
          <w:rtl w:val="0"/>
          <w:lang w:val="en-US"/>
        </w:rPr>
        <w:t xml:space="preserve"> R v Windle [1952] 2 QB 82</w:t>
      </w:r>
    </w:p>
  </w:footnote>
  <w:footnote w:id="3">
    <w:p>
      <w:pPr>
        <w:pStyle w:val="Footnote"/>
      </w:pPr>
      <w:r>
        <w:rPr>
          <w:rFonts w:ascii="Arial" w:cs="Arial" w:hAnsi="Arial" w:eastAsia="Arial"/>
        </w:rPr>
        <w:footnoteRef/>
      </w:r>
      <w:r>
        <w:rPr>
          <w:rFonts w:ascii="Arial" w:hAnsi="Arial"/>
          <w:rtl w:val="0"/>
          <w:lang w:val="en-US"/>
        </w:rPr>
        <w:t xml:space="preserve"> R v Kemp [1957]1 QB 399</w:t>
      </w:r>
    </w:p>
  </w:footnote>
  <w:footnote w:id="4">
    <w:p>
      <w:pPr>
        <w:pStyle w:val="Footnote"/>
      </w:pPr>
      <w:r>
        <w:rPr>
          <w:rFonts w:ascii="Arial" w:cs="Arial" w:hAnsi="Arial" w:eastAsia="Arial"/>
        </w:rPr>
        <w:footnoteRef/>
      </w:r>
      <w:r>
        <w:rPr>
          <w:rFonts w:ascii="Arial" w:hAnsi="Arial"/>
          <w:rtl w:val="0"/>
          <w:lang w:val="en-US"/>
        </w:rPr>
        <w:t xml:space="preserve"> R v Codere [1916] 12 Cr App R 21</w:t>
      </w:r>
    </w:p>
  </w:footnote>
  <w:footnote w:id="5">
    <w:p>
      <w:pPr>
        <w:pStyle w:val="Footnote"/>
      </w:pPr>
      <w:r>
        <w:rPr>
          <w:rFonts w:ascii="Arial" w:cs="Arial" w:hAnsi="Arial" w:eastAsia="Arial"/>
        </w:rPr>
        <w:footnoteRef/>
      </w:r>
      <w:r>
        <w:rPr>
          <w:rFonts w:ascii="Arial" w:hAnsi="Arial"/>
          <w:rtl w:val="0"/>
          <w:lang w:val="en-US"/>
        </w:rPr>
        <w:t xml:space="preserve"> R v Hennessy [1989]1 WLR 297</w:t>
      </w:r>
    </w:p>
  </w:footnote>
  <w:footnote w:id="6">
    <w:p>
      <w:pPr>
        <w:pStyle w:val="Footnote"/>
      </w:pPr>
      <w:r>
        <w:rPr>
          <w:rFonts w:ascii="Arial" w:cs="Arial" w:hAnsi="Arial" w:eastAsia="Arial"/>
        </w:rPr>
        <w:footnoteRef/>
      </w:r>
      <w:r>
        <w:rPr>
          <w:rFonts w:ascii="Arial" w:hAnsi="Arial"/>
          <w:rtl w:val="0"/>
          <w:lang w:val="en-US"/>
        </w:rPr>
        <w:t xml:space="preserve"> R v Quick [1973</w:t>
      </w:r>
      <w:r>
        <w:rPr>
          <w:rFonts w:ascii="Arial" w:hAnsi="Arial"/>
          <w:rtl w:val="0"/>
          <w:lang w:val="en-US"/>
        </w:rPr>
        <w:t xml:space="preserve">] </w:t>
      </w:r>
      <w:r>
        <w:rPr>
          <w:rFonts w:ascii="Arial" w:hAnsi="Arial"/>
          <w:rtl w:val="0"/>
          <w:lang w:val="en-US"/>
        </w:rPr>
        <w:t xml:space="preserve">QB 910 </w:t>
      </w:r>
    </w:p>
  </w:footnote>
  <w:footnote w:id="7">
    <w:p>
      <w:pPr>
        <w:pStyle w:val="Footnote"/>
      </w:pPr>
      <w:r>
        <w:rPr>
          <w:rFonts w:ascii="Arial" w:cs="Arial" w:hAnsi="Arial" w:eastAsia="Arial"/>
        </w:rPr>
        <w:footnoteRef/>
      </w:r>
      <w:r>
        <w:rPr>
          <w:rFonts w:ascii="Arial" w:hAnsi="Arial"/>
          <w:rtl w:val="0"/>
          <w:lang w:val="de-DE"/>
        </w:rPr>
        <w:t xml:space="preserve">  R v Clarke [1972]1 All ER 219</w:t>
      </w:r>
    </w:p>
  </w:footnote>
  <w:footnote w:id="8">
    <w:p>
      <w:pPr>
        <w:pStyle w:val="Footnote"/>
      </w:pPr>
      <w:r>
        <w:rPr>
          <w:rFonts w:ascii="Arial" w:cs="Arial" w:hAnsi="Arial" w:eastAsia="Arial"/>
        </w:rPr>
        <w:footnoteRef/>
      </w:r>
      <w:r>
        <w:rPr>
          <w:rFonts w:ascii="Arial" w:hAnsi="Arial"/>
          <w:rtl w:val="0"/>
          <w:lang w:val="en-US"/>
        </w:rPr>
        <w:t xml:space="preserve"> R v Kemp [1957]1 QB 399</w:t>
      </w:r>
    </w:p>
  </w:footnote>
  <w:footnote w:id="9">
    <w:p>
      <w:pPr>
        <w:pStyle w:val="Footnote"/>
      </w:pPr>
      <w:r>
        <w:rPr>
          <w:rFonts w:ascii="Arial" w:cs="Arial" w:hAnsi="Arial" w:eastAsia="Arial"/>
        </w:rPr>
        <w:footnoteRef/>
      </w:r>
      <w:r>
        <w:rPr>
          <w:rFonts w:ascii="Arial" w:hAnsi="Arial"/>
          <w:rtl w:val="0"/>
          <w:lang w:val="en-US"/>
        </w:rPr>
        <w:t xml:space="preserve"> R v Hennessy [1989]1 WLR 297</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