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00CC7" w14:textId="6CD89362" w:rsidR="00C83AFD" w:rsidRPr="00A36CD6" w:rsidRDefault="0073273E" w:rsidP="00737A7C">
      <w:pPr>
        <w:rPr>
          <w:rFonts w:ascii="Arial" w:hAnsi="Arial" w:cs="Arial"/>
          <w:b/>
          <w:bCs/>
          <w:sz w:val="24"/>
          <w:szCs w:val="24"/>
          <w:u w:val="single"/>
        </w:rPr>
      </w:pPr>
      <w:r>
        <w:rPr>
          <w:rFonts w:ascii="Arial" w:hAnsi="Arial" w:cs="Arial"/>
          <w:b/>
          <w:bCs/>
          <w:sz w:val="24"/>
          <w:szCs w:val="24"/>
          <w:u w:val="single"/>
        </w:rPr>
        <w:t xml:space="preserve">Basic acknowledgement format </w:t>
      </w:r>
      <w:r w:rsidR="00C757FE">
        <w:rPr>
          <w:rFonts w:ascii="Arial" w:hAnsi="Arial" w:cs="Arial"/>
          <w:b/>
          <w:bCs/>
          <w:sz w:val="24"/>
          <w:szCs w:val="24"/>
          <w:u w:val="single"/>
        </w:rPr>
        <w:t xml:space="preserve">of </w:t>
      </w:r>
      <w:r w:rsidR="00FC134D" w:rsidRPr="00A36CD6">
        <w:rPr>
          <w:rFonts w:ascii="Arial" w:hAnsi="Arial" w:cs="Arial"/>
          <w:b/>
          <w:bCs/>
          <w:sz w:val="24"/>
          <w:szCs w:val="24"/>
          <w:u w:val="single"/>
        </w:rPr>
        <w:t>A.I</w:t>
      </w:r>
      <w:r w:rsidR="00C757FE">
        <w:rPr>
          <w:rFonts w:ascii="Arial" w:hAnsi="Arial" w:cs="Arial"/>
          <w:b/>
          <w:bCs/>
          <w:sz w:val="24"/>
          <w:szCs w:val="24"/>
          <w:u w:val="single"/>
        </w:rPr>
        <w:t xml:space="preserve"> tool use</w:t>
      </w:r>
      <w:r w:rsidR="00FC134D" w:rsidRPr="00A36CD6">
        <w:rPr>
          <w:rFonts w:ascii="Arial" w:hAnsi="Arial" w:cs="Arial"/>
          <w:b/>
          <w:bCs/>
          <w:sz w:val="24"/>
          <w:szCs w:val="24"/>
          <w:u w:val="single"/>
        </w:rPr>
        <w:br/>
      </w:r>
    </w:p>
    <w:p w14:paraId="3DD588D5"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acknowledge the use of Microsoft Copilot (https://copilot.microsoft.com/) during October 2026 to support research, structure and proofreading for this assignment.</w:t>
      </w:r>
    </w:p>
    <w:p w14:paraId="43EF28DF"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used the tool to:</w:t>
      </w:r>
    </w:p>
    <w:p w14:paraId="48FFD684" w14:textId="77777777" w:rsidR="00A36CD6" w:rsidRPr="00A36CD6" w:rsidRDefault="00A36CD6" w:rsidP="00A36CD6">
      <w:pPr>
        <w:numPr>
          <w:ilvl w:val="0"/>
          <w:numId w:val="28"/>
        </w:numPr>
        <w:rPr>
          <w:rFonts w:ascii="Arial" w:hAnsi="Arial" w:cs="Arial"/>
          <w:b/>
          <w:bCs/>
          <w:sz w:val="24"/>
          <w:szCs w:val="24"/>
        </w:rPr>
      </w:pPr>
      <w:r w:rsidRPr="00A36CD6">
        <w:rPr>
          <w:rFonts w:ascii="Arial" w:hAnsi="Arial" w:cs="Arial"/>
          <w:b/>
          <w:bCs/>
          <w:sz w:val="24"/>
          <w:szCs w:val="24"/>
        </w:rPr>
        <w:t>identify and locate relevant academic sources;</w:t>
      </w:r>
    </w:p>
    <w:p w14:paraId="5458F604" w14:textId="77777777" w:rsidR="00A36CD6" w:rsidRPr="00A36CD6" w:rsidRDefault="00A36CD6" w:rsidP="00A36CD6">
      <w:pPr>
        <w:numPr>
          <w:ilvl w:val="0"/>
          <w:numId w:val="28"/>
        </w:numPr>
        <w:rPr>
          <w:rFonts w:ascii="Arial" w:hAnsi="Arial" w:cs="Arial"/>
          <w:b/>
          <w:bCs/>
          <w:sz w:val="24"/>
          <w:szCs w:val="24"/>
        </w:rPr>
      </w:pPr>
      <w:r w:rsidRPr="00A36CD6">
        <w:rPr>
          <w:rFonts w:ascii="Arial" w:hAnsi="Arial" w:cs="Arial"/>
          <w:b/>
          <w:bCs/>
          <w:sz w:val="24"/>
          <w:szCs w:val="24"/>
        </w:rPr>
        <w:t>review sections of my work for clarity, grammar and academic style.</w:t>
      </w:r>
    </w:p>
    <w:p w14:paraId="73E2C946"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Example prompts included:</w:t>
      </w:r>
    </w:p>
    <w:p w14:paraId="5E5069C1" w14:textId="77777777" w:rsidR="00A36CD6" w:rsidRPr="00A36CD6" w:rsidRDefault="00A36CD6" w:rsidP="00A36CD6">
      <w:pPr>
        <w:numPr>
          <w:ilvl w:val="0"/>
          <w:numId w:val="29"/>
        </w:numPr>
        <w:rPr>
          <w:rFonts w:ascii="Arial" w:hAnsi="Arial" w:cs="Arial"/>
          <w:b/>
          <w:bCs/>
          <w:sz w:val="24"/>
          <w:szCs w:val="24"/>
        </w:rPr>
      </w:pPr>
      <w:r w:rsidRPr="00A36CD6">
        <w:rPr>
          <w:rFonts w:ascii="Arial" w:hAnsi="Arial" w:cs="Arial"/>
          <w:b/>
          <w:bCs/>
          <w:sz w:val="24"/>
          <w:szCs w:val="24"/>
        </w:rPr>
        <w:t>"Find academic sources relating to pedagogical documentation in Reggio Emilia."</w:t>
      </w:r>
    </w:p>
    <w:p w14:paraId="710C443D" w14:textId="77777777" w:rsidR="00A36CD6" w:rsidRDefault="00A36CD6" w:rsidP="00A36CD6">
      <w:pPr>
        <w:numPr>
          <w:ilvl w:val="0"/>
          <w:numId w:val="29"/>
        </w:numPr>
        <w:rPr>
          <w:rFonts w:ascii="Arial" w:hAnsi="Arial" w:cs="Arial"/>
          <w:b/>
          <w:bCs/>
          <w:sz w:val="24"/>
          <w:szCs w:val="24"/>
        </w:rPr>
      </w:pPr>
      <w:r w:rsidRPr="00A36CD6">
        <w:rPr>
          <w:rFonts w:ascii="Arial" w:hAnsi="Arial" w:cs="Arial"/>
          <w:b/>
          <w:bCs/>
          <w:sz w:val="24"/>
          <w:szCs w:val="24"/>
        </w:rPr>
        <w:t>"Proofread this paragraph for academic writing."</w:t>
      </w:r>
    </w:p>
    <w:p w14:paraId="319F6FCC" w14:textId="77777777" w:rsidR="00A36CD6" w:rsidRPr="00A36CD6" w:rsidRDefault="00A36CD6" w:rsidP="00A36CD6">
      <w:pPr>
        <w:ind w:left="720"/>
        <w:rPr>
          <w:rFonts w:ascii="Arial" w:hAnsi="Arial" w:cs="Arial"/>
          <w:b/>
          <w:bCs/>
          <w:sz w:val="24"/>
          <w:szCs w:val="24"/>
        </w:rPr>
      </w:pPr>
    </w:p>
    <w:p w14:paraId="7EA2BF55" w14:textId="77777777" w:rsidR="00A36CD6" w:rsidRPr="00A36CD6" w:rsidRDefault="00A36CD6" w:rsidP="00A36CD6">
      <w:pPr>
        <w:rPr>
          <w:rFonts w:ascii="Arial" w:hAnsi="Arial" w:cs="Arial"/>
          <w:b/>
          <w:bCs/>
          <w:sz w:val="24"/>
          <w:szCs w:val="24"/>
        </w:rPr>
      </w:pPr>
      <w:r w:rsidRPr="00A36CD6">
        <w:rPr>
          <w:rFonts w:ascii="Arial" w:hAnsi="Arial" w:cs="Arial"/>
          <w:b/>
          <w:bCs/>
          <w:sz w:val="24"/>
          <w:szCs w:val="24"/>
        </w:rPr>
        <w:t>I confirm that I have not presented AI-generated text as my own work. All source selection, critical analysis, interpretation, evaluation and final written content were reviewed, edited and produced by me. I also confirm that I have retained drafts, notes and supporting materials used before and after the use of AI tools, which may be provided if requested.</w:t>
      </w:r>
    </w:p>
    <w:p w14:paraId="04FDEE53" w14:textId="77777777" w:rsidR="001C037C" w:rsidRDefault="001C037C" w:rsidP="00EF4C30">
      <w:pPr>
        <w:rPr>
          <w:b/>
          <w:bCs/>
          <w:u w:val="single"/>
        </w:rPr>
      </w:pPr>
    </w:p>
    <w:p w14:paraId="0A6E5F42" w14:textId="27F0C84D" w:rsidR="00737A7C" w:rsidRDefault="00FC134D" w:rsidP="00A36CD6">
      <w:pPr>
        <w:rPr>
          <w:rFonts w:ascii="Arial" w:hAnsi="Arial" w:cs="Arial"/>
          <w:b/>
          <w:bCs/>
          <w:sz w:val="24"/>
          <w:szCs w:val="24"/>
          <w:u w:val="single"/>
        </w:rPr>
      </w:pP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r>
        <w:rPr>
          <w:b/>
          <w:bCs/>
          <w:u w:val="single"/>
        </w:rPr>
        <w:br/>
      </w:r>
    </w:p>
    <w:p w14:paraId="5C5A50DC" w14:textId="77777777" w:rsidR="00737A7C" w:rsidRDefault="00737A7C" w:rsidP="00F62C94">
      <w:pPr>
        <w:spacing w:line="360" w:lineRule="auto"/>
        <w:rPr>
          <w:rFonts w:ascii="Arial" w:hAnsi="Arial" w:cs="Arial"/>
          <w:b/>
          <w:bCs/>
          <w:sz w:val="24"/>
          <w:szCs w:val="24"/>
          <w:u w:val="single"/>
        </w:rPr>
      </w:pPr>
    </w:p>
    <w:p w14:paraId="67B6CC01" w14:textId="77777777" w:rsidR="00105589" w:rsidRDefault="00105589" w:rsidP="00F62C94">
      <w:pPr>
        <w:spacing w:line="360" w:lineRule="auto"/>
        <w:rPr>
          <w:rFonts w:ascii="Arial" w:hAnsi="Arial" w:cs="Arial"/>
          <w:b/>
          <w:bCs/>
          <w:sz w:val="24"/>
          <w:szCs w:val="24"/>
          <w:u w:val="single"/>
        </w:rPr>
      </w:pPr>
    </w:p>
    <w:p w14:paraId="752BFA55" w14:textId="77777777" w:rsidR="00105589" w:rsidRPr="00F62C94" w:rsidRDefault="00105589" w:rsidP="00F62C94">
      <w:pPr>
        <w:spacing w:line="360" w:lineRule="auto"/>
        <w:rPr>
          <w:rFonts w:ascii="Arial" w:hAnsi="Arial" w:cs="Arial"/>
          <w:b/>
          <w:bCs/>
          <w:sz w:val="24"/>
          <w:szCs w:val="24"/>
          <w:u w:val="single"/>
        </w:rPr>
      </w:pPr>
    </w:p>
    <w:p w14:paraId="3536D51B" w14:textId="0B04378E"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lastRenderedPageBreak/>
        <w:t>Curriculum is more than a simple list of subjects or content for children to learn (Bovill, 2021; OECD, 2020). Within the Curriculum for Wales, emphasis is placed on the holistic development of the child through learner-centred and play-based approaches. Similarly, Green (2022) and Pacala (2023) argue that curriculum should not be viewed solely as a</w:t>
      </w:r>
      <w:r w:rsidR="005E2699">
        <w:rPr>
          <w:rFonts w:ascii="Arial" w:hAnsi="Arial" w:cs="Arial"/>
          <w:sz w:val="24"/>
          <w:szCs w:val="24"/>
        </w:rPr>
        <w:t>n area</w:t>
      </w:r>
      <w:r w:rsidRPr="00105589">
        <w:rPr>
          <w:rFonts w:ascii="Arial" w:hAnsi="Arial" w:cs="Arial"/>
          <w:sz w:val="24"/>
          <w:szCs w:val="24"/>
        </w:rPr>
        <w:t xml:space="preserve"> of study, but as a concept, a practice and a </w:t>
      </w:r>
      <w:r w:rsidR="00EC2687">
        <w:rPr>
          <w:rFonts w:ascii="Arial" w:hAnsi="Arial" w:cs="Arial"/>
          <w:sz w:val="24"/>
          <w:szCs w:val="24"/>
        </w:rPr>
        <w:t>developmental process</w:t>
      </w:r>
      <w:r w:rsidRPr="00105589">
        <w:rPr>
          <w:rFonts w:ascii="Arial" w:hAnsi="Arial" w:cs="Arial"/>
          <w:sz w:val="24"/>
          <w:szCs w:val="24"/>
        </w:rPr>
        <w:t xml:space="preserve"> that involves both children and practitioners in creating meaningful learning experiences. These perspectives challenge narrow interpretations of curriculum and position children as active participants in their learning.</w:t>
      </w:r>
    </w:p>
    <w:p w14:paraId="7362E786" w14:textId="77777777" w:rsidR="00EB5BEF" w:rsidRPr="00105589" w:rsidRDefault="00EB5BEF" w:rsidP="00105589">
      <w:pPr>
        <w:spacing w:after="0" w:line="360" w:lineRule="auto"/>
        <w:rPr>
          <w:rFonts w:ascii="Arial" w:hAnsi="Arial" w:cs="Arial"/>
          <w:sz w:val="24"/>
          <w:szCs w:val="24"/>
        </w:rPr>
      </w:pPr>
    </w:p>
    <w:p w14:paraId="7CFAED6F" w14:textId="74A4F3F4"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t xml:space="preserve">The concept of curriculum has evolved significantly over time. Traditionally, curriculum was associated with approaches in which teachers </w:t>
      </w:r>
      <w:r w:rsidR="00C4360D">
        <w:rPr>
          <w:rFonts w:ascii="Arial" w:hAnsi="Arial" w:cs="Arial"/>
          <w:sz w:val="24"/>
          <w:szCs w:val="24"/>
        </w:rPr>
        <w:t>presented</w:t>
      </w:r>
      <w:r w:rsidRPr="00105589">
        <w:rPr>
          <w:rFonts w:ascii="Arial" w:hAnsi="Arial" w:cs="Arial"/>
          <w:sz w:val="24"/>
          <w:szCs w:val="24"/>
        </w:rPr>
        <w:t xml:space="preserve"> </w:t>
      </w:r>
      <w:r w:rsidR="00A46F6C">
        <w:rPr>
          <w:rFonts w:ascii="Arial" w:hAnsi="Arial" w:cs="Arial"/>
          <w:sz w:val="24"/>
          <w:szCs w:val="24"/>
        </w:rPr>
        <w:t>knowledge</w:t>
      </w:r>
      <w:r w:rsidRPr="00105589">
        <w:rPr>
          <w:rFonts w:ascii="Arial" w:hAnsi="Arial" w:cs="Arial"/>
          <w:sz w:val="24"/>
          <w:szCs w:val="24"/>
        </w:rPr>
        <w:t xml:space="preserve"> and children received it passively. This is reflected in Murray's (2022) discussion of earlier definitions of curriculum, including Kerr's (1968, p. 16) description of curriculum as ‘all the learning which is planned and guided’. In contrast, contemporary approaches increasingly recognise children as active contributors to their own learning. Current understandings of early years curriculum have been influenced by theorists including Froebel, Montessori and Isaacs, who advocated child-centred learning and the importance of responding to children's interests and developmental needs (Campbell-Barr and Tregenza, 2023; Sakr and Kaur, 2024).</w:t>
      </w:r>
    </w:p>
    <w:p w14:paraId="6CE37148" w14:textId="77777777" w:rsidR="009F2A6E" w:rsidRPr="00105589" w:rsidRDefault="009F2A6E" w:rsidP="00105589">
      <w:pPr>
        <w:spacing w:after="0" w:line="360" w:lineRule="auto"/>
        <w:rPr>
          <w:rFonts w:ascii="Arial" w:hAnsi="Arial" w:cs="Arial"/>
          <w:sz w:val="24"/>
          <w:szCs w:val="24"/>
        </w:rPr>
      </w:pPr>
    </w:p>
    <w:p w14:paraId="4173BDD9" w14:textId="77777777" w:rsidR="00325011" w:rsidRPr="00105589" w:rsidRDefault="00325011" w:rsidP="00105589">
      <w:pPr>
        <w:spacing w:after="0" w:line="360" w:lineRule="auto"/>
        <w:rPr>
          <w:rFonts w:ascii="Arial" w:hAnsi="Arial" w:cs="Arial"/>
          <w:sz w:val="24"/>
          <w:szCs w:val="24"/>
        </w:rPr>
      </w:pPr>
      <w:r w:rsidRPr="00105589">
        <w:rPr>
          <w:rFonts w:ascii="Arial" w:hAnsi="Arial" w:cs="Arial"/>
          <w:sz w:val="24"/>
          <w:szCs w:val="24"/>
        </w:rPr>
        <w:t>Despite the growing emphasis on play-based and child-centred approaches, their successful implementation depends upon practitioners having access to professional learning, resources and support. This assignment critically examines play-based curricula in early childhood education through consideration of the Unique Child, exploring whether practitioners have equitable access to professional learning opportunities and how variations in support may influence pedagogical practice.</w:t>
      </w:r>
    </w:p>
    <w:p w14:paraId="78B46ABE" w14:textId="77777777" w:rsidR="00105589" w:rsidRPr="00105589" w:rsidRDefault="00105589" w:rsidP="00105589">
      <w:pPr>
        <w:spacing w:after="0" w:line="360" w:lineRule="auto"/>
        <w:rPr>
          <w:rFonts w:ascii="Arial" w:eastAsia="Times New Roman" w:hAnsi="Arial" w:cs="Arial"/>
          <w:kern w:val="0"/>
          <w:sz w:val="24"/>
          <w:szCs w:val="24"/>
          <w:lang w:eastAsia="en-GB"/>
          <w14:ligatures w14:val="none"/>
        </w:rPr>
      </w:pPr>
    </w:p>
    <w:p w14:paraId="210F1E93"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 xml:space="preserve">From 1988, Wales followed the </w:t>
      </w:r>
      <w:r w:rsidRPr="00105589">
        <w:rPr>
          <w:rFonts w:ascii="Arial" w:eastAsia="Times New Roman" w:hAnsi="Arial" w:cs="Arial"/>
          <w:i/>
          <w:iCs/>
          <w:kern w:val="0"/>
          <w:sz w:val="24"/>
          <w:szCs w:val="24"/>
          <w:lang w:eastAsia="en-GB"/>
          <w14:ligatures w14:val="none"/>
        </w:rPr>
        <w:t>Education Reform Act 1988</w:t>
      </w:r>
      <w:r w:rsidRPr="00105589">
        <w:rPr>
          <w:rFonts w:ascii="Arial" w:eastAsia="Times New Roman" w:hAnsi="Arial" w:cs="Arial"/>
          <w:kern w:val="0"/>
          <w:sz w:val="24"/>
          <w:szCs w:val="24"/>
          <w:lang w:eastAsia="en-GB"/>
          <w14:ligatures w14:val="none"/>
        </w:rPr>
        <w:t xml:space="preserve">, which introduced a statutory curriculum for England and Wales while allowing teachers some autonomy over how learning was taught (Daugherty and Elfed-Owens, 2003; Evans, 2021). However, concerns emerged regarding its prescriptive nature and limited learner choice. In response, the Foundation Phase was introduced in 2008, replacing more formal approaches with a developmental, experiential and play-based curriculum </w:t>
      </w:r>
      <w:r w:rsidRPr="00105589">
        <w:rPr>
          <w:rFonts w:ascii="Arial" w:eastAsia="Times New Roman" w:hAnsi="Arial" w:cs="Arial"/>
          <w:kern w:val="0"/>
          <w:sz w:val="24"/>
          <w:szCs w:val="24"/>
          <w:lang w:eastAsia="en-GB"/>
          <w14:ligatures w14:val="none"/>
        </w:rPr>
        <w:lastRenderedPageBreak/>
        <w:t>designed to support children's holistic development (Taylor, Rhys and Waldron, 2016).</w:t>
      </w:r>
    </w:p>
    <w:p w14:paraId="5C14BB07"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 xml:space="preserve">Despite these reforms, questions remained regarding the suitability of the curriculum for preparing children for contemporary society. Consequently, the Welsh Government commissioned Professor Graham Donaldson to undertake a review of curriculum and assessment arrangements. His </w:t>
      </w:r>
      <w:r w:rsidRPr="00105589">
        <w:rPr>
          <w:rFonts w:ascii="Arial" w:eastAsia="Times New Roman" w:hAnsi="Arial" w:cs="Arial"/>
          <w:i/>
          <w:iCs/>
          <w:kern w:val="0"/>
          <w:sz w:val="24"/>
          <w:szCs w:val="24"/>
          <w:lang w:eastAsia="en-GB"/>
          <w14:ligatures w14:val="none"/>
        </w:rPr>
        <w:t>Successful Futures</w:t>
      </w:r>
      <w:r w:rsidRPr="00105589">
        <w:rPr>
          <w:rFonts w:ascii="Arial" w:eastAsia="Times New Roman" w:hAnsi="Arial" w:cs="Arial"/>
          <w:kern w:val="0"/>
          <w:sz w:val="24"/>
          <w:szCs w:val="24"/>
          <w:lang w:eastAsia="en-GB"/>
          <w14:ligatures w14:val="none"/>
        </w:rPr>
        <w:t xml:space="preserve"> report proposed a curriculum centred on four purposes, six Areas of Learning and Experience, and an increased emphasis on skills such as digital competence (Donaldson, 2015; Senedd Research, 2019). These recommendations informed the development of Curriculum for Wales and sought to provide greater flexibility for practitioners when designing learning experiences.</w:t>
      </w:r>
    </w:p>
    <w:p w14:paraId="2257DC47" w14:textId="77777777" w:rsidR="00702B2D" w:rsidRPr="00105589" w:rsidRDefault="00702B2D" w:rsidP="00105589">
      <w:pPr>
        <w:spacing w:after="0"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The introduction of Curriculum for Wales increased the importance of professional learning, as practitioners were expected to adapt their knowledge and practice to support curriculum implementation (Evans, 2023; Estyn, 2025). However, Hughes and Lewis (2020) argue that greater professional autonomy may be challenging without sufficient knowledge and support. Similarly, Gatley and Oostendorp-Godfrey (2026) identify curriculum implementation as a complex process, suggesting that effective reform depends upon ongoing professional learning and practitioner confidence.</w:t>
      </w:r>
    </w:p>
    <w:p w14:paraId="1DEDABEB" w14:textId="77777777" w:rsidR="00F62C94" w:rsidRPr="00105589" w:rsidRDefault="00F62C94" w:rsidP="00105589">
      <w:pPr>
        <w:spacing w:after="0" w:line="360" w:lineRule="auto"/>
        <w:rPr>
          <w:rFonts w:ascii="Arial" w:eastAsia="Times New Roman" w:hAnsi="Arial" w:cs="Arial"/>
          <w:kern w:val="0"/>
          <w:sz w:val="24"/>
          <w:szCs w:val="24"/>
          <w:lang w:eastAsia="en-GB"/>
          <w14:ligatures w14:val="none"/>
        </w:rPr>
      </w:pPr>
    </w:p>
    <w:p w14:paraId="06BAEFCA" w14:textId="77777777" w:rsidR="00F62C94" w:rsidRPr="00105589" w:rsidRDefault="00F62C94" w:rsidP="00105589">
      <w:pPr>
        <w:spacing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t>Although originating in Reggio Emilia, Italy, the Reggio Emilia approach is internationally recognised as an influential model of early childhood education (Edwards, Gandini and Forman, 1998; Gardner and Jones, 2016; Rinaldi, 2021). Developed following the Second World War, it is founded on the belief that children are competent and capable learners. Practitioners are viewed as co-learners who develop understanding alongside children through observation, inquiry and collaboration (Rinaldi, 2021; McNally and Slutsky, 2017). While the approach emerged through the collective efforts of parents and the local community, Loris Malaguzzi is widely recognised as the key figure in shaping its educational philosophy (Edwards and Gandini, 2018; Landi and Pintus, 2022). Influenced by theorists such as Jean Piaget and Lev Vygotsky, the approach emphasises social interaction, active learning and children's meaning-making (Cameron, 2024).</w:t>
      </w:r>
    </w:p>
    <w:p w14:paraId="28BAA700" w14:textId="4C17E6AF" w:rsidR="00F62C94" w:rsidRPr="00CC3EB6" w:rsidRDefault="00F62C94" w:rsidP="00105589">
      <w:pPr>
        <w:spacing w:line="360" w:lineRule="auto"/>
        <w:rPr>
          <w:rFonts w:ascii="Arial" w:eastAsia="Times New Roman" w:hAnsi="Arial" w:cs="Arial"/>
          <w:kern w:val="0"/>
          <w:sz w:val="24"/>
          <w:szCs w:val="24"/>
          <w:lang w:eastAsia="en-GB"/>
          <w14:ligatures w14:val="none"/>
        </w:rPr>
      </w:pPr>
      <w:r w:rsidRPr="00105589">
        <w:rPr>
          <w:rFonts w:ascii="Arial" w:eastAsia="Times New Roman" w:hAnsi="Arial" w:cs="Arial"/>
          <w:kern w:val="0"/>
          <w:sz w:val="24"/>
          <w:szCs w:val="24"/>
          <w:lang w:eastAsia="en-GB"/>
          <w14:ligatures w14:val="none"/>
        </w:rPr>
        <w:lastRenderedPageBreak/>
        <w:t>Professional learning within Reggio Emilia is viewed as an ongoing process embedded within everyday practice, whereby educators continuously refine their understanding through reflection, observation and experience (Talwelkar, Uppal and Thakarar, 2024). Giamminuti and Merewether (2023) argue that the approach challenges traditional educational practices and encourages new ways of thinking for both children and practitioners. Consequently, educators engage in pedagogical documentation, collaborative dialogue and reflective practice to inform future learning experiences. However, implementing Reggio Emilia principles can be demanding. Guo and Rouse (2025) suggest that successful adoption requires educator commitment, adequate resources and sustained professional development. Similarly, Macy, Harshbarger, Burke and Neukirch (2026) argue that professional learning develops through ongoing participation and reflection rather than formal training alone. Therefore, the effectiveness of Reggio Emilia depends upon practitioners having sufficient time, resources and opportunities to engage in collaborative reflection and professional growth.</w:t>
      </w:r>
    </w:p>
    <w:p w14:paraId="4F8DBFC9" w14:textId="010CB22D" w:rsidR="00E06C08" w:rsidRPr="00105589" w:rsidRDefault="00E06C08" w:rsidP="00105589">
      <w:pPr>
        <w:spacing w:line="360" w:lineRule="auto"/>
        <w:rPr>
          <w:rFonts w:ascii="Arial" w:hAnsi="Arial" w:cs="Arial"/>
          <w:sz w:val="24"/>
          <w:szCs w:val="24"/>
        </w:rPr>
      </w:pPr>
      <w:r w:rsidRPr="00105589">
        <w:rPr>
          <w:rFonts w:ascii="Arial" w:hAnsi="Arial" w:cs="Arial"/>
          <w:sz w:val="24"/>
          <w:szCs w:val="24"/>
        </w:rPr>
        <w:t xml:space="preserve">While Jones (2025) explains that the Curriculum for Wales was influenced by educational models such as the Reggio Emilia approach, important differences remain between the two. Despite sharing child-centred and holistic principles, several authors argue that cultural and contextual factors can make the implementation of Reggio-inspired practices challenging in both Wales and other international settings (Aljabreen, 2020; Alsedrani, 2020; Chiwamba, 2016). </w:t>
      </w:r>
    </w:p>
    <w:p w14:paraId="0C03526C" w14:textId="73BF2226" w:rsidR="00E06C08" w:rsidRPr="00105589" w:rsidRDefault="00E06C08" w:rsidP="00105589">
      <w:pPr>
        <w:spacing w:line="360" w:lineRule="auto"/>
        <w:rPr>
          <w:rFonts w:ascii="Arial" w:hAnsi="Arial" w:cs="Arial"/>
          <w:sz w:val="24"/>
          <w:szCs w:val="24"/>
        </w:rPr>
      </w:pPr>
      <w:r w:rsidRPr="00105589">
        <w:rPr>
          <w:rFonts w:ascii="Arial" w:hAnsi="Arial" w:cs="Arial"/>
          <w:sz w:val="24"/>
          <w:szCs w:val="24"/>
        </w:rPr>
        <w:t xml:space="preserve">One key difference can be seen in approaches to professional learning. In Wales, practitioners are encouraged to enhance their professional development through national policies, guidance and support programmes, highlighting the importance of structured frameworks in supporting curriculum reform (Jones and Evans, 2023). In contrast, Giamminuti, Merewether and Blaise (2023) describe professional learning within Reggio Emilia as an ongoing process developed through daily interactions, dialogue, reflection and pedagogical documentation. Consequently, professional learning in Reggio Emilia can be viewed as less structured and more practice-led than the nationally coordinated approach adopted in Wales. </w:t>
      </w:r>
    </w:p>
    <w:p w14:paraId="2AE80C3F" w14:textId="037719EF" w:rsidR="00807E49" w:rsidRPr="00105589" w:rsidRDefault="00E06C08" w:rsidP="00105589">
      <w:pPr>
        <w:spacing w:line="360" w:lineRule="auto"/>
        <w:rPr>
          <w:rFonts w:ascii="Arial" w:hAnsi="Arial" w:cs="Arial"/>
          <w:sz w:val="24"/>
          <w:szCs w:val="24"/>
        </w:rPr>
      </w:pPr>
      <w:r w:rsidRPr="00105589">
        <w:rPr>
          <w:rFonts w:ascii="Arial" w:hAnsi="Arial" w:cs="Arial"/>
          <w:sz w:val="24"/>
          <w:szCs w:val="24"/>
        </w:rPr>
        <w:t xml:space="preserve">Both approaches also value reflection. However, reflective practice in Wales is often linked to curriculum implementation and improvement (Grigg </w:t>
      </w:r>
      <w:r w:rsidRPr="00105589">
        <w:rPr>
          <w:rFonts w:ascii="Arial" w:hAnsi="Arial" w:cs="Arial"/>
          <w:i/>
          <w:iCs/>
          <w:sz w:val="24"/>
          <w:szCs w:val="24"/>
        </w:rPr>
        <w:t>et al</w:t>
      </w:r>
      <w:r w:rsidRPr="00105589">
        <w:rPr>
          <w:rFonts w:ascii="Arial" w:hAnsi="Arial" w:cs="Arial"/>
          <w:sz w:val="24"/>
          <w:szCs w:val="24"/>
        </w:rPr>
        <w:t xml:space="preserve">., 2024), whereas </w:t>
      </w:r>
      <w:r w:rsidRPr="00105589">
        <w:rPr>
          <w:rFonts w:ascii="Arial" w:hAnsi="Arial" w:cs="Arial"/>
          <w:sz w:val="24"/>
          <w:szCs w:val="24"/>
        </w:rPr>
        <w:lastRenderedPageBreak/>
        <w:t>Leggett (2025) describes reflection in Reggio Emilia as an ongoing cycle of observation and documentation that generates new knowledge and understanding. While Wales' formalised approach may provide greater consistency and clearer expectations, Reggio Emilia's reflective and practice-led model may allow greater responsiveness to children's individual needs.</w:t>
      </w:r>
      <w:r w:rsidR="00C131E7" w:rsidRPr="00105589">
        <w:rPr>
          <w:rFonts w:ascii="Arial" w:hAnsi="Arial" w:cs="Arial"/>
          <w:sz w:val="24"/>
          <w:szCs w:val="24"/>
        </w:rPr>
        <w:t xml:space="preserve"> </w:t>
      </w:r>
      <w:r w:rsidR="00C131E7" w:rsidRPr="00105589">
        <w:rPr>
          <w:rFonts w:ascii="Arial" w:hAnsi="Arial" w:cs="Arial"/>
          <w:sz w:val="24"/>
          <w:szCs w:val="24"/>
        </w:rPr>
        <w:br/>
        <w:t>This difference may influence how practitioners engage with professional learning, as Welsh practitioners are supported through national guidance, whereas Reggio Emilia practitioners are expected to construct professional knowledge through ongoing inquiry and collaboration.</w:t>
      </w:r>
    </w:p>
    <w:p w14:paraId="6FF99830"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Jones and Evans (2023) argue that effective professional learning in Wales depends upon collaboration, enquiry and continuous development. However, this assumes that practitioners are able to engage in these activities. Factors such as funding, staffing levels and leadership support may influence opportunities to participate in meaningful professional learning.</w:t>
      </w:r>
    </w:p>
    <w:p w14:paraId="0F8FC130" w14:textId="77777777" w:rsidR="00643E53" w:rsidRPr="00105589" w:rsidRDefault="00643E53" w:rsidP="00105589">
      <w:pPr>
        <w:spacing w:line="360" w:lineRule="auto"/>
        <w:rPr>
          <w:rFonts w:ascii="Arial" w:hAnsi="Arial" w:cs="Arial"/>
          <w:sz w:val="24"/>
          <w:szCs w:val="24"/>
        </w:rPr>
      </w:pPr>
      <w:r w:rsidRPr="00105589">
        <w:rPr>
          <w:rFonts w:ascii="Arial" w:hAnsi="Arial" w:cs="Arial"/>
          <w:sz w:val="24"/>
          <w:szCs w:val="24"/>
        </w:rPr>
        <w:t>Time constraints and workload pressures present further challenges. Grigg et al. (2024) identify reflection as a key component of professional learning, while Leggett (2025) highlights the importance of engaging in professional learning through careful, collaborative and reflective practice. However, meaningful reflection requires practitioners to have dedicated time to critically evaluate their practice, discuss experiences with colleagues and identify areas for improvement. In settings experiencing staffing shortages, practitioners may prioritise immediate care and teaching responsibilities, leaving limited opportunities for sustained reflection. Furthermore, Jarvie et al. (2023) found that many local authorities reported insufficient childcare provision, placing additional pressures on staff. Consequently, practitioners may have fewer opportunities to engage in professional development, collaboration and reflective practice.</w:t>
      </w:r>
    </w:p>
    <w:p w14:paraId="07BDF817"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 xml:space="preserve">These challenges become particularly significant when considering the implementation of Reggio Emilia-inspired practice within Welsh settings. Chicken (2023) argues that applying Reggio Emilia approaches outside of Reggio Emilia is complex because educational practices are shaped by their social, cultural and policy contexts. As a result, Reggio Emilia cannot simply be transferred directly into another setting. Although Curriculum for Wales shares some similarities with Reggio </w:t>
      </w:r>
      <w:r w:rsidRPr="00105589">
        <w:rPr>
          <w:rFonts w:ascii="Arial" w:hAnsi="Arial" w:cs="Arial"/>
          <w:sz w:val="24"/>
          <w:szCs w:val="24"/>
        </w:rPr>
        <w:lastRenderedPageBreak/>
        <w:t>Emilia, workforce and resource constraints may limit practitioners' ability to adopt Reggio-inspired practices fully.</w:t>
      </w:r>
    </w:p>
    <w:p w14:paraId="1DE35057" w14:textId="77777777" w:rsidR="008F5F3D" w:rsidRPr="00105589" w:rsidRDefault="008F5F3D" w:rsidP="00105589">
      <w:pPr>
        <w:spacing w:line="360" w:lineRule="auto"/>
        <w:rPr>
          <w:rFonts w:ascii="Arial" w:hAnsi="Arial" w:cs="Arial"/>
          <w:sz w:val="24"/>
          <w:szCs w:val="24"/>
        </w:rPr>
      </w:pPr>
      <w:r w:rsidRPr="00105589">
        <w:rPr>
          <w:rFonts w:ascii="Arial" w:hAnsi="Arial" w:cs="Arial"/>
          <w:sz w:val="24"/>
          <w:szCs w:val="24"/>
        </w:rPr>
        <w:t>This concern is supported by Jones (2025), who found that the implementation of the Foundation Phase was constrained by inadequate adult-to-child ratios and limited material resources. These findings suggest that implementing Reggio-inspired professional learning and pedaggy within Welsh settings may be challenging, as Reggio Emilia places considerable emphasis on sustained observation, documentation and responsive interactions with children. Without sufficient staffing, resources and time, practitioners may struggle to enact these principles consistently in practice.</w:t>
      </w:r>
    </w:p>
    <w:p w14:paraId="47DC9AF9" w14:textId="77777777" w:rsidR="005143B1" w:rsidRDefault="008F5F3D" w:rsidP="00105589">
      <w:pPr>
        <w:spacing w:line="360" w:lineRule="auto"/>
        <w:rPr>
          <w:rFonts w:ascii="Arial" w:hAnsi="Arial" w:cs="Arial"/>
          <w:sz w:val="24"/>
          <w:szCs w:val="24"/>
        </w:rPr>
      </w:pPr>
      <w:r w:rsidRPr="00105589">
        <w:rPr>
          <w:rFonts w:ascii="Arial" w:hAnsi="Arial" w:cs="Arial"/>
          <w:sz w:val="24"/>
          <w:szCs w:val="24"/>
        </w:rPr>
        <w:t>MacDonald (2018) highlights divisions within the Welsh early years sector, with different settings operating under varying structures and expectations. As a result, practitioners may enter the profession with differing training, qualifications and experiences. Consequently, interpretations of play-based pedagogy may vary between settings. Chicken (2023) further argues that educational approaches are shaped by their social, cultural and policy contexts, suggesting that practitioners may develop different understandings of child-led learning depending on their experiences and professional backgrounds. Similarly, Leggett (2025) emphasises the importance of informed professional judgement, indicating that variations in knowledge and experience may influence how child-led and play-based learning are implemented in practice. Together, these factors may contribute to inconsistencies in curriculum implementation across settings.</w:t>
      </w:r>
      <w:r w:rsidR="00081D50" w:rsidRPr="00105589">
        <w:rPr>
          <w:rFonts w:ascii="Arial" w:hAnsi="Arial" w:cs="Arial"/>
          <w:sz w:val="24"/>
          <w:szCs w:val="24"/>
        </w:rPr>
        <w:br/>
      </w:r>
    </w:p>
    <w:p w14:paraId="004663DD" w14:textId="51410EAB" w:rsidR="00702B2D" w:rsidRPr="00105589" w:rsidRDefault="00807E49" w:rsidP="00105589">
      <w:pPr>
        <w:spacing w:line="360" w:lineRule="auto"/>
        <w:rPr>
          <w:rFonts w:ascii="Arial" w:hAnsi="Arial" w:cs="Arial"/>
          <w:sz w:val="24"/>
          <w:szCs w:val="24"/>
        </w:rPr>
      </w:pPr>
      <w:r w:rsidRPr="00105589">
        <w:rPr>
          <w:rFonts w:ascii="Arial" w:hAnsi="Arial" w:cs="Arial"/>
          <w:sz w:val="24"/>
          <w:szCs w:val="24"/>
        </w:rPr>
        <w:t>While Curriculum for Wales and the Reggio Emilia approach both promote child-centred, play-based learning and recognise children as active participants in their own development, important differences exist in how professional learning is conceptualised and implemented. Although Curriculum for Wales is argued to have been influenced by Reggio Emilia, professional learning in Wales is supported through policies, guidance and professional frameworks, whereas Reggio Emilia emphasises professional learning through observation, reflection and interactions with children.</w:t>
      </w:r>
    </w:p>
    <w:p w14:paraId="45034FC8" w14:textId="77777777" w:rsidR="00807E49" w:rsidRPr="00105589" w:rsidRDefault="00807E49" w:rsidP="00105589">
      <w:pPr>
        <w:spacing w:line="360" w:lineRule="auto"/>
        <w:rPr>
          <w:rFonts w:ascii="Arial" w:hAnsi="Arial" w:cs="Arial"/>
          <w:sz w:val="24"/>
          <w:szCs w:val="24"/>
        </w:rPr>
      </w:pPr>
      <w:r w:rsidRPr="00105589">
        <w:rPr>
          <w:rFonts w:ascii="Arial" w:hAnsi="Arial" w:cs="Arial"/>
          <w:sz w:val="24"/>
          <w:szCs w:val="24"/>
        </w:rPr>
        <w:lastRenderedPageBreak/>
        <w:t>However, the successful implementation of both approaches depends upon practitioners having adequate time, resources and support. Jones and Evans (2023) argue that effective professional learning relies on collaboration and continuous development. Nevertheless, opportunities to engage in these activities may be affected by factors such as funding, staffing levels and leadership support.</w:t>
      </w:r>
    </w:p>
    <w:p w14:paraId="507CB231" w14:textId="5D9D1C92" w:rsidR="000348A0" w:rsidRDefault="00807E49" w:rsidP="00105589">
      <w:pPr>
        <w:spacing w:line="360" w:lineRule="auto"/>
        <w:rPr>
          <w:rFonts w:ascii="Arial" w:hAnsi="Arial" w:cs="Arial"/>
          <w:sz w:val="24"/>
          <w:szCs w:val="24"/>
        </w:rPr>
      </w:pPr>
      <w:r w:rsidRPr="00105589">
        <w:rPr>
          <w:rFonts w:ascii="Arial" w:hAnsi="Arial" w:cs="Arial"/>
          <w:sz w:val="24"/>
          <w:szCs w:val="24"/>
        </w:rPr>
        <w:t>Implementing Reggio-inspired practice within Wales may offer benefits for children; however, it can also present challenges. Chicken (2023) argues that social, cultural and policy contexts have a significant influence on educational practice, meaning that Reggio Emilia cannot simply be transferred into other settings. Furthermore, differences in practitioners’ qualifications, experiences and understanding of play-based pedagogy may result in varying interpretations of child-led learning. Consequently, inconsistencies may arise in how curriculum principles are implemented across settings.</w:t>
      </w:r>
    </w:p>
    <w:p w14:paraId="214300F4" w14:textId="77777777" w:rsidR="005143B1" w:rsidRPr="00105589" w:rsidRDefault="005143B1" w:rsidP="00105589">
      <w:pPr>
        <w:spacing w:line="360" w:lineRule="auto"/>
        <w:rPr>
          <w:rFonts w:ascii="Arial" w:hAnsi="Arial" w:cs="Arial"/>
          <w:sz w:val="24"/>
          <w:szCs w:val="24"/>
        </w:rPr>
      </w:pPr>
    </w:p>
    <w:p w14:paraId="268D48CD" w14:textId="3BB06B63" w:rsidR="0096543B" w:rsidRPr="00105589" w:rsidRDefault="0096543B" w:rsidP="00105589">
      <w:pPr>
        <w:spacing w:line="360" w:lineRule="auto"/>
        <w:rPr>
          <w:rFonts w:ascii="Arial" w:hAnsi="Arial" w:cs="Arial"/>
          <w:sz w:val="24"/>
          <w:szCs w:val="24"/>
        </w:rPr>
      </w:pPr>
      <w:r w:rsidRPr="00105589">
        <w:rPr>
          <w:rFonts w:ascii="Arial" w:hAnsi="Arial" w:cs="Arial"/>
          <w:sz w:val="24"/>
          <w:szCs w:val="24"/>
        </w:rPr>
        <w:t xml:space="preserve">Part 2 </w:t>
      </w:r>
    </w:p>
    <w:p w14:paraId="445B5488" w14:textId="77777777"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t xml:space="preserve">As defined by Hay </w:t>
      </w:r>
      <w:r w:rsidRPr="00105589">
        <w:rPr>
          <w:rFonts w:ascii="Arial" w:hAnsi="Arial" w:cs="Arial"/>
          <w:i/>
          <w:iCs/>
          <w:sz w:val="24"/>
          <w:szCs w:val="24"/>
        </w:rPr>
        <w:t>et al</w:t>
      </w:r>
      <w:r w:rsidRPr="00105589">
        <w:rPr>
          <w:rFonts w:ascii="Arial" w:hAnsi="Arial" w:cs="Arial"/>
          <w:sz w:val="24"/>
          <w:szCs w:val="24"/>
        </w:rPr>
        <w:t>. (2025), and supported by Finders, Wilson and Duncan (2023), assessment is not simply the act of testing children but a process of monitoring and evaluating practice to identify strengths and areas for improvement. This suggests that assessment supports both children's development and practitioners' professional growth. Comparatively, NAEYC and NAECS/SDE (2003) define assessment as observing, recording and documenting what children do and how they do it. Despite these differing emphases, both perspectives position the child as central to assessment and view it as a tool for learning and development. Becker, Rigaud and Epstein (2023) further argue that assessment should inform teaching and learning rather than primarily serving accountability purposes.</w:t>
      </w:r>
    </w:p>
    <w:p w14:paraId="7EC6C3BD" w14:textId="77777777"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t>Within both the Curriculum for Wales and the Reggio Emilia approach, assessment is observation-based and intended to support children's ongoing learning (Morrison-Love et al., 2026; DeLuca et al., 2019). However, while Reggio Emilia adopts a more child-led and flexible approach through pedagogical documentation (Rinaldi, 2021), the Curriculum for Wales places greater emphasis on learner progression (Duggan et al., 2022; Welsh Government, 2022).</w:t>
      </w:r>
    </w:p>
    <w:p w14:paraId="2A501DCD" w14:textId="7B5D0B48" w:rsidR="00195CA8" w:rsidRPr="00105589" w:rsidRDefault="00195CA8" w:rsidP="00105589">
      <w:pPr>
        <w:spacing w:line="360" w:lineRule="auto"/>
        <w:rPr>
          <w:rFonts w:ascii="Arial" w:hAnsi="Arial" w:cs="Arial"/>
          <w:sz w:val="24"/>
          <w:szCs w:val="24"/>
        </w:rPr>
      </w:pPr>
      <w:r w:rsidRPr="00105589">
        <w:rPr>
          <w:rFonts w:ascii="Arial" w:hAnsi="Arial" w:cs="Arial"/>
          <w:sz w:val="24"/>
          <w:szCs w:val="24"/>
        </w:rPr>
        <w:lastRenderedPageBreak/>
        <w:t xml:space="preserve">Central to both approaches is the concept of the Unique Child, which recognises that every child develops at their own pace and is influenced by their experiences, interests and abilities (Donaldson, 2016). As children do not develop in a linear or uniform manner, assessment must be responsive to individual needs. This </w:t>
      </w:r>
      <w:r w:rsidR="002B78A8" w:rsidRPr="00105589">
        <w:rPr>
          <w:rFonts w:ascii="Arial" w:hAnsi="Arial" w:cs="Arial"/>
          <w:sz w:val="24"/>
          <w:szCs w:val="24"/>
        </w:rPr>
        <w:t>section</w:t>
      </w:r>
      <w:r w:rsidRPr="00105589">
        <w:rPr>
          <w:rFonts w:ascii="Arial" w:hAnsi="Arial" w:cs="Arial"/>
          <w:sz w:val="24"/>
          <w:szCs w:val="24"/>
        </w:rPr>
        <w:t xml:space="preserve"> will critically examine how effectively these assessment approaches support the Unique Child.</w:t>
      </w:r>
    </w:p>
    <w:p w14:paraId="56A936FD" w14:textId="77777777" w:rsidR="00E67AB0" w:rsidRPr="00105589" w:rsidRDefault="00E67AB0" w:rsidP="00105589">
      <w:pPr>
        <w:spacing w:line="360" w:lineRule="auto"/>
        <w:rPr>
          <w:rFonts w:ascii="Arial" w:hAnsi="Arial" w:cs="Arial"/>
          <w:sz w:val="24"/>
          <w:szCs w:val="24"/>
        </w:rPr>
      </w:pPr>
    </w:p>
    <w:p w14:paraId="541E8351" w14:textId="1E845B24" w:rsidR="00F600A5" w:rsidRPr="00105589" w:rsidRDefault="00F600A5" w:rsidP="00105589">
      <w:pPr>
        <w:spacing w:line="360" w:lineRule="auto"/>
        <w:rPr>
          <w:rFonts w:ascii="Arial" w:hAnsi="Arial" w:cs="Arial"/>
          <w:sz w:val="24"/>
          <w:szCs w:val="24"/>
        </w:rPr>
      </w:pPr>
      <w:r w:rsidRPr="00105589">
        <w:rPr>
          <w:rFonts w:ascii="Arial" w:hAnsi="Arial" w:cs="Arial"/>
          <w:sz w:val="24"/>
          <w:szCs w:val="24"/>
        </w:rPr>
        <w:t>The concept of the Unique Child recognises that children are shaped by their individual experiences, cultures and relationships, with Parsons et al. (2023) arguing that practitioners must recognise the diversity of children's needs and adapt their practice to support individual development. This suggests that children learn and develop at different rates and should not be expected to follow a uniform developmental pathway (Bruce, 2021). Holistic development is also central to the concept of the Unique Child. Stodden et al. (2023) and Gea, Diana and Aeni (2025) argue that understanding child development requires a holistic approach that considers social, emotional, cognitive and physical development rather than focusing on a single aspect of learning. This reflects Bronfenbrenner's ecological systems theory, which emphasises that children's development is influenced by the relationships and environments that surround them (Olalowo and Babalola, 2024). Similarly, Piaget's theory of cognitive development supports the idea that children construct knowledge through direct experience and interaction with their environment, highlighting the need for learning opportunities that reflect children's individual needs and abilities (Aslan and Sidabutar, 2026).</w:t>
      </w:r>
    </w:p>
    <w:p w14:paraId="4B2454B4" w14:textId="40324EFE" w:rsidR="00DF4FED" w:rsidRPr="00105589" w:rsidRDefault="00F600A5" w:rsidP="00105589">
      <w:pPr>
        <w:spacing w:line="360" w:lineRule="auto"/>
        <w:rPr>
          <w:rFonts w:ascii="Arial" w:hAnsi="Arial" w:cs="Arial"/>
          <w:sz w:val="24"/>
          <w:szCs w:val="24"/>
        </w:rPr>
      </w:pPr>
      <w:r w:rsidRPr="00105589">
        <w:rPr>
          <w:rFonts w:ascii="Arial" w:hAnsi="Arial" w:cs="Arial"/>
          <w:sz w:val="24"/>
          <w:szCs w:val="24"/>
        </w:rPr>
        <w:t xml:space="preserve">The concept of the Unique Child is reflected in both the Reggio Emilia approach and the Curriculum for Wales. Within Reggio Emilia, children are viewed as competent from birth and capable of learning, questioning and constructing meaning (Rinaldi, 2020). As a result, children's identities, voices and rights are valued, and they are recognised as active participants in their learning. Similarly, the Curriculum for Wales promotes inclusion and equitable learning opportunities. Knight and Crick (2022) argue that Welsh education policy is underpinned by the principle that every learner matters and matters equally, demonstrating a commitment to meeting individual needs. While Reggio Emilia emphasises the child as a competent citizen with rights </w:t>
      </w:r>
      <w:r w:rsidRPr="00105589">
        <w:rPr>
          <w:rFonts w:ascii="Arial" w:hAnsi="Arial" w:cs="Arial"/>
          <w:sz w:val="24"/>
          <w:szCs w:val="24"/>
        </w:rPr>
        <w:lastRenderedPageBreak/>
        <w:t>and agency (Rinaldi, 2020), the Curriculum for Wales places greater emphasis on children's rights, participation and inclusion within educational decision-making (Stewart, 2023). Together, these approaches support the Unique Child by promoting inclusion, valuing identity and prioritising wellbeing alongside learning and development.</w:t>
      </w:r>
    </w:p>
    <w:p w14:paraId="7CDD4315" w14:textId="77777777" w:rsidR="0010561A" w:rsidRPr="00105589" w:rsidRDefault="0010561A" w:rsidP="00105589">
      <w:pPr>
        <w:spacing w:line="360" w:lineRule="auto"/>
        <w:rPr>
          <w:rFonts w:ascii="Arial" w:hAnsi="Arial" w:cs="Arial"/>
          <w:sz w:val="24"/>
          <w:szCs w:val="24"/>
        </w:rPr>
      </w:pPr>
      <w:r w:rsidRPr="00105589">
        <w:rPr>
          <w:rFonts w:ascii="Arial" w:hAnsi="Arial" w:cs="Arial"/>
          <w:sz w:val="24"/>
          <w:szCs w:val="24"/>
        </w:rPr>
        <w:t>Assessment within the Curriculum for Wales is primarily formative and embedded within children's everyday learning experiences. Observation is a central assessment strategy, enabling practitioners to gather evidence of learning through play, interaction and engagement with meaningful experiences (Welsh Government, 2025). This reflects the learner-centred principles of the curriculum, where assessment is used to support progression rather than measure attainment against fixed outcomes. Research suggests that schools implementing learner-centred approaches are better able to respond to children's developmental needs while maintaining play as the foundation of early learning (Foundation Learning in the Curriculum for Wales: A Qualitative Study, 2026; Palaiologou, 2019).</w:t>
      </w:r>
    </w:p>
    <w:p w14:paraId="4F636A79" w14:textId="77777777" w:rsidR="0010561A" w:rsidRPr="00105589" w:rsidRDefault="0010561A" w:rsidP="00105589">
      <w:pPr>
        <w:spacing w:line="360" w:lineRule="auto"/>
        <w:rPr>
          <w:rFonts w:ascii="Arial" w:hAnsi="Arial" w:cs="Arial"/>
          <w:sz w:val="24"/>
          <w:szCs w:val="24"/>
        </w:rPr>
      </w:pPr>
      <w:r w:rsidRPr="00105589">
        <w:rPr>
          <w:rFonts w:ascii="Arial" w:hAnsi="Arial" w:cs="Arial"/>
          <w:sz w:val="24"/>
          <w:szCs w:val="24"/>
        </w:rPr>
        <w:t>The role of the practitioner is to notice, interpret and respond to children's learning. Through ongoing observation, practitioners develop an understanding of children's interests, strengths and next steps in learning, allowing experiences to be adapted accordingly (Welsh Government, 2025). Assessment information is gathered through continuous, enhanced and focused provision and is used to inform planning and support learner progression (Welsh Government, 2017; Morgan et al., 2022). Rather than relying on formal testing, practitioners build a holistic picture of each child over time through a range of evidence, including observations, conversations and examples of children's work.</w:t>
      </w:r>
    </w:p>
    <w:p w14:paraId="3CE74C8A" w14:textId="3C178345" w:rsidR="00DA7034" w:rsidRPr="00105589" w:rsidRDefault="0010561A" w:rsidP="00105589">
      <w:pPr>
        <w:spacing w:line="360" w:lineRule="auto"/>
        <w:rPr>
          <w:rFonts w:ascii="Arial" w:hAnsi="Arial" w:cs="Arial"/>
          <w:sz w:val="24"/>
          <w:szCs w:val="24"/>
        </w:rPr>
      </w:pPr>
      <w:r w:rsidRPr="00105589">
        <w:rPr>
          <w:rFonts w:ascii="Arial" w:hAnsi="Arial" w:cs="Arial"/>
          <w:sz w:val="24"/>
          <w:szCs w:val="24"/>
        </w:rPr>
        <w:t>A strength of this approach is its alignment with the concept of the Unique Child. By assessing children within authentic learning contexts, practitioners can recognise individual differences in learning styles, interests and rates of development. This allows assessment to remain responsive to children's needs and supports the Curriculum for Wales' commitment to inclusion, wellbeing and learner progression (Duggan et al., 2022).</w:t>
      </w:r>
    </w:p>
    <w:p w14:paraId="00992E36" w14:textId="77777777" w:rsidR="00385377" w:rsidRPr="00105589" w:rsidRDefault="00385377" w:rsidP="00105589">
      <w:pPr>
        <w:spacing w:line="360" w:lineRule="auto"/>
        <w:rPr>
          <w:rFonts w:ascii="Arial" w:hAnsi="Arial" w:cs="Arial"/>
          <w:sz w:val="24"/>
          <w:szCs w:val="24"/>
        </w:rPr>
      </w:pPr>
    </w:p>
    <w:p w14:paraId="1A4DDF59" w14:textId="59FE01D5" w:rsidR="008023BE" w:rsidRPr="00105589" w:rsidRDefault="008023BE" w:rsidP="00105589">
      <w:pPr>
        <w:spacing w:line="360" w:lineRule="auto"/>
        <w:rPr>
          <w:rFonts w:ascii="Arial" w:hAnsi="Arial" w:cs="Arial"/>
          <w:sz w:val="24"/>
          <w:szCs w:val="24"/>
        </w:rPr>
      </w:pPr>
      <w:r w:rsidRPr="00105589">
        <w:rPr>
          <w:rFonts w:ascii="Arial" w:hAnsi="Arial" w:cs="Arial"/>
          <w:sz w:val="24"/>
          <w:szCs w:val="24"/>
        </w:rPr>
        <w:lastRenderedPageBreak/>
        <w:t>Assessment within the Reggio Emilia approach is primarily conducted through pedagogical documentation. According to Paananen and Lipponen (2018), pedagogical documentation is a process that makes children's experiences, participation and perspectives visible through collected records of learning, supporting reflection and understanding among both children and practitioners.</w:t>
      </w:r>
    </w:p>
    <w:p w14:paraId="387E2B3B" w14:textId="77777777" w:rsidR="008023BE" w:rsidRPr="00105589" w:rsidRDefault="008023BE" w:rsidP="00105589">
      <w:pPr>
        <w:spacing w:line="360" w:lineRule="auto"/>
        <w:rPr>
          <w:rFonts w:ascii="Arial" w:hAnsi="Arial" w:cs="Arial"/>
          <w:sz w:val="24"/>
          <w:szCs w:val="24"/>
        </w:rPr>
      </w:pPr>
      <w:r w:rsidRPr="00105589">
        <w:rPr>
          <w:rFonts w:ascii="Arial" w:hAnsi="Arial" w:cs="Arial"/>
          <w:sz w:val="24"/>
          <w:szCs w:val="24"/>
        </w:rPr>
        <w:t>Through pedagogical documentation, practitioners gain insight into children's individual learning patterns, interests and engagement (Becker, Rigaud and Epstein, 2023). Assessment is viewed as an integral part of learning rather than a separate activity, with documentation occurring continuously throughout children's experiences and informing ongoing reflection (DeLuca et al., 2019). This supports a holistic understanding of development by enabling practitioners to consider social, emotional, cognitive and physical development rather than focusing solely on academic outcomes.</w:t>
      </w:r>
    </w:p>
    <w:p w14:paraId="5875B993" w14:textId="77777777" w:rsidR="00A455A7" w:rsidRPr="00105589" w:rsidRDefault="00A455A7" w:rsidP="00105589">
      <w:pPr>
        <w:spacing w:line="360" w:lineRule="auto"/>
        <w:rPr>
          <w:rFonts w:ascii="Arial" w:hAnsi="Arial" w:cs="Arial"/>
          <w:sz w:val="24"/>
          <w:szCs w:val="24"/>
        </w:rPr>
      </w:pPr>
      <w:r w:rsidRPr="00105589">
        <w:rPr>
          <w:rFonts w:ascii="Arial" w:hAnsi="Arial" w:cs="Arial"/>
          <w:sz w:val="24"/>
          <w:szCs w:val="24"/>
        </w:rPr>
        <w:t>Furthermore, Krechevsky et al. (2013), supported by Alaçam and Olgan (2025), argue that children contribute to pedagogical documentation through their drawings, conversations, work samples and reflections. These contributions enable practitioners to gain a richer understanding of children's learning and development. Progress is tracked through collections of documentation, portfolios and work samples, allowing practitioners to build a picture of children's development over time rather than assessing them against age-related expectations.</w:t>
      </w:r>
    </w:p>
    <w:p w14:paraId="7DC3DA9A" w14:textId="0D16D26B" w:rsidR="00385377" w:rsidRPr="00105589" w:rsidRDefault="008023BE" w:rsidP="00105589">
      <w:pPr>
        <w:spacing w:line="360" w:lineRule="auto"/>
        <w:rPr>
          <w:rFonts w:ascii="Arial" w:hAnsi="Arial" w:cs="Arial"/>
          <w:sz w:val="24"/>
          <w:szCs w:val="24"/>
        </w:rPr>
      </w:pPr>
      <w:r w:rsidRPr="00105589">
        <w:rPr>
          <w:rFonts w:ascii="Arial" w:hAnsi="Arial" w:cs="Arial"/>
          <w:sz w:val="24"/>
          <w:szCs w:val="24"/>
        </w:rPr>
        <w:t>A strength of this approach is its alignment with the concept of the Unique Child. By valuing children's voices, interests and multiple forms of expression, assessment recognises that children demonstrate learning in different ways. This reflects the belief that development is individual and non-linear, allowing practitioners to respond to children's identities, experiences and needs. However, because documentation relies upon practitioner interpretation, assessment may be more subjective than approaches that incorporate clearer progression frameworks.</w:t>
      </w:r>
    </w:p>
    <w:p w14:paraId="0DD018B7" w14:textId="3972A229" w:rsidR="00C56F14" w:rsidRPr="00105589" w:rsidRDefault="00C56F14" w:rsidP="00105589">
      <w:pPr>
        <w:spacing w:line="360" w:lineRule="auto"/>
        <w:rPr>
          <w:rFonts w:ascii="Arial" w:hAnsi="Arial" w:cs="Arial"/>
          <w:sz w:val="24"/>
          <w:szCs w:val="24"/>
        </w:rPr>
      </w:pPr>
      <w:r w:rsidRPr="00105589">
        <w:rPr>
          <w:rFonts w:ascii="Arial" w:hAnsi="Arial" w:cs="Arial"/>
          <w:sz w:val="24"/>
          <w:szCs w:val="24"/>
        </w:rPr>
        <w:t xml:space="preserve">Both the Curriculum for Wales and the Reggio Emilia approach aim to place the child at the centre of assessment, using observation to understand children's development. However, they differ in how assessment is structured and interpreted. While the Curriculum for Wales uses observation to support learner progression and identify next steps in development (Morgan et al., 2022), Reggio Emilia uses </w:t>
      </w:r>
      <w:r w:rsidRPr="00105589">
        <w:rPr>
          <w:rFonts w:ascii="Arial" w:hAnsi="Arial" w:cs="Arial"/>
          <w:sz w:val="24"/>
          <w:szCs w:val="24"/>
        </w:rPr>
        <w:lastRenderedPageBreak/>
        <w:t>pedagogical documentation to understand children's learning patterns, experiences and perspectives (Paananen and Lipponen, 2018; Becker, Rigaud and Epstein, 2023). Consequently, the Curriculum for Wales can be viewed as a more practitioner-led approach, whereas Reggio Emilia adopts a more child-led approach through children's participation in documentation and reflection (Krechevsky et al., 2013; Alaçam and Olgan, 2025).</w:t>
      </w:r>
    </w:p>
    <w:p w14:paraId="299E4D64" w14:textId="77777777" w:rsidR="009058C5" w:rsidRPr="00105589" w:rsidRDefault="009058C5" w:rsidP="00105589">
      <w:pPr>
        <w:spacing w:line="360" w:lineRule="auto"/>
        <w:rPr>
          <w:rFonts w:ascii="Arial" w:hAnsi="Arial" w:cs="Arial"/>
          <w:sz w:val="24"/>
          <w:szCs w:val="24"/>
        </w:rPr>
      </w:pPr>
      <w:r w:rsidRPr="00105589">
        <w:rPr>
          <w:rFonts w:ascii="Arial" w:hAnsi="Arial" w:cs="Arial"/>
          <w:sz w:val="24"/>
          <w:szCs w:val="24"/>
        </w:rPr>
        <w:t>Both approaches align with the concept of the Unique Child by recognising that development is shaped by children's individual experiences, backgrounds and identities (Alsubaie, 2015; Jenkin, 2016).</w:t>
      </w:r>
    </w:p>
    <w:p w14:paraId="4F7F636B" w14:textId="77777777" w:rsidR="00C56F14" w:rsidRPr="00105589" w:rsidRDefault="00C56F14" w:rsidP="00105589">
      <w:pPr>
        <w:spacing w:line="360" w:lineRule="auto"/>
        <w:rPr>
          <w:rFonts w:ascii="Arial" w:hAnsi="Arial" w:cs="Arial"/>
          <w:sz w:val="24"/>
          <w:szCs w:val="24"/>
        </w:rPr>
      </w:pPr>
      <w:r w:rsidRPr="00105589">
        <w:rPr>
          <w:rFonts w:ascii="Arial" w:hAnsi="Arial" w:cs="Arial"/>
          <w:sz w:val="24"/>
          <w:szCs w:val="24"/>
        </w:rPr>
        <w:t>However, the Curriculum for Wales places greater emphasis on progression. While this can support consistency in assessment practices and help practitioners identify appropriate next steps in learning (Mangione, Osborne and Mendenhall, 2019), progression-focused approaches may overlook aspects of individuality if they do not fully account for children's diverse backgrounds, experiences and developmental pathways (Hanno, Portilla and Hsueh, 2025). This concern is reflected in Parekh's (2017) argument that educational systems can position learners according to assumptions about ability, potentially leading to labelling and deficit perspectives. Such an approach may be particularly challenging for children with Additional Learning Needs (ALN), neurodiverse learners, and those from culturally and linguistically diverse backgrounds whose development may not align with expected pathways.</w:t>
      </w:r>
    </w:p>
    <w:p w14:paraId="5685B4C4" w14:textId="57557794" w:rsidR="006D18B8" w:rsidRPr="00105589" w:rsidRDefault="003565D0" w:rsidP="00105589">
      <w:pPr>
        <w:spacing w:line="360" w:lineRule="auto"/>
        <w:rPr>
          <w:rFonts w:ascii="Arial" w:hAnsi="Arial" w:cs="Arial"/>
          <w:sz w:val="24"/>
          <w:szCs w:val="24"/>
        </w:rPr>
      </w:pPr>
      <w:r w:rsidRPr="00105589">
        <w:rPr>
          <w:rFonts w:ascii="Arial" w:hAnsi="Arial" w:cs="Arial"/>
          <w:sz w:val="24"/>
          <w:szCs w:val="24"/>
        </w:rPr>
        <w:t xml:space="preserve">In contrast, Reggio Emilia's emphasis on pedagogical documentation enables children to communicate understanding through multiple forms of expression, reflecting Malaguzzi's concept of the </w:t>
      </w:r>
      <w:r w:rsidRPr="00105589">
        <w:rPr>
          <w:rFonts w:ascii="Arial" w:hAnsi="Arial" w:cs="Arial"/>
          <w:i/>
          <w:iCs/>
          <w:sz w:val="24"/>
          <w:szCs w:val="24"/>
        </w:rPr>
        <w:t>Hundred Languages of Children</w:t>
      </w:r>
      <w:r w:rsidRPr="00105589">
        <w:rPr>
          <w:rFonts w:ascii="Arial" w:hAnsi="Arial" w:cs="Arial"/>
          <w:sz w:val="24"/>
          <w:szCs w:val="24"/>
        </w:rPr>
        <w:t xml:space="preserve"> (Aden and Theodotou, 2019; Mphahlele, 2019). </w:t>
      </w:r>
      <w:r w:rsidR="00944459" w:rsidRPr="00105589">
        <w:rPr>
          <w:rFonts w:ascii="Arial" w:hAnsi="Arial" w:cs="Arial"/>
          <w:sz w:val="24"/>
          <w:szCs w:val="24"/>
        </w:rPr>
        <w:t>Documentation is also more likely to acknowledge cultural and linguistic diversity and capture learning in ways that extend beyond a single measure of attainment (Jenkin, 2016; Alsubaie, 2015; Krechevsky et al., 2013; Alaçam and Olgan, 2025).</w:t>
      </w:r>
    </w:p>
    <w:p w14:paraId="66C3C471" w14:textId="6851F58B" w:rsidR="00387608" w:rsidRPr="00105589" w:rsidRDefault="006D18B8" w:rsidP="00105589">
      <w:pPr>
        <w:spacing w:line="360" w:lineRule="auto"/>
        <w:rPr>
          <w:rFonts w:ascii="Arial" w:hAnsi="Arial" w:cs="Arial"/>
          <w:sz w:val="24"/>
          <w:szCs w:val="24"/>
        </w:rPr>
      </w:pPr>
      <w:r w:rsidRPr="00105589">
        <w:rPr>
          <w:rFonts w:ascii="Arial" w:hAnsi="Arial" w:cs="Arial"/>
          <w:sz w:val="24"/>
          <w:szCs w:val="24"/>
        </w:rPr>
        <w:t xml:space="preserve">Despite these strengths, Reggio Emilia is not without limitations. Pedagogical documentation relies heavily on practitioner interpretation, meaning different practitioners may draw different conclusions from the same evidence. Consequently, </w:t>
      </w:r>
      <w:r w:rsidRPr="00105589">
        <w:rPr>
          <w:rFonts w:ascii="Arial" w:hAnsi="Arial" w:cs="Arial"/>
          <w:sz w:val="24"/>
          <w:szCs w:val="24"/>
        </w:rPr>
        <w:lastRenderedPageBreak/>
        <w:t>consistency in assessment may be reduced when compared with more structured approaches (Giamminuti, Merewether and Blaise, 2022).</w:t>
      </w:r>
    </w:p>
    <w:p w14:paraId="6843C297"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In conclusion, the concept of the Unique Child recognises that children develop in individual and non-linear ways, shaped by their experiences, identities, abilities and relationships. Consequently, assessment should be responsive to these differences rather than relying on a single measure of attainment. Both the Curriculum for Wales and the Reggio Emilia approach reflect this principle by using observation-based assessment to support learning and development.</w:t>
      </w:r>
    </w:p>
    <w:p w14:paraId="0A8D0016"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The Curriculum for Wales provides a structured approach to assessment, enabling practitioners to identify strengths, monitor progression and plan next steps. However, its focus on progression may overlook aspects of individuality when children's development does not align with expected pathways. In contrast, Reggio Emilia's use of pedagogical documentation places greater emphasis on children's voices, interests and experiences, allowing learning to be expressed through multiple forms and supporting diverse developmental pathways. Nevertheless, its reliance on practitioner interpretation may reduce consistency in assessment.</w:t>
      </w:r>
    </w:p>
    <w:p w14:paraId="5E490EAD" w14:textId="77777777" w:rsidR="003D3815" w:rsidRPr="00105589" w:rsidRDefault="003D3815" w:rsidP="00105589">
      <w:pPr>
        <w:spacing w:line="360" w:lineRule="auto"/>
        <w:rPr>
          <w:rFonts w:ascii="Arial" w:hAnsi="Arial" w:cs="Arial"/>
          <w:sz w:val="24"/>
          <w:szCs w:val="24"/>
        </w:rPr>
      </w:pPr>
      <w:r w:rsidRPr="00105589">
        <w:rPr>
          <w:rFonts w:ascii="Arial" w:hAnsi="Arial" w:cs="Arial"/>
          <w:sz w:val="24"/>
          <w:szCs w:val="24"/>
        </w:rPr>
        <w:t>Overall, Reggio Emilia more effectively supports the concept of the Unique Child because assessment is centred on understanding children's perspectives, identities and ways of learning. However, combining Reggio Emilia's child-centred documentation with the Curriculum for Wales' focus on progression may provide the most effective approach to supporting children's development.</w:t>
      </w:r>
    </w:p>
    <w:p w14:paraId="635A6F82" w14:textId="77777777" w:rsidR="003A44D3" w:rsidRPr="00A1758B" w:rsidRDefault="003A44D3" w:rsidP="00A1758B">
      <w:pPr>
        <w:spacing w:line="360" w:lineRule="auto"/>
        <w:rPr>
          <w:rFonts w:ascii="Arial" w:hAnsi="Arial" w:cs="Arial"/>
          <w:sz w:val="24"/>
          <w:szCs w:val="24"/>
        </w:rPr>
      </w:pPr>
    </w:p>
    <w:p w14:paraId="5CAD9511" w14:textId="77777777" w:rsidR="0096543B" w:rsidRDefault="0096543B" w:rsidP="00F22240">
      <w:pPr>
        <w:spacing w:line="360" w:lineRule="auto"/>
        <w:rPr>
          <w:rFonts w:ascii="Arial" w:hAnsi="Arial" w:cs="Arial"/>
          <w:sz w:val="24"/>
          <w:szCs w:val="24"/>
        </w:rPr>
      </w:pPr>
    </w:p>
    <w:p w14:paraId="6053D9B3" w14:textId="77777777" w:rsidR="0096543B" w:rsidRDefault="0096543B" w:rsidP="00F22240">
      <w:pPr>
        <w:spacing w:line="360" w:lineRule="auto"/>
        <w:rPr>
          <w:rFonts w:ascii="Arial" w:hAnsi="Arial" w:cs="Arial"/>
          <w:sz w:val="24"/>
          <w:szCs w:val="24"/>
        </w:rPr>
      </w:pPr>
    </w:p>
    <w:p w14:paraId="4C46B207" w14:textId="11256B13" w:rsidR="0096543B" w:rsidRDefault="00856DE2" w:rsidP="00F22240">
      <w:pPr>
        <w:spacing w:line="360" w:lineRule="auto"/>
        <w:rPr>
          <w:rFonts w:ascii="Arial" w:hAnsi="Arial" w:cs="Arial"/>
          <w:sz w:val="24"/>
          <w:szCs w:val="24"/>
        </w:rPr>
      </w:pPr>
      <w:r w:rsidRPr="00856DE2">
        <w:rPr>
          <w:rFonts w:ascii="Arial" w:hAnsi="Arial" w:cs="Arial"/>
          <w:noProof/>
          <w:sz w:val="24"/>
          <w:szCs w:val="24"/>
        </w:rPr>
        <w:lastRenderedPageBreak/>
        <w:drawing>
          <wp:inline distT="0" distB="0" distL="0" distR="0" wp14:anchorId="63897F62" wp14:editId="0E0841B3">
            <wp:extent cx="5731510" cy="3954780"/>
            <wp:effectExtent l="0" t="0" r="2540" b="7620"/>
            <wp:docPr id="62820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02191" name=""/>
                    <pic:cNvPicPr/>
                  </pic:nvPicPr>
                  <pic:blipFill>
                    <a:blip r:embed="rId11"/>
                    <a:stretch>
                      <a:fillRect/>
                    </a:stretch>
                  </pic:blipFill>
                  <pic:spPr>
                    <a:xfrm>
                      <a:off x="0" y="0"/>
                      <a:ext cx="5731510" cy="3954780"/>
                    </a:xfrm>
                    <a:prstGeom prst="rect">
                      <a:avLst/>
                    </a:prstGeom>
                  </pic:spPr>
                </pic:pic>
              </a:graphicData>
            </a:graphic>
          </wp:inline>
        </w:drawing>
      </w:r>
    </w:p>
    <w:p w14:paraId="271EF61E" w14:textId="77777777" w:rsidR="0085585A" w:rsidRPr="00087338" w:rsidRDefault="0085585A" w:rsidP="00B32FB7">
      <w:pPr>
        <w:pStyle w:val="Heading1"/>
        <w:rPr>
          <w:rFonts w:ascii="Cambria" w:hAnsi="Cambria"/>
          <w:b/>
          <w:bCs/>
          <w:sz w:val="36"/>
          <w:szCs w:val="36"/>
          <w:u w:val="single"/>
        </w:rPr>
      </w:pPr>
      <w:r w:rsidRPr="00087338">
        <w:rPr>
          <w:rFonts w:ascii="Cambria" w:hAnsi="Cambria"/>
          <w:b/>
          <w:bCs/>
          <w:sz w:val="36"/>
          <w:szCs w:val="36"/>
          <w:u w:val="single"/>
        </w:rPr>
        <w:t>Let Children Be Children: Has Childhood Become Over-Academised?</w:t>
      </w:r>
    </w:p>
    <w:p w14:paraId="2B399FCC" w14:textId="77777777" w:rsidR="00B32FB7" w:rsidRPr="00087338" w:rsidRDefault="00B32FB7" w:rsidP="00B32FB7">
      <w:pPr>
        <w:rPr>
          <w:rFonts w:ascii="Cambria" w:hAnsi="Cambria"/>
          <w:sz w:val="24"/>
          <w:szCs w:val="24"/>
        </w:rPr>
      </w:pPr>
    </w:p>
    <w:p w14:paraId="69D4B6A9" w14:textId="704CCB6E" w:rsidR="0085585A" w:rsidRPr="00087338" w:rsidRDefault="00156967" w:rsidP="00087338">
      <w:pPr>
        <w:rPr>
          <w:rFonts w:ascii="Cambria" w:hAnsi="Cambria"/>
          <w:sz w:val="24"/>
          <w:szCs w:val="24"/>
        </w:rPr>
      </w:pPr>
      <w:r w:rsidRPr="00087338">
        <w:rPr>
          <w:rFonts w:ascii="Cambria" w:hAnsi="Cambria"/>
          <w:sz w:val="24"/>
          <w:szCs w:val="24"/>
        </w:rPr>
        <w:t xml:space="preserve">According to Insel (2000), the child's brain is around 90% of its adult size by the age of five. </w:t>
      </w:r>
      <w:r w:rsidR="0085585A" w:rsidRPr="00087338">
        <w:rPr>
          <w:rFonts w:ascii="Cambria" w:hAnsi="Cambria"/>
          <w:sz w:val="24"/>
          <w:szCs w:val="24"/>
        </w:rPr>
        <w:t>When you stop and think about it, that's incredible. These early years are some of the most important in a child's life, forming the foundations for future learning, relationships and wellbeing. Because of this, shouldn't childhood be a time for play, exploration and discovery rather than pressure and performance?</w:t>
      </w:r>
    </w:p>
    <w:p w14:paraId="66BBEF19" w14:textId="6F68109A" w:rsidR="00460412" w:rsidRPr="00087338" w:rsidRDefault="00460412" w:rsidP="00087338">
      <w:pPr>
        <w:rPr>
          <w:rFonts w:ascii="Cambria" w:hAnsi="Cambria"/>
          <w:sz w:val="24"/>
          <w:szCs w:val="24"/>
        </w:rPr>
      </w:pPr>
      <w:r w:rsidRPr="00087338">
        <w:rPr>
          <w:rFonts w:ascii="Cambria" w:hAnsi="Cambria"/>
          <w:sz w:val="24"/>
          <w:szCs w:val="24"/>
        </w:rPr>
        <w:t xml:space="preserve">Yet across the UK, there appears to be an increasing focus on academic achievement and assessment from an early age. Children are often expected to demonstrate progress against developmental and educational expectations, while practitioners spend significant amounts of time observing, recording and evaluating learning. In Wales, the Curriculum for Wales places progression at the centre of learning through the six </w:t>
      </w:r>
      <w:hyperlink r:id="rId12" w:history="1">
        <w:r w:rsidRPr="00087338">
          <w:rPr>
            <w:rStyle w:val="Hyperlink"/>
            <w:rFonts w:ascii="Cambria" w:hAnsi="Cambria" w:cs="Arial"/>
            <w:sz w:val="24"/>
            <w:szCs w:val="24"/>
          </w:rPr>
          <w:t>Areas of Learning and Experience (AoLEs),</w:t>
        </w:r>
      </w:hyperlink>
      <w:r w:rsidRPr="00087338">
        <w:rPr>
          <w:rFonts w:ascii="Cambria" w:hAnsi="Cambria"/>
          <w:sz w:val="24"/>
          <w:szCs w:val="24"/>
        </w:rPr>
        <w:t xml:space="preserve"> with assessment used to understand whether learners are making progress throughout their educational journey. While this approach is designed to support children's development, it raises an important question: if we truly believe that every child develops uniquely and at their own pace, why has tracking and measuring progress become such a central feature of childhood?</w:t>
      </w:r>
    </w:p>
    <w:p w14:paraId="575E741B" w14:textId="77777777" w:rsidR="00597351" w:rsidRPr="00087338" w:rsidRDefault="00597351" w:rsidP="00087338">
      <w:pPr>
        <w:rPr>
          <w:rFonts w:ascii="Cambria" w:hAnsi="Cambria"/>
          <w:sz w:val="24"/>
          <w:szCs w:val="24"/>
        </w:rPr>
      </w:pPr>
      <w:r w:rsidRPr="00087338">
        <w:rPr>
          <w:rFonts w:ascii="Cambria" w:hAnsi="Cambria"/>
          <w:sz w:val="24"/>
          <w:szCs w:val="24"/>
        </w:rPr>
        <w:t xml:space="preserve">As early years practitioners, we are taught to view children as individuals who develop at their own pace. Yet we are also expected to assess them against developmental </w:t>
      </w:r>
      <w:r w:rsidRPr="00087338">
        <w:rPr>
          <w:rFonts w:ascii="Cambria" w:hAnsi="Cambria"/>
          <w:sz w:val="24"/>
          <w:szCs w:val="24"/>
        </w:rPr>
        <w:lastRenderedPageBreak/>
        <w:t>benchmarks. If every child develops differently, should variation always be viewed as something that needs to be measured and addressed?</w:t>
      </w:r>
    </w:p>
    <w:p w14:paraId="0C932518" w14:textId="4A94CEBB" w:rsidR="0085585A" w:rsidRPr="00087338" w:rsidRDefault="0085585A" w:rsidP="00087338">
      <w:pPr>
        <w:rPr>
          <w:rFonts w:ascii="Cambria" w:hAnsi="Cambria"/>
          <w:sz w:val="24"/>
          <w:szCs w:val="24"/>
        </w:rPr>
      </w:pPr>
      <w:r w:rsidRPr="00087338">
        <w:rPr>
          <w:rFonts w:ascii="Cambria" w:hAnsi="Cambria"/>
          <w:sz w:val="24"/>
          <w:szCs w:val="24"/>
        </w:rPr>
        <w:t>What's particularly interesting is that the Curriculum for Wales places a strong emphasis on play-based learning, an approach often associated with Scandinavian education systems. If play is widely recognised as beneficial, why do so many practitioners still feel pressure to gather evidence, monitor progress and prepare children for school readiness?</w:t>
      </w:r>
      <w:r w:rsidR="00A1111A" w:rsidRPr="00087338">
        <w:rPr>
          <w:rFonts w:ascii="Cambria" w:hAnsi="Cambria"/>
          <w:sz w:val="24"/>
          <w:szCs w:val="24"/>
        </w:rPr>
        <w:t xml:space="preserve"> This tension is reflected in recent research suggesting that practitioners continue to navigate the competing demands of facilitating play-based learning while simultaneously documenting and assessing children's progress (Pyle, 2023).</w:t>
      </w:r>
    </w:p>
    <w:p w14:paraId="0402B2A2" w14:textId="6C9B3DC1" w:rsidR="0085585A" w:rsidRPr="00087338" w:rsidRDefault="0085585A" w:rsidP="00087338">
      <w:pPr>
        <w:rPr>
          <w:rFonts w:ascii="Cambria" w:hAnsi="Cambria"/>
          <w:sz w:val="24"/>
          <w:szCs w:val="24"/>
        </w:rPr>
      </w:pPr>
      <w:r w:rsidRPr="00087338">
        <w:rPr>
          <w:rFonts w:ascii="Cambria" w:hAnsi="Cambria"/>
          <w:sz w:val="24"/>
          <w:szCs w:val="24"/>
        </w:rPr>
        <w:t xml:space="preserve">Finland provides an interesting comparison. Children begin formal education later and spend longer learning through </w:t>
      </w:r>
      <w:r w:rsidR="00725E61" w:rsidRPr="00087338">
        <w:rPr>
          <w:rFonts w:ascii="Cambria" w:hAnsi="Cambria"/>
          <w:sz w:val="24"/>
          <w:szCs w:val="24"/>
        </w:rPr>
        <w:t>play yet</w:t>
      </w:r>
      <w:r w:rsidRPr="00087338">
        <w:rPr>
          <w:rFonts w:ascii="Cambria" w:hAnsi="Cambria"/>
          <w:sz w:val="24"/>
          <w:szCs w:val="24"/>
        </w:rPr>
        <w:t xml:space="preserve"> continue to achieve strong educational outcomes</w:t>
      </w:r>
      <w:r w:rsidR="00146817" w:rsidRPr="00087338">
        <w:rPr>
          <w:rFonts w:ascii="Cambria" w:hAnsi="Cambria"/>
          <w:sz w:val="24"/>
          <w:szCs w:val="24"/>
        </w:rPr>
        <w:t xml:space="preserve"> </w:t>
      </w:r>
      <w:r w:rsidR="00585BA4" w:rsidRPr="00087338">
        <w:rPr>
          <w:rFonts w:ascii="Cambria" w:hAnsi="Cambria"/>
          <w:sz w:val="24"/>
          <w:szCs w:val="24"/>
        </w:rPr>
        <w:t xml:space="preserve">(Sharp, 2002; OECD, 2023). </w:t>
      </w:r>
      <w:r w:rsidRPr="00087338">
        <w:rPr>
          <w:rFonts w:ascii="Cambria" w:hAnsi="Cambria"/>
          <w:sz w:val="24"/>
          <w:szCs w:val="24"/>
        </w:rPr>
        <w:t>This challenges the assumption that earlier formal education automatically leads to greater success.</w:t>
      </w:r>
      <w:r w:rsidR="00EA7258" w:rsidRPr="00087338">
        <w:rPr>
          <w:rFonts w:ascii="Cambria" w:hAnsi="Cambria"/>
          <w:sz w:val="24"/>
          <w:szCs w:val="24"/>
        </w:rPr>
        <w:t xml:space="preserve"> </w:t>
      </w:r>
    </w:p>
    <w:p w14:paraId="3388ECCE" w14:textId="77777777" w:rsidR="00ED372C" w:rsidRPr="00087338" w:rsidRDefault="00ED372C" w:rsidP="00087338">
      <w:pPr>
        <w:rPr>
          <w:rFonts w:ascii="Cambria" w:hAnsi="Cambria"/>
          <w:sz w:val="24"/>
          <w:szCs w:val="24"/>
        </w:rPr>
      </w:pPr>
      <w:r w:rsidRPr="00087338">
        <w:rPr>
          <w:rFonts w:ascii="Cambria" w:hAnsi="Cambria"/>
          <w:sz w:val="24"/>
          <w:szCs w:val="24"/>
        </w:rPr>
        <w:t>Supporters of a later start to formal education argue that additional opportunities for play help children develop confidence, resilience and social skills before entering more structured educational environments. At the heart of this argument is the belief that children's wellbeing matters.</w:t>
      </w:r>
    </w:p>
    <w:p w14:paraId="519DC54A" w14:textId="56DEBA32" w:rsidR="00256E5D" w:rsidRPr="00087338" w:rsidRDefault="0085585A" w:rsidP="00087338">
      <w:pPr>
        <w:rPr>
          <w:rFonts w:ascii="Cambria" w:hAnsi="Cambria"/>
          <w:sz w:val="24"/>
          <w:szCs w:val="24"/>
        </w:rPr>
      </w:pPr>
      <w:r w:rsidRPr="00087338">
        <w:rPr>
          <w:rFonts w:ascii="Cambria" w:hAnsi="Cambria"/>
          <w:sz w:val="24"/>
          <w:szCs w:val="24"/>
        </w:rPr>
        <w:t xml:space="preserve">This becomes even more important when we consider </w:t>
      </w:r>
      <w:hyperlink r:id="rId13" w:history="1">
        <w:r w:rsidRPr="00087338">
          <w:rPr>
            <w:rStyle w:val="Hyperlink"/>
            <w:rFonts w:ascii="Cambria" w:hAnsi="Cambria" w:cs="Arial"/>
            <w:sz w:val="24"/>
            <w:szCs w:val="24"/>
          </w:rPr>
          <w:t>Adverse Childhood Experiences (ACEs).</w:t>
        </w:r>
      </w:hyperlink>
      <w:r w:rsidRPr="00087338">
        <w:rPr>
          <w:rFonts w:ascii="Cambria" w:hAnsi="Cambria"/>
          <w:sz w:val="24"/>
          <w:szCs w:val="24"/>
        </w:rPr>
        <w:t xml:space="preserve"> Research shows that prolonged childhood stress can affect brain development, emotional regulation and behaviour</w:t>
      </w:r>
      <w:r w:rsidR="00256E5D" w:rsidRPr="00087338">
        <w:rPr>
          <w:rFonts w:ascii="Cambria" w:hAnsi="Cambria"/>
          <w:sz w:val="24"/>
          <w:szCs w:val="24"/>
        </w:rPr>
        <w:t xml:space="preserve"> (Herzog and Schmahl, 2018).</w:t>
      </w:r>
    </w:p>
    <w:p w14:paraId="672EB08C" w14:textId="2CA6944E" w:rsidR="0085585A" w:rsidRPr="00087338" w:rsidRDefault="0085585A" w:rsidP="00087338">
      <w:pPr>
        <w:rPr>
          <w:rFonts w:ascii="Cambria" w:hAnsi="Cambria"/>
          <w:sz w:val="24"/>
          <w:szCs w:val="24"/>
        </w:rPr>
      </w:pPr>
      <w:r w:rsidRPr="00087338">
        <w:rPr>
          <w:rFonts w:ascii="Cambria" w:hAnsi="Cambria"/>
          <w:sz w:val="24"/>
          <w:szCs w:val="24"/>
        </w:rPr>
        <w:t>If wellbeing has such a significant influence on development, should increasing academic expectations really be our main priority?</w:t>
      </w:r>
    </w:p>
    <w:p w14:paraId="0537D0FE" w14:textId="5D63C13C" w:rsidR="0085585A" w:rsidRPr="00087338" w:rsidRDefault="00ED372C" w:rsidP="00087338">
      <w:pPr>
        <w:rPr>
          <w:rFonts w:ascii="Cambria" w:hAnsi="Cambria"/>
          <w:sz w:val="24"/>
          <w:szCs w:val="24"/>
        </w:rPr>
      </w:pPr>
      <w:r w:rsidRPr="00087338">
        <w:rPr>
          <w:rFonts w:ascii="Cambria" w:hAnsi="Cambria"/>
          <w:sz w:val="24"/>
          <w:szCs w:val="24"/>
        </w:rPr>
        <w:t>Perhaps childhood should be viewed not simply as preparation for school, but as a valuable stage of life. Play helps build the foundations for future learning. Bruce (2021) argues that it supports children's problem-solving abilities, imagination and abstract thinking, helping them develop as confident learners.</w:t>
      </w:r>
    </w:p>
    <w:p w14:paraId="28FE952E" w14:textId="77777777" w:rsidR="00087338" w:rsidRPr="00087338" w:rsidRDefault="00087338" w:rsidP="00087338">
      <w:pPr>
        <w:rPr>
          <w:rFonts w:ascii="Cambria" w:hAnsi="Cambria"/>
          <w:sz w:val="24"/>
          <w:szCs w:val="24"/>
        </w:rPr>
      </w:pPr>
    </w:p>
    <w:p w14:paraId="4959437D" w14:textId="77777777" w:rsidR="0085585A" w:rsidRPr="00087338" w:rsidRDefault="0085585A" w:rsidP="00087338">
      <w:pPr>
        <w:pStyle w:val="Heading2"/>
        <w:rPr>
          <w:rFonts w:ascii="Cambria" w:hAnsi="Cambria"/>
          <w:b/>
          <w:bCs/>
          <w:sz w:val="36"/>
          <w:szCs w:val="36"/>
          <w:u w:val="single"/>
        </w:rPr>
      </w:pPr>
      <w:r w:rsidRPr="00087338">
        <w:rPr>
          <w:rFonts w:ascii="Cambria" w:hAnsi="Cambria"/>
          <w:b/>
          <w:bCs/>
          <w:sz w:val="36"/>
          <w:szCs w:val="36"/>
          <w:u w:val="single"/>
        </w:rPr>
        <w:t>If Childhood Has Become Over-Academised, How Can We Create a More Balanced Approach?</w:t>
      </w:r>
    </w:p>
    <w:p w14:paraId="65ED154B" w14:textId="77777777" w:rsidR="00087338" w:rsidRPr="00087338" w:rsidRDefault="00087338" w:rsidP="00087338">
      <w:pPr>
        <w:rPr>
          <w:rFonts w:ascii="Cambria" w:hAnsi="Cambria"/>
          <w:sz w:val="24"/>
          <w:szCs w:val="24"/>
        </w:rPr>
      </w:pPr>
    </w:p>
    <w:p w14:paraId="007EFA7D" w14:textId="77777777" w:rsidR="0085585A" w:rsidRPr="00087338" w:rsidRDefault="0085585A" w:rsidP="00087338">
      <w:pPr>
        <w:rPr>
          <w:rFonts w:ascii="Cambria" w:hAnsi="Cambria"/>
          <w:sz w:val="24"/>
          <w:szCs w:val="24"/>
        </w:rPr>
      </w:pPr>
      <w:r w:rsidRPr="00087338">
        <w:rPr>
          <w:rFonts w:ascii="Cambria" w:hAnsi="Cambria"/>
          <w:sz w:val="24"/>
          <w:szCs w:val="24"/>
        </w:rPr>
        <w:t>The honest answer is that it won't be easy.</w:t>
      </w:r>
    </w:p>
    <w:p w14:paraId="225C4C5A" w14:textId="77777777" w:rsidR="0085585A" w:rsidRPr="00087338" w:rsidRDefault="0085585A" w:rsidP="00087338">
      <w:pPr>
        <w:rPr>
          <w:rFonts w:ascii="Cambria" w:hAnsi="Cambria"/>
          <w:sz w:val="24"/>
          <w:szCs w:val="24"/>
        </w:rPr>
      </w:pPr>
      <w:r w:rsidRPr="00087338">
        <w:rPr>
          <w:rFonts w:ascii="Cambria" w:hAnsi="Cambria"/>
          <w:sz w:val="24"/>
          <w:szCs w:val="24"/>
        </w:rPr>
        <w:t>Modern education systems place significant emphasis on accountability, evidence and measurable outcomes. Assessment and observation are important tools that help practitioners identify children's needs and support their development. However, when assessment becomes the focus, there is a risk that the broader purpose of early childhood education can become secondary.</w:t>
      </w:r>
    </w:p>
    <w:p w14:paraId="49E9E25A" w14:textId="4A3AB52E" w:rsidR="0085585A" w:rsidRPr="00087338" w:rsidRDefault="0085585A" w:rsidP="00087338">
      <w:pPr>
        <w:rPr>
          <w:rFonts w:ascii="Cambria" w:hAnsi="Cambria"/>
          <w:sz w:val="24"/>
          <w:szCs w:val="24"/>
        </w:rPr>
      </w:pPr>
      <w:r w:rsidRPr="00087338">
        <w:rPr>
          <w:rFonts w:ascii="Cambria" w:hAnsi="Cambria"/>
          <w:sz w:val="24"/>
          <w:szCs w:val="24"/>
        </w:rPr>
        <w:lastRenderedPageBreak/>
        <w:t xml:space="preserve">One approach that offers an alternative is the </w:t>
      </w:r>
      <w:hyperlink r:id="rId14" w:history="1">
        <w:r w:rsidRPr="00087338">
          <w:rPr>
            <w:rStyle w:val="Hyperlink"/>
            <w:rFonts w:ascii="Cambria" w:hAnsi="Cambria" w:cs="Arial"/>
            <w:sz w:val="24"/>
            <w:szCs w:val="24"/>
          </w:rPr>
          <w:t>Reggio Emilia philosophy</w:t>
        </w:r>
      </w:hyperlink>
      <w:r w:rsidRPr="00087338">
        <w:rPr>
          <w:rFonts w:ascii="Cambria" w:hAnsi="Cambria"/>
          <w:sz w:val="24"/>
          <w:szCs w:val="24"/>
        </w:rPr>
        <w:t>. Rather than relying heavily on checklists and predetermined targets, Reggio Emilia practitioners focus on documenting children's ideas, questions and discoveries as they happen. Learning is viewed as a process rather than a series of outcomes to be achieved.</w:t>
      </w:r>
    </w:p>
    <w:p w14:paraId="6EDDA2DC" w14:textId="77777777" w:rsidR="00ED372C" w:rsidRPr="00087338" w:rsidRDefault="00ED372C" w:rsidP="00087338">
      <w:pPr>
        <w:rPr>
          <w:rFonts w:ascii="Cambria" w:hAnsi="Cambria"/>
          <w:sz w:val="24"/>
          <w:szCs w:val="24"/>
        </w:rPr>
      </w:pPr>
      <w:r w:rsidRPr="00087338">
        <w:rPr>
          <w:rFonts w:ascii="Cambria" w:hAnsi="Cambria"/>
          <w:sz w:val="24"/>
          <w:szCs w:val="24"/>
        </w:rPr>
        <w:t>Documentation allows children to revisit learning and take ownership of their development, reinforcing that their ideas and experiences matter.</w:t>
      </w:r>
    </w:p>
    <w:p w14:paraId="2E1A032B" w14:textId="77777777" w:rsidR="0085585A" w:rsidRPr="00087338" w:rsidRDefault="0085585A" w:rsidP="00087338">
      <w:pPr>
        <w:rPr>
          <w:rFonts w:ascii="Cambria" w:hAnsi="Cambria"/>
          <w:i/>
          <w:iCs/>
          <w:sz w:val="24"/>
          <w:szCs w:val="24"/>
        </w:rPr>
      </w:pPr>
      <w:r w:rsidRPr="00087338">
        <w:rPr>
          <w:rFonts w:ascii="Cambria" w:hAnsi="Cambria"/>
          <w:sz w:val="24"/>
          <w:szCs w:val="24"/>
        </w:rPr>
        <w:t xml:space="preserve">This approach views children as capable, curious and competent learners. Instead of asking whether a child has met a particular target, practitioners ask a different question: </w:t>
      </w:r>
      <w:r w:rsidRPr="00087338">
        <w:rPr>
          <w:rFonts w:ascii="Cambria" w:hAnsi="Cambria"/>
          <w:i/>
          <w:iCs/>
          <w:sz w:val="24"/>
          <w:szCs w:val="24"/>
        </w:rPr>
        <w:t>How does this child learn, and how can we support them further?</w:t>
      </w:r>
    </w:p>
    <w:p w14:paraId="59F9AF29" w14:textId="77777777" w:rsidR="00087338" w:rsidRPr="00087338" w:rsidRDefault="00087338" w:rsidP="00087338">
      <w:pPr>
        <w:rPr>
          <w:rFonts w:ascii="Cambria" w:hAnsi="Cambria"/>
          <w:i/>
          <w:iCs/>
          <w:sz w:val="24"/>
          <w:szCs w:val="24"/>
        </w:rPr>
      </w:pPr>
    </w:p>
    <w:p w14:paraId="16FB7A80" w14:textId="258D9BB1" w:rsidR="00A114FE" w:rsidRPr="00087338" w:rsidRDefault="004B3A97" w:rsidP="00087338">
      <w:pPr>
        <w:pStyle w:val="Heading2"/>
        <w:rPr>
          <w:rFonts w:ascii="Cambria" w:hAnsi="Cambria"/>
          <w:b/>
          <w:bCs/>
          <w:sz w:val="36"/>
          <w:szCs w:val="36"/>
          <w:u w:val="single"/>
        </w:rPr>
      </w:pPr>
      <w:r w:rsidRPr="00087338">
        <w:rPr>
          <w:rFonts w:ascii="Cambria" w:hAnsi="Cambria"/>
          <w:b/>
          <w:bCs/>
          <w:sz w:val="36"/>
          <w:szCs w:val="36"/>
          <w:u w:val="single"/>
        </w:rPr>
        <w:t>What are the challenges to this?</w:t>
      </w:r>
    </w:p>
    <w:p w14:paraId="539603EF" w14:textId="77777777" w:rsidR="00087338" w:rsidRPr="00087338" w:rsidRDefault="00087338" w:rsidP="00087338">
      <w:pPr>
        <w:rPr>
          <w:rFonts w:ascii="Cambria" w:hAnsi="Cambria"/>
          <w:sz w:val="24"/>
          <w:szCs w:val="24"/>
        </w:rPr>
      </w:pPr>
    </w:p>
    <w:p w14:paraId="053A8C6C" w14:textId="77777777" w:rsidR="00803BA8" w:rsidRPr="00087338" w:rsidRDefault="002B3901" w:rsidP="00087338">
      <w:pPr>
        <w:rPr>
          <w:rFonts w:ascii="Cambria" w:hAnsi="Cambria"/>
          <w:sz w:val="24"/>
          <w:szCs w:val="24"/>
        </w:rPr>
      </w:pPr>
      <w:r w:rsidRPr="00087338">
        <w:rPr>
          <w:rFonts w:ascii="Cambria" w:hAnsi="Cambria"/>
          <w:sz w:val="24"/>
          <w:szCs w:val="24"/>
        </w:rPr>
        <w:t xml:space="preserve">Many practitioners and educators argue that reducing emphasis on assessment could affect school readiness. Schools often expect children to arrive with certain levels of independence, communication and early literacy skills. </w:t>
      </w:r>
      <w:r w:rsidR="00803BA8" w:rsidRPr="00087338">
        <w:rPr>
          <w:rFonts w:ascii="Cambria" w:hAnsi="Cambria"/>
          <w:sz w:val="24"/>
          <w:szCs w:val="24"/>
        </w:rPr>
        <w:t>However, UNICEF (2019) emphasises the importance of children's holistic development and wellbeing, recognising that young children learn and develop in different ways.</w:t>
      </w:r>
    </w:p>
    <w:p w14:paraId="63F79194" w14:textId="3229C66E" w:rsidR="002B3901" w:rsidRPr="00087338" w:rsidRDefault="002B3901" w:rsidP="00087338">
      <w:pPr>
        <w:rPr>
          <w:rFonts w:ascii="Cambria" w:hAnsi="Cambria"/>
          <w:sz w:val="24"/>
          <w:szCs w:val="24"/>
        </w:rPr>
      </w:pPr>
      <w:r w:rsidRPr="00087338">
        <w:rPr>
          <w:rFonts w:ascii="Cambria" w:hAnsi="Cambria"/>
          <w:sz w:val="24"/>
          <w:szCs w:val="24"/>
        </w:rPr>
        <w:t>Without clear assessments, how can practitioners demonstrate readiness for formal education?</w:t>
      </w:r>
    </w:p>
    <w:p w14:paraId="46B63D59" w14:textId="77777777" w:rsidR="002B3901" w:rsidRPr="00087338" w:rsidRDefault="002B3901" w:rsidP="00087338">
      <w:pPr>
        <w:rPr>
          <w:rFonts w:ascii="Cambria" w:hAnsi="Cambria"/>
          <w:sz w:val="24"/>
          <w:szCs w:val="24"/>
        </w:rPr>
      </w:pPr>
      <w:r w:rsidRPr="00087338">
        <w:rPr>
          <w:rFonts w:ascii="Cambria" w:hAnsi="Cambria"/>
          <w:sz w:val="24"/>
          <w:szCs w:val="24"/>
        </w:rPr>
        <w:t>There are also practical challenges relating to funding, staffing and workload, making significant changes difficult to implement.</w:t>
      </w:r>
    </w:p>
    <w:p w14:paraId="5CAEA115" w14:textId="77777777" w:rsidR="0085585A" w:rsidRPr="00087338" w:rsidRDefault="0085585A" w:rsidP="00087338">
      <w:pPr>
        <w:rPr>
          <w:rFonts w:ascii="Cambria" w:hAnsi="Cambria"/>
          <w:sz w:val="24"/>
          <w:szCs w:val="24"/>
        </w:rPr>
      </w:pPr>
      <w:r w:rsidRPr="00087338">
        <w:rPr>
          <w:rFonts w:ascii="Cambria" w:hAnsi="Cambria"/>
          <w:sz w:val="24"/>
          <w:szCs w:val="24"/>
        </w:rPr>
        <w:t>However, these concerns should not distract from the central issue.</w:t>
      </w:r>
    </w:p>
    <w:p w14:paraId="326698CB" w14:textId="77777777" w:rsidR="0085585A" w:rsidRPr="00087338" w:rsidRDefault="0085585A" w:rsidP="00087338">
      <w:pPr>
        <w:rPr>
          <w:rFonts w:ascii="Cambria" w:hAnsi="Cambria"/>
          <w:sz w:val="24"/>
          <w:szCs w:val="24"/>
        </w:rPr>
      </w:pPr>
      <w:r w:rsidRPr="00087338">
        <w:rPr>
          <w:rFonts w:ascii="Cambria" w:hAnsi="Cambria"/>
          <w:sz w:val="24"/>
          <w:szCs w:val="24"/>
        </w:rPr>
        <w:t>This debate is not about abandoning assessment but ensuring that children's needs remain at the heart of educational practice. A less academised approach does not mean lower expectations; it recognises that meaningful learning does not always happen through structured activities or measurable outcomes.</w:t>
      </w:r>
    </w:p>
    <w:p w14:paraId="25006862" w14:textId="77777777" w:rsidR="0085585A" w:rsidRPr="00087338" w:rsidRDefault="0085585A" w:rsidP="00087338">
      <w:pPr>
        <w:rPr>
          <w:rFonts w:ascii="Cambria" w:hAnsi="Cambria"/>
          <w:sz w:val="24"/>
          <w:szCs w:val="24"/>
        </w:rPr>
      </w:pPr>
      <w:r w:rsidRPr="00087338">
        <w:rPr>
          <w:rFonts w:ascii="Cambria" w:hAnsi="Cambria"/>
          <w:sz w:val="24"/>
          <w:szCs w:val="24"/>
        </w:rPr>
        <w:t>Play, exploration, creativity and social interaction are not distractions from learning. They are learning.</w:t>
      </w:r>
    </w:p>
    <w:p w14:paraId="1BB139C4" w14:textId="77777777" w:rsidR="0085585A" w:rsidRPr="00087338" w:rsidRDefault="0085585A" w:rsidP="00087338">
      <w:pPr>
        <w:rPr>
          <w:rFonts w:ascii="Cambria" w:hAnsi="Cambria"/>
          <w:sz w:val="24"/>
          <w:szCs w:val="24"/>
        </w:rPr>
      </w:pPr>
      <w:r w:rsidRPr="00087338">
        <w:rPr>
          <w:rFonts w:ascii="Cambria" w:hAnsi="Cambria"/>
          <w:sz w:val="24"/>
          <w:szCs w:val="24"/>
        </w:rPr>
        <w:t>While preparing children for school is undoubtedly important, that preparation should not come at the expense of their wellbeing or their right to experience childhood in a way that reflects their individual needs and stage of development.</w:t>
      </w:r>
    </w:p>
    <w:p w14:paraId="7901D696" w14:textId="77777777" w:rsidR="0085585A" w:rsidRPr="00087338" w:rsidRDefault="0085585A" w:rsidP="00087338">
      <w:pPr>
        <w:rPr>
          <w:rFonts w:ascii="Cambria" w:hAnsi="Cambria"/>
          <w:sz w:val="24"/>
          <w:szCs w:val="24"/>
        </w:rPr>
      </w:pPr>
      <w:r w:rsidRPr="00087338">
        <w:rPr>
          <w:rFonts w:ascii="Cambria" w:hAnsi="Cambria"/>
          <w:sz w:val="24"/>
          <w:szCs w:val="24"/>
        </w:rPr>
        <w:t>If countries such as Finland can achieve strong educational outcomes while delaying formal education and prioritising play, perhaps it is time to ask whether Wales has become too focused on school readiness and measurable outcomes.</w:t>
      </w:r>
    </w:p>
    <w:p w14:paraId="552BD01E" w14:textId="77777777" w:rsidR="00087338" w:rsidRPr="00087338" w:rsidRDefault="00087338" w:rsidP="00087338">
      <w:pPr>
        <w:pStyle w:val="Heading2"/>
        <w:rPr>
          <w:rFonts w:ascii="Cambria" w:hAnsi="Cambria"/>
          <w:sz w:val="24"/>
          <w:szCs w:val="24"/>
        </w:rPr>
      </w:pPr>
    </w:p>
    <w:p w14:paraId="56923625" w14:textId="77777777" w:rsidR="0085585A" w:rsidRPr="00087338" w:rsidRDefault="0085585A" w:rsidP="00087338">
      <w:pPr>
        <w:pStyle w:val="Heading2"/>
        <w:rPr>
          <w:rFonts w:ascii="Cambria" w:hAnsi="Cambria" w:cs="Arial"/>
          <w:b/>
          <w:bCs/>
          <w:sz w:val="36"/>
          <w:szCs w:val="36"/>
          <w:u w:val="single"/>
        </w:rPr>
      </w:pPr>
      <w:r w:rsidRPr="00087338">
        <w:rPr>
          <w:rFonts w:ascii="Cambria" w:hAnsi="Cambria" w:cs="Arial"/>
          <w:b/>
          <w:bCs/>
          <w:sz w:val="36"/>
          <w:szCs w:val="36"/>
          <w:u w:val="single"/>
        </w:rPr>
        <w:t>So, Has Childhood Become Over-Academised?</w:t>
      </w:r>
    </w:p>
    <w:p w14:paraId="6A4BBA0A" w14:textId="77777777" w:rsidR="00087338" w:rsidRPr="00087338" w:rsidRDefault="00087338" w:rsidP="0085585A">
      <w:pPr>
        <w:spacing w:line="360" w:lineRule="auto"/>
        <w:rPr>
          <w:rFonts w:ascii="Cambria" w:hAnsi="Cambria" w:cs="Arial"/>
          <w:b/>
          <w:bCs/>
          <w:sz w:val="24"/>
          <w:szCs w:val="24"/>
          <w:u w:val="single"/>
        </w:rPr>
      </w:pPr>
    </w:p>
    <w:p w14:paraId="63F54A38" w14:textId="77777777" w:rsidR="0085585A" w:rsidRPr="00087338" w:rsidRDefault="0085585A" w:rsidP="00087338">
      <w:pPr>
        <w:rPr>
          <w:rFonts w:ascii="Cambria" w:hAnsi="Cambria"/>
          <w:sz w:val="24"/>
          <w:szCs w:val="24"/>
        </w:rPr>
      </w:pPr>
      <w:r w:rsidRPr="00087338">
        <w:rPr>
          <w:rFonts w:ascii="Cambria" w:hAnsi="Cambria"/>
          <w:sz w:val="24"/>
          <w:szCs w:val="24"/>
        </w:rPr>
        <w:lastRenderedPageBreak/>
        <w:t>Education and assessment undoubtedly play an important role in supporting children's development. Yet there is growing concern that increasing emphasis on school readiness, developmental milestones and measurable outcomes may be shifting attention away from what young children need most.</w:t>
      </w:r>
    </w:p>
    <w:p w14:paraId="542D2A13" w14:textId="2B6A17EC" w:rsidR="0085585A" w:rsidRPr="00087338" w:rsidRDefault="0085585A" w:rsidP="00087338">
      <w:pPr>
        <w:rPr>
          <w:rFonts w:ascii="Cambria" w:hAnsi="Cambria"/>
          <w:sz w:val="24"/>
          <w:szCs w:val="24"/>
        </w:rPr>
      </w:pPr>
      <w:r w:rsidRPr="00087338">
        <w:rPr>
          <w:rFonts w:ascii="Cambria" w:hAnsi="Cambria"/>
          <w:sz w:val="24"/>
          <w:szCs w:val="24"/>
        </w:rPr>
        <w:t xml:space="preserve">Childhood should not be viewed solely as preparation for the next stage of education, but as a valuable stage of </w:t>
      </w:r>
      <w:r w:rsidR="00087338" w:rsidRPr="00087338">
        <w:rPr>
          <w:rFonts w:ascii="Cambria" w:hAnsi="Cambria"/>
          <w:sz w:val="24"/>
          <w:szCs w:val="24"/>
        </w:rPr>
        <w:t>life</w:t>
      </w:r>
      <w:r w:rsidRPr="00087338">
        <w:rPr>
          <w:rFonts w:ascii="Cambria" w:hAnsi="Cambria"/>
          <w:sz w:val="24"/>
          <w:szCs w:val="24"/>
        </w:rPr>
        <w:t>.</w:t>
      </w:r>
    </w:p>
    <w:p w14:paraId="7BC713E8" w14:textId="77777777" w:rsidR="001E1B6B" w:rsidRPr="00087338" w:rsidRDefault="001E1B6B" w:rsidP="00087338">
      <w:pPr>
        <w:rPr>
          <w:rFonts w:ascii="Cambria" w:hAnsi="Cambria"/>
          <w:sz w:val="24"/>
          <w:szCs w:val="24"/>
        </w:rPr>
      </w:pPr>
      <w:r w:rsidRPr="00087338">
        <w:rPr>
          <w:rFonts w:ascii="Cambria" w:hAnsi="Cambria"/>
          <w:sz w:val="24"/>
          <w:szCs w:val="24"/>
        </w:rPr>
        <w:t>Approaches such as those adopted in Finland and Reggio Emilia suggest that child-led learning can support both educational success and positive developmental outcomes. Rather than asking how quickly children can meet expectations, perhaps we should first ask whether those expectations are developmentally appropriate.</w:t>
      </w:r>
    </w:p>
    <w:p w14:paraId="08651E59" w14:textId="0991C3BB" w:rsidR="0085585A" w:rsidRPr="00087338" w:rsidRDefault="0085585A" w:rsidP="00087338">
      <w:pPr>
        <w:rPr>
          <w:rFonts w:ascii="Cambria" w:hAnsi="Cambria"/>
          <w:sz w:val="24"/>
          <w:szCs w:val="24"/>
        </w:rPr>
      </w:pPr>
      <w:r w:rsidRPr="00087338">
        <w:rPr>
          <w:rFonts w:ascii="Cambria" w:hAnsi="Cambria"/>
          <w:sz w:val="24"/>
          <w:szCs w:val="24"/>
        </w:rPr>
        <w:t xml:space="preserve">If we truly believe that every child is unique, then our educational practices should reflect that belief. </w:t>
      </w:r>
      <w:r w:rsidR="007C60CE" w:rsidRPr="00087338">
        <w:rPr>
          <w:rFonts w:ascii="Cambria" w:hAnsi="Cambria"/>
          <w:sz w:val="24"/>
          <w:szCs w:val="24"/>
        </w:rPr>
        <w:t>By placing children's wellbeing and individuality at the centre of practice, we can create environments where children are not simply prepared for school but are supported to flourish.</w:t>
      </w:r>
    </w:p>
    <w:p w14:paraId="2A49EF49" w14:textId="77777777" w:rsidR="0085585A" w:rsidRPr="00087338" w:rsidRDefault="0085585A" w:rsidP="00087338">
      <w:pPr>
        <w:rPr>
          <w:rFonts w:ascii="Cambria" w:hAnsi="Cambria"/>
          <w:sz w:val="24"/>
          <w:szCs w:val="24"/>
        </w:rPr>
      </w:pPr>
      <w:r w:rsidRPr="00087338">
        <w:rPr>
          <w:rFonts w:ascii="Cambria" w:hAnsi="Cambria"/>
          <w:sz w:val="24"/>
          <w:szCs w:val="24"/>
        </w:rPr>
        <w:t>And perhaps that's the most important question of all: are we preparing children for life, or are we asking them to grow up too quickly?</w:t>
      </w:r>
    </w:p>
    <w:p w14:paraId="30CA67F6" w14:textId="77777777" w:rsidR="00C33DDA" w:rsidRDefault="00C33DDA" w:rsidP="00F22240">
      <w:pPr>
        <w:spacing w:line="360" w:lineRule="auto"/>
        <w:rPr>
          <w:rFonts w:ascii="Arial" w:hAnsi="Arial" w:cs="Arial"/>
          <w:sz w:val="24"/>
          <w:szCs w:val="24"/>
        </w:rPr>
      </w:pPr>
    </w:p>
    <w:p w14:paraId="147E9F48" w14:textId="77777777" w:rsidR="00FC10F9" w:rsidRDefault="00FC10F9" w:rsidP="00F22240">
      <w:pPr>
        <w:spacing w:line="360" w:lineRule="auto"/>
        <w:rPr>
          <w:rFonts w:ascii="Arial" w:hAnsi="Arial" w:cs="Arial"/>
          <w:sz w:val="24"/>
          <w:szCs w:val="24"/>
        </w:rPr>
      </w:pPr>
    </w:p>
    <w:p w14:paraId="362FAFAB" w14:textId="77777777" w:rsidR="00643E53" w:rsidRDefault="00643E53" w:rsidP="00F22240">
      <w:pPr>
        <w:spacing w:line="360" w:lineRule="auto"/>
        <w:rPr>
          <w:rFonts w:ascii="Arial" w:hAnsi="Arial" w:cs="Arial"/>
          <w:sz w:val="24"/>
          <w:szCs w:val="24"/>
        </w:rPr>
      </w:pPr>
    </w:p>
    <w:p w14:paraId="7EC50B09" w14:textId="77777777" w:rsidR="00643E53" w:rsidRDefault="00643E53" w:rsidP="00F22240">
      <w:pPr>
        <w:spacing w:line="360" w:lineRule="auto"/>
        <w:rPr>
          <w:rFonts w:ascii="Arial" w:hAnsi="Arial" w:cs="Arial"/>
          <w:sz w:val="24"/>
          <w:szCs w:val="24"/>
        </w:rPr>
      </w:pPr>
    </w:p>
    <w:p w14:paraId="474EAC7B" w14:textId="77777777" w:rsidR="00643E53" w:rsidRDefault="00643E53" w:rsidP="00F22240">
      <w:pPr>
        <w:spacing w:line="360" w:lineRule="auto"/>
        <w:rPr>
          <w:rFonts w:ascii="Arial" w:hAnsi="Arial" w:cs="Arial"/>
          <w:sz w:val="24"/>
          <w:szCs w:val="24"/>
        </w:rPr>
      </w:pPr>
    </w:p>
    <w:p w14:paraId="7EDE06A2" w14:textId="77777777" w:rsidR="00643E53" w:rsidRDefault="00643E53" w:rsidP="00F22240">
      <w:pPr>
        <w:spacing w:line="360" w:lineRule="auto"/>
        <w:rPr>
          <w:rFonts w:ascii="Arial" w:hAnsi="Arial" w:cs="Arial"/>
          <w:sz w:val="24"/>
          <w:szCs w:val="24"/>
        </w:rPr>
      </w:pPr>
    </w:p>
    <w:p w14:paraId="0200FF1C" w14:textId="77777777" w:rsidR="00643E53" w:rsidRDefault="00643E53" w:rsidP="00F22240">
      <w:pPr>
        <w:spacing w:line="360" w:lineRule="auto"/>
        <w:rPr>
          <w:rFonts w:ascii="Arial" w:hAnsi="Arial" w:cs="Arial"/>
          <w:sz w:val="24"/>
          <w:szCs w:val="24"/>
        </w:rPr>
      </w:pPr>
    </w:p>
    <w:p w14:paraId="00B14CBC" w14:textId="77777777" w:rsidR="00643E53" w:rsidRDefault="00643E53" w:rsidP="00F22240">
      <w:pPr>
        <w:spacing w:line="360" w:lineRule="auto"/>
        <w:rPr>
          <w:rFonts w:ascii="Arial" w:hAnsi="Arial" w:cs="Arial"/>
          <w:sz w:val="24"/>
          <w:szCs w:val="24"/>
        </w:rPr>
      </w:pPr>
    </w:p>
    <w:p w14:paraId="2F5FA1BE" w14:textId="77777777" w:rsidR="00643E53" w:rsidRDefault="00643E53" w:rsidP="00F22240">
      <w:pPr>
        <w:spacing w:line="360" w:lineRule="auto"/>
        <w:rPr>
          <w:rFonts w:ascii="Arial" w:hAnsi="Arial" w:cs="Arial"/>
          <w:sz w:val="24"/>
          <w:szCs w:val="24"/>
        </w:rPr>
      </w:pPr>
    </w:p>
    <w:p w14:paraId="0214E3A7" w14:textId="77777777" w:rsidR="00643E53" w:rsidRDefault="00643E53" w:rsidP="00F22240">
      <w:pPr>
        <w:spacing w:line="360" w:lineRule="auto"/>
        <w:rPr>
          <w:rFonts w:ascii="Arial" w:hAnsi="Arial" w:cs="Arial"/>
          <w:sz w:val="24"/>
          <w:szCs w:val="24"/>
        </w:rPr>
      </w:pPr>
    </w:p>
    <w:p w14:paraId="7BFD1592" w14:textId="77777777" w:rsidR="00643E53" w:rsidRDefault="00643E53" w:rsidP="00F22240">
      <w:pPr>
        <w:spacing w:line="360" w:lineRule="auto"/>
        <w:rPr>
          <w:rFonts w:ascii="Arial" w:hAnsi="Arial" w:cs="Arial"/>
          <w:sz w:val="24"/>
          <w:szCs w:val="24"/>
        </w:rPr>
      </w:pPr>
    </w:p>
    <w:p w14:paraId="7FFFA60B" w14:textId="77777777" w:rsidR="00643E53" w:rsidRDefault="00643E53" w:rsidP="00F22240">
      <w:pPr>
        <w:spacing w:line="360" w:lineRule="auto"/>
        <w:rPr>
          <w:rFonts w:ascii="Arial" w:hAnsi="Arial" w:cs="Arial"/>
          <w:sz w:val="24"/>
          <w:szCs w:val="24"/>
        </w:rPr>
      </w:pPr>
    </w:p>
    <w:p w14:paraId="34E767F7" w14:textId="77777777" w:rsidR="00643E53" w:rsidRDefault="00643E53" w:rsidP="00F22240">
      <w:pPr>
        <w:spacing w:line="360" w:lineRule="auto"/>
        <w:rPr>
          <w:rFonts w:ascii="Arial" w:hAnsi="Arial" w:cs="Arial"/>
          <w:sz w:val="24"/>
          <w:szCs w:val="24"/>
        </w:rPr>
      </w:pPr>
    </w:p>
    <w:p w14:paraId="5AB3DF69" w14:textId="77777777" w:rsidR="00706649" w:rsidRPr="00081D50" w:rsidRDefault="00706649" w:rsidP="00F22240">
      <w:pPr>
        <w:spacing w:line="360" w:lineRule="auto"/>
        <w:rPr>
          <w:rFonts w:ascii="Arial" w:hAnsi="Arial" w:cs="Arial"/>
          <w:sz w:val="24"/>
          <w:szCs w:val="24"/>
        </w:rPr>
      </w:pPr>
    </w:p>
    <w:p w14:paraId="36DE9624" w14:textId="77777777" w:rsidR="001F4AA0" w:rsidRDefault="00A25CB0" w:rsidP="001F4AA0">
      <w:pPr>
        <w:spacing w:line="360" w:lineRule="auto"/>
        <w:rPr>
          <w:rFonts w:ascii="Arial" w:hAnsi="Arial" w:cs="Arial"/>
          <w:sz w:val="24"/>
          <w:szCs w:val="24"/>
        </w:rPr>
      </w:pPr>
      <w:r w:rsidRPr="00A25CB0">
        <w:rPr>
          <w:rFonts w:ascii="Arial" w:hAnsi="Arial" w:cs="Arial"/>
          <w:sz w:val="24"/>
          <w:szCs w:val="24"/>
        </w:rPr>
        <w:lastRenderedPageBreak/>
        <w:t>REFERENCE LIST</w:t>
      </w:r>
    </w:p>
    <w:p w14:paraId="3E70319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Aden, F. and Theodotou, E. (2019) ‘Reggio Emilia and the arts approach: Two exceptional examples of multimodal learning in early years’, </w:t>
      </w:r>
      <w:r w:rsidRPr="009B2737">
        <w:rPr>
          <w:rFonts w:ascii="Arial" w:hAnsi="Arial" w:cs="Arial"/>
          <w:i/>
          <w:iCs/>
          <w:sz w:val="24"/>
          <w:szCs w:val="24"/>
        </w:rPr>
        <w:t>Journal of Global Education and Research</w:t>
      </w:r>
      <w:r w:rsidRPr="009B2737">
        <w:rPr>
          <w:rFonts w:ascii="Arial" w:hAnsi="Arial" w:cs="Arial"/>
          <w:sz w:val="24"/>
          <w:szCs w:val="24"/>
        </w:rPr>
        <w:t>, 3(2), pp. 158–167. Available at: https://doi.org/10.5038/2577-509X.3.2.1050 (Accessed: 22 October 2026).</w:t>
      </w:r>
    </w:p>
    <w:p w14:paraId="712A600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Adobe Stock (n.d.) </w:t>
      </w:r>
      <w:r w:rsidRPr="009B2737">
        <w:rPr>
          <w:rFonts w:ascii="Arial" w:hAnsi="Arial" w:cs="Arial"/>
          <w:i/>
          <w:iCs/>
          <w:sz w:val="24"/>
          <w:szCs w:val="24"/>
        </w:rPr>
        <w:t>Children playing together in childcare setting</w:t>
      </w:r>
      <w:r w:rsidRPr="009B2737">
        <w:rPr>
          <w:rFonts w:ascii="Arial" w:hAnsi="Arial" w:cs="Arial"/>
          <w:sz w:val="24"/>
          <w:szCs w:val="24"/>
        </w:rPr>
        <w:t xml:space="preserve"> [Photograph]. Available at: https://stock.adobe.com/uk/search?k=childcare&amp;search_type=usertyped&amp;asset_id=446343053 (Accessed: 18 October 2026).</w:t>
      </w:r>
    </w:p>
    <w:p w14:paraId="01B25937" w14:textId="77777777" w:rsidR="009B2737" w:rsidRPr="00BD4728" w:rsidRDefault="009B2737" w:rsidP="009B2737">
      <w:pPr>
        <w:spacing w:line="360" w:lineRule="auto"/>
        <w:rPr>
          <w:rFonts w:ascii="Arial" w:hAnsi="Arial" w:cs="Arial"/>
          <w:sz w:val="24"/>
          <w:szCs w:val="24"/>
        </w:rPr>
      </w:pPr>
      <w:r w:rsidRPr="009B2737">
        <w:rPr>
          <w:rFonts w:ascii="Arial" w:hAnsi="Arial" w:cs="Arial"/>
          <w:sz w:val="24"/>
          <w:szCs w:val="24"/>
        </w:rPr>
        <w:t xml:space="preserve">Alaçam, N. and Olgan, R. (2025) ‘How do child portfolios enable assessment? Content analysis of portfolios from a Reggio Emilia-inspired preschool and a university preschool in Türkiye and the United States’, </w:t>
      </w:r>
      <w:r w:rsidRPr="009B2737">
        <w:rPr>
          <w:rFonts w:ascii="Arial" w:hAnsi="Arial" w:cs="Arial"/>
          <w:i/>
          <w:iCs/>
          <w:sz w:val="24"/>
          <w:szCs w:val="24"/>
        </w:rPr>
        <w:t>Education 3–13</w:t>
      </w:r>
      <w:r w:rsidRPr="009B2737">
        <w:rPr>
          <w:rFonts w:ascii="Arial" w:hAnsi="Arial" w:cs="Arial"/>
          <w:sz w:val="24"/>
          <w:szCs w:val="24"/>
        </w:rPr>
        <w:t xml:space="preserve">, 53(5), pp. 756–767. Available at: https://doi.org/10.1080/03004279.2023.2220339 (Accessed: 22 </w:t>
      </w:r>
      <w:r w:rsidRPr="00BD4728">
        <w:rPr>
          <w:rFonts w:ascii="Arial" w:hAnsi="Arial" w:cs="Arial"/>
          <w:sz w:val="24"/>
          <w:szCs w:val="24"/>
        </w:rPr>
        <w:t xml:space="preserve">October 2026). </w:t>
      </w:r>
    </w:p>
    <w:p w14:paraId="4801F28A" w14:textId="4D8F3D34" w:rsidR="00F11D30" w:rsidRPr="00BD4728" w:rsidRDefault="00F11D30" w:rsidP="00F11D30">
      <w:pPr>
        <w:spacing w:line="360" w:lineRule="auto"/>
        <w:rPr>
          <w:rFonts w:ascii="Arial" w:hAnsi="Arial" w:cs="Arial"/>
          <w:sz w:val="24"/>
          <w:szCs w:val="24"/>
        </w:rPr>
      </w:pPr>
      <w:r w:rsidRPr="00BD4728">
        <w:rPr>
          <w:rFonts w:ascii="Arial" w:hAnsi="Arial" w:cs="Arial"/>
          <w:sz w:val="24"/>
          <w:szCs w:val="24"/>
        </w:rPr>
        <w:t xml:space="preserve">Aljabreen, H. (2020) ‘Montessori, Waldorf, and Reggio Emilia: A comparative analysis of alternative models of early childhood education’, </w:t>
      </w:r>
      <w:r w:rsidRPr="00BD4728">
        <w:rPr>
          <w:rFonts w:ascii="Arial" w:hAnsi="Arial" w:cs="Arial"/>
          <w:i/>
          <w:iCs/>
          <w:sz w:val="24"/>
          <w:szCs w:val="24"/>
        </w:rPr>
        <w:t>International Journal of Early Childhood</w:t>
      </w:r>
      <w:r w:rsidRPr="00BD4728">
        <w:rPr>
          <w:rFonts w:ascii="Arial" w:hAnsi="Arial" w:cs="Arial"/>
          <w:sz w:val="24"/>
          <w:szCs w:val="24"/>
        </w:rPr>
        <w:t xml:space="preserve">, 52(3), pp. 337–353. Available at: https://doi.org/10.1007/s13158-020-00277-1 (Accessed: 22 October 2026). </w:t>
      </w:r>
    </w:p>
    <w:p w14:paraId="08034DE5" w14:textId="77777777" w:rsidR="00BD4728" w:rsidRPr="00BD4728" w:rsidRDefault="00BD4728" w:rsidP="00BD4728">
      <w:pPr>
        <w:spacing w:line="360" w:lineRule="auto"/>
        <w:rPr>
          <w:rFonts w:ascii="Arial" w:hAnsi="Arial" w:cs="Arial"/>
          <w:sz w:val="24"/>
          <w:szCs w:val="24"/>
        </w:rPr>
      </w:pPr>
      <w:r w:rsidRPr="00BD4728">
        <w:rPr>
          <w:rFonts w:ascii="Arial" w:hAnsi="Arial" w:cs="Arial"/>
          <w:sz w:val="24"/>
          <w:szCs w:val="24"/>
        </w:rPr>
        <w:t xml:space="preserve">Alsedrani, G.S. (2020) ‘Reggio Emilia approach around the world’, </w:t>
      </w:r>
      <w:r w:rsidRPr="00BD4728">
        <w:rPr>
          <w:rFonts w:ascii="Arial" w:hAnsi="Arial" w:cs="Arial"/>
          <w:i/>
          <w:iCs/>
          <w:sz w:val="24"/>
          <w:szCs w:val="24"/>
        </w:rPr>
        <w:t>Al-Azhar Journal of Education</w:t>
      </w:r>
      <w:r w:rsidRPr="00BD4728">
        <w:rPr>
          <w:rFonts w:ascii="Arial" w:hAnsi="Arial" w:cs="Arial"/>
          <w:sz w:val="24"/>
          <w:szCs w:val="24"/>
        </w:rPr>
        <w:t>, 188(4), pp. 608–636. Available at: https://journals.ekb.eg/article_148105_87617994d1fc159bcbc7a2941731af2b.pdf (Accessed: 22 October 2026).</w:t>
      </w:r>
    </w:p>
    <w:p w14:paraId="3BA61ED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Alsubaie, M.A. (2015) ‘Examples of current issues in the multicultural classroom’, </w:t>
      </w:r>
      <w:r w:rsidRPr="009B2737">
        <w:rPr>
          <w:rFonts w:ascii="Arial" w:hAnsi="Arial" w:cs="Arial"/>
          <w:i/>
          <w:iCs/>
          <w:sz w:val="24"/>
          <w:szCs w:val="24"/>
        </w:rPr>
        <w:t>Journal of Education and Practice</w:t>
      </w:r>
      <w:r w:rsidRPr="009B2737">
        <w:rPr>
          <w:rFonts w:ascii="Arial" w:hAnsi="Arial" w:cs="Arial"/>
          <w:sz w:val="24"/>
          <w:szCs w:val="24"/>
        </w:rPr>
        <w:t>, 6(10), pp. 86–89. Available at: https://files.eric.ed.gov/fulltext/EJ1081664.pdf (Accessed: 14 October 2026).</w:t>
      </w:r>
    </w:p>
    <w:p w14:paraId="6EFB0AC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Arad Research and Cardiff Metropolitan University (2026) </w:t>
      </w:r>
      <w:r w:rsidRPr="009B2737">
        <w:rPr>
          <w:rFonts w:ascii="Arial" w:hAnsi="Arial" w:cs="Arial"/>
          <w:i/>
          <w:iCs/>
          <w:sz w:val="24"/>
          <w:szCs w:val="24"/>
        </w:rPr>
        <w:t>Foundation Learning in the Curriculum for Wales: a qualitative study</w:t>
      </w:r>
      <w:r w:rsidRPr="009B2737">
        <w:rPr>
          <w:rFonts w:ascii="Arial" w:hAnsi="Arial" w:cs="Arial"/>
          <w:sz w:val="24"/>
          <w:szCs w:val="24"/>
        </w:rPr>
        <w:t>. Cardiff: Welsh Government. Available at: https://pure.cardiffmet.ac.uk/en/publications/foundation-learning-in-the-curriculum-for-wales-a-qualitative-stu/ (Accessed: 22 October 2026).</w:t>
      </w:r>
    </w:p>
    <w:p w14:paraId="2FD9763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Aslan and Sidabutar, H. (2026) ‘Application of Piaget's Theory in Early Childhood Education Curriculum Development’, </w:t>
      </w:r>
      <w:r w:rsidRPr="009B2737">
        <w:rPr>
          <w:rFonts w:ascii="Arial" w:hAnsi="Arial" w:cs="Arial"/>
          <w:i/>
          <w:iCs/>
          <w:sz w:val="24"/>
          <w:szCs w:val="24"/>
        </w:rPr>
        <w:t>International Journal of Teaching and Learning (INJOTEL)</w:t>
      </w:r>
      <w:r w:rsidRPr="009B2737">
        <w:rPr>
          <w:rFonts w:ascii="Arial" w:hAnsi="Arial" w:cs="Arial"/>
          <w:sz w:val="24"/>
          <w:szCs w:val="24"/>
        </w:rPr>
        <w:t>, 4(2). Available at: https://adisamedutech.com/id/eprint/1053/ (Accessed: 19 October 2026).</w:t>
      </w:r>
      <w:r w:rsidRPr="009B2737">
        <w:rPr>
          <w:rFonts w:ascii="Arial" w:hAnsi="Arial" w:cs="Arial"/>
          <w:sz w:val="24"/>
          <w:szCs w:val="24"/>
        </w:rPr>
        <w:br/>
      </w:r>
      <w:r w:rsidRPr="009B2737">
        <w:rPr>
          <w:rFonts w:ascii="Arial" w:hAnsi="Arial" w:cs="Arial"/>
          <w:sz w:val="24"/>
          <w:szCs w:val="24"/>
        </w:rPr>
        <w:br/>
        <w:t xml:space="preserve">Morrison-Love, D., Makara Fuller, K., Singh, S. and Patrick, F. (2026) </w:t>
      </w:r>
      <w:r w:rsidRPr="009B2737">
        <w:rPr>
          <w:rFonts w:ascii="Arial" w:hAnsi="Arial" w:cs="Arial"/>
          <w:i/>
          <w:iCs/>
          <w:sz w:val="24"/>
          <w:szCs w:val="24"/>
        </w:rPr>
        <w:t>Understanding the nature of Curriculum for Wales: a content analysis</w:t>
      </w:r>
      <w:r w:rsidRPr="009B2737">
        <w:rPr>
          <w:rFonts w:ascii="Arial" w:hAnsi="Arial" w:cs="Arial"/>
          <w:sz w:val="24"/>
          <w:szCs w:val="24"/>
        </w:rPr>
        <w:t>. Glasgow: University of Glasgow and University of Wales Trinity Saint David. Available at: https://doi.org/10.36399/gla.pubs.381980 (Accessed: 19 October 2026).</w:t>
      </w:r>
    </w:p>
    <w:p w14:paraId="44991AFC"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Becker, I., Rigaud, V.M. and Epstein, A. (2023) ‘Getting to Know Young Children: Alternative Assessments in Early Childhood Education’, </w:t>
      </w:r>
      <w:r w:rsidRPr="009B2737">
        <w:rPr>
          <w:rFonts w:ascii="Arial" w:hAnsi="Arial" w:cs="Arial"/>
          <w:i/>
          <w:iCs/>
          <w:sz w:val="24"/>
          <w:szCs w:val="24"/>
        </w:rPr>
        <w:t>Early Childhood Education Journal</w:t>
      </w:r>
      <w:r w:rsidRPr="009B2737">
        <w:rPr>
          <w:rFonts w:ascii="Arial" w:hAnsi="Arial" w:cs="Arial"/>
          <w:sz w:val="24"/>
          <w:szCs w:val="24"/>
        </w:rPr>
        <w:t>, 51(5), pp. 911–923. Available at: https://doi.org/10.1007/s10643-022-01353-y (Accessed: 19 October 2026).</w:t>
      </w:r>
    </w:p>
    <w:p w14:paraId="40AD0AD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Bovill, C. (2021) </w:t>
      </w:r>
      <w:r w:rsidRPr="009B2737">
        <w:rPr>
          <w:rFonts w:ascii="Arial" w:hAnsi="Arial" w:cs="Arial"/>
          <w:i/>
          <w:iCs/>
          <w:sz w:val="24"/>
          <w:szCs w:val="24"/>
        </w:rPr>
        <w:t>Curriculum conceptualisations and the University of Edinburgh</w:t>
      </w:r>
      <w:r w:rsidRPr="009B2737">
        <w:rPr>
          <w:rFonts w:ascii="Arial" w:hAnsi="Arial" w:cs="Arial"/>
          <w:sz w:val="24"/>
          <w:szCs w:val="24"/>
        </w:rPr>
        <w:t>. Edinburgh: Institute for Academic Development, University of Edinburgh. Available at: https://www.docs.hss.ed.ac.uk/iad/Learning_teaching/CTP/Curriculum_Conceptualisations_CTP_Briefing_Paper.pdf (Accessed: 5 October 2026).</w:t>
      </w:r>
    </w:p>
    <w:p w14:paraId="4984C28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Bruce, T. (2021) </w:t>
      </w:r>
      <w:r w:rsidRPr="009B2737">
        <w:rPr>
          <w:rFonts w:ascii="Arial" w:hAnsi="Arial" w:cs="Arial"/>
          <w:i/>
          <w:iCs/>
          <w:sz w:val="24"/>
          <w:szCs w:val="24"/>
        </w:rPr>
        <w:t>Learning Through Play: For Babies, Toddlers and Young Children</w:t>
      </w:r>
      <w:r w:rsidRPr="009B2737">
        <w:rPr>
          <w:rFonts w:ascii="Arial" w:hAnsi="Arial" w:cs="Arial"/>
          <w:sz w:val="24"/>
          <w:szCs w:val="24"/>
        </w:rPr>
        <w:t>. 2nd edn. London: Hodder Education.</w:t>
      </w:r>
    </w:p>
    <w:p w14:paraId="05277D4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Cameron, K. (2024) ‘Loris Malaguzzi and the Educational Project of Reggio Emilia, Italy’, in </w:t>
      </w:r>
      <w:r w:rsidRPr="009B2737">
        <w:rPr>
          <w:rFonts w:ascii="Arial" w:hAnsi="Arial" w:cs="Arial"/>
          <w:i/>
          <w:iCs/>
          <w:sz w:val="24"/>
          <w:szCs w:val="24"/>
        </w:rPr>
        <w:t>The Palgrave Handbook of Educational Thinkers</w:t>
      </w:r>
      <w:r w:rsidRPr="009B2737">
        <w:rPr>
          <w:rFonts w:ascii="Arial" w:hAnsi="Arial" w:cs="Arial"/>
          <w:sz w:val="24"/>
          <w:szCs w:val="24"/>
        </w:rPr>
        <w:t>. Cham: Springer International Publishing, pp. 1651–1664.</w:t>
      </w:r>
    </w:p>
    <w:p w14:paraId="56FDC42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Chicken, S. (2023) ‘Doing Reggio? Exploring the complexity of “curriculum” migration through a comparison of Reggio Emilia, Italy and the EYFS, England’, </w:t>
      </w:r>
      <w:r w:rsidRPr="009B2737">
        <w:rPr>
          <w:rFonts w:ascii="Arial" w:hAnsi="Arial" w:cs="Arial"/>
          <w:i/>
          <w:iCs/>
          <w:sz w:val="24"/>
          <w:szCs w:val="24"/>
        </w:rPr>
        <w:t>Global Studies of Childhood</w:t>
      </w:r>
      <w:r w:rsidRPr="009B2737">
        <w:rPr>
          <w:rFonts w:ascii="Arial" w:hAnsi="Arial" w:cs="Arial"/>
          <w:sz w:val="24"/>
          <w:szCs w:val="24"/>
        </w:rPr>
        <w:t xml:space="preserve">, </w:t>
      </w:r>
      <w:r w:rsidRPr="009B2737">
        <w:rPr>
          <w:rFonts w:ascii="Arial" w:hAnsi="Arial" w:cs="Arial"/>
          <w:b/>
          <w:bCs/>
          <w:sz w:val="24"/>
          <w:szCs w:val="24"/>
        </w:rPr>
        <w:t>13</w:t>
      </w:r>
      <w:r w:rsidRPr="009B2737">
        <w:rPr>
          <w:rFonts w:ascii="Arial" w:hAnsi="Arial" w:cs="Arial"/>
          <w:sz w:val="24"/>
          <w:szCs w:val="24"/>
        </w:rPr>
        <w:t>(4), pp. 322–340. Available at: https://doi.org/10.1177/20436106211068041.</w:t>
      </w:r>
    </w:p>
    <w:p w14:paraId="605B620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Chiwamba, S.V. (2016) ‘Investigation on the applicability of Reggio Emilia approach in teaching early childhood education: An intensive comparison between China and Tanzania’, </w:t>
      </w:r>
      <w:r w:rsidRPr="009B2737">
        <w:rPr>
          <w:rFonts w:ascii="Arial" w:hAnsi="Arial" w:cs="Arial"/>
          <w:i/>
          <w:iCs/>
          <w:sz w:val="24"/>
          <w:szCs w:val="24"/>
        </w:rPr>
        <w:t>Journal of Education and Practice</w:t>
      </w:r>
      <w:r w:rsidRPr="009B2737">
        <w:rPr>
          <w:rFonts w:ascii="Arial" w:hAnsi="Arial" w:cs="Arial"/>
          <w:sz w:val="24"/>
          <w:szCs w:val="24"/>
        </w:rPr>
        <w:t>, 6(2), pp. 29–42. Available at: https://ideas.repec.org/a/ibn/jedpjl/v6y2016i2p29.html (Accessed: 11 October 2026).</w:t>
      </w:r>
    </w:p>
    <w:p w14:paraId="2CCBF65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Daugherty, R. and Elfed-Owens, P. (2003) ‘A National Curriculum for Wales: A case study of education policy-making in the era of administrative devolution’, </w:t>
      </w:r>
      <w:r w:rsidRPr="009B2737">
        <w:rPr>
          <w:rFonts w:ascii="Arial" w:hAnsi="Arial" w:cs="Arial"/>
          <w:i/>
          <w:iCs/>
          <w:sz w:val="24"/>
          <w:szCs w:val="24"/>
        </w:rPr>
        <w:t>British Journal of Educational Studies</w:t>
      </w:r>
      <w:r w:rsidRPr="009B2737">
        <w:rPr>
          <w:rFonts w:ascii="Arial" w:hAnsi="Arial" w:cs="Arial"/>
          <w:sz w:val="24"/>
          <w:szCs w:val="24"/>
        </w:rPr>
        <w:t>, 51(3), pp. 233–253.</w:t>
      </w:r>
    </w:p>
    <w:p w14:paraId="27B72F7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DeLuca, C., Pyle, A., Roy, S., Chalas, A. and Danniels, E. (2019) ‘Perspectives on Kindergarten Assessment: Toward a Common Understanding’, </w:t>
      </w:r>
      <w:r w:rsidRPr="009B2737">
        <w:rPr>
          <w:rFonts w:ascii="Arial" w:hAnsi="Arial" w:cs="Arial"/>
          <w:i/>
          <w:iCs/>
          <w:sz w:val="24"/>
          <w:szCs w:val="24"/>
        </w:rPr>
        <w:t>Teachers College Record</w:t>
      </w:r>
      <w:r w:rsidRPr="009B2737">
        <w:rPr>
          <w:rFonts w:ascii="Arial" w:hAnsi="Arial" w:cs="Arial"/>
          <w:sz w:val="24"/>
          <w:szCs w:val="24"/>
        </w:rPr>
        <w:t>, 121(3). Available at: https://doi.org/10.1177/016146811912100302 (Accessed: 19 October 2026).</w:t>
      </w:r>
    </w:p>
    <w:p w14:paraId="39A5C93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Donaldson, G. (2015) </w:t>
      </w:r>
      <w:r w:rsidRPr="009B2737">
        <w:rPr>
          <w:rFonts w:ascii="Arial" w:hAnsi="Arial" w:cs="Arial"/>
          <w:i/>
          <w:iCs/>
          <w:sz w:val="24"/>
          <w:szCs w:val="24"/>
        </w:rPr>
        <w:t>Successful Futures: Independent Review of Curriculum and Assessment Arrangements in Wales</w:t>
      </w:r>
      <w:r w:rsidRPr="009B2737">
        <w:rPr>
          <w:rFonts w:ascii="Arial" w:hAnsi="Arial" w:cs="Arial"/>
          <w:sz w:val="24"/>
          <w:szCs w:val="24"/>
        </w:rPr>
        <w:t>. Cardiff: Welsh Government. Available at: https://www.gov.wales/successful-futures-review-curriculum-and-assessment-arrangements (Accessed: 7 October 2026).</w:t>
      </w:r>
    </w:p>
    <w:p w14:paraId="2825380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Donaldson, G. (2016) ‘A Systematic Approach to Curriculum Reform in Wales’, </w:t>
      </w:r>
      <w:r w:rsidRPr="009B2737">
        <w:rPr>
          <w:rFonts w:ascii="Arial" w:hAnsi="Arial" w:cs="Arial"/>
          <w:i/>
          <w:iCs/>
          <w:sz w:val="24"/>
          <w:szCs w:val="24"/>
        </w:rPr>
        <w:t>Wales Journal of Education</w:t>
      </w:r>
      <w:r w:rsidRPr="009B2737">
        <w:rPr>
          <w:rFonts w:ascii="Arial" w:hAnsi="Arial" w:cs="Arial"/>
          <w:sz w:val="24"/>
          <w:szCs w:val="24"/>
        </w:rPr>
        <w:t>, 18(1), pp. 7–20. Available at: https://journal.uwp.co.uk/wje/article/id/334/ (Accessed: 19 October 2026).</w:t>
      </w:r>
    </w:p>
    <w:p w14:paraId="36E2E704" w14:textId="77777777" w:rsidR="009B2737" w:rsidRPr="009B2737" w:rsidRDefault="009B2737" w:rsidP="009B2737">
      <w:pPr>
        <w:spacing w:line="360" w:lineRule="auto"/>
        <w:rPr>
          <w:rFonts w:ascii="Arial" w:hAnsi="Arial" w:cs="Arial"/>
          <w:sz w:val="24"/>
          <w:szCs w:val="24"/>
        </w:rPr>
      </w:pPr>
      <w:r w:rsidRPr="009B2737">
        <w:rPr>
          <w:rFonts w:ascii="Arial" w:hAnsi="Arial" w:cs="Arial"/>
          <w:i/>
          <w:iCs/>
          <w:sz w:val="24"/>
          <w:szCs w:val="24"/>
        </w:rPr>
        <w:t>Education Reform Act 1988</w:t>
      </w:r>
      <w:r w:rsidRPr="009B2737">
        <w:rPr>
          <w:rFonts w:ascii="Arial" w:hAnsi="Arial" w:cs="Arial"/>
          <w:sz w:val="24"/>
          <w:szCs w:val="24"/>
        </w:rPr>
        <w:t>, c. 40. Available at: https://www.legislation.gov.uk/ukpga/1988/40/contents (Accessed: 7 October 2026).</w:t>
      </w:r>
    </w:p>
    <w:p w14:paraId="39C55E1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Edwards, C., Gandini, L. and Forman, G. (eds.) (1998) </w:t>
      </w:r>
      <w:r w:rsidRPr="009B2737">
        <w:rPr>
          <w:rFonts w:ascii="Arial" w:hAnsi="Arial" w:cs="Arial"/>
          <w:i/>
          <w:iCs/>
          <w:sz w:val="24"/>
          <w:szCs w:val="24"/>
        </w:rPr>
        <w:t>The Hundred Languages of Children: The Reggio Emilia Approach - Advanced Reflections</w:t>
      </w:r>
      <w:r w:rsidRPr="009B2737">
        <w:rPr>
          <w:rFonts w:ascii="Arial" w:hAnsi="Arial" w:cs="Arial"/>
          <w:sz w:val="24"/>
          <w:szCs w:val="24"/>
        </w:rPr>
        <w:t>. Greenwich, CT: Ablex.</w:t>
      </w:r>
    </w:p>
    <w:p w14:paraId="63B6954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Edwards, C.P. and Gandini, L. (2018) ‘The Reggio Emilia approach to early childhood education’, in Fleer, M. and van Oers, B. (eds.) </w:t>
      </w:r>
      <w:r w:rsidRPr="009B2737">
        <w:rPr>
          <w:rFonts w:ascii="Arial" w:hAnsi="Arial" w:cs="Arial"/>
          <w:i/>
          <w:iCs/>
          <w:sz w:val="24"/>
          <w:szCs w:val="24"/>
        </w:rPr>
        <w:t>Handbook of International Perspectives on Early Childhood Education</w:t>
      </w:r>
      <w:r w:rsidRPr="009B2737">
        <w:rPr>
          <w:rFonts w:ascii="Arial" w:hAnsi="Arial" w:cs="Arial"/>
          <w:sz w:val="24"/>
          <w:szCs w:val="24"/>
        </w:rPr>
        <w:t xml:space="preserve">. London: Routledge, pp. 365–378. </w:t>
      </w:r>
    </w:p>
    <w:p w14:paraId="6E8AB71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Estyn (2025) </w:t>
      </w:r>
      <w:r w:rsidRPr="009B2737">
        <w:rPr>
          <w:rFonts w:ascii="Arial" w:hAnsi="Arial" w:cs="Arial"/>
          <w:i/>
          <w:iCs/>
          <w:sz w:val="24"/>
          <w:szCs w:val="24"/>
        </w:rPr>
        <w:t>Teaching the Curriculum for Wales</w:t>
      </w:r>
      <w:r w:rsidRPr="009B2737">
        <w:rPr>
          <w:rFonts w:ascii="Arial" w:hAnsi="Arial" w:cs="Arial"/>
          <w:sz w:val="24"/>
          <w:szCs w:val="24"/>
        </w:rPr>
        <w:t>. Available at: https://estyn.gov.wales/improvement-resources/teaching-the-curriculum-for-wales/ (Accessed: 7 October 2026).</w:t>
      </w:r>
    </w:p>
    <w:p w14:paraId="5A9EBA7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Evans, G. (2021) ‘Back to the future? Reflections on three phases of education policy reform in Wales and their implications for teachers’, </w:t>
      </w:r>
      <w:r w:rsidRPr="009B2737">
        <w:rPr>
          <w:rFonts w:ascii="Arial" w:hAnsi="Arial" w:cs="Arial"/>
          <w:i/>
          <w:iCs/>
          <w:sz w:val="24"/>
          <w:szCs w:val="24"/>
        </w:rPr>
        <w:t>Journal of Educational Change</w:t>
      </w:r>
      <w:r w:rsidRPr="009B2737">
        <w:rPr>
          <w:rFonts w:ascii="Arial" w:hAnsi="Arial" w:cs="Arial"/>
          <w:sz w:val="24"/>
          <w:szCs w:val="24"/>
        </w:rPr>
        <w:t>, 23, pp. 139–153. Available at: https://doi.org/10.1007/s10833-021-09422-6</w:t>
      </w:r>
    </w:p>
    <w:p w14:paraId="1663F0E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Evans, G. (2023) ‘A new dawn or false hope? Exploring the early implementation of Curriculum for Wales’, </w:t>
      </w:r>
      <w:r w:rsidRPr="009B2737">
        <w:rPr>
          <w:rFonts w:ascii="Arial" w:hAnsi="Arial" w:cs="Arial"/>
          <w:i/>
          <w:iCs/>
          <w:sz w:val="24"/>
          <w:szCs w:val="24"/>
        </w:rPr>
        <w:t>Education Inquiry</w:t>
      </w:r>
      <w:r w:rsidRPr="009B2737">
        <w:rPr>
          <w:rFonts w:ascii="Arial" w:hAnsi="Arial" w:cs="Arial"/>
          <w:sz w:val="24"/>
          <w:szCs w:val="24"/>
        </w:rPr>
        <w:t>. Available at: https://doi.org/10.1080/20004508.2023.2297506 (Accessed: 7 October 2026).</w:t>
      </w:r>
    </w:p>
    <w:p w14:paraId="131D6B9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Evans, G. and Jones, K. (2023) ‘Co-constructing a new approach to professional learning in Wales: Implementing a national vision’, in Jones, K., Ostinelli, G. and Crescentini, A. (eds.) </w:t>
      </w:r>
      <w:r w:rsidRPr="009B2737">
        <w:rPr>
          <w:rFonts w:ascii="Arial" w:hAnsi="Arial" w:cs="Arial"/>
          <w:i/>
          <w:iCs/>
          <w:sz w:val="24"/>
          <w:szCs w:val="24"/>
        </w:rPr>
        <w:t>Innovation in Teacher Professional Learning in Europe: Research, Policy and Practice</w:t>
      </w:r>
      <w:r w:rsidRPr="009B2737">
        <w:rPr>
          <w:rFonts w:ascii="Arial" w:hAnsi="Arial" w:cs="Arial"/>
          <w:sz w:val="24"/>
          <w:szCs w:val="24"/>
        </w:rPr>
        <w:t>. Abingdon: Taylor &amp; Francis Group.</w:t>
      </w:r>
    </w:p>
    <w:p w14:paraId="6AB556FF"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Finders, J., Wilson, E. and Duncan, R. (2023) ‘Early childhood education language environments: considerations for research and practice’, </w:t>
      </w:r>
      <w:r w:rsidRPr="009B2737">
        <w:rPr>
          <w:rFonts w:ascii="Arial" w:hAnsi="Arial" w:cs="Arial"/>
          <w:i/>
          <w:iCs/>
          <w:sz w:val="24"/>
          <w:szCs w:val="24"/>
        </w:rPr>
        <w:t>Frontiers in Psychology</w:t>
      </w:r>
      <w:r w:rsidRPr="009B2737">
        <w:rPr>
          <w:rFonts w:ascii="Arial" w:hAnsi="Arial" w:cs="Arial"/>
          <w:sz w:val="24"/>
          <w:szCs w:val="24"/>
        </w:rPr>
        <w:t>, 14. Available at: https://doi.org/10.3389/fpsyg.2023.1202819 (Accessed: 19 October 2026).</w:t>
      </w:r>
      <w:r w:rsidRPr="009B2737">
        <w:rPr>
          <w:rFonts w:ascii="Arial" w:hAnsi="Arial" w:cs="Arial"/>
          <w:sz w:val="24"/>
          <w:szCs w:val="24"/>
        </w:rPr>
        <w:br/>
        <w:t xml:space="preserve">Parsons, S., Kovshoff, H., Karakosta, E. and Ivil, K. (2023) ‘Understanding holistic and unique childhoods: knowledge generation in the early years with autistic children, families and practitioners’, </w:t>
      </w:r>
      <w:r w:rsidRPr="009B2737">
        <w:rPr>
          <w:rFonts w:ascii="Arial" w:hAnsi="Arial" w:cs="Arial"/>
          <w:i/>
          <w:iCs/>
          <w:sz w:val="24"/>
          <w:szCs w:val="24"/>
        </w:rPr>
        <w:t>Early Years</w:t>
      </w:r>
      <w:r w:rsidRPr="009B2737">
        <w:rPr>
          <w:rFonts w:ascii="Arial" w:hAnsi="Arial" w:cs="Arial"/>
          <w:sz w:val="24"/>
          <w:szCs w:val="24"/>
        </w:rPr>
        <w:t>, 43(1), pp. 15–30. Available at: https://doi.org/10.1080/09575146.2021.1889992 (Accessed: 19 October 2026).</w:t>
      </w:r>
      <w:r w:rsidRPr="009B2737">
        <w:rPr>
          <w:rFonts w:ascii="Arial" w:hAnsi="Arial" w:cs="Arial"/>
          <w:sz w:val="24"/>
          <w:szCs w:val="24"/>
        </w:rPr>
        <w:br/>
      </w:r>
      <w:r w:rsidRPr="009B2737">
        <w:rPr>
          <w:rFonts w:ascii="Arial" w:hAnsi="Arial" w:cs="Arial"/>
          <w:sz w:val="24"/>
          <w:szCs w:val="24"/>
        </w:rPr>
        <w:br/>
        <w:t xml:space="preserve">Bruce, T. (2021) </w:t>
      </w:r>
      <w:r w:rsidRPr="009B2737">
        <w:rPr>
          <w:rFonts w:ascii="Arial" w:hAnsi="Arial" w:cs="Arial"/>
          <w:i/>
          <w:iCs/>
          <w:sz w:val="24"/>
          <w:szCs w:val="24"/>
        </w:rPr>
        <w:t>Learning Through Play: For Babies, Toddlers and Young Children</w:t>
      </w:r>
      <w:r w:rsidRPr="009B2737">
        <w:rPr>
          <w:rFonts w:ascii="Arial" w:hAnsi="Arial" w:cs="Arial"/>
          <w:sz w:val="24"/>
          <w:szCs w:val="24"/>
        </w:rPr>
        <w:t>. 2nd edn. London: Hodder Education.</w:t>
      </w:r>
    </w:p>
    <w:p w14:paraId="7ADEFCA6" w14:textId="0AA1B671" w:rsidR="00645BF0" w:rsidRPr="00645BF0" w:rsidRDefault="00645BF0" w:rsidP="00645BF0">
      <w:pPr>
        <w:spacing w:line="360" w:lineRule="auto"/>
        <w:rPr>
          <w:rFonts w:ascii="Arial" w:hAnsi="Arial" w:cs="Arial"/>
          <w:sz w:val="24"/>
          <w:szCs w:val="24"/>
        </w:rPr>
      </w:pPr>
      <w:r w:rsidRPr="00645BF0">
        <w:rPr>
          <w:rFonts w:ascii="Arial" w:hAnsi="Arial" w:cs="Arial"/>
          <w:b/>
          <w:bCs/>
          <w:sz w:val="24"/>
          <w:szCs w:val="24"/>
        </w:rPr>
        <w:t>Gardner, A.F. and Jones, B.D. (2016)</w:t>
      </w:r>
      <w:r w:rsidRPr="00645BF0">
        <w:rPr>
          <w:rFonts w:ascii="Arial" w:hAnsi="Arial" w:cs="Arial"/>
          <w:sz w:val="24"/>
          <w:szCs w:val="24"/>
        </w:rPr>
        <w:t xml:space="preserve"> ‘Examining the Reggio Emilia Approach: Keys to Understanding Why It Motivates Students’, </w:t>
      </w:r>
      <w:r w:rsidRPr="00645BF0">
        <w:rPr>
          <w:rFonts w:ascii="Arial" w:hAnsi="Arial" w:cs="Arial"/>
          <w:i/>
          <w:iCs/>
          <w:sz w:val="24"/>
          <w:szCs w:val="24"/>
        </w:rPr>
        <w:t>Electronic Journal of Research in Educational Psychology</w:t>
      </w:r>
      <w:r w:rsidRPr="00645BF0">
        <w:rPr>
          <w:rFonts w:ascii="Arial" w:hAnsi="Arial" w:cs="Arial"/>
          <w:sz w:val="24"/>
          <w:szCs w:val="24"/>
        </w:rPr>
        <w:t xml:space="preserve">, </w:t>
      </w:r>
      <w:r w:rsidRPr="00645BF0">
        <w:rPr>
          <w:rFonts w:ascii="Arial" w:hAnsi="Arial" w:cs="Arial"/>
          <w:b/>
          <w:bCs/>
          <w:sz w:val="24"/>
          <w:szCs w:val="24"/>
        </w:rPr>
        <w:t>14</w:t>
      </w:r>
      <w:r w:rsidRPr="00645BF0">
        <w:rPr>
          <w:rFonts w:ascii="Arial" w:hAnsi="Arial" w:cs="Arial"/>
          <w:sz w:val="24"/>
          <w:szCs w:val="24"/>
        </w:rPr>
        <w:t>(3), pp. 602–625. Available at: https://doi.org/10.14204/ejrep.40.16046 (Accessed: 22 October 2026)</w:t>
      </w:r>
      <w:r>
        <w:rPr>
          <w:rFonts w:ascii="Arial" w:hAnsi="Arial" w:cs="Arial"/>
          <w:sz w:val="24"/>
          <w:szCs w:val="24"/>
        </w:rPr>
        <w:t>.</w:t>
      </w:r>
    </w:p>
    <w:p w14:paraId="65577F9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Gatley, J. and Oostendorp-Godfrey, J. (2026) ‘Barriers and solutions to purpose-driven curriculum implementation in Wales’, </w:t>
      </w:r>
      <w:r w:rsidRPr="009B2737">
        <w:rPr>
          <w:rFonts w:ascii="Arial" w:hAnsi="Arial" w:cs="Arial"/>
          <w:i/>
          <w:iCs/>
          <w:sz w:val="24"/>
          <w:szCs w:val="24"/>
        </w:rPr>
        <w:t>Wales Journal of Education</w:t>
      </w:r>
      <w:r w:rsidRPr="009B2737">
        <w:rPr>
          <w:rFonts w:ascii="Arial" w:hAnsi="Arial" w:cs="Arial"/>
          <w:sz w:val="24"/>
          <w:szCs w:val="24"/>
        </w:rPr>
        <w:t>, 28(1). Available at: https://doi.org/10.16922/wje.28.1.5 (Accessed: 8 October 2026).</w:t>
      </w:r>
    </w:p>
    <w:p w14:paraId="68C5C4C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Gea, J.J., Diana and Aeni, K. (2025) ‘Holistic-Integrative Early Childhood Education and Its Impact on Social-Emotional, Physical, and Cognitive Development: A Multi-Regional Regression Analysis’, </w:t>
      </w:r>
      <w:r w:rsidRPr="009B2737">
        <w:rPr>
          <w:rFonts w:ascii="Arial" w:hAnsi="Arial" w:cs="Arial"/>
          <w:i/>
          <w:iCs/>
          <w:sz w:val="24"/>
          <w:szCs w:val="24"/>
        </w:rPr>
        <w:t>Golden Age: Jurnal Ilmiah Tumbuh Kembang Anak Usia Dini</w:t>
      </w:r>
      <w:r w:rsidRPr="009B2737">
        <w:rPr>
          <w:rFonts w:ascii="Arial" w:hAnsi="Arial" w:cs="Arial"/>
          <w:sz w:val="24"/>
          <w:szCs w:val="24"/>
        </w:rPr>
        <w:t>, 10(1), pp. 163–171. Available at: https://doi.org/10.14421/jga.2025.101-13 (Accessed: 19 October 2026).</w:t>
      </w:r>
    </w:p>
    <w:p w14:paraId="061ADDBD"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Giamminuti, S. and Merewether, J. (2023) ‘The Reggio Emilia atelier as a place of disruption: Remaking pedagogical alliances through aesthetics and experimentation’, </w:t>
      </w:r>
      <w:r w:rsidRPr="009B2737">
        <w:rPr>
          <w:rFonts w:ascii="Arial" w:hAnsi="Arial" w:cs="Arial"/>
          <w:i/>
          <w:iCs/>
          <w:sz w:val="24"/>
          <w:szCs w:val="24"/>
        </w:rPr>
        <w:t>Pedagogies: An International Journal</w:t>
      </w:r>
      <w:r w:rsidRPr="009B2737">
        <w:rPr>
          <w:rFonts w:ascii="Arial" w:hAnsi="Arial" w:cs="Arial"/>
          <w:sz w:val="24"/>
          <w:szCs w:val="24"/>
        </w:rPr>
        <w:t>, 18(4), pp. 746–766.</w:t>
      </w:r>
    </w:p>
    <w:p w14:paraId="4FB94E29"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Giamminuti, S., Merewether, J. and Blaise, M. (2022) ‘Pedagogical documentation and the refusal of method: Troubling dogmas and inviting collective obligations’, </w:t>
      </w:r>
      <w:r w:rsidRPr="009B2737">
        <w:rPr>
          <w:rFonts w:ascii="Arial" w:hAnsi="Arial" w:cs="Arial"/>
          <w:i/>
          <w:iCs/>
          <w:sz w:val="24"/>
          <w:szCs w:val="24"/>
        </w:rPr>
        <w:t>European Early Childhood Education Research Journal</w:t>
      </w:r>
      <w:r w:rsidRPr="009B2737">
        <w:rPr>
          <w:rFonts w:ascii="Arial" w:hAnsi="Arial" w:cs="Arial"/>
          <w:sz w:val="24"/>
          <w:szCs w:val="24"/>
        </w:rPr>
        <w:t xml:space="preserve">, 30(2), pp. 213–226. Available at: https://doi.org/10.1080/1350293X.2022.2046834 (Accessed: 22 October 2026). </w:t>
      </w:r>
    </w:p>
    <w:p w14:paraId="12F86512"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Giamminuti, S., Merewether, J. and Blaise, M. (2023) ‘Aesthetic-ethical-political movements in professional learning: Encounters with feminist new materialisms and Reggio Emilia in early childhood research’, in </w:t>
      </w:r>
      <w:r w:rsidRPr="009B2737">
        <w:rPr>
          <w:rFonts w:ascii="Arial" w:hAnsi="Arial" w:cs="Arial"/>
          <w:i/>
          <w:iCs/>
          <w:sz w:val="24"/>
          <w:szCs w:val="24"/>
        </w:rPr>
        <w:t>Non-Linear Perspectives on Teacher Development</w:t>
      </w:r>
      <w:r w:rsidRPr="009B2737">
        <w:rPr>
          <w:rFonts w:ascii="Arial" w:hAnsi="Arial" w:cs="Arial"/>
          <w:sz w:val="24"/>
          <w:szCs w:val="24"/>
        </w:rPr>
        <w:t>. pp. 240–252.</w:t>
      </w:r>
    </w:p>
    <w:p w14:paraId="5E4A25C6" w14:textId="77777777" w:rsidR="009B2737" w:rsidRPr="009B2737" w:rsidRDefault="009B2737" w:rsidP="009B2737">
      <w:pPr>
        <w:spacing w:line="360" w:lineRule="auto"/>
        <w:rPr>
          <w:rFonts w:ascii="Arial" w:eastAsia="Times New Roman" w:hAnsi="Arial" w:cs="Arial"/>
          <w:kern w:val="0"/>
          <w:sz w:val="24"/>
          <w:szCs w:val="24"/>
          <w:lang w:eastAsia="en-GB"/>
          <w14:ligatures w14:val="none"/>
        </w:rPr>
      </w:pPr>
      <w:r w:rsidRPr="009B2737">
        <w:rPr>
          <w:rFonts w:ascii="Arial" w:eastAsia="Times New Roman" w:hAnsi="Arial" w:cs="Arial"/>
          <w:kern w:val="0"/>
          <w:sz w:val="24"/>
          <w:szCs w:val="24"/>
          <w:lang w:eastAsia="en-GB"/>
          <w14:ligatures w14:val="none"/>
        </w:rPr>
        <w:t xml:space="preserve">Green, B. (2022) ‘Understanding curriculum as practice, or on the practice turn(s) in curriculum inquiry’, </w:t>
      </w:r>
      <w:r w:rsidRPr="009B2737">
        <w:rPr>
          <w:rFonts w:ascii="Arial" w:eastAsia="Times New Roman" w:hAnsi="Arial" w:cs="Arial"/>
          <w:i/>
          <w:iCs/>
          <w:kern w:val="0"/>
          <w:sz w:val="24"/>
          <w:szCs w:val="24"/>
          <w:lang w:eastAsia="en-GB"/>
          <w14:ligatures w14:val="none"/>
        </w:rPr>
        <w:t>Curriculum Perspectives</w:t>
      </w:r>
      <w:r w:rsidRPr="009B2737">
        <w:rPr>
          <w:rFonts w:ascii="Arial" w:eastAsia="Times New Roman" w:hAnsi="Arial" w:cs="Arial"/>
          <w:kern w:val="0"/>
          <w:sz w:val="24"/>
          <w:szCs w:val="24"/>
          <w:lang w:eastAsia="en-GB"/>
          <w14:ligatures w14:val="none"/>
        </w:rPr>
        <w:t>, 42(1), pp. 77–83. Available at: https://doi.org/10.1007/s41297-022-00160-0 (Accessed: 4 October 2026)</w:t>
      </w:r>
    </w:p>
    <w:p w14:paraId="5D980CA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Grigg, R., Lewis, H., Morse, M. and Crick, T. (2024) ‘Rethinking student teachers' professional learning in Wales: Promoting reflection-in-action’, </w:t>
      </w:r>
      <w:r w:rsidRPr="009B2737">
        <w:rPr>
          <w:rFonts w:ascii="Arial" w:hAnsi="Arial" w:cs="Arial"/>
          <w:i/>
          <w:iCs/>
          <w:sz w:val="24"/>
          <w:szCs w:val="24"/>
        </w:rPr>
        <w:t>The Curriculum Journal</w:t>
      </w:r>
      <w:r w:rsidRPr="009B2737">
        <w:rPr>
          <w:rFonts w:ascii="Arial" w:hAnsi="Arial" w:cs="Arial"/>
          <w:sz w:val="24"/>
          <w:szCs w:val="24"/>
        </w:rPr>
        <w:t>, 35(4), pp. 690–705.</w:t>
      </w:r>
    </w:p>
    <w:p w14:paraId="2D2A0F7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Guo, K. and Rouse, E. (2025) ‘Searching for evidence-based practice: A qualitative metasynthesis of the research on Reggio Emilia practices in Australian early years settings’, </w:t>
      </w:r>
      <w:r w:rsidRPr="009B2737">
        <w:rPr>
          <w:rFonts w:ascii="Arial" w:hAnsi="Arial" w:cs="Arial"/>
          <w:i/>
          <w:iCs/>
          <w:sz w:val="24"/>
          <w:szCs w:val="24"/>
        </w:rPr>
        <w:t>Australian Journal of Education</w:t>
      </w:r>
      <w:r w:rsidRPr="009B2737">
        <w:rPr>
          <w:rFonts w:ascii="Arial" w:hAnsi="Arial" w:cs="Arial"/>
          <w:sz w:val="24"/>
          <w:szCs w:val="24"/>
        </w:rPr>
        <w:t>, </w:t>
      </w:r>
      <w:r w:rsidRPr="009B2737">
        <w:rPr>
          <w:rFonts w:ascii="Arial" w:hAnsi="Arial" w:cs="Arial"/>
          <w:i/>
          <w:iCs/>
          <w:sz w:val="24"/>
          <w:szCs w:val="24"/>
        </w:rPr>
        <w:t>69</w:t>
      </w:r>
      <w:r w:rsidRPr="009B2737">
        <w:rPr>
          <w:rFonts w:ascii="Arial" w:hAnsi="Arial" w:cs="Arial"/>
          <w:sz w:val="24"/>
          <w:szCs w:val="24"/>
        </w:rPr>
        <w:t>(1), pp.58-78.</w:t>
      </w:r>
    </w:p>
    <w:p w14:paraId="41A086A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Hanno, E.C., Portilla, X.A. and Hsueh, J. (2025) ‘Designing equity-centered early learning assessments for today's young children’, </w:t>
      </w:r>
      <w:r w:rsidRPr="009B2737">
        <w:rPr>
          <w:rFonts w:ascii="Arial" w:hAnsi="Arial" w:cs="Arial"/>
          <w:i/>
          <w:iCs/>
          <w:sz w:val="24"/>
          <w:szCs w:val="24"/>
        </w:rPr>
        <w:t>Child Development Perspectives</w:t>
      </w:r>
      <w:r w:rsidRPr="009B2737">
        <w:rPr>
          <w:rFonts w:ascii="Arial" w:hAnsi="Arial" w:cs="Arial"/>
          <w:sz w:val="24"/>
          <w:szCs w:val="24"/>
        </w:rPr>
        <w:t>, 19(2), pp. 92–98. Available at: https://doi.org/10.1111/cdep.12528 (Accessed: 22 October 2026).</w:t>
      </w:r>
    </w:p>
    <w:p w14:paraId="465970A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Herzog, J.I. and Schmahl, C. (2018) ‘Adverse Childhood Experiences and the Consequences on Neurobiological, Psychosocial, and Somatic Conditions Across the Lifespan’, </w:t>
      </w:r>
      <w:r w:rsidRPr="009B2737">
        <w:rPr>
          <w:rFonts w:ascii="Arial" w:hAnsi="Arial" w:cs="Arial"/>
          <w:i/>
          <w:iCs/>
          <w:sz w:val="24"/>
          <w:szCs w:val="24"/>
        </w:rPr>
        <w:t>Frontiers in Psychiatry</w:t>
      </w:r>
      <w:r w:rsidRPr="009B2737">
        <w:rPr>
          <w:rFonts w:ascii="Arial" w:hAnsi="Arial" w:cs="Arial"/>
          <w:sz w:val="24"/>
          <w:szCs w:val="24"/>
        </w:rPr>
        <w:t>, 9, p. 420. Available at: https://doi.org/10.3389/fpsyt.2018.00420 (Accessed: 17 October 2026).</w:t>
      </w:r>
    </w:p>
    <w:p w14:paraId="427B1BDF" w14:textId="77777777" w:rsidR="00056CDF" w:rsidRPr="00056CDF" w:rsidRDefault="00056CDF" w:rsidP="00056CDF">
      <w:pPr>
        <w:spacing w:line="360" w:lineRule="auto"/>
        <w:rPr>
          <w:rFonts w:ascii="Arial" w:hAnsi="Arial" w:cs="Arial"/>
          <w:sz w:val="24"/>
          <w:szCs w:val="24"/>
        </w:rPr>
      </w:pPr>
      <w:r w:rsidRPr="00056CDF">
        <w:rPr>
          <w:rFonts w:ascii="Arial" w:hAnsi="Arial" w:cs="Arial"/>
          <w:sz w:val="24"/>
          <w:szCs w:val="24"/>
        </w:rPr>
        <w:lastRenderedPageBreak/>
        <w:t xml:space="preserve">Hughes, S. and Lewis, H. (2020) ‘Tensions in current curriculum reform and the development of teachers’ professional autonomy’, </w:t>
      </w:r>
      <w:r w:rsidRPr="00056CDF">
        <w:rPr>
          <w:rFonts w:ascii="Arial" w:hAnsi="Arial" w:cs="Arial"/>
          <w:i/>
          <w:iCs/>
          <w:sz w:val="24"/>
          <w:szCs w:val="24"/>
        </w:rPr>
        <w:t>The Curriculum Journal</w:t>
      </w:r>
      <w:r w:rsidRPr="00056CDF">
        <w:rPr>
          <w:rFonts w:ascii="Arial" w:hAnsi="Arial" w:cs="Arial"/>
          <w:sz w:val="24"/>
          <w:szCs w:val="24"/>
        </w:rPr>
        <w:t>, 31(2), pp. 290–302. Available at: https://doi.org/10.1002/curj.25 (Accessed: 22 October 2026).</w:t>
      </w:r>
    </w:p>
    <w:p w14:paraId="6FCE661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Insel, T.R. (2000) ‘The Development of Brain and Behavior’, in Bloom, F.E. and Kupfer, D.J. (eds.) </w:t>
      </w:r>
      <w:r w:rsidRPr="009B2737">
        <w:rPr>
          <w:rFonts w:ascii="Arial" w:hAnsi="Arial" w:cs="Arial"/>
          <w:i/>
          <w:iCs/>
          <w:sz w:val="24"/>
          <w:szCs w:val="24"/>
        </w:rPr>
        <w:t>Neuropsychopharmacology: The Fifth Generation of Progress</w:t>
      </w:r>
      <w:r w:rsidRPr="009B2737">
        <w:rPr>
          <w:rFonts w:ascii="Arial" w:hAnsi="Arial" w:cs="Arial"/>
          <w:sz w:val="24"/>
          <w:szCs w:val="24"/>
        </w:rPr>
        <w:t>. Nashville, TN: American College of Neuropsychopharmacology. Available at: https://acnp.org/g4/GN401000066/CH066.html (Accessed: 17 October 2026).</w:t>
      </w:r>
      <w:r w:rsidRPr="009B2737">
        <w:rPr>
          <w:rFonts w:ascii="Arial" w:hAnsi="Arial" w:cs="Arial"/>
          <w:sz w:val="24"/>
          <w:szCs w:val="24"/>
        </w:rPr>
        <w:br/>
      </w:r>
      <w:r w:rsidRPr="009B2737">
        <w:rPr>
          <w:rFonts w:ascii="Arial" w:hAnsi="Arial" w:cs="Arial"/>
          <w:sz w:val="24"/>
          <w:szCs w:val="24"/>
        </w:rPr>
        <w:br/>
        <w:t xml:space="preserve">Sharp, C. (2002) </w:t>
      </w:r>
      <w:r w:rsidRPr="009B2737">
        <w:rPr>
          <w:rFonts w:ascii="Arial" w:hAnsi="Arial" w:cs="Arial"/>
          <w:i/>
          <w:iCs/>
          <w:sz w:val="24"/>
          <w:szCs w:val="24"/>
        </w:rPr>
        <w:t>School Starting Age: European Policy and Recent Research</w:t>
      </w:r>
      <w:r w:rsidRPr="009B2737">
        <w:rPr>
          <w:rFonts w:ascii="Arial" w:hAnsi="Arial" w:cs="Arial"/>
          <w:sz w:val="24"/>
          <w:szCs w:val="24"/>
        </w:rPr>
        <w:t>. Slough: National Foundation for Educational Research. Available at: https://www.nfer.ac.uk/media/h2sbdvfq/44414.pdf (Accessed: 15 October 2026).</w:t>
      </w:r>
    </w:p>
    <w:p w14:paraId="5C2E5EBC"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Jarvie, M., Shorto, S., Kunwar Deer, L. and Goddard, E. (2023) </w:t>
      </w:r>
      <w:r w:rsidRPr="009B2737">
        <w:rPr>
          <w:rFonts w:ascii="Arial" w:hAnsi="Arial" w:cs="Arial"/>
          <w:i/>
          <w:iCs/>
          <w:sz w:val="24"/>
          <w:szCs w:val="24"/>
        </w:rPr>
        <w:t>Childcare Survey 2023</w:t>
      </w:r>
      <w:r w:rsidRPr="009B2737">
        <w:rPr>
          <w:rFonts w:ascii="Arial" w:hAnsi="Arial" w:cs="Arial"/>
          <w:sz w:val="24"/>
          <w:szCs w:val="24"/>
        </w:rPr>
        <w:t>. London: Coram Family and Childcare. Available at: https://www.coramfamilyandchildcare.org.uk/research/childcare-survey-2023/ (Accessed: 11 October 2026).</w:t>
      </w:r>
    </w:p>
    <w:p w14:paraId="79F533ED"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Jenkin, C. (2016) ‘Responding to the cultural identities of bicultural and multicultural Aotearoa/New Zealand’, </w:t>
      </w:r>
      <w:r w:rsidRPr="009B2737">
        <w:rPr>
          <w:rFonts w:ascii="Arial" w:hAnsi="Arial" w:cs="Arial"/>
          <w:i/>
          <w:iCs/>
          <w:sz w:val="24"/>
          <w:szCs w:val="24"/>
        </w:rPr>
        <w:t>He Kupu</w:t>
      </w:r>
      <w:r w:rsidRPr="009B2737">
        <w:rPr>
          <w:rFonts w:ascii="Arial" w:hAnsi="Arial" w:cs="Arial"/>
          <w:sz w:val="24"/>
          <w:szCs w:val="24"/>
        </w:rPr>
        <w:t>, 4(3), pp. 25–34. Available at: https://www.hekupu.ac.nz/article/responding-cultural-identities-bicultural-and-multicultural-aotearoanew-zealand (Accessed: 14 October 2026).</w:t>
      </w:r>
    </w:p>
    <w:p w14:paraId="4ED5FEF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Knight, C. and Crick, T. (2022) ‘Inclusive Education in Wales: Interpreting Discourses of Values and Practice Using Critical Policy Analysis’, </w:t>
      </w:r>
      <w:r w:rsidRPr="009B2737">
        <w:rPr>
          <w:rFonts w:ascii="Arial" w:hAnsi="Arial" w:cs="Arial"/>
          <w:i/>
          <w:iCs/>
          <w:sz w:val="24"/>
          <w:szCs w:val="24"/>
        </w:rPr>
        <w:t>ECNU Review of Education</w:t>
      </w:r>
      <w:r w:rsidRPr="009B2737">
        <w:rPr>
          <w:rFonts w:ascii="Arial" w:hAnsi="Arial" w:cs="Arial"/>
          <w:sz w:val="24"/>
          <w:szCs w:val="24"/>
        </w:rPr>
        <w:t>, 5(2), pp. 258–283. Available at: https://doi.org/10.1177/20965311211039858 (Accessed: 19 October 2026).</w:t>
      </w:r>
    </w:p>
    <w:p w14:paraId="02A2102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Krechevsky, M., Mardell, B., Rivard, M. and Wilson, D. (2013) </w:t>
      </w:r>
      <w:r w:rsidRPr="009B2737">
        <w:rPr>
          <w:rFonts w:ascii="Arial" w:hAnsi="Arial" w:cs="Arial"/>
          <w:i/>
          <w:iCs/>
          <w:sz w:val="24"/>
          <w:szCs w:val="24"/>
        </w:rPr>
        <w:t>Making Learning Visible: Children as Individual and Group Learners</w:t>
      </w:r>
      <w:r w:rsidRPr="009B2737">
        <w:rPr>
          <w:rFonts w:ascii="Arial" w:hAnsi="Arial" w:cs="Arial"/>
          <w:sz w:val="24"/>
          <w:szCs w:val="24"/>
        </w:rPr>
        <w:t>. Reggio Emilia, Italy: Reggio Children.</w:t>
      </w:r>
    </w:p>
    <w:p w14:paraId="5FBA523E" w14:textId="77777777" w:rsidR="000774A7" w:rsidRPr="000774A7" w:rsidRDefault="000774A7" w:rsidP="000774A7">
      <w:pPr>
        <w:spacing w:line="360" w:lineRule="auto"/>
        <w:rPr>
          <w:rFonts w:ascii="Arial" w:hAnsi="Arial" w:cs="Arial"/>
          <w:sz w:val="24"/>
          <w:szCs w:val="24"/>
        </w:rPr>
      </w:pPr>
      <w:r w:rsidRPr="000774A7">
        <w:rPr>
          <w:rFonts w:ascii="Arial" w:hAnsi="Arial" w:cs="Arial"/>
          <w:sz w:val="24"/>
          <w:szCs w:val="24"/>
        </w:rPr>
        <w:t xml:space="preserve">Landi, L. and Pintus, A. (2022) ‘A critical approach to the Reggio Emilia Approach’, </w:t>
      </w:r>
      <w:r w:rsidRPr="000774A7">
        <w:rPr>
          <w:rFonts w:ascii="Arial" w:hAnsi="Arial" w:cs="Arial"/>
          <w:i/>
          <w:iCs/>
          <w:sz w:val="24"/>
          <w:szCs w:val="24"/>
        </w:rPr>
        <w:t>Educazione. Giornale di Pedagogia Critica</w:t>
      </w:r>
      <w:r w:rsidRPr="000774A7">
        <w:rPr>
          <w:rFonts w:ascii="Arial" w:hAnsi="Arial" w:cs="Arial"/>
          <w:sz w:val="24"/>
          <w:szCs w:val="24"/>
        </w:rPr>
        <w:t>, 11(1), pp. 107–125. Available at: https://www.giornaledipedagogiacritica.it/index.php/gdpc/article/view/216 (Accessed: 22 October 2026)</w:t>
      </w:r>
    </w:p>
    <w:p w14:paraId="4203BE6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Leggett, N. (2025) ‘Intentional teaching and the intentionality of educators: Time for careful, considerate, collaborative, and reflective practice’, </w:t>
      </w:r>
      <w:r w:rsidRPr="009B2737">
        <w:rPr>
          <w:rFonts w:ascii="Arial" w:hAnsi="Arial" w:cs="Arial"/>
          <w:i/>
          <w:iCs/>
          <w:sz w:val="24"/>
          <w:szCs w:val="24"/>
        </w:rPr>
        <w:t>Early Childhood Education Journal</w:t>
      </w:r>
      <w:r w:rsidRPr="009B2737">
        <w:rPr>
          <w:rFonts w:ascii="Arial" w:hAnsi="Arial" w:cs="Arial"/>
          <w:sz w:val="24"/>
          <w:szCs w:val="24"/>
        </w:rPr>
        <w:t>, 53(1), pp. 1–9.</w:t>
      </w:r>
    </w:p>
    <w:p w14:paraId="24AD6B1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MacDonald, N. (2018). </w:t>
      </w:r>
      <w:r w:rsidRPr="009B2737">
        <w:rPr>
          <w:rFonts w:ascii="Arial" w:hAnsi="Arial" w:cs="Arial"/>
          <w:i/>
          <w:iCs/>
          <w:sz w:val="24"/>
          <w:szCs w:val="24"/>
        </w:rPr>
        <w:t>The Great Divide: Separation of Care and Education in Wales: An Examination of Policy, Reform and Research Evidence</w:t>
      </w:r>
      <w:r w:rsidRPr="009B2737">
        <w:rPr>
          <w:rFonts w:ascii="Arial" w:hAnsi="Arial" w:cs="Arial"/>
          <w:sz w:val="24"/>
          <w:szCs w:val="24"/>
        </w:rPr>
        <w:t>. Doctoral thesis. University of Wales Trinity Saint David. Available at: https://repository.uwtsd.ac.uk/id/eprint/985/ (Accessed: 11 October 2026).</w:t>
      </w:r>
    </w:p>
    <w:p w14:paraId="2BF1FEC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Macy, M., Harshbarger, D., Burke, K. and Neukirch, E. (2026) ‘Experiential learning in Reggio Emilia, Italy: Reflections from in-service and pre-service professionals’, </w:t>
      </w:r>
      <w:r w:rsidRPr="009B2737">
        <w:rPr>
          <w:rFonts w:ascii="Arial" w:hAnsi="Arial" w:cs="Arial"/>
          <w:i/>
          <w:iCs/>
          <w:sz w:val="24"/>
          <w:szCs w:val="24"/>
        </w:rPr>
        <w:t>Journal of Early Childhood Teacher Education</w:t>
      </w:r>
      <w:r w:rsidRPr="009B2737">
        <w:rPr>
          <w:rFonts w:ascii="Arial" w:hAnsi="Arial" w:cs="Arial"/>
          <w:sz w:val="24"/>
          <w:szCs w:val="24"/>
        </w:rPr>
        <w:t>, 47(3), pp. 693–715.</w:t>
      </w:r>
    </w:p>
    <w:p w14:paraId="7DC75B8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Morgan, N., Bajjada, T., Andrews, G., Miller, N., Bryer, N., Bebb, H., Roberts, M. and Lawrence, K. (2022) </w:t>
      </w:r>
      <w:r w:rsidRPr="009B2737">
        <w:rPr>
          <w:rFonts w:ascii="Arial" w:hAnsi="Arial" w:cs="Arial"/>
          <w:i/>
          <w:iCs/>
          <w:sz w:val="24"/>
          <w:szCs w:val="24"/>
        </w:rPr>
        <w:t>Research into Assessment Practices in the Foundation Phase: Final Report</w:t>
      </w:r>
      <w:r w:rsidRPr="009B2737">
        <w:rPr>
          <w:rFonts w:ascii="Arial" w:hAnsi="Arial" w:cs="Arial"/>
          <w:sz w:val="24"/>
          <w:szCs w:val="24"/>
        </w:rPr>
        <w:t>. Cardiff: Welsh Government. Available at: https://www.gov.wales/research-assessment-practices-foundation-phase-summary-html (Accessed: 22 October 2026).</w:t>
      </w:r>
    </w:p>
    <w:p w14:paraId="640F17F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Morrison-Love, D., Makara Fuller, K., Singh, S. and Patrick, F. (2026) </w:t>
      </w:r>
      <w:r w:rsidRPr="009B2737">
        <w:rPr>
          <w:rFonts w:ascii="Arial" w:hAnsi="Arial" w:cs="Arial"/>
          <w:i/>
          <w:iCs/>
          <w:sz w:val="24"/>
          <w:szCs w:val="24"/>
        </w:rPr>
        <w:t>Understanding the nature of Curriculum for Wales: a content analysis</w:t>
      </w:r>
      <w:r w:rsidRPr="009B2737">
        <w:rPr>
          <w:rFonts w:ascii="Arial" w:hAnsi="Arial" w:cs="Arial"/>
          <w:sz w:val="24"/>
          <w:szCs w:val="24"/>
        </w:rPr>
        <w:t>. Glasgow: University of Glasgow and University of Wales Trinity Saint David. Available at: https://doi.org/10.36399/gla.pubs.381980 (Accessed: 19 October 2026).</w:t>
      </w:r>
    </w:p>
    <w:p w14:paraId="32175B5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Mphahlele, S.S.R. (2019) ‘Exploring the role of Malaguzzi's “Hundred Languages of Children” in early childhood education’, </w:t>
      </w:r>
      <w:r w:rsidRPr="009B2737">
        <w:rPr>
          <w:rFonts w:ascii="Arial" w:hAnsi="Arial" w:cs="Arial"/>
          <w:i/>
          <w:iCs/>
          <w:sz w:val="24"/>
          <w:szCs w:val="24"/>
        </w:rPr>
        <w:t>South African Journal of Childhood Education</w:t>
      </w:r>
      <w:r w:rsidRPr="009B2737">
        <w:rPr>
          <w:rFonts w:ascii="Arial" w:hAnsi="Arial" w:cs="Arial"/>
          <w:sz w:val="24"/>
          <w:szCs w:val="24"/>
        </w:rPr>
        <w:t>, 9(1).</w:t>
      </w:r>
    </w:p>
    <w:p w14:paraId="4517CEB4"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Murray, J. (2022) ‘Young children’s curriculum experiences’, </w:t>
      </w:r>
      <w:r w:rsidRPr="009B2737">
        <w:rPr>
          <w:rFonts w:ascii="Arial" w:hAnsi="Arial" w:cs="Arial"/>
          <w:i/>
          <w:iCs/>
          <w:sz w:val="24"/>
          <w:szCs w:val="24"/>
        </w:rPr>
        <w:t>International Journal of Early Years Education</w:t>
      </w:r>
      <w:r w:rsidRPr="009B2737">
        <w:rPr>
          <w:rFonts w:ascii="Arial" w:hAnsi="Arial" w:cs="Arial"/>
          <w:sz w:val="24"/>
          <w:szCs w:val="24"/>
        </w:rPr>
        <w:t>, 30(4), pp. 627–633. Available at: https://doi.org/10.1080/09669760.2022.2149092 (Accessed: 4 October 2026).</w:t>
      </w:r>
    </w:p>
    <w:p w14:paraId="3D61AEC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Murray, J., Harris, J. and O'Brien, C. (2019) ‘Observing and assessing children’, in Murray, J., Wheldall, K. and Pendergast, D. (eds.) </w:t>
      </w:r>
      <w:r w:rsidRPr="009B2737">
        <w:rPr>
          <w:rFonts w:ascii="Arial" w:hAnsi="Arial" w:cs="Arial"/>
          <w:i/>
          <w:iCs/>
          <w:sz w:val="24"/>
          <w:szCs w:val="24"/>
        </w:rPr>
        <w:t>Early Childhood Studies</w:t>
      </w:r>
      <w:r w:rsidRPr="009B2737">
        <w:rPr>
          <w:rFonts w:ascii="Arial" w:hAnsi="Arial" w:cs="Arial"/>
          <w:sz w:val="24"/>
          <w:szCs w:val="24"/>
        </w:rPr>
        <w:t>. London: SAGE, pp. 339-358.</w:t>
      </w:r>
    </w:p>
    <w:p w14:paraId="677AC489"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National Association for the Education of Young Children (NAEYC) and National Association of Early Childhood Specialists in State Departments of Education </w:t>
      </w:r>
      <w:r w:rsidRPr="009B2737">
        <w:rPr>
          <w:rFonts w:ascii="Arial" w:hAnsi="Arial" w:cs="Arial"/>
          <w:sz w:val="24"/>
          <w:szCs w:val="24"/>
        </w:rPr>
        <w:lastRenderedPageBreak/>
        <w:t xml:space="preserve">(NAECS/SDE) (2003) </w:t>
      </w:r>
      <w:r w:rsidRPr="009B2737">
        <w:rPr>
          <w:rFonts w:ascii="Arial" w:hAnsi="Arial" w:cs="Arial"/>
          <w:i/>
          <w:iCs/>
          <w:sz w:val="24"/>
          <w:szCs w:val="24"/>
        </w:rPr>
        <w:t>Early Childhood Curriculum, Assessment, and Program Evaluation: Building an Effective, Accountable System in Programs for Children Birth Through Age 8</w:t>
      </w:r>
      <w:r w:rsidRPr="009B2737">
        <w:rPr>
          <w:rFonts w:ascii="Arial" w:hAnsi="Arial" w:cs="Arial"/>
          <w:sz w:val="24"/>
          <w:szCs w:val="24"/>
        </w:rPr>
        <w:t>. Washington, DC: NAEYC. Available at: https://www.naeyc.org (Accessed: 19 October 2026).</w:t>
      </w:r>
    </w:p>
    <w:p w14:paraId="6BD2971B"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Nutbrown, C. (ed.) (2023) </w:t>
      </w:r>
      <w:r w:rsidRPr="009B2737">
        <w:rPr>
          <w:rFonts w:ascii="Arial" w:hAnsi="Arial" w:cs="Arial"/>
          <w:i/>
          <w:iCs/>
          <w:sz w:val="24"/>
          <w:szCs w:val="24"/>
        </w:rPr>
        <w:t>Early Childhood Education: Current Realities and Future Priorities</w:t>
      </w:r>
      <w:r w:rsidRPr="009B2737">
        <w:rPr>
          <w:rFonts w:ascii="Arial" w:hAnsi="Arial" w:cs="Arial"/>
          <w:sz w:val="24"/>
          <w:szCs w:val="24"/>
        </w:rPr>
        <w:t>. London: Sage Publications</w:t>
      </w:r>
    </w:p>
    <w:p w14:paraId="08FBD0C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OECD (2020) </w:t>
      </w:r>
      <w:r w:rsidRPr="009B2737">
        <w:rPr>
          <w:rFonts w:ascii="Arial" w:hAnsi="Arial" w:cs="Arial"/>
          <w:i/>
          <w:iCs/>
          <w:sz w:val="24"/>
          <w:szCs w:val="24"/>
        </w:rPr>
        <w:t>Achieving the New Curriculum for Wales</w:t>
      </w:r>
      <w:r w:rsidRPr="009B2737">
        <w:rPr>
          <w:rFonts w:ascii="Arial" w:hAnsi="Arial" w:cs="Arial"/>
          <w:sz w:val="24"/>
          <w:szCs w:val="24"/>
        </w:rPr>
        <w:t>. Paris: OECD Publishing. Available at: https://doi.org/10.1787/4b483953-en (Accessed: 1 October 2026).</w:t>
      </w:r>
    </w:p>
    <w:p w14:paraId="3F847652"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Olalowo, I.E. and Babalola, A.E. (2024) ‘A Tale of Two Childhoods: Exploring Holistic Development of Preschoolers in a Rural and Urban Community’, </w:t>
      </w:r>
      <w:r w:rsidRPr="009B2737">
        <w:rPr>
          <w:rFonts w:ascii="Arial" w:hAnsi="Arial" w:cs="Arial"/>
          <w:i/>
          <w:iCs/>
          <w:sz w:val="24"/>
          <w:szCs w:val="24"/>
        </w:rPr>
        <w:t>Theory and Practice in Child Development</w:t>
      </w:r>
      <w:r w:rsidRPr="009B2737">
        <w:rPr>
          <w:rFonts w:ascii="Arial" w:hAnsi="Arial" w:cs="Arial"/>
          <w:sz w:val="24"/>
          <w:szCs w:val="24"/>
        </w:rPr>
        <w:t>, 4(1), pp. 57–75. Available at: https://doi.org/10.46303/tpicd.2024.4 (Accessed: 19 October 2026).</w:t>
      </w:r>
    </w:p>
    <w:p w14:paraId="57BC0B7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Organisation for Economic Co-operation and Development (OECD) (2023) </w:t>
      </w:r>
      <w:r w:rsidRPr="009B2737">
        <w:rPr>
          <w:rFonts w:ascii="Arial" w:hAnsi="Arial" w:cs="Arial"/>
          <w:i/>
          <w:iCs/>
          <w:sz w:val="24"/>
          <w:szCs w:val="24"/>
        </w:rPr>
        <w:t>PISA 2022 Results (Volume I): The State of Learning and Equity in Education</w:t>
      </w:r>
      <w:r w:rsidRPr="009B2737">
        <w:rPr>
          <w:rFonts w:ascii="Arial" w:hAnsi="Arial" w:cs="Arial"/>
          <w:sz w:val="24"/>
          <w:szCs w:val="24"/>
        </w:rPr>
        <w:t>. Paris: OECD Publishing. Available at: https://www.oecd.org/en/publications/pisa-2022-results-volume-i_53f23881-en.html (Accessed: 15 October 2026).</w:t>
      </w:r>
    </w:p>
    <w:p w14:paraId="5D2A0E82" w14:textId="77777777" w:rsidR="00401907" w:rsidRPr="00401907" w:rsidRDefault="00401907" w:rsidP="00401907">
      <w:pPr>
        <w:spacing w:line="360" w:lineRule="auto"/>
        <w:rPr>
          <w:rFonts w:ascii="Arial" w:hAnsi="Arial" w:cs="Arial"/>
          <w:sz w:val="24"/>
          <w:szCs w:val="24"/>
        </w:rPr>
      </w:pPr>
      <w:r w:rsidRPr="00401907">
        <w:rPr>
          <w:rFonts w:ascii="Arial" w:hAnsi="Arial" w:cs="Arial"/>
          <w:sz w:val="24"/>
          <w:szCs w:val="24"/>
        </w:rPr>
        <w:t xml:space="preserve">Pacala, F.A. (2023) ‘Curriculum theory and practice: A comparative literature review’, </w:t>
      </w:r>
      <w:r w:rsidRPr="00401907">
        <w:rPr>
          <w:rFonts w:ascii="Arial" w:hAnsi="Arial" w:cs="Arial"/>
          <w:i/>
          <w:iCs/>
          <w:sz w:val="24"/>
          <w:szCs w:val="24"/>
        </w:rPr>
        <w:t>HO CHI MINH City Open University Journal of Science - Social Sciences</w:t>
      </w:r>
      <w:r w:rsidRPr="00401907">
        <w:rPr>
          <w:rFonts w:ascii="Arial" w:hAnsi="Arial" w:cs="Arial"/>
          <w:sz w:val="24"/>
          <w:szCs w:val="24"/>
        </w:rPr>
        <w:t>, 13(2), pp. 89–103. Available at: https://doi.org/10.46223/HCMCOUJS.soci.en.13.2.2793.2023 (Accessed: 22 October 2026).</w:t>
      </w:r>
    </w:p>
    <w:p w14:paraId="4FCCE0F6"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Palaiologou, I. (2019) </w:t>
      </w:r>
      <w:r w:rsidRPr="009B2737">
        <w:rPr>
          <w:rFonts w:ascii="Arial" w:hAnsi="Arial" w:cs="Arial"/>
          <w:i/>
          <w:iCs/>
          <w:sz w:val="24"/>
          <w:szCs w:val="24"/>
        </w:rPr>
        <w:t>Child Observation: A Guide for Students of Early Childhood</w:t>
      </w:r>
      <w:r w:rsidRPr="009B2737">
        <w:rPr>
          <w:rFonts w:ascii="Arial" w:hAnsi="Arial" w:cs="Arial"/>
          <w:sz w:val="24"/>
          <w:szCs w:val="24"/>
        </w:rPr>
        <w:t>. 4th edn. London: Learning Matters.</w:t>
      </w:r>
    </w:p>
    <w:p w14:paraId="01DF1650"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Pyle, A. (2023) ‘Play-based learning and assessment practices in early years: methodological explorations’, </w:t>
      </w:r>
      <w:r w:rsidRPr="009B2737">
        <w:rPr>
          <w:rFonts w:ascii="Arial" w:hAnsi="Arial" w:cs="Arial"/>
          <w:i/>
          <w:iCs/>
          <w:sz w:val="24"/>
          <w:szCs w:val="24"/>
        </w:rPr>
        <w:t>Educational Research</w:t>
      </w:r>
      <w:r w:rsidRPr="009B2737">
        <w:rPr>
          <w:rFonts w:ascii="Arial" w:hAnsi="Arial" w:cs="Arial"/>
          <w:sz w:val="24"/>
          <w:szCs w:val="24"/>
        </w:rPr>
        <w:t>, 65(2), pp. 248-266. Available at: https://doi.org/10.1080/00131881.2023.2181201 (Accessed: 17 October 2026).</w:t>
      </w:r>
    </w:p>
    <w:p w14:paraId="66679F7A"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Reggio Children (n.d.) </w:t>
      </w:r>
      <w:r w:rsidRPr="009B2737">
        <w:rPr>
          <w:rFonts w:ascii="Arial" w:hAnsi="Arial" w:cs="Arial"/>
          <w:i/>
          <w:iCs/>
          <w:sz w:val="24"/>
          <w:szCs w:val="24"/>
        </w:rPr>
        <w:t>The Reggio Emilia approach</w:t>
      </w:r>
      <w:r w:rsidRPr="009B2737">
        <w:rPr>
          <w:rFonts w:ascii="Arial" w:hAnsi="Arial" w:cs="Arial"/>
          <w:sz w:val="24"/>
          <w:szCs w:val="24"/>
        </w:rPr>
        <w:t>. Available at: https://www.reggiochildren.it/en/reggio-emilia-approach/ (Accessed: 10 October 2026).</w:t>
      </w:r>
    </w:p>
    <w:p w14:paraId="305DEFCE"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Reggio Children (n.d.) </w:t>
      </w:r>
      <w:r w:rsidRPr="009B2737">
        <w:rPr>
          <w:rFonts w:ascii="Arial" w:hAnsi="Arial" w:cs="Arial"/>
          <w:i/>
          <w:iCs/>
          <w:sz w:val="24"/>
          <w:szCs w:val="24"/>
        </w:rPr>
        <w:t>The Reggio Emilia Approach</w:t>
      </w:r>
      <w:r w:rsidRPr="009B2737">
        <w:rPr>
          <w:rFonts w:ascii="Arial" w:hAnsi="Arial" w:cs="Arial"/>
          <w:sz w:val="24"/>
          <w:szCs w:val="24"/>
        </w:rPr>
        <w:t>. Available at: https://www.reggiochildren.it/en/reggio-emilia-approach/ (Accessed: 17 October 2026).</w:t>
      </w:r>
    </w:p>
    <w:p w14:paraId="16D4F3D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Rinaldi, C. (2021) </w:t>
      </w:r>
      <w:r w:rsidRPr="009B2737">
        <w:rPr>
          <w:rFonts w:ascii="Arial" w:hAnsi="Arial" w:cs="Arial"/>
          <w:i/>
          <w:iCs/>
          <w:sz w:val="24"/>
          <w:szCs w:val="24"/>
        </w:rPr>
        <w:t>In Dialogue with Reggio Emilia: Listening, Researching and Learning</w:t>
      </w:r>
      <w:r w:rsidRPr="009B2737">
        <w:rPr>
          <w:rFonts w:ascii="Arial" w:hAnsi="Arial" w:cs="Arial"/>
          <w:sz w:val="24"/>
          <w:szCs w:val="24"/>
        </w:rPr>
        <w:t xml:space="preserve">. 2nd edn. Abingdon: Routledge. </w:t>
      </w:r>
    </w:p>
    <w:p w14:paraId="1677BEB1" w14:textId="77777777" w:rsidR="00354C71" w:rsidRPr="00354C71" w:rsidRDefault="00354C71" w:rsidP="00354C71">
      <w:pPr>
        <w:spacing w:line="360" w:lineRule="auto"/>
        <w:rPr>
          <w:rFonts w:ascii="Arial" w:hAnsi="Arial" w:cs="Arial"/>
          <w:sz w:val="24"/>
          <w:szCs w:val="24"/>
        </w:rPr>
      </w:pPr>
      <w:r w:rsidRPr="00354C71">
        <w:rPr>
          <w:rFonts w:ascii="Arial" w:hAnsi="Arial" w:cs="Arial"/>
          <w:sz w:val="24"/>
          <w:szCs w:val="24"/>
        </w:rPr>
        <w:t xml:space="preserve">Sakr, M. and Kaur, V. (2024) ‘Re-imagining the Froebelian influence on early childhood education as a dynamic and ever-changing web of encounter’, </w:t>
      </w:r>
      <w:r w:rsidRPr="00354C71">
        <w:rPr>
          <w:rFonts w:ascii="Arial" w:hAnsi="Arial" w:cs="Arial"/>
          <w:i/>
          <w:iCs/>
          <w:sz w:val="24"/>
          <w:szCs w:val="24"/>
        </w:rPr>
        <w:t>Pedagogy, Culture &amp; Society</w:t>
      </w:r>
      <w:r w:rsidRPr="00354C71">
        <w:rPr>
          <w:rFonts w:ascii="Arial" w:hAnsi="Arial" w:cs="Arial"/>
          <w:sz w:val="24"/>
          <w:szCs w:val="24"/>
        </w:rPr>
        <w:t>, 32(4), pp. 923–940. Available at: https://doi.org/10.1080/14681366.2024.2355092 (Accessed: 22 October 2026)</w:t>
      </w:r>
    </w:p>
    <w:p w14:paraId="178B88D2" w14:textId="5B3B4B71"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Senedd Research (2019) </w:t>
      </w:r>
      <w:r w:rsidRPr="009B2737">
        <w:rPr>
          <w:rFonts w:ascii="Arial" w:hAnsi="Arial" w:cs="Arial"/>
          <w:i/>
          <w:iCs/>
          <w:sz w:val="24"/>
          <w:szCs w:val="24"/>
        </w:rPr>
        <w:t>Curriculum and Assessment Reform</w:t>
      </w:r>
      <w:r w:rsidRPr="009B2737">
        <w:rPr>
          <w:rFonts w:ascii="Arial" w:hAnsi="Arial" w:cs="Arial"/>
          <w:sz w:val="24"/>
          <w:szCs w:val="24"/>
        </w:rPr>
        <w:t>. Available at: https://research.senedd.wales/research-articles/curriculum-and-assessment-reform/ (Accessed: 7 October 2026).</w:t>
      </w:r>
      <w:r w:rsidR="00354C71" w:rsidRPr="009B2737">
        <w:rPr>
          <w:rFonts w:ascii="Arial" w:hAnsi="Arial" w:cs="Arial"/>
          <w:sz w:val="24"/>
          <w:szCs w:val="24"/>
        </w:rPr>
        <w:t xml:space="preserve"> </w:t>
      </w:r>
    </w:p>
    <w:p w14:paraId="5F0C9AF5" w14:textId="539D1030" w:rsidR="009B2737" w:rsidRPr="009B2737" w:rsidRDefault="0088494A" w:rsidP="009B2737">
      <w:pPr>
        <w:spacing w:line="360" w:lineRule="auto"/>
        <w:rPr>
          <w:rFonts w:ascii="Arial" w:hAnsi="Arial" w:cs="Arial"/>
          <w:sz w:val="24"/>
          <w:szCs w:val="24"/>
        </w:rPr>
      </w:pPr>
      <w:r w:rsidRPr="0088494A">
        <w:rPr>
          <w:rFonts w:ascii="Arial" w:hAnsi="Arial" w:cs="Arial"/>
          <w:sz w:val="24"/>
          <w:szCs w:val="24"/>
        </w:rPr>
        <w:t xml:space="preserve">Stewart, S. (2023) </w:t>
      </w:r>
      <w:r w:rsidRPr="0088494A">
        <w:rPr>
          <w:rFonts w:ascii="Arial" w:hAnsi="Arial" w:cs="Arial"/>
          <w:i/>
          <w:iCs/>
          <w:sz w:val="24"/>
          <w:szCs w:val="24"/>
        </w:rPr>
        <w:t>An Exploration of the Conceptualisation and Enactment of Children's Rights in the Curriculum for Wales</w:t>
      </w:r>
      <w:r w:rsidRPr="0088494A">
        <w:rPr>
          <w:rFonts w:ascii="Arial" w:hAnsi="Arial" w:cs="Arial"/>
          <w:sz w:val="24"/>
          <w:szCs w:val="24"/>
        </w:rPr>
        <w:t>. Doctoral thesis. University of Wales Trinity Saint David. Available at: https://repository.uwtsd.ac.uk/id/eprint/2912/ (Accessed: 22 October 2026).</w:t>
      </w:r>
      <w:r w:rsidR="00A80EEC">
        <w:rPr>
          <w:rFonts w:ascii="Arial" w:hAnsi="Arial" w:cs="Arial"/>
          <w:sz w:val="24"/>
          <w:szCs w:val="24"/>
        </w:rPr>
        <w:br/>
      </w:r>
      <w:r w:rsidR="009B2737" w:rsidRPr="009B2737">
        <w:rPr>
          <w:rFonts w:ascii="Arial" w:hAnsi="Arial" w:cs="Arial"/>
          <w:sz w:val="24"/>
          <w:szCs w:val="24"/>
        </w:rPr>
        <w:br/>
        <w:t xml:space="preserve">Hay, S.M., Vermeer, H.J., Fukkink, R.G. and Nefs, H.T. (2025) ‘Validating self-assessment measures for quality of center-based childcare: a meta-analysis’, </w:t>
      </w:r>
      <w:r w:rsidR="009B2737" w:rsidRPr="009B2737">
        <w:rPr>
          <w:rFonts w:ascii="Arial" w:hAnsi="Arial" w:cs="Arial"/>
          <w:i/>
          <w:iCs/>
          <w:sz w:val="24"/>
          <w:szCs w:val="24"/>
        </w:rPr>
        <w:t>Early Education and Development</w:t>
      </w:r>
      <w:r w:rsidR="009B2737" w:rsidRPr="009B2737">
        <w:rPr>
          <w:rFonts w:ascii="Arial" w:hAnsi="Arial" w:cs="Arial"/>
          <w:sz w:val="24"/>
          <w:szCs w:val="24"/>
        </w:rPr>
        <w:t>, 36(1), pp. 165–185. Available at: https://doi.org/10.1080/10409289.2024.2360882 (Accessed: 19 October 2026).</w:t>
      </w:r>
    </w:p>
    <w:p w14:paraId="01A1A277"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Stodden, D.F., Pesce, C., Zarrett, N., Tomporowski, P., Dotan Ben-Soussan, T., Brian, A., Abrams, T.C. and Weist, M.D. (2023) ‘Holistic Functioning from a Developmental Perspective: A New Synthesis with a Focus on a Multi-tiered System Support Structure’, </w:t>
      </w:r>
      <w:r w:rsidRPr="009B2737">
        <w:rPr>
          <w:rFonts w:ascii="Arial" w:hAnsi="Arial" w:cs="Arial"/>
          <w:i/>
          <w:iCs/>
          <w:sz w:val="24"/>
          <w:szCs w:val="24"/>
        </w:rPr>
        <w:t>Clinical Child and Family Psychology Review</w:t>
      </w:r>
      <w:r w:rsidRPr="009B2737">
        <w:rPr>
          <w:rFonts w:ascii="Arial" w:hAnsi="Arial" w:cs="Arial"/>
          <w:sz w:val="24"/>
          <w:szCs w:val="24"/>
        </w:rPr>
        <w:t>, 26(2), pp. 343–361. Available at: https://doi.org/10.1007/s10567-023-00428-5 (Accessed: 19 October 2026).</w:t>
      </w:r>
    </w:p>
    <w:p w14:paraId="30E27391"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Talwelkar, A.S., Uppal, A.G. and Thakarar, G. (2024) ‘Importance of continuous professional development and ways and means to achieve it’, in </w:t>
      </w:r>
      <w:r w:rsidRPr="009B2737">
        <w:rPr>
          <w:rFonts w:ascii="Arial" w:hAnsi="Arial" w:cs="Arial"/>
          <w:i/>
          <w:iCs/>
          <w:sz w:val="24"/>
          <w:szCs w:val="24"/>
        </w:rPr>
        <w:t>International Conference on Business and Technology</w:t>
      </w:r>
      <w:r w:rsidRPr="009B2737">
        <w:rPr>
          <w:rFonts w:ascii="Arial" w:hAnsi="Arial" w:cs="Arial"/>
          <w:sz w:val="24"/>
          <w:szCs w:val="24"/>
        </w:rPr>
        <w:t>. Cham: Springer Nature Switzerland, pp. 411–422.</w:t>
      </w:r>
    </w:p>
    <w:p w14:paraId="7A784E53"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lastRenderedPageBreak/>
        <w:t xml:space="preserve">Taylor, C., Rhys, M. and Waldron, S. (2016) ‘Implementing curriculum reform in Wales: the case of the Foundation Phase’, </w:t>
      </w:r>
      <w:r w:rsidRPr="009B2737">
        <w:rPr>
          <w:rFonts w:ascii="Arial" w:hAnsi="Arial" w:cs="Arial"/>
          <w:i/>
          <w:iCs/>
          <w:sz w:val="24"/>
          <w:szCs w:val="24"/>
        </w:rPr>
        <w:t>Oxford Review of Education</w:t>
      </w:r>
      <w:r w:rsidRPr="009B2737">
        <w:rPr>
          <w:rFonts w:ascii="Arial" w:hAnsi="Arial" w:cs="Arial"/>
          <w:sz w:val="24"/>
          <w:szCs w:val="24"/>
        </w:rPr>
        <w:t>, 42(3), pp. 299–315. Available at: https://doi.org/10.1080/03054985.2016.1184872 (Accessed: 7 October 2026).</w:t>
      </w:r>
    </w:p>
    <w:p w14:paraId="2C4A3880" w14:textId="77777777" w:rsidR="000E09A7" w:rsidRDefault="009B2737" w:rsidP="009B2737">
      <w:pPr>
        <w:spacing w:line="360" w:lineRule="auto"/>
        <w:rPr>
          <w:rFonts w:ascii="Arial" w:hAnsi="Arial" w:cs="Arial"/>
          <w:sz w:val="24"/>
          <w:szCs w:val="24"/>
        </w:rPr>
      </w:pPr>
      <w:r w:rsidRPr="009B2737">
        <w:rPr>
          <w:rFonts w:ascii="Arial" w:hAnsi="Arial" w:cs="Arial"/>
          <w:sz w:val="24"/>
          <w:szCs w:val="24"/>
        </w:rPr>
        <w:t xml:space="preserve">UNICEF (2019) </w:t>
      </w:r>
      <w:r w:rsidRPr="009B2737">
        <w:rPr>
          <w:rFonts w:ascii="Arial" w:hAnsi="Arial" w:cs="Arial"/>
          <w:i/>
          <w:iCs/>
          <w:sz w:val="24"/>
          <w:szCs w:val="24"/>
        </w:rPr>
        <w:t>A World Ready to Learn: Prioritizing Quality Early Childhood Education</w:t>
      </w:r>
      <w:r w:rsidRPr="009B2737">
        <w:rPr>
          <w:rFonts w:ascii="Arial" w:hAnsi="Arial" w:cs="Arial"/>
          <w:sz w:val="24"/>
          <w:szCs w:val="24"/>
        </w:rPr>
        <w:t>. New York: United Nations Children's Fund. Available at: https://www.unicef.org/reports/a-world-ready-to-learn-2019 (Accessed: 18 October 2026).</w:t>
      </w:r>
    </w:p>
    <w:p w14:paraId="66B14AF1" w14:textId="2EDB409B"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br/>
        <w:t xml:space="preserve">Welsh Government (2017) </w:t>
      </w:r>
      <w:r w:rsidRPr="009B2737">
        <w:rPr>
          <w:rFonts w:ascii="Arial" w:hAnsi="Arial" w:cs="Arial"/>
          <w:i/>
          <w:iCs/>
          <w:sz w:val="24"/>
          <w:szCs w:val="24"/>
        </w:rPr>
        <w:t>Foundation Phase Profile Handbook</w:t>
      </w:r>
      <w:r w:rsidRPr="009B2737">
        <w:rPr>
          <w:rFonts w:ascii="Arial" w:hAnsi="Arial" w:cs="Arial"/>
          <w:sz w:val="24"/>
          <w:szCs w:val="24"/>
        </w:rPr>
        <w:t>. Cardiff: Welsh Government. Available at: https://hwb.gov.wales/storage/f9d85dba-85a4-4e87-bb58-a24730ad7e57/foundation-phase-profile-handbook-revised-september-2017.pdf (Accessed: 22 October 2026).</w:t>
      </w:r>
    </w:p>
    <w:p w14:paraId="3A94EFB8"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(2022) </w:t>
      </w:r>
      <w:r w:rsidRPr="009B2737">
        <w:rPr>
          <w:rFonts w:ascii="Arial" w:hAnsi="Arial" w:cs="Arial"/>
          <w:i/>
          <w:iCs/>
          <w:sz w:val="24"/>
          <w:szCs w:val="24"/>
        </w:rPr>
        <w:t>Supporting learner progression: assessment guidance</w:t>
      </w:r>
      <w:r w:rsidRPr="009B2737">
        <w:rPr>
          <w:rFonts w:ascii="Arial" w:hAnsi="Arial" w:cs="Arial"/>
          <w:sz w:val="24"/>
          <w:szCs w:val="24"/>
        </w:rPr>
        <w:t>. Available at: https://hwb.gov.wales/curriculum-for-wales/assessment-arrangements/supporting-learner-progression-assessment-guidance/ (Accessed: 19 October 2026).</w:t>
      </w:r>
    </w:p>
    <w:p w14:paraId="7EBD3C75"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(2025) </w:t>
      </w:r>
      <w:r w:rsidRPr="009B2737">
        <w:rPr>
          <w:rFonts w:ascii="Arial" w:hAnsi="Arial" w:cs="Arial"/>
          <w:i/>
          <w:iCs/>
          <w:sz w:val="24"/>
          <w:szCs w:val="24"/>
        </w:rPr>
        <w:t>Professional learning course: notice, analyse and respond</w:t>
      </w:r>
      <w:r w:rsidRPr="009B2737">
        <w:rPr>
          <w:rFonts w:ascii="Arial" w:hAnsi="Arial" w:cs="Arial"/>
          <w:sz w:val="24"/>
          <w:szCs w:val="24"/>
        </w:rPr>
        <w:t>. Available at: https://hwb.gov.wales/repository/resource/0a987826-de66-4dd4-849e-2db7bd0f2e73/overview (Accessed: 22 October 2026).</w:t>
      </w:r>
    </w:p>
    <w:p w14:paraId="3CC553CF" w14:textId="77777777" w:rsidR="009B2737" w:rsidRPr="009B2737" w:rsidRDefault="009B2737" w:rsidP="009B2737">
      <w:pPr>
        <w:spacing w:line="360" w:lineRule="auto"/>
        <w:rPr>
          <w:rFonts w:ascii="Arial" w:hAnsi="Arial" w:cs="Arial"/>
          <w:sz w:val="24"/>
          <w:szCs w:val="24"/>
        </w:rPr>
      </w:pPr>
      <w:r w:rsidRPr="009B2737">
        <w:rPr>
          <w:rFonts w:ascii="Arial" w:hAnsi="Arial" w:cs="Arial"/>
          <w:sz w:val="24"/>
          <w:szCs w:val="24"/>
        </w:rPr>
        <w:t xml:space="preserve">Welsh Government (n.d.) </w:t>
      </w:r>
      <w:r w:rsidRPr="009B2737">
        <w:rPr>
          <w:rFonts w:ascii="Arial" w:hAnsi="Arial" w:cs="Arial"/>
          <w:i/>
          <w:iCs/>
          <w:sz w:val="24"/>
          <w:szCs w:val="24"/>
        </w:rPr>
        <w:t>Curriculum for Wales</w:t>
      </w:r>
      <w:r w:rsidRPr="009B2737">
        <w:rPr>
          <w:rFonts w:ascii="Arial" w:hAnsi="Arial" w:cs="Arial"/>
          <w:sz w:val="24"/>
          <w:szCs w:val="24"/>
        </w:rPr>
        <w:t>. Available at: https://hwb.gov.wales/curriculum-for-wales (Accessed: 17 October 2026).</w:t>
      </w:r>
    </w:p>
    <w:p w14:paraId="4C353356" w14:textId="77777777" w:rsidR="004F592F" w:rsidRPr="007F3175" w:rsidRDefault="004F592F" w:rsidP="00F22240">
      <w:pPr>
        <w:spacing w:line="360" w:lineRule="auto"/>
        <w:rPr>
          <w:rFonts w:ascii="Arial" w:hAnsi="Arial" w:cs="Arial"/>
          <w:sz w:val="24"/>
          <w:szCs w:val="24"/>
        </w:rPr>
      </w:pPr>
    </w:p>
    <w:sectPr w:rsidR="004F592F" w:rsidRPr="007F317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D77697" w14:textId="77777777" w:rsidR="00F034A2" w:rsidRDefault="00F034A2" w:rsidP="00463A0C">
      <w:pPr>
        <w:spacing w:after="0" w:line="240" w:lineRule="auto"/>
      </w:pPr>
      <w:r>
        <w:separator/>
      </w:r>
    </w:p>
  </w:endnote>
  <w:endnote w:type="continuationSeparator" w:id="0">
    <w:p w14:paraId="5216556F" w14:textId="77777777" w:rsidR="00F034A2" w:rsidRDefault="00F034A2" w:rsidP="00463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20667"/>
      <w:docPartObj>
        <w:docPartGallery w:val="Page Numbers (Bottom of Page)"/>
        <w:docPartUnique/>
      </w:docPartObj>
    </w:sdtPr>
    <w:sdtEndPr/>
    <w:sdtContent>
      <w:p w14:paraId="05C81C42" w14:textId="1A29EC69" w:rsidR="002E6A61" w:rsidRDefault="002E6A61">
        <w:pPr>
          <w:pStyle w:val="Footer"/>
        </w:pPr>
        <w:r>
          <w:fldChar w:fldCharType="begin"/>
        </w:r>
        <w:r>
          <w:instrText>PAGE   \* MERGEFORMAT</w:instrText>
        </w:r>
        <w:r>
          <w:fldChar w:fldCharType="separate"/>
        </w:r>
        <w:r>
          <w:t>2</w:t>
        </w:r>
        <w:r>
          <w:fldChar w:fldCharType="end"/>
        </w:r>
      </w:p>
    </w:sdtContent>
  </w:sdt>
  <w:p w14:paraId="6EF1AB27" w14:textId="4039D5B3" w:rsidR="00735030" w:rsidRDefault="00735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84ACE" w14:textId="77777777" w:rsidR="00F034A2" w:rsidRDefault="00F034A2" w:rsidP="00463A0C">
      <w:pPr>
        <w:spacing w:after="0" w:line="240" w:lineRule="auto"/>
      </w:pPr>
      <w:r>
        <w:separator/>
      </w:r>
    </w:p>
  </w:footnote>
  <w:footnote w:type="continuationSeparator" w:id="0">
    <w:p w14:paraId="3D4CC566" w14:textId="77777777" w:rsidR="00F034A2" w:rsidRDefault="00F034A2" w:rsidP="00463A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82DF8" w14:textId="3AB831BD" w:rsidR="00463A0C" w:rsidRDefault="00463A0C">
    <w:pPr>
      <w:pStyle w:val="Header"/>
    </w:pPr>
    <w:r>
      <w:t xml:space="preserve">ECEY6010 </w:t>
    </w:r>
    <w:r>
      <w:tab/>
    </w:r>
    <w:r w:rsidR="00702B2D">
      <w:t>Word count:</w:t>
    </w:r>
    <w:r w:rsidR="00643E53">
      <w:t>437</w:t>
    </w:r>
    <w:r w:rsidR="00D621B7">
      <w:t>3</w:t>
    </w:r>
    <w:r w:rsidR="00702B2D">
      <w:t xml:space="preserve"> </w:t>
    </w:r>
    <w:r w:rsidR="00737A7C">
      <w:t xml:space="preserve">                 </w:t>
    </w:r>
    <w:r w:rsidR="000070ED">
      <w:t xml:space="preserve">Student number: </w:t>
    </w:r>
    <w:r w:rsidR="00737A7C">
      <w:t xml:space="preserve"> </w:t>
    </w:r>
    <w:r>
      <w:t>2004479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81648"/>
    <w:multiLevelType w:val="hybridMultilevel"/>
    <w:tmpl w:val="B95C8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F2BC7"/>
    <w:multiLevelType w:val="multilevel"/>
    <w:tmpl w:val="47D4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03F72"/>
    <w:multiLevelType w:val="multilevel"/>
    <w:tmpl w:val="5638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8865FD"/>
    <w:multiLevelType w:val="multilevel"/>
    <w:tmpl w:val="D858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F55DC"/>
    <w:multiLevelType w:val="multilevel"/>
    <w:tmpl w:val="30C2C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F22ED1"/>
    <w:multiLevelType w:val="multilevel"/>
    <w:tmpl w:val="9C0CD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767FA"/>
    <w:multiLevelType w:val="multilevel"/>
    <w:tmpl w:val="47B0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C55A12"/>
    <w:multiLevelType w:val="multilevel"/>
    <w:tmpl w:val="3FE47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844E26"/>
    <w:multiLevelType w:val="multilevel"/>
    <w:tmpl w:val="962E0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963D7B"/>
    <w:multiLevelType w:val="multilevel"/>
    <w:tmpl w:val="9DA2F894"/>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2DCD5256"/>
    <w:multiLevelType w:val="multilevel"/>
    <w:tmpl w:val="DB62F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1C71C1"/>
    <w:multiLevelType w:val="hybridMultilevel"/>
    <w:tmpl w:val="9C52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07438"/>
    <w:multiLevelType w:val="multilevel"/>
    <w:tmpl w:val="AD16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9072F9"/>
    <w:multiLevelType w:val="multilevel"/>
    <w:tmpl w:val="201AF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251D0F"/>
    <w:multiLevelType w:val="multilevel"/>
    <w:tmpl w:val="0F78D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C06FC1"/>
    <w:multiLevelType w:val="hybridMultilevel"/>
    <w:tmpl w:val="950C6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4036DC"/>
    <w:multiLevelType w:val="hybridMultilevel"/>
    <w:tmpl w:val="FB684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9623E9"/>
    <w:multiLevelType w:val="multilevel"/>
    <w:tmpl w:val="BF56F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512808"/>
    <w:multiLevelType w:val="multilevel"/>
    <w:tmpl w:val="DDB6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F54D77"/>
    <w:multiLevelType w:val="multilevel"/>
    <w:tmpl w:val="0DFE3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616806"/>
    <w:multiLevelType w:val="multilevel"/>
    <w:tmpl w:val="DA884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A757A2"/>
    <w:multiLevelType w:val="hybridMultilevel"/>
    <w:tmpl w:val="3BAE0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A01BE2"/>
    <w:multiLevelType w:val="multilevel"/>
    <w:tmpl w:val="D7E40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B00799"/>
    <w:multiLevelType w:val="hybridMultilevel"/>
    <w:tmpl w:val="35929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280D6A"/>
    <w:multiLevelType w:val="hybridMultilevel"/>
    <w:tmpl w:val="1E2A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1D2A0C"/>
    <w:multiLevelType w:val="multilevel"/>
    <w:tmpl w:val="9AD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C66CBA"/>
    <w:multiLevelType w:val="multilevel"/>
    <w:tmpl w:val="B8820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0013CD"/>
    <w:multiLevelType w:val="multilevel"/>
    <w:tmpl w:val="96327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197CB8"/>
    <w:multiLevelType w:val="multilevel"/>
    <w:tmpl w:val="0682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007481">
    <w:abstractNumId w:val="26"/>
  </w:num>
  <w:num w:numId="2" w16cid:durableId="1935169809">
    <w:abstractNumId w:val="20"/>
  </w:num>
  <w:num w:numId="3" w16cid:durableId="2071224968">
    <w:abstractNumId w:val="9"/>
  </w:num>
  <w:num w:numId="4" w16cid:durableId="1166507655">
    <w:abstractNumId w:val="21"/>
  </w:num>
  <w:num w:numId="5" w16cid:durableId="1089424747">
    <w:abstractNumId w:val="15"/>
  </w:num>
  <w:num w:numId="6" w16cid:durableId="339746455">
    <w:abstractNumId w:val="11"/>
  </w:num>
  <w:num w:numId="7" w16cid:durableId="2084183040">
    <w:abstractNumId w:val="24"/>
  </w:num>
  <w:num w:numId="8" w16cid:durableId="478156946">
    <w:abstractNumId w:val="2"/>
  </w:num>
  <w:num w:numId="9" w16cid:durableId="1597247294">
    <w:abstractNumId w:val="17"/>
  </w:num>
  <w:num w:numId="10" w16cid:durableId="1397125978">
    <w:abstractNumId w:val="27"/>
  </w:num>
  <w:num w:numId="11" w16cid:durableId="100540575">
    <w:abstractNumId w:val="8"/>
  </w:num>
  <w:num w:numId="12" w16cid:durableId="956720922">
    <w:abstractNumId w:val="28"/>
  </w:num>
  <w:num w:numId="13" w16cid:durableId="1346252940">
    <w:abstractNumId w:val="7"/>
  </w:num>
  <w:num w:numId="14" w16cid:durableId="650449997">
    <w:abstractNumId w:val="14"/>
  </w:num>
  <w:num w:numId="15" w16cid:durableId="514927088">
    <w:abstractNumId w:val="3"/>
  </w:num>
  <w:num w:numId="16" w16cid:durableId="1722366942">
    <w:abstractNumId w:val="4"/>
  </w:num>
  <w:num w:numId="17" w16cid:durableId="1619989684">
    <w:abstractNumId w:val="18"/>
  </w:num>
  <w:num w:numId="18" w16cid:durableId="883098447">
    <w:abstractNumId w:val="1"/>
  </w:num>
  <w:num w:numId="19" w16cid:durableId="1865438505">
    <w:abstractNumId w:val="5"/>
  </w:num>
  <w:num w:numId="20" w16cid:durableId="1838495117">
    <w:abstractNumId w:val="10"/>
  </w:num>
  <w:num w:numId="21" w16cid:durableId="265581745">
    <w:abstractNumId w:val="0"/>
  </w:num>
  <w:num w:numId="22" w16cid:durableId="1918396801">
    <w:abstractNumId w:val="16"/>
  </w:num>
  <w:num w:numId="23" w16cid:durableId="42753643">
    <w:abstractNumId w:val="12"/>
  </w:num>
  <w:num w:numId="24" w16cid:durableId="815993987">
    <w:abstractNumId w:val="22"/>
  </w:num>
  <w:num w:numId="25" w16cid:durableId="1423408032">
    <w:abstractNumId w:val="6"/>
  </w:num>
  <w:num w:numId="26" w16cid:durableId="933395288">
    <w:abstractNumId w:val="25"/>
  </w:num>
  <w:num w:numId="27" w16cid:durableId="1103378209">
    <w:abstractNumId w:val="23"/>
  </w:num>
  <w:num w:numId="28" w16cid:durableId="1840730789">
    <w:abstractNumId w:val="19"/>
  </w:num>
  <w:num w:numId="29" w16cid:durableId="214141609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3EC"/>
    <w:rsid w:val="0000124E"/>
    <w:rsid w:val="00001344"/>
    <w:rsid w:val="000020C8"/>
    <w:rsid w:val="000038C5"/>
    <w:rsid w:val="00003CCA"/>
    <w:rsid w:val="00006B8C"/>
    <w:rsid w:val="000070ED"/>
    <w:rsid w:val="000101E9"/>
    <w:rsid w:val="00011391"/>
    <w:rsid w:val="00011508"/>
    <w:rsid w:val="000120EA"/>
    <w:rsid w:val="00015121"/>
    <w:rsid w:val="00015EC6"/>
    <w:rsid w:val="00016145"/>
    <w:rsid w:val="00016418"/>
    <w:rsid w:val="00017623"/>
    <w:rsid w:val="00020A19"/>
    <w:rsid w:val="000331B0"/>
    <w:rsid w:val="000348A0"/>
    <w:rsid w:val="00041601"/>
    <w:rsid w:val="00042322"/>
    <w:rsid w:val="0004386C"/>
    <w:rsid w:val="00043FBD"/>
    <w:rsid w:val="00045E0C"/>
    <w:rsid w:val="00053241"/>
    <w:rsid w:val="000536F3"/>
    <w:rsid w:val="00054E90"/>
    <w:rsid w:val="00056CDF"/>
    <w:rsid w:val="00063092"/>
    <w:rsid w:val="00071293"/>
    <w:rsid w:val="00075A68"/>
    <w:rsid w:val="00075D73"/>
    <w:rsid w:val="000774A7"/>
    <w:rsid w:val="00081D50"/>
    <w:rsid w:val="00084402"/>
    <w:rsid w:val="00085E63"/>
    <w:rsid w:val="00086444"/>
    <w:rsid w:val="00087338"/>
    <w:rsid w:val="00087877"/>
    <w:rsid w:val="00087CBD"/>
    <w:rsid w:val="00091309"/>
    <w:rsid w:val="00091375"/>
    <w:rsid w:val="000A3A8C"/>
    <w:rsid w:val="000A4445"/>
    <w:rsid w:val="000B55FC"/>
    <w:rsid w:val="000C0E2C"/>
    <w:rsid w:val="000D63D3"/>
    <w:rsid w:val="000D7385"/>
    <w:rsid w:val="000D73DD"/>
    <w:rsid w:val="000E09A7"/>
    <w:rsid w:val="000E2ABE"/>
    <w:rsid w:val="000E2C7E"/>
    <w:rsid w:val="000F20C4"/>
    <w:rsid w:val="000F3272"/>
    <w:rsid w:val="000F39B3"/>
    <w:rsid w:val="000F3A18"/>
    <w:rsid w:val="000F737F"/>
    <w:rsid w:val="000F7DE5"/>
    <w:rsid w:val="00101C08"/>
    <w:rsid w:val="00101E4A"/>
    <w:rsid w:val="001040CE"/>
    <w:rsid w:val="0010423C"/>
    <w:rsid w:val="001048D1"/>
    <w:rsid w:val="00105589"/>
    <w:rsid w:val="0010561A"/>
    <w:rsid w:val="00105B06"/>
    <w:rsid w:val="00107B9F"/>
    <w:rsid w:val="00112057"/>
    <w:rsid w:val="001149C0"/>
    <w:rsid w:val="001160F3"/>
    <w:rsid w:val="001259D3"/>
    <w:rsid w:val="00125DA2"/>
    <w:rsid w:val="0012771A"/>
    <w:rsid w:val="00127F9B"/>
    <w:rsid w:val="001313E8"/>
    <w:rsid w:val="00133E0C"/>
    <w:rsid w:val="00133F2F"/>
    <w:rsid w:val="00141BFA"/>
    <w:rsid w:val="00142793"/>
    <w:rsid w:val="001467DE"/>
    <w:rsid w:val="00146817"/>
    <w:rsid w:val="0014690A"/>
    <w:rsid w:val="00153B9E"/>
    <w:rsid w:val="001546FB"/>
    <w:rsid w:val="00154CB2"/>
    <w:rsid w:val="00156967"/>
    <w:rsid w:val="001637C4"/>
    <w:rsid w:val="00163962"/>
    <w:rsid w:val="001662A4"/>
    <w:rsid w:val="00167B2B"/>
    <w:rsid w:val="001703FD"/>
    <w:rsid w:val="00171CD7"/>
    <w:rsid w:val="00172D4B"/>
    <w:rsid w:val="0017349D"/>
    <w:rsid w:val="001803CC"/>
    <w:rsid w:val="00183255"/>
    <w:rsid w:val="00184783"/>
    <w:rsid w:val="00190768"/>
    <w:rsid w:val="00190F8A"/>
    <w:rsid w:val="00191420"/>
    <w:rsid w:val="00192970"/>
    <w:rsid w:val="00193E74"/>
    <w:rsid w:val="00194F67"/>
    <w:rsid w:val="00195CA8"/>
    <w:rsid w:val="001A258E"/>
    <w:rsid w:val="001A321A"/>
    <w:rsid w:val="001A5431"/>
    <w:rsid w:val="001A58DA"/>
    <w:rsid w:val="001A5C83"/>
    <w:rsid w:val="001B15C8"/>
    <w:rsid w:val="001B17A1"/>
    <w:rsid w:val="001B3518"/>
    <w:rsid w:val="001B4D88"/>
    <w:rsid w:val="001B6A2C"/>
    <w:rsid w:val="001B6B8E"/>
    <w:rsid w:val="001B7595"/>
    <w:rsid w:val="001C037C"/>
    <w:rsid w:val="001C521C"/>
    <w:rsid w:val="001C66A9"/>
    <w:rsid w:val="001D2C9A"/>
    <w:rsid w:val="001D59D0"/>
    <w:rsid w:val="001D78D3"/>
    <w:rsid w:val="001E1B6B"/>
    <w:rsid w:val="001E2C50"/>
    <w:rsid w:val="001E3A6F"/>
    <w:rsid w:val="001F429E"/>
    <w:rsid w:val="001F4AA0"/>
    <w:rsid w:val="001F574F"/>
    <w:rsid w:val="001F5F67"/>
    <w:rsid w:val="0020009F"/>
    <w:rsid w:val="002004E3"/>
    <w:rsid w:val="002031B7"/>
    <w:rsid w:val="0020351E"/>
    <w:rsid w:val="00206F6F"/>
    <w:rsid w:val="00214722"/>
    <w:rsid w:val="00215A4C"/>
    <w:rsid w:val="002175F6"/>
    <w:rsid w:val="00217A6F"/>
    <w:rsid w:val="00220D1E"/>
    <w:rsid w:val="00221960"/>
    <w:rsid w:val="00226DEE"/>
    <w:rsid w:val="00240239"/>
    <w:rsid w:val="00241100"/>
    <w:rsid w:val="00241DEA"/>
    <w:rsid w:val="00241E5A"/>
    <w:rsid w:val="00244B2B"/>
    <w:rsid w:val="00245FB5"/>
    <w:rsid w:val="002467EF"/>
    <w:rsid w:val="00246A82"/>
    <w:rsid w:val="002476C5"/>
    <w:rsid w:val="0025073F"/>
    <w:rsid w:val="00256E5D"/>
    <w:rsid w:val="00257FCC"/>
    <w:rsid w:val="002608D3"/>
    <w:rsid w:val="00263771"/>
    <w:rsid w:val="002641C8"/>
    <w:rsid w:val="00266500"/>
    <w:rsid w:val="002709CC"/>
    <w:rsid w:val="00271AF9"/>
    <w:rsid w:val="002720A4"/>
    <w:rsid w:val="0028102A"/>
    <w:rsid w:val="00283F63"/>
    <w:rsid w:val="00294627"/>
    <w:rsid w:val="00297076"/>
    <w:rsid w:val="002A0700"/>
    <w:rsid w:val="002A12B8"/>
    <w:rsid w:val="002A4EDC"/>
    <w:rsid w:val="002A52D0"/>
    <w:rsid w:val="002A7746"/>
    <w:rsid w:val="002B2CBD"/>
    <w:rsid w:val="002B3123"/>
    <w:rsid w:val="002B3901"/>
    <w:rsid w:val="002B6A1D"/>
    <w:rsid w:val="002B78A8"/>
    <w:rsid w:val="002C704F"/>
    <w:rsid w:val="002D1CA3"/>
    <w:rsid w:val="002D35F5"/>
    <w:rsid w:val="002D53C6"/>
    <w:rsid w:val="002D70A3"/>
    <w:rsid w:val="002E1C46"/>
    <w:rsid w:val="002E3121"/>
    <w:rsid w:val="002E3493"/>
    <w:rsid w:val="002E587A"/>
    <w:rsid w:val="002E5D9F"/>
    <w:rsid w:val="002E6A61"/>
    <w:rsid w:val="002E759B"/>
    <w:rsid w:val="002F1CCF"/>
    <w:rsid w:val="002F30E7"/>
    <w:rsid w:val="002F4AAD"/>
    <w:rsid w:val="002F5846"/>
    <w:rsid w:val="002F58FC"/>
    <w:rsid w:val="00302A72"/>
    <w:rsid w:val="003072A8"/>
    <w:rsid w:val="00312670"/>
    <w:rsid w:val="00312F96"/>
    <w:rsid w:val="00313D00"/>
    <w:rsid w:val="00315B24"/>
    <w:rsid w:val="003160B0"/>
    <w:rsid w:val="003174DC"/>
    <w:rsid w:val="00320132"/>
    <w:rsid w:val="00322BE0"/>
    <w:rsid w:val="003238A3"/>
    <w:rsid w:val="00325011"/>
    <w:rsid w:val="003274D5"/>
    <w:rsid w:val="00334780"/>
    <w:rsid w:val="00334B24"/>
    <w:rsid w:val="003352D0"/>
    <w:rsid w:val="003356AD"/>
    <w:rsid w:val="00335742"/>
    <w:rsid w:val="0034007F"/>
    <w:rsid w:val="0034120C"/>
    <w:rsid w:val="003437BC"/>
    <w:rsid w:val="003450C7"/>
    <w:rsid w:val="003524AA"/>
    <w:rsid w:val="00354C71"/>
    <w:rsid w:val="003565D0"/>
    <w:rsid w:val="00361211"/>
    <w:rsid w:val="003643A9"/>
    <w:rsid w:val="00367538"/>
    <w:rsid w:val="003736EE"/>
    <w:rsid w:val="0037407F"/>
    <w:rsid w:val="00374327"/>
    <w:rsid w:val="00383A15"/>
    <w:rsid w:val="00385377"/>
    <w:rsid w:val="0038607C"/>
    <w:rsid w:val="00387608"/>
    <w:rsid w:val="00387650"/>
    <w:rsid w:val="003933D0"/>
    <w:rsid w:val="00393516"/>
    <w:rsid w:val="00396EA6"/>
    <w:rsid w:val="0039711C"/>
    <w:rsid w:val="00397840"/>
    <w:rsid w:val="003A44D3"/>
    <w:rsid w:val="003A79D2"/>
    <w:rsid w:val="003B479D"/>
    <w:rsid w:val="003B6DDF"/>
    <w:rsid w:val="003B76C3"/>
    <w:rsid w:val="003B7C51"/>
    <w:rsid w:val="003B7EDE"/>
    <w:rsid w:val="003C0CEB"/>
    <w:rsid w:val="003C2055"/>
    <w:rsid w:val="003C3039"/>
    <w:rsid w:val="003C3683"/>
    <w:rsid w:val="003C79DF"/>
    <w:rsid w:val="003D1115"/>
    <w:rsid w:val="003D121A"/>
    <w:rsid w:val="003D2308"/>
    <w:rsid w:val="003D2A69"/>
    <w:rsid w:val="003D3743"/>
    <w:rsid w:val="003D3815"/>
    <w:rsid w:val="003D4C1B"/>
    <w:rsid w:val="003D6C5A"/>
    <w:rsid w:val="003D73C2"/>
    <w:rsid w:val="003E2AF7"/>
    <w:rsid w:val="003E5434"/>
    <w:rsid w:val="003E589D"/>
    <w:rsid w:val="003F3EE7"/>
    <w:rsid w:val="003F7C55"/>
    <w:rsid w:val="00401907"/>
    <w:rsid w:val="00401B36"/>
    <w:rsid w:val="00410427"/>
    <w:rsid w:val="00412674"/>
    <w:rsid w:val="00414776"/>
    <w:rsid w:val="0041567C"/>
    <w:rsid w:val="00416303"/>
    <w:rsid w:val="00416A53"/>
    <w:rsid w:val="00420522"/>
    <w:rsid w:val="004216B6"/>
    <w:rsid w:val="004305CB"/>
    <w:rsid w:val="0043129F"/>
    <w:rsid w:val="004335CA"/>
    <w:rsid w:val="0043552D"/>
    <w:rsid w:val="00440BD3"/>
    <w:rsid w:val="0044218A"/>
    <w:rsid w:val="00443F22"/>
    <w:rsid w:val="0044540F"/>
    <w:rsid w:val="00446DC3"/>
    <w:rsid w:val="00450FD0"/>
    <w:rsid w:val="00451019"/>
    <w:rsid w:val="0045158F"/>
    <w:rsid w:val="00452BD1"/>
    <w:rsid w:val="00455FE0"/>
    <w:rsid w:val="004573C3"/>
    <w:rsid w:val="00460412"/>
    <w:rsid w:val="00461113"/>
    <w:rsid w:val="00461B6C"/>
    <w:rsid w:val="00463A0C"/>
    <w:rsid w:val="004654BF"/>
    <w:rsid w:val="0046628E"/>
    <w:rsid w:val="004663EC"/>
    <w:rsid w:val="00471487"/>
    <w:rsid w:val="004727B9"/>
    <w:rsid w:val="0047445A"/>
    <w:rsid w:val="00477C77"/>
    <w:rsid w:val="00480600"/>
    <w:rsid w:val="004840F1"/>
    <w:rsid w:val="00490067"/>
    <w:rsid w:val="00490532"/>
    <w:rsid w:val="004A6F07"/>
    <w:rsid w:val="004B2057"/>
    <w:rsid w:val="004B2171"/>
    <w:rsid w:val="004B2DEB"/>
    <w:rsid w:val="004B3A97"/>
    <w:rsid w:val="004B4913"/>
    <w:rsid w:val="004B4C74"/>
    <w:rsid w:val="004B7F6B"/>
    <w:rsid w:val="004C1847"/>
    <w:rsid w:val="004C5B96"/>
    <w:rsid w:val="004C7657"/>
    <w:rsid w:val="004D326D"/>
    <w:rsid w:val="004D5CAB"/>
    <w:rsid w:val="004E2239"/>
    <w:rsid w:val="004F0155"/>
    <w:rsid w:val="004F32C2"/>
    <w:rsid w:val="004F3440"/>
    <w:rsid w:val="004F592E"/>
    <w:rsid w:val="004F592F"/>
    <w:rsid w:val="004F6312"/>
    <w:rsid w:val="00501DF1"/>
    <w:rsid w:val="00510DD5"/>
    <w:rsid w:val="00511A55"/>
    <w:rsid w:val="00511A84"/>
    <w:rsid w:val="00512186"/>
    <w:rsid w:val="00512474"/>
    <w:rsid w:val="005143B1"/>
    <w:rsid w:val="005148F1"/>
    <w:rsid w:val="00517A97"/>
    <w:rsid w:val="005205B0"/>
    <w:rsid w:val="00522ECF"/>
    <w:rsid w:val="005237ED"/>
    <w:rsid w:val="00525FF1"/>
    <w:rsid w:val="00531FBE"/>
    <w:rsid w:val="00532609"/>
    <w:rsid w:val="00542F66"/>
    <w:rsid w:val="00543170"/>
    <w:rsid w:val="00543A38"/>
    <w:rsid w:val="00544CFE"/>
    <w:rsid w:val="00546DD3"/>
    <w:rsid w:val="00551FA8"/>
    <w:rsid w:val="00554E8E"/>
    <w:rsid w:val="00555065"/>
    <w:rsid w:val="005564AE"/>
    <w:rsid w:val="005567E9"/>
    <w:rsid w:val="00557A5F"/>
    <w:rsid w:val="0056392F"/>
    <w:rsid w:val="0056409F"/>
    <w:rsid w:val="0057726D"/>
    <w:rsid w:val="00577D9C"/>
    <w:rsid w:val="00582755"/>
    <w:rsid w:val="005836DC"/>
    <w:rsid w:val="005837D8"/>
    <w:rsid w:val="00585BA4"/>
    <w:rsid w:val="00586D69"/>
    <w:rsid w:val="00586DC6"/>
    <w:rsid w:val="005911D5"/>
    <w:rsid w:val="00597351"/>
    <w:rsid w:val="005A1023"/>
    <w:rsid w:val="005A182D"/>
    <w:rsid w:val="005A3BE0"/>
    <w:rsid w:val="005A5AA2"/>
    <w:rsid w:val="005A7315"/>
    <w:rsid w:val="005A75BC"/>
    <w:rsid w:val="005A76EB"/>
    <w:rsid w:val="005B1056"/>
    <w:rsid w:val="005B1A71"/>
    <w:rsid w:val="005B3BE7"/>
    <w:rsid w:val="005B55BB"/>
    <w:rsid w:val="005B60A4"/>
    <w:rsid w:val="005B6677"/>
    <w:rsid w:val="005B691D"/>
    <w:rsid w:val="005C5B9C"/>
    <w:rsid w:val="005D02FC"/>
    <w:rsid w:val="005D1704"/>
    <w:rsid w:val="005D1940"/>
    <w:rsid w:val="005D3865"/>
    <w:rsid w:val="005E1C8F"/>
    <w:rsid w:val="005E2428"/>
    <w:rsid w:val="005E2699"/>
    <w:rsid w:val="005E5FF5"/>
    <w:rsid w:val="005F0E3B"/>
    <w:rsid w:val="005F29BC"/>
    <w:rsid w:val="005F6D09"/>
    <w:rsid w:val="00600E05"/>
    <w:rsid w:val="006010E2"/>
    <w:rsid w:val="00601862"/>
    <w:rsid w:val="00601FCA"/>
    <w:rsid w:val="00603EE6"/>
    <w:rsid w:val="0060480F"/>
    <w:rsid w:val="00604A9D"/>
    <w:rsid w:val="00605071"/>
    <w:rsid w:val="00605833"/>
    <w:rsid w:val="00606643"/>
    <w:rsid w:val="00606C6C"/>
    <w:rsid w:val="00611C00"/>
    <w:rsid w:val="00611CF2"/>
    <w:rsid w:val="0061217E"/>
    <w:rsid w:val="006159D2"/>
    <w:rsid w:val="0062071D"/>
    <w:rsid w:val="0062283A"/>
    <w:rsid w:val="006243FB"/>
    <w:rsid w:val="00624559"/>
    <w:rsid w:val="0063019F"/>
    <w:rsid w:val="0063239C"/>
    <w:rsid w:val="006351EC"/>
    <w:rsid w:val="00637E0E"/>
    <w:rsid w:val="00640C0D"/>
    <w:rsid w:val="00640F8A"/>
    <w:rsid w:val="00642F85"/>
    <w:rsid w:val="00643E53"/>
    <w:rsid w:val="006440B3"/>
    <w:rsid w:val="00644AB3"/>
    <w:rsid w:val="0064550C"/>
    <w:rsid w:val="0064556D"/>
    <w:rsid w:val="00645BF0"/>
    <w:rsid w:val="0064774E"/>
    <w:rsid w:val="00651CBA"/>
    <w:rsid w:val="00652FFF"/>
    <w:rsid w:val="00656B73"/>
    <w:rsid w:val="006576B6"/>
    <w:rsid w:val="006629A6"/>
    <w:rsid w:val="00662CC8"/>
    <w:rsid w:val="00663868"/>
    <w:rsid w:val="00663871"/>
    <w:rsid w:val="00663C7D"/>
    <w:rsid w:val="00663DAD"/>
    <w:rsid w:val="0066528E"/>
    <w:rsid w:val="00671EE8"/>
    <w:rsid w:val="00672254"/>
    <w:rsid w:val="006803D7"/>
    <w:rsid w:val="00680546"/>
    <w:rsid w:val="00683184"/>
    <w:rsid w:val="006833F6"/>
    <w:rsid w:val="00691DB6"/>
    <w:rsid w:val="006923EF"/>
    <w:rsid w:val="00692D90"/>
    <w:rsid w:val="006937DB"/>
    <w:rsid w:val="006949BE"/>
    <w:rsid w:val="006A0491"/>
    <w:rsid w:val="006A4A35"/>
    <w:rsid w:val="006A5062"/>
    <w:rsid w:val="006A5CD4"/>
    <w:rsid w:val="006B268C"/>
    <w:rsid w:val="006B439C"/>
    <w:rsid w:val="006B751E"/>
    <w:rsid w:val="006C1545"/>
    <w:rsid w:val="006C31B3"/>
    <w:rsid w:val="006C38E3"/>
    <w:rsid w:val="006C68C6"/>
    <w:rsid w:val="006D1650"/>
    <w:rsid w:val="006D18B8"/>
    <w:rsid w:val="006D311C"/>
    <w:rsid w:val="006D74A4"/>
    <w:rsid w:val="006D7F70"/>
    <w:rsid w:val="006F4074"/>
    <w:rsid w:val="006F6527"/>
    <w:rsid w:val="00700210"/>
    <w:rsid w:val="007021AF"/>
    <w:rsid w:val="00702B2D"/>
    <w:rsid w:val="00705E3D"/>
    <w:rsid w:val="00706649"/>
    <w:rsid w:val="007115B9"/>
    <w:rsid w:val="007117AB"/>
    <w:rsid w:val="00713182"/>
    <w:rsid w:val="00713F31"/>
    <w:rsid w:val="00720119"/>
    <w:rsid w:val="00725E61"/>
    <w:rsid w:val="0073040E"/>
    <w:rsid w:val="0073273E"/>
    <w:rsid w:val="00735030"/>
    <w:rsid w:val="00737A7C"/>
    <w:rsid w:val="00743041"/>
    <w:rsid w:val="00743C08"/>
    <w:rsid w:val="00744A7B"/>
    <w:rsid w:val="007458FF"/>
    <w:rsid w:val="00751F55"/>
    <w:rsid w:val="00753C72"/>
    <w:rsid w:val="00754748"/>
    <w:rsid w:val="00755274"/>
    <w:rsid w:val="00756505"/>
    <w:rsid w:val="00756EF3"/>
    <w:rsid w:val="007579C0"/>
    <w:rsid w:val="0076003C"/>
    <w:rsid w:val="007603DB"/>
    <w:rsid w:val="00760A92"/>
    <w:rsid w:val="00760E66"/>
    <w:rsid w:val="007635F5"/>
    <w:rsid w:val="007642FA"/>
    <w:rsid w:val="007675DD"/>
    <w:rsid w:val="007705AF"/>
    <w:rsid w:val="00770607"/>
    <w:rsid w:val="00770AEE"/>
    <w:rsid w:val="00774202"/>
    <w:rsid w:val="00777B58"/>
    <w:rsid w:val="00781ED4"/>
    <w:rsid w:val="00782BE1"/>
    <w:rsid w:val="00784589"/>
    <w:rsid w:val="00784A52"/>
    <w:rsid w:val="00784D24"/>
    <w:rsid w:val="00784D4A"/>
    <w:rsid w:val="0078527C"/>
    <w:rsid w:val="00791710"/>
    <w:rsid w:val="007926B9"/>
    <w:rsid w:val="007969E9"/>
    <w:rsid w:val="007A3F1E"/>
    <w:rsid w:val="007A6F08"/>
    <w:rsid w:val="007B69B7"/>
    <w:rsid w:val="007C34B8"/>
    <w:rsid w:val="007C60CE"/>
    <w:rsid w:val="007C6DCB"/>
    <w:rsid w:val="007C75C0"/>
    <w:rsid w:val="007D0056"/>
    <w:rsid w:val="007D0934"/>
    <w:rsid w:val="007D0F00"/>
    <w:rsid w:val="007D19FE"/>
    <w:rsid w:val="007E014C"/>
    <w:rsid w:val="007E38A4"/>
    <w:rsid w:val="007E7BCF"/>
    <w:rsid w:val="007F0FEA"/>
    <w:rsid w:val="007F10F4"/>
    <w:rsid w:val="007F1B46"/>
    <w:rsid w:val="007F3175"/>
    <w:rsid w:val="007F3967"/>
    <w:rsid w:val="007F42E2"/>
    <w:rsid w:val="008023BE"/>
    <w:rsid w:val="00803BA8"/>
    <w:rsid w:val="00803DF2"/>
    <w:rsid w:val="008065D8"/>
    <w:rsid w:val="008076A7"/>
    <w:rsid w:val="00807E49"/>
    <w:rsid w:val="00817F3E"/>
    <w:rsid w:val="00821719"/>
    <w:rsid w:val="00824147"/>
    <w:rsid w:val="00827094"/>
    <w:rsid w:val="00831AAD"/>
    <w:rsid w:val="00832DCD"/>
    <w:rsid w:val="00840CB0"/>
    <w:rsid w:val="008455B9"/>
    <w:rsid w:val="008555D6"/>
    <w:rsid w:val="0085585A"/>
    <w:rsid w:val="008568C1"/>
    <w:rsid w:val="00856DE2"/>
    <w:rsid w:val="00865223"/>
    <w:rsid w:val="008659B5"/>
    <w:rsid w:val="00865F63"/>
    <w:rsid w:val="00875B97"/>
    <w:rsid w:val="0088205B"/>
    <w:rsid w:val="00883C6C"/>
    <w:rsid w:val="0088494A"/>
    <w:rsid w:val="0089081D"/>
    <w:rsid w:val="00891C59"/>
    <w:rsid w:val="008939C8"/>
    <w:rsid w:val="008A341F"/>
    <w:rsid w:val="008A4301"/>
    <w:rsid w:val="008A4657"/>
    <w:rsid w:val="008B349B"/>
    <w:rsid w:val="008B3609"/>
    <w:rsid w:val="008B5037"/>
    <w:rsid w:val="008B5AB9"/>
    <w:rsid w:val="008B62AC"/>
    <w:rsid w:val="008C2763"/>
    <w:rsid w:val="008C2966"/>
    <w:rsid w:val="008C443F"/>
    <w:rsid w:val="008C53F0"/>
    <w:rsid w:val="008C56CD"/>
    <w:rsid w:val="008D6812"/>
    <w:rsid w:val="008D7352"/>
    <w:rsid w:val="008E259E"/>
    <w:rsid w:val="008E5A34"/>
    <w:rsid w:val="008F2012"/>
    <w:rsid w:val="008F4E52"/>
    <w:rsid w:val="008F5A29"/>
    <w:rsid w:val="008F5B12"/>
    <w:rsid w:val="008F5F3D"/>
    <w:rsid w:val="008F641A"/>
    <w:rsid w:val="009006DB"/>
    <w:rsid w:val="00902461"/>
    <w:rsid w:val="009046AB"/>
    <w:rsid w:val="009048A9"/>
    <w:rsid w:val="009058C5"/>
    <w:rsid w:val="00907588"/>
    <w:rsid w:val="0091656F"/>
    <w:rsid w:val="00920404"/>
    <w:rsid w:val="009229E8"/>
    <w:rsid w:val="00923856"/>
    <w:rsid w:val="0092720C"/>
    <w:rsid w:val="00927240"/>
    <w:rsid w:val="00932712"/>
    <w:rsid w:val="00933EA6"/>
    <w:rsid w:val="0093441E"/>
    <w:rsid w:val="0093444C"/>
    <w:rsid w:val="00935DA9"/>
    <w:rsid w:val="009424A9"/>
    <w:rsid w:val="00944459"/>
    <w:rsid w:val="0094507A"/>
    <w:rsid w:val="0095546C"/>
    <w:rsid w:val="00961EE0"/>
    <w:rsid w:val="00964198"/>
    <w:rsid w:val="0096543B"/>
    <w:rsid w:val="00965579"/>
    <w:rsid w:val="00967D94"/>
    <w:rsid w:val="00972296"/>
    <w:rsid w:val="00974892"/>
    <w:rsid w:val="00974AE1"/>
    <w:rsid w:val="009801C3"/>
    <w:rsid w:val="00981EC5"/>
    <w:rsid w:val="009844DC"/>
    <w:rsid w:val="00987E14"/>
    <w:rsid w:val="00995C08"/>
    <w:rsid w:val="00997A9C"/>
    <w:rsid w:val="00997BB9"/>
    <w:rsid w:val="009A11BD"/>
    <w:rsid w:val="009A52C4"/>
    <w:rsid w:val="009A7B73"/>
    <w:rsid w:val="009B180B"/>
    <w:rsid w:val="009B2737"/>
    <w:rsid w:val="009B2F2A"/>
    <w:rsid w:val="009B6B26"/>
    <w:rsid w:val="009C0751"/>
    <w:rsid w:val="009C217E"/>
    <w:rsid w:val="009C2436"/>
    <w:rsid w:val="009C2D57"/>
    <w:rsid w:val="009C3AF9"/>
    <w:rsid w:val="009C5E71"/>
    <w:rsid w:val="009C7698"/>
    <w:rsid w:val="009C7BA6"/>
    <w:rsid w:val="009D3A8F"/>
    <w:rsid w:val="009D41C2"/>
    <w:rsid w:val="009D4BCD"/>
    <w:rsid w:val="009E43BA"/>
    <w:rsid w:val="009E5E5E"/>
    <w:rsid w:val="009F0CC0"/>
    <w:rsid w:val="009F2A6E"/>
    <w:rsid w:val="009F4ECF"/>
    <w:rsid w:val="009F6624"/>
    <w:rsid w:val="00A0182F"/>
    <w:rsid w:val="00A01997"/>
    <w:rsid w:val="00A02C07"/>
    <w:rsid w:val="00A032DF"/>
    <w:rsid w:val="00A060C0"/>
    <w:rsid w:val="00A06904"/>
    <w:rsid w:val="00A1111A"/>
    <w:rsid w:val="00A114FE"/>
    <w:rsid w:val="00A11D78"/>
    <w:rsid w:val="00A13D6A"/>
    <w:rsid w:val="00A16EC1"/>
    <w:rsid w:val="00A1758B"/>
    <w:rsid w:val="00A226CF"/>
    <w:rsid w:val="00A226FF"/>
    <w:rsid w:val="00A25CB0"/>
    <w:rsid w:val="00A26633"/>
    <w:rsid w:val="00A30534"/>
    <w:rsid w:val="00A3197A"/>
    <w:rsid w:val="00A35B2C"/>
    <w:rsid w:val="00A3626E"/>
    <w:rsid w:val="00A36CD6"/>
    <w:rsid w:val="00A455A7"/>
    <w:rsid w:val="00A46F6C"/>
    <w:rsid w:val="00A478A4"/>
    <w:rsid w:val="00A51518"/>
    <w:rsid w:val="00A528AA"/>
    <w:rsid w:val="00A622A6"/>
    <w:rsid w:val="00A67843"/>
    <w:rsid w:val="00A72D3D"/>
    <w:rsid w:val="00A73C80"/>
    <w:rsid w:val="00A80EEC"/>
    <w:rsid w:val="00A82E29"/>
    <w:rsid w:val="00A864FE"/>
    <w:rsid w:val="00A86EB7"/>
    <w:rsid w:val="00A938CB"/>
    <w:rsid w:val="00A954D9"/>
    <w:rsid w:val="00A96234"/>
    <w:rsid w:val="00A976DA"/>
    <w:rsid w:val="00AA1C66"/>
    <w:rsid w:val="00AB4BA3"/>
    <w:rsid w:val="00AB6EC2"/>
    <w:rsid w:val="00AC017E"/>
    <w:rsid w:val="00AC1BBF"/>
    <w:rsid w:val="00AC2A3B"/>
    <w:rsid w:val="00AC432F"/>
    <w:rsid w:val="00AC5C3B"/>
    <w:rsid w:val="00AC64E7"/>
    <w:rsid w:val="00AD08D8"/>
    <w:rsid w:val="00AD2144"/>
    <w:rsid w:val="00AD2452"/>
    <w:rsid w:val="00AD7F22"/>
    <w:rsid w:val="00AE1DE1"/>
    <w:rsid w:val="00AE384E"/>
    <w:rsid w:val="00AE597D"/>
    <w:rsid w:val="00AE751B"/>
    <w:rsid w:val="00AF32F2"/>
    <w:rsid w:val="00AF3455"/>
    <w:rsid w:val="00AF3FD4"/>
    <w:rsid w:val="00AF4F11"/>
    <w:rsid w:val="00AF612A"/>
    <w:rsid w:val="00AF63D6"/>
    <w:rsid w:val="00B01061"/>
    <w:rsid w:val="00B123E4"/>
    <w:rsid w:val="00B1287A"/>
    <w:rsid w:val="00B1528D"/>
    <w:rsid w:val="00B21170"/>
    <w:rsid w:val="00B2361C"/>
    <w:rsid w:val="00B25BA8"/>
    <w:rsid w:val="00B2699D"/>
    <w:rsid w:val="00B3153C"/>
    <w:rsid w:val="00B31FC9"/>
    <w:rsid w:val="00B32FB7"/>
    <w:rsid w:val="00B3318A"/>
    <w:rsid w:val="00B33C89"/>
    <w:rsid w:val="00B34344"/>
    <w:rsid w:val="00B34801"/>
    <w:rsid w:val="00B3497F"/>
    <w:rsid w:val="00B42CD7"/>
    <w:rsid w:val="00B4587B"/>
    <w:rsid w:val="00B45EB6"/>
    <w:rsid w:val="00B46D9E"/>
    <w:rsid w:val="00B4784D"/>
    <w:rsid w:val="00B50C29"/>
    <w:rsid w:val="00B51060"/>
    <w:rsid w:val="00B53CEE"/>
    <w:rsid w:val="00B553E4"/>
    <w:rsid w:val="00B63A32"/>
    <w:rsid w:val="00B64E0B"/>
    <w:rsid w:val="00B65975"/>
    <w:rsid w:val="00B66923"/>
    <w:rsid w:val="00B67BCE"/>
    <w:rsid w:val="00B71039"/>
    <w:rsid w:val="00B71443"/>
    <w:rsid w:val="00B76094"/>
    <w:rsid w:val="00B7625F"/>
    <w:rsid w:val="00B77A7C"/>
    <w:rsid w:val="00B84F4B"/>
    <w:rsid w:val="00B8586A"/>
    <w:rsid w:val="00B904CD"/>
    <w:rsid w:val="00B93407"/>
    <w:rsid w:val="00B94AB8"/>
    <w:rsid w:val="00B95BBF"/>
    <w:rsid w:val="00B95DCE"/>
    <w:rsid w:val="00B97E6F"/>
    <w:rsid w:val="00BA0A3A"/>
    <w:rsid w:val="00BA20DA"/>
    <w:rsid w:val="00BA2BBE"/>
    <w:rsid w:val="00BA7847"/>
    <w:rsid w:val="00BB0304"/>
    <w:rsid w:val="00BB140D"/>
    <w:rsid w:val="00BB60D8"/>
    <w:rsid w:val="00BB7684"/>
    <w:rsid w:val="00BC1BD2"/>
    <w:rsid w:val="00BC34F7"/>
    <w:rsid w:val="00BC3875"/>
    <w:rsid w:val="00BC68EA"/>
    <w:rsid w:val="00BD2306"/>
    <w:rsid w:val="00BD4728"/>
    <w:rsid w:val="00BD54F6"/>
    <w:rsid w:val="00BD5C9C"/>
    <w:rsid w:val="00BD6836"/>
    <w:rsid w:val="00BF0443"/>
    <w:rsid w:val="00BF1117"/>
    <w:rsid w:val="00BF1A76"/>
    <w:rsid w:val="00BF1C98"/>
    <w:rsid w:val="00BF230E"/>
    <w:rsid w:val="00BF2B2B"/>
    <w:rsid w:val="00BF462C"/>
    <w:rsid w:val="00BF5611"/>
    <w:rsid w:val="00BF610D"/>
    <w:rsid w:val="00BF65D0"/>
    <w:rsid w:val="00BF79FD"/>
    <w:rsid w:val="00C045BD"/>
    <w:rsid w:val="00C10C13"/>
    <w:rsid w:val="00C1265E"/>
    <w:rsid w:val="00C131E7"/>
    <w:rsid w:val="00C26CB8"/>
    <w:rsid w:val="00C3261A"/>
    <w:rsid w:val="00C328A6"/>
    <w:rsid w:val="00C32B10"/>
    <w:rsid w:val="00C33187"/>
    <w:rsid w:val="00C33DDA"/>
    <w:rsid w:val="00C34188"/>
    <w:rsid w:val="00C377C3"/>
    <w:rsid w:val="00C4360D"/>
    <w:rsid w:val="00C45000"/>
    <w:rsid w:val="00C54183"/>
    <w:rsid w:val="00C5431F"/>
    <w:rsid w:val="00C54B58"/>
    <w:rsid w:val="00C56F14"/>
    <w:rsid w:val="00C6289B"/>
    <w:rsid w:val="00C639B9"/>
    <w:rsid w:val="00C70C2F"/>
    <w:rsid w:val="00C70EE1"/>
    <w:rsid w:val="00C74D58"/>
    <w:rsid w:val="00C757FE"/>
    <w:rsid w:val="00C76C46"/>
    <w:rsid w:val="00C77EF5"/>
    <w:rsid w:val="00C815A2"/>
    <w:rsid w:val="00C81F04"/>
    <w:rsid w:val="00C81F36"/>
    <w:rsid w:val="00C830B2"/>
    <w:rsid w:val="00C83AFD"/>
    <w:rsid w:val="00C9464E"/>
    <w:rsid w:val="00C97407"/>
    <w:rsid w:val="00C975BF"/>
    <w:rsid w:val="00CA0604"/>
    <w:rsid w:val="00CA1412"/>
    <w:rsid w:val="00CA1901"/>
    <w:rsid w:val="00CA20A1"/>
    <w:rsid w:val="00CA3648"/>
    <w:rsid w:val="00CA5D15"/>
    <w:rsid w:val="00CB0615"/>
    <w:rsid w:val="00CB19F2"/>
    <w:rsid w:val="00CB7AA2"/>
    <w:rsid w:val="00CB7B78"/>
    <w:rsid w:val="00CC0695"/>
    <w:rsid w:val="00CC3066"/>
    <w:rsid w:val="00CC3098"/>
    <w:rsid w:val="00CC30C4"/>
    <w:rsid w:val="00CC3EB6"/>
    <w:rsid w:val="00CD6029"/>
    <w:rsid w:val="00CE54F5"/>
    <w:rsid w:val="00CF719C"/>
    <w:rsid w:val="00D1099F"/>
    <w:rsid w:val="00D11B63"/>
    <w:rsid w:val="00D14CEA"/>
    <w:rsid w:val="00D16059"/>
    <w:rsid w:val="00D1651D"/>
    <w:rsid w:val="00D16CDF"/>
    <w:rsid w:val="00D16E84"/>
    <w:rsid w:val="00D232D7"/>
    <w:rsid w:val="00D26FB3"/>
    <w:rsid w:val="00D27E90"/>
    <w:rsid w:val="00D43596"/>
    <w:rsid w:val="00D47E68"/>
    <w:rsid w:val="00D57AF6"/>
    <w:rsid w:val="00D60AFD"/>
    <w:rsid w:val="00D61632"/>
    <w:rsid w:val="00D621B7"/>
    <w:rsid w:val="00D66CEA"/>
    <w:rsid w:val="00D71B10"/>
    <w:rsid w:val="00D7615B"/>
    <w:rsid w:val="00D770B7"/>
    <w:rsid w:val="00D84E13"/>
    <w:rsid w:val="00D84F6F"/>
    <w:rsid w:val="00D85F49"/>
    <w:rsid w:val="00D865C6"/>
    <w:rsid w:val="00D86AED"/>
    <w:rsid w:val="00D8724B"/>
    <w:rsid w:val="00D90CCD"/>
    <w:rsid w:val="00D93C50"/>
    <w:rsid w:val="00DA0244"/>
    <w:rsid w:val="00DA0E7A"/>
    <w:rsid w:val="00DA3CCD"/>
    <w:rsid w:val="00DA4B7D"/>
    <w:rsid w:val="00DA5030"/>
    <w:rsid w:val="00DA7034"/>
    <w:rsid w:val="00DA7719"/>
    <w:rsid w:val="00DB0104"/>
    <w:rsid w:val="00DB085F"/>
    <w:rsid w:val="00DB1991"/>
    <w:rsid w:val="00DB2B40"/>
    <w:rsid w:val="00DB33DF"/>
    <w:rsid w:val="00DB3EC0"/>
    <w:rsid w:val="00DB4682"/>
    <w:rsid w:val="00DB7446"/>
    <w:rsid w:val="00DC030A"/>
    <w:rsid w:val="00DD2DED"/>
    <w:rsid w:val="00DD3448"/>
    <w:rsid w:val="00DD381E"/>
    <w:rsid w:val="00DD61F6"/>
    <w:rsid w:val="00DE0386"/>
    <w:rsid w:val="00DE6465"/>
    <w:rsid w:val="00DE75BC"/>
    <w:rsid w:val="00DF0674"/>
    <w:rsid w:val="00DF33D2"/>
    <w:rsid w:val="00DF39C0"/>
    <w:rsid w:val="00DF3B5D"/>
    <w:rsid w:val="00DF4758"/>
    <w:rsid w:val="00DF4FED"/>
    <w:rsid w:val="00DF54FF"/>
    <w:rsid w:val="00E0051E"/>
    <w:rsid w:val="00E00D74"/>
    <w:rsid w:val="00E04703"/>
    <w:rsid w:val="00E0583A"/>
    <w:rsid w:val="00E05D86"/>
    <w:rsid w:val="00E068FA"/>
    <w:rsid w:val="00E06C08"/>
    <w:rsid w:val="00E11CCB"/>
    <w:rsid w:val="00E14A1A"/>
    <w:rsid w:val="00E16AE3"/>
    <w:rsid w:val="00E21420"/>
    <w:rsid w:val="00E21B5A"/>
    <w:rsid w:val="00E25493"/>
    <w:rsid w:val="00E26EC5"/>
    <w:rsid w:val="00E27CCF"/>
    <w:rsid w:val="00E420E1"/>
    <w:rsid w:val="00E50117"/>
    <w:rsid w:val="00E55185"/>
    <w:rsid w:val="00E571CD"/>
    <w:rsid w:val="00E62E73"/>
    <w:rsid w:val="00E66CE8"/>
    <w:rsid w:val="00E67AB0"/>
    <w:rsid w:val="00E711EE"/>
    <w:rsid w:val="00E714FF"/>
    <w:rsid w:val="00E7512B"/>
    <w:rsid w:val="00E75576"/>
    <w:rsid w:val="00E75C02"/>
    <w:rsid w:val="00E76563"/>
    <w:rsid w:val="00E77D66"/>
    <w:rsid w:val="00E85E0C"/>
    <w:rsid w:val="00E87435"/>
    <w:rsid w:val="00E93D91"/>
    <w:rsid w:val="00E9484D"/>
    <w:rsid w:val="00E968F7"/>
    <w:rsid w:val="00E96E5D"/>
    <w:rsid w:val="00EA13F6"/>
    <w:rsid w:val="00EA4944"/>
    <w:rsid w:val="00EA7258"/>
    <w:rsid w:val="00EB0024"/>
    <w:rsid w:val="00EB4672"/>
    <w:rsid w:val="00EB5BEF"/>
    <w:rsid w:val="00EB70D8"/>
    <w:rsid w:val="00EB7D75"/>
    <w:rsid w:val="00EC2687"/>
    <w:rsid w:val="00ED372C"/>
    <w:rsid w:val="00ED380A"/>
    <w:rsid w:val="00ED6E15"/>
    <w:rsid w:val="00EE0278"/>
    <w:rsid w:val="00EE056A"/>
    <w:rsid w:val="00EE1AE7"/>
    <w:rsid w:val="00EE5498"/>
    <w:rsid w:val="00EE635D"/>
    <w:rsid w:val="00EE7EE7"/>
    <w:rsid w:val="00EF1791"/>
    <w:rsid w:val="00EF2714"/>
    <w:rsid w:val="00EF2C40"/>
    <w:rsid w:val="00EF4C30"/>
    <w:rsid w:val="00EF4D5D"/>
    <w:rsid w:val="00F034A2"/>
    <w:rsid w:val="00F04BF6"/>
    <w:rsid w:val="00F113BB"/>
    <w:rsid w:val="00F11D30"/>
    <w:rsid w:val="00F1418F"/>
    <w:rsid w:val="00F16346"/>
    <w:rsid w:val="00F16C61"/>
    <w:rsid w:val="00F206A0"/>
    <w:rsid w:val="00F219B1"/>
    <w:rsid w:val="00F22240"/>
    <w:rsid w:val="00F222DC"/>
    <w:rsid w:val="00F26D05"/>
    <w:rsid w:val="00F26E14"/>
    <w:rsid w:val="00F26F72"/>
    <w:rsid w:val="00F42B12"/>
    <w:rsid w:val="00F47099"/>
    <w:rsid w:val="00F549AC"/>
    <w:rsid w:val="00F556AE"/>
    <w:rsid w:val="00F56408"/>
    <w:rsid w:val="00F600A5"/>
    <w:rsid w:val="00F62C94"/>
    <w:rsid w:val="00F716B9"/>
    <w:rsid w:val="00F72FBF"/>
    <w:rsid w:val="00F73779"/>
    <w:rsid w:val="00F743EF"/>
    <w:rsid w:val="00F77A20"/>
    <w:rsid w:val="00F8043E"/>
    <w:rsid w:val="00F80EB7"/>
    <w:rsid w:val="00F81A56"/>
    <w:rsid w:val="00F81EC6"/>
    <w:rsid w:val="00F83F1E"/>
    <w:rsid w:val="00F8456B"/>
    <w:rsid w:val="00F85F22"/>
    <w:rsid w:val="00F92570"/>
    <w:rsid w:val="00F94756"/>
    <w:rsid w:val="00FA12DF"/>
    <w:rsid w:val="00FA3793"/>
    <w:rsid w:val="00FA695C"/>
    <w:rsid w:val="00FB225E"/>
    <w:rsid w:val="00FB4CF1"/>
    <w:rsid w:val="00FB58FD"/>
    <w:rsid w:val="00FB6917"/>
    <w:rsid w:val="00FB6A16"/>
    <w:rsid w:val="00FB70A1"/>
    <w:rsid w:val="00FC0CAB"/>
    <w:rsid w:val="00FC10F9"/>
    <w:rsid w:val="00FC134D"/>
    <w:rsid w:val="00FC23FA"/>
    <w:rsid w:val="00FC6D68"/>
    <w:rsid w:val="00FC6DB4"/>
    <w:rsid w:val="00FC7631"/>
    <w:rsid w:val="00FD1374"/>
    <w:rsid w:val="00FD2F90"/>
    <w:rsid w:val="00FD7EB3"/>
    <w:rsid w:val="00FE1035"/>
    <w:rsid w:val="00FE3CBF"/>
    <w:rsid w:val="00FE4457"/>
    <w:rsid w:val="00FE4496"/>
    <w:rsid w:val="00FE642B"/>
    <w:rsid w:val="00FF0C69"/>
    <w:rsid w:val="00FF1F9D"/>
    <w:rsid w:val="00FF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974FE"/>
  <w15:chartTrackingRefBased/>
  <w15:docId w15:val="{CB74A739-0461-4478-9D5E-05A3697CD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C30"/>
  </w:style>
  <w:style w:type="paragraph" w:styleId="Heading1">
    <w:name w:val="heading 1"/>
    <w:basedOn w:val="Normal"/>
    <w:next w:val="Normal"/>
    <w:link w:val="Heading1Char"/>
    <w:uiPriority w:val="9"/>
    <w:qFormat/>
    <w:rsid w:val="004663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63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63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63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63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63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63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63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63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63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63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63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63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63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63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63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63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63EC"/>
    <w:rPr>
      <w:rFonts w:eastAsiaTheme="majorEastAsia" w:cstheme="majorBidi"/>
      <w:color w:val="272727" w:themeColor="text1" w:themeTint="D8"/>
    </w:rPr>
  </w:style>
  <w:style w:type="paragraph" w:styleId="Title">
    <w:name w:val="Title"/>
    <w:basedOn w:val="Normal"/>
    <w:next w:val="Normal"/>
    <w:link w:val="TitleChar"/>
    <w:uiPriority w:val="10"/>
    <w:qFormat/>
    <w:rsid w:val="004663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3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63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63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63EC"/>
    <w:pPr>
      <w:spacing w:before="160"/>
      <w:jc w:val="center"/>
    </w:pPr>
    <w:rPr>
      <w:i/>
      <w:iCs/>
      <w:color w:val="404040" w:themeColor="text1" w:themeTint="BF"/>
    </w:rPr>
  </w:style>
  <w:style w:type="character" w:customStyle="1" w:styleId="QuoteChar">
    <w:name w:val="Quote Char"/>
    <w:basedOn w:val="DefaultParagraphFont"/>
    <w:link w:val="Quote"/>
    <w:uiPriority w:val="29"/>
    <w:rsid w:val="004663EC"/>
    <w:rPr>
      <w:i/>
      <w:iCs/>
      <w:color w:val="404040" w:themeColor="text1" w:themeTint="BF"/>
    </w:rPr>
  </w:style>
  <w:style w:type="paragraph" w:styleId="ListParagraph">
    <w:name w:val="List Paragraph"/>
    <w:basedOn w:val="Normal"/>
    <w:uiPriority w:val="34"/>
    <w:qFormat/>
    <w:rsid w:val="004663EC"/>
    <w:pPr>
      <w:ind w:left="720"/>
      <w:contextualSpacing/>
    </w:pPr>
  </w:style>
  <w:style w:type="character" w:styleId="IntenseEmphasis">
    <w:name w:val="Intense Emphasis"/>
    <w:basedOn w:val="DefaultParagraphFont"/>
    <w:uiPriority w:val="21"/>
    <w:qFormat/>
    <w:rsid w:val="004663EC"/>
    <w:rPr>
      <w:i/>
      <w:iCs/>
      <w:color w:val="0F4761" w:themeColor="accent1" w:themeShade="BF"/>
    </w:rPr>
  </w:style>
  <w:style w:type="paragraph" w:styleId="IntenseQuote">
    <w:name w:val="Intense Quote"/>
    <w:basedOn w:val="Normal"/>
    <w:next w:val="Normal"/>
    <w:link w:val="IntenseQuoteChar"/>
    <w:uiPriority w:val="30"/>
    <w:qFormat/>
    <w:rsid w:val="004663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63EC"/>
    <w:rPr>
      <w:i/>
      <w:iCs/>
      <w:color w:val="0F4761" w:themeColor="accent1" w:themeShade="BF"/>
    </w:rPr>
  </w:style>
  <w:style w:type="character" w:styleId="IntenseReference">
    <w:name w:val="Intense Reference"/>
    <w:basedOn w:val="DefaultParagraphFont"/>
    <w:uiPriority w:val="32"/>
    <w:qFormat/>
    <w:rsid w:val="004663EC"/>
    <w:rPr>
      <w:b/>
      <w:bCs/>
      <w:smallCaps/>
      <w:color w:val="0F4761" w:themeColor="accent1" w:themeShade="BF"/>
      <w:spacing w:val="5"/>
    </w:rPr>
  </w:style>
  <w:style w:type="paragraph" w:styleId="Header">
    <w:name w:val="header"/>
    <w:basedOn w:val="Normal"/>
    <w:link w:val="HeaderChar"/>
    <w:uiPriority w:val="99"/>
    <w:unhideWhenUsed/>
    <w:rsid w:val="00463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A0C"/>
  </w:style>
  <w:style w:type="paragraph" w:styleId="Footer">
    <w:name w:val="footer"/>
    <w:basedOn w:val="Normal"/>
    <w:link w:val="FooterChar"/>
    <w:uiPriority w:val="99"/>
    <w:unhideWhenUsed/>
    <w:rsid w:val="00463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A0C"/>
  </w:style>
  <w:style w:type="character" w:styleId="Emphasis">
    <w:name w:val="Emphasis"/>
    <w:basedOn w:val="DefaultParagraphFont"/>
    <w:uiPriority w:val="20"/>
    <w:qFormat/>
    <w:rsid w:val="008C2763"/>
    <w:rPr>
      <w:i/>
      <w:iCs/>
    </w:rPr>
  </w:style>
  <w:style w:type="paragraph" w:styleId="NormalWeb">
    <w:name w:val="Normal (Web)"/>
    <w:basedOn w:val="Normal"/>
    <w:uiPriority w:val="99"/>
    <w:unhideWhenUsed/>
    <w:rsid w:val="009B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553E4"/>
    <w:rPr>
      <w:color w:val="467886" w:themeColor="hyperlink"/>
      <w:u w:val="single"/>
    </w:rPr>
  </w:style>
  <w:style w:type="character" w:styleId="UnresolvedMention">
    <w:name w:val="Unresolved Mention"/>
    <w:basedOn w:val="DefaultParagraphFont"/>
    <w:uiPriority w:val="99"/>
    <w:semiHidden/>
    <w:unhideWhenUsed/>
    <w:rsid w:val="00B553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dc.gov/aces/about/index.html"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urriculum-for-wal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ggiochildren.it/en/reggio-emilia-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d3e1fb01c4ecd4ec997b4da7e7020f9">
  <xsd:schema xmlns:xsd="http://www.w3.org/2001/XMLSchema" xmlns:xs="http://www.w3.org/2001/XMLSchema" xmlns:p="http://schemas.microsoft.com/office/2006/metadata/properties" xmlns:ns3="0085e1a2-9cbf-4b92-866b-21f3c89040b6" targetNamespace="http://schemas.microsoft.com/office/2006/metadata/properties" ma:root="true" ma:fieldsID="cfba09fad404c920ca16c269689236e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E226790-177C-40DA-B970-CB31BDF4EFB7}">
  <ds:schemaRefs>
    <ds:schemaRef ds:uri="http://schemas.microsoft.com/sharepoint/v3/contenttype/forms"/>
  </ds:schemaRefs>
</ds:datastoreItem>
</file>

<file path=customXml/itemProps2.xml><?xml version="1.0" encoding="utf-8"?>
<ds:datastoreItem xmlns:ds="http://schemas.openxmlformats.org/officeDocument/2006/customXml" ds:itemID="{792D15D0-75EF-4889-A506-0E7DCB16DC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5BC7D3-7233-4A1E-BC56-3BD0FB18CCBA}">
  <ds:schemaRefs>
    <ds:schemaRef ds:uri="http://schemas.openxmlformats.org/officeDocument/2006/bibliography"/>
  </ds:schemaRefs>
</ds:datastoreItem>
</file>

<file path=customXml/itemProps4.xml><?xml version="1.0" encoding="utf-8"?>
<ds:datastoreItem xmlns:ds="http://schemas.openxmlformats.org/officeDocument/2006/customXml" ds:itemID="{25B15DBC-A3E0-43D8-9C8E-FFAF2313BC4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7888</Words>
  <Characters>44964</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Hawkins (2004479)</dc:creator>
  <cp:keywords/>
  <dc:description/>
  <cp:lastModifiedBy>katrina Grosvenor</cp:lastModifiedBy>
  <cp:revision>2</cp:revision>
  <dcterms:created xsi:type="dcterms:W3CDTF">2026-10-24T21:47:00Z</dcterms:created>
  <dcterms:modified xsi:type="dcterms:W3CDTF">2026-10-24T21:47:00Z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